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BD3" w:rsidRPr="007A0CF3" w:rsidRDefault="00DF3BD3" w:rsidP="00DF3BD3">
      <w:pPr>
        <w:rPr>
          <w:lang w:val="en-AU"/>
        </w:rPr>
      </w:pPr>
    </w:p>
    <w:p w:rsidR="00DF3BD3" w:rsidRPr="007A0CF3" w:rsidRDefault="00DF3BD3" w:rsidP="00DF3BD3">
      <w:pPr>
        <w:rPr>
          <w:lang w:val="en-AU"/>
        </w:rPr>
      </w:pPr>
      <w:r w:rsidRPr="007A0CF3">
        <w:rPr>
          <w:lang w:val="en-AU"/>
        </w:rPr>
        <w:t xml:space="preserve">This version of the </w:t>
      </w:r>
      <w:r w:rsidRPr="007A0CF3">
        <w:rPr>
          <w:b/>
          <w:i/>
          <w:lang w:val="en-AU"/>
        </w:rPr>
        <w:t>Loddon Mallee North Regional Growth Plan</w:t>
      </w:r>
      <w:r w:rsidRPr="007A0CF3">
        <w:rPr>
          <w:b/>
          <w:i/>
          <w:iCs/>
          <w:lang w:val="en-AU"/>
        </w:rPr>
        <w:t xml:space="preserve"> </w:t>
      </w:r>
      <w:r w:rsidRPr="007A0CF3">
        <w:rPr>
          <w:lang w:val="en-AU"/>
        </w:rPr>
        <w:t xml:space="preserve">has been prepared for use with screen reader software. The printed publication may contain photographs, captions and design features that have been necessarily omitted from this version. In other respects this document contains identical text to that in the PDF version of the </w:t>
      </w:r>
      <w:r w:rsidR="00535DDD" w:rsidRPr="00535DDD">
        <w:rPr>
          <w:lang w:val="en-AU"/>
        </w:rPr>
        <w:t>document, which</w:t>
      </w:r>
      <w:r w:rsidRPr="007A0CF3">
        <w:rPr>
          <w:lang w:val="en-AU"/>
        </w:rPr>
        <w:t xml:space="preserve"> is available at</w:t>
      </w:r>
      <w:r w:rsidR="0082492F">
        <w:rPr>
          <w:lang w:val="en-AU"/>
        </w:rPr>
        <w:t>:</w:t>
      </w:r>
      <w:r w:rsidRPr="007A0CF3">
        <w:rPr>
          <w:lang w:val="en-AU"/>
        </w:rPr>
        <w:t xml:space="preserve"> </w:t>
      </w:r>
      <w:hyperlink r:id="rId8" w:history="1">
        <w:r w:rsidR="0082492F" w:rsidRPr="00AC2F7C">
          <w:rPr>
            <w:rStyle w:val="Hyperlink"/>
            <w:lang w:val="en-AU"/>
          </w:rPr>
          <w:t>www.dtpli.vic.gov.au/regionalgrowthplans</w:t>
        </w:r>
      </w:hyperlink>
      <w:r w:rsidR="0082492F">
        <w:rPr>
          <w:color w:val="1F497D" w:themeColor="text2"/>
          <w:u w:val="single"/>
          <w:lang w:val="en-AU"/>
        </w:rPr>
        <w:t xml:space="preserve"> </w:t>
      </w:r>
    </w:p>
    <w:p w:rsidR="00DF3BD3" w:rsidRPr="007A0CF3" w:rsidRDefault="00DF3BD3" w:rsidP="00DF3BD3">
      <w:pPr>
        <w:rPr>
          <w:lang w:val="en-AU"/>
        </w:rPr>
      </w:pPr>
    </w:p>
    <w:p w:rsidR="00DF3BD3" w:rsidRPr="007A0CF3" w:rsidRDefault="00DF3BD3" w:rsidP="00DF3BD3">
      <w:pPr>
        <w:pStyle w:val="Title"/>
        <w:rPr>
          <w:lang w:val="en-AU"/>
        </w:rPr>
      </w:pPr>
      <w:r w:rsidRPr="007A0CF3">
        <w:rPr>
          <w:lang w:val="en-AU"/>
        </w:rPr>
        <w:t>Regional Growth Plan</w:t>
      </w:r>
    </w:p>
    <w:p w:rsidR="0018407E" w:rsidRDefault="0018407E" w:rsidP="005D44DB">
      <w:pPr>
        <w:pStyle w:val="bt"/>
        <w:rPr>
          <w:b/>
          <w:sz w:val="28"/>
          <w:szCs w:val="28"/>
          <w:lang w:val="en-AU"/>
        </w:rPr>
      </w:pPr>
    </w:p>
    <w:p w:rsidR="00DF32E2" w:rsidRPr="007A0CF3" w:rsidRDefault="00DF32E2" w:rsidP="005D44DB">
      <w:pPr>
        <w:pStyle w:val="bt"/>
        <w:rPr>
          <w:b/>
          <w:sz w:val="28"/>
          <w:szCs w:val="28"/>
          <w:lang w:val="en-AU"/>
        </w:rPr>
        <w:sectPr w:rsidR="00DF32E2" w:rsidRPr="007A0CF3" w:rsidSect="00E731E4">
          <w:headerReference w:type="first" r:id="rId9"/>
          <w:pgSz w:w="11906" w:h="16838"/>
          <w:pgMar w:top="1440" w:right="1440" w:bottom="1440" w:left="1440" w:header="708" w:footer="708" w:gutter="0"/>
          <w:cols w:space="708"/>
          <w:titlePg/>
          <w:docGrid w:linePitch="360"/>
        </w:sectPr>
      </w:pPr>
    </w:p>
    <w:p w:rsidR="004922F2" w:rsidRDefault="004922F2" w:rsidP="004922F2">
      <w:pPr>
        <w:pStyle w:val="bt"/>
      </w:pPr>
      <w:r>
        <w:lastRenderedPageBreak/>
        <w:t>Authorised and published by the Victorian Government, 1 Treasury Place, Melbourne</w:t>
      </w:r>
    </w:p>
    <w:p w:rsidR="004922F2" w:rsidRDefault="004922F2" w:rsidP="004922F2">
      <w:pPr>
        <w:pStyle w:val="bt"/>
      </w:pPr>
      <w:r>
        <w:t xml:space="preserve">Printed by </w:t>
      </w:r>
      <w:proofErr w:type="spellStart"/>
      <w:r>
        <w:t>Finsbury</w:t>
      </w:r>
      <w:proofErr w:type="spellEnd"/>
      <w:r>
        <w:t xml:space="preserve"> Green, Melbourne</w:t>
      </w:r>
    </w:p>
    <w:p w:rsidR="004922F2" w:rsidRPr="00116E6E" w:rsidRDefault="004922F2" w:rsidP="004922F2">
      <w:pPr>
        <w:pStyle w:val="bt"/>
        <w:rPr>
          <w:sz w:val="28"/>
          <w:szCs w:val="28"/>
        </w:rPr>
      </w:pPr>
      <w:r w:rsidRPr="00116E6E">
        <w:rPr>
          <w:sz w:val="28"/>
          <w:szCs w:val="28"/>
        </w:rPr>
        <w:t>If you would like to receive this publication in an accessible format, please telephone 1300 366 356.</w:t>
      </w:r>
    </w:p>
    <w:p w:rsidR="004922F2" w:rsidRDefault="004922F2" w:rsidP="004922F2">
      <w:pPr>
        <w:pStyle w:val="bt"/>
      </w:pPr>
      <w:r>
        <w:t xml:space="preserve">This document is also available in Word format at </w:t>
      </w:r>
      <w:hyperlink r:id="rId10" w:history="1">
        <w:r>
          <w:rPr>
            <w:color w:val="0000FF"/>
            <w:u w:val="single"/>
          </w:rPr>
          <w:t>www.dtpli.vic.gov.au/regionalgrowthplans</w:t>
        </w:r>
      </w:hyperlink>
    </w:p>
    <w:p w:rsidR="004922F2" w:rsidRDefault="004922F2" w:rsidP="004922F2">
      <w:pPr>
        <w:pStyle w:val="bt"/>
      </w:pPr>
      <w:r>
        <w:t xml:space="preserve">Unless indicated otherwise, this work is made available under the terms of the Creative Commons Attribution 3.0 Australia </w:t>
      </w:r>
      <w:proofErr w:type="spellStart"/>
      <w:r>
        <w:t>licence</w:t>
      </w:r>
      <w:proofErr w:type="spellEnd"/>
      <w:r>
        <w:t>.</w:t>
      </w:r>
    </w:p>
    <w:p w:rsidR="004922F2" w:rsidRDefault="004922F2" w:rsidP="004922F2">
      <w:pPr>
        <w:pStyle w:val="bt"/>
      </w:pPr>
      <w:r>
        <w:t xml:space="preserve">To view a copy of the </w:t>
      </w:r>
      <w:proofErr w:type="spellStart"/>
      <w:r>
        <w:t>licence</w:t>
      </w:r>
      <w:proofErr w:type="spellEnd"/>
      <w:r>
        <w:t>, visit creativecommons.org/</w:t>
      </w:r>
      <w:proofErr w:type="spellStart"/>
      <w:r>
        <w:t>licences</w:t>
      </w:r>
      <w:proofErr w:type="spellEnd"/>
      <w:r>
        <w:t>/by/3.0/au</w:t>
      </w:r>
    </w:p>
    <w:p w:rsidR="004922F2" w:rsidRDefault="004922F2" w:rsidP="004922F2">
      <w:pPr>
        <w:pStyle w:val="bt"/>
      </w:pPr>
      <w:r>
        <w:t xml:space="preserve">It is a condition of this Creative Commons Attribution 3.0 </w:t>
      </w:r>
      <w:proofErr w:type="spellStart"/>
      <w:r>
        <w:t>Licence</w:t>
      </w:r>
      <w:proofErr w:type="spellEnd"/>
      <w:r>
        <w:t xml:space="preserve"> that you must give credit to the original author who is the State of Victoria.</w:t>
      </w:r>
    </w:p>
    <w:p w:rsidR="004922F2" w:rsidRDefault="004922F2" w:rsidP="004922F2">
      <w:pPr>
        <w:pStyle w:val="bt"/>
        <w:rPr>
          <w:b/>
          <w:bCs/>
        </w:rPr>
      </w:pPr>
      <w:r>
        <w:rPr>
          <w:b/>
          <w:bCs/>
        </w:rPr>
        <w:t>Disclaimer</w:t>
      </w:r>
    </w:p>
    <w:p w:rsidR="004922F2" w:rsidRDefault="004922F2" w:rsidP="004922F2">
      <w:pPr>
        <w:pStyle w:val="bt"/>
      </w:pPr>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4922F2" w:rsidRPr="00B26B9E" w:rsidRDefault="007C2317" w:rsidP="004922F2">
      <w:pPr>
        <w:pStyle w:val="bt"/>
        <w:rPr>
          <w:b/>
          <w:bCs/>
        </w:rPr>
      </w:pPr>
      <w:r>
        <w:rPr>
          <w:b/>
          <w:bCs/>
        </w:rPr>
        <w:t>May</w:t>
      </w:r>
      <w:r w:rsidRPr="00B26B9E">
        <w:rPr>
          <w:b/>
          <w:bCs/>
        </w:rPr>
        <w:t xml:space="preserve"> </w:t>
      </w:r>
      <w:r w:rsidR="00B26B9E" w:rsidRPr="00B26B9E">
        <w:rPr>
          <w:b/>
          <w:bCs/>
        </w:rPr>
        <w:t>2014</w:t>
      </w:r>
    </w:p>
    <w:p w:rsidR="00802924" w:rsidRPr="00B26B9E" w:rsidRDefault="00802924" w:rsidP="001E5584">
      <w:pPr>
        <w:pStyle w:val="bt"/>
        <w:rPr>
          <w:rFonts w:cs="Calibri"/>
          <w:b/>
          <w:bCs/>
          <w:lang w:val="en-AU"/>
        </w:rPr>
        <w:sectPr w:rsidR="00802924" w:rsidRPr="00B26B9E" w:rsidSect="004922F2">
          <w:headerReference w:type="default" r:id="rId11"/>
          <w:headerReference w:type="first" r:id="rId12"/>
          <w:footerReference w:type="first" r:id="rId13"/>
          <w:pgSz w:w="11906" w:h="16838"/>
          <w:pgMar w:top="8647" w:right="1440" w:bottom="1440" w:left="1440" w:header="708" w:footer="708" w:gutter="0"/>
          <w:pgNumType w:start="1"/>
          <w:cols w:space="708"/>
          <w:titlePg/>
          <w:docGrid w:linePitch="360"/>
        </w:sectPr>
      </w:pPr>
    </w:p>
    <w:sdt>
      <w:sdtPr>
        <w:rPr>
          <w:rFonts w:ascii="Calibri" w:eastAsiaTheme="minorHAnsi" w:hAnsi="Calibri" w:cstheme="minorBidi"/>
          <w:b w:val="0"/>
          <w:bCs/>
          <w:sz w:val="22"/>
          <w:szCs w:val="22"/>
          <w:lang w:val="en-AU" w:eastAsia="en-US"/>
        </w:rPr>
        <w:id w:val="5727943"/>
        <w:docPartObj>
          <w:docPartGallery w:val="Table of Contents"/>
          <w:docPartUnique/>
        </w:docPartObj>
      </w:sdtPr>
      <w:sdtEndPr>
        <w:rPr>
          <w:rFonts w:eastAsiaTheme="minorEastAsia"/>
          <w:bCs w:val="0"/>
        </w:rPr>
      </w:sdtEndPr>
      <w:sdtContent>
        <w:bookmarkStart w:id="0" w:name="_Toc365300517" w:displacedByCustomXml="prev"/>
        <w:bookmarkStart w:id="1" w:name="_Toc352687580" w:displacedByCustomXml="prev"/>
        <w:p w:rsidR="00E02F62" w:rsidRPr="00D156F9" w:rsidRDefault="003C7518" w:rsidP="003C7518">
          <w:pPr>
            <w:pStyle w:val="TOCH"/>
          </w:pPr>
          <w:r w:rsidRPr="003C7518">
            <w:t>Contents</w:t>
          </w:r>
          <w:bookmarkEnd w:id="1"/>
          <w:bookmarkEnd w:id="0"/>
        </w:p>
        <w:p w:rsidR="001247BB" w:rsidRDefault="003F4484">
          <w:pPr>
            <w:pStyle w:val="TOC1"/>
            <w:rPr>
              <w:noProof/>
              <w:lang w:val="en-AU" w:eastAsia="en-AU"/>
            </w:rPr>
          </w:pPr>
          <w:r w:rsidRPr="00D156F9">
            <w:rPr>
              <w:rFonts w:eastAsiaTheme="minorHAnsi"/>
              <w:color w:val="0000FF" w:themeColor="hyperlink"/>
              <w:u w:val="single"/>
            </w:rPr>
            <w:fldChar w:fldCharType="begin"/>
          </w:r>
          <w:r w:rsidR="003E4202" w:rsidRPr="003E4202">
            <w:rPr>
              <w:lang w:val="en-AU"/>
            </w:rPr>
            <w:instrText xml:space="preserve"> TOC \o "1-2" \h \z \u </w:instrText>
          </w:r>
          <w:r w:rsidRPr="00D156F9">
            <w:rPr>
              <w:rFonts w:eastAsiaTheme="minorHAnsi"/>
              <w:color w:val="0000FF" w:themeColor="hyperlink"/>
              <w:u w:val="single"/>
            </w:rPr>
            <w:fldChar w:fldCharType="separate"/>
          </w:r>
          <w:hyperlink w:anchor="_Toc377031438" w:history="1">
            <w:r w:rsidR="001247BB" w:rsidRPr="009927A5">
              <w:rPr>
                <w:rStyle w:val="Hyperlink"/>
                <w:noProof/>
                <w:lang w:val="en-AU"/>
              </w:rPr>
              <w:t>EXECUTIVE SUMMARY</w:t>
            </w:r>
            <w:r w:rsidR="001247BB">
              <w:rPr>
                <w:noProof/>
                <w:webHidden/>
              </w:rPr>
              <w:tab/>
            </w:r>
            <w:r>
              <w:rPr>
                <w:noProof/>
                <w:webHidden/>
              </w:rPr>
              <w:fldChar w:fldCharType="begin"/>
            </w:r>
            <w:r w:rsidR="001247BB">
              <w:rPr>
                <w:noProof/>
                <w:webHidden/>
              </w:rPr>
              <w:instrText xml:space="preserve"> PAGEREF _Toc377031438 \h </w:instrText>
            </w:r>
            <w:r>
              <w:rPr>
                <w:noProof/>
                <w:webHidden/>
              </w:rPr>
            </w:r>
            <w:r>
              <w:rPr>
                <w:noProof/>
                <w:webHidden/>
              </w:rPr>
              <w:fldChar w:fldCharType="separate"/>
            </w:r>
            <w:r w:rsidR="00E47BE0">
              <w:rPr>
                <w:noProof/>
                <w:webHidden/>
              </w:rPr>
              <w:t>i</w:t>
            </w:r>
            <w:r>
              <w:rPr>
                <w:noProof/>
                <w:webHidden/>
              </w:rPr>
              <w:fldChar w:fldCharType="end"/>
            </w:r>
          </w:hyperlink>
        </w:p>
        <w:p w:rsidR="001247BB" w:rsidRDefault="003F4484">
          <w:pPr>
            <w:pStyle w:val="TOC1"/>
            <w:rPr>
              <w:noProof/>
              <w:lang w:val="en-AU" w:eastAsia="en-AU"/>
            </w:rPr>
          </w:pPr>
          <w:hyperlink w:anchor="_Toc377031439" w:history="1">
            <w:r w:rsidR="001247BB" w:rsidRPr="009927A5">
              <w:rPr>
                <w:rStyle w:val="Hyperlink"/>
                <w:noProof/>
                <w:lang w:val="en-AU"/>
              </w:rPr>
              <w:t>PART A:</w:t>
            </w:r>
            <w:r w:rsidR="001247BB">
              <w:rPr>
                <w:noProof/>
                <w:lang w:val="en-AU" w:eastAsia="en-AU"/>
              </w:rPr>
              <w:tab/>
            </w:r>
            <w:r w:rsidR="001247BB" w:rsidRPr="009927A5">
              <w:rPr>
                <w:rStyle w:val="Hyperlink"/>
                <w:noProof/>
                <w:lang w:val="en-AU"/>
              </w:rPr>
              <w:t>INTRODUCTION</w:t>
            </w:r>
            <w:r w:rsidR="001247BB">
              <w:rPr>
                <w:noProof/>
                <w:webHidden/>
              </w:rPr>
              <w:tab/>
            </w:r>
            <w:r>
              <w:rPr>
                <w:noProof/>
                <w:webHidden/>
              </w:rPr>
              <w:fldChar w:fldCharType="begin"/>
            </w:r>
            <w:r w:rsidR="001247BB">
              <w:rPr>
                <w:noProof/>
                <w:webHidden/>
              </w:rPr>
              <w:instrText xml:space="preserve"> PAGEREF _Toc377031439 \h </w:instrText>
            </w:r>
            <w:r>
              <w:rPr>
                <w:noProof/>
                <w:webHidden/>
              </w:rPr>
            </w:r>
            <w:r>
              <w:rPr>
                <w:noProof/>
                <w:webHidden/>
              </w:rPr>
              <w:fldChar w:fldCharType="separate"/>
            </w:r>
            <w:r w:rsidR="00E47BE0">
              <w:rPr>
                <w:noProof/>
                <w:webHidden/>
              </w:rPr>
              <w:t>1</w:t>
            </w:r>
            <w:r>
              <w:rPr>
                <w:noProof/>
                <w:webHidden/>
              </w:rPr>
              <w:fldChar w:fldCharType="end"/>
            </w:r>
          </w:hyperlink>
        </w:p>
        <w:p w:rsidR="001247BB" w:rsidRDefault="003F4484">
          <w:pPr>
            <w:pStyle w:val="TOC1"/>
            <w:rPr>
              <w:noProof/>
              <w:lang w:val="en-AU" w:eastAsia="en-AU"/>
            </w:rPr>
          </w:pPr>
          <w:hyperlink w:anchor="_Toc377031440" w:history="1">
            <w:r w:rsidR="001247BB" w:rsidRPr="009927A5">
              <w:rPr>
                <w:rStyle w:val="Hyperlink"/>
                <w:noProof/>
              </w:rPr>
              <w:t>1.</w:t>
            </w:r>
            <w:r w:rsidR="001247BB">
              <w:rPr>
                <w:noProof/>
                <w:lang w:val="en-AU" w:eastAsia="en-AU"/>
              </w:rPr>
              <w:tab/>
            </w:r>
            <w:r w:rsidR="001247BB" w:rsidRPr="009927A5">
              <w:rPr>
                <w:rStyle w:val="Hyperlink"/>
                <w:noProof/>
              </w:rPr>
              <w:t>What is a regional growth plan?</w:t>
            </w:r>
            <w:r w:rsidR="001247BB">
              <w:rPr>
                <w:noProof/>
                <w:webHidden/>
              </w:rPr>
              <w:tab/>
            </w:r>
            <w:r>
              <w:rPr>
                <w:noProof/>
                <w:webHidden/>
              </w:rPr>
              <w:fldChar w:fldCharType="begin"/>
            </w:r>
            <w:r w:rsidR="001247BB">
              <w:rPr>
                <w:noProof/>
                <w:webHidden/>
              </w:rPr>
              <w:instrText xml:space="preserve"> PAGEREF _Toc377031440 \h </w:instrText>
            </w:r>
            <w:r>
              <w:rPr>
                <w:noProof/>
                <w:webHidden/>
              </w:rPr>
            </w:r>
            <w:r>
              <w:rPr>
                <w:noProof/>
                <w:webHidden/>
              </w:rPr>
              <w:fldChar w:fldCharType="separate"/>
            </w:r>
            <w:r w:rsidR="00E47BE0">
              <w:rPr>
                <w:noProof/>
                <w:webHidden/>
              </w:rPr>
              <w:t>1</w:t>
            </w:r>
            <w:r>
              <w:rPr>
                <w:noProof/>
                <w:webHidden/>
              </w:rPr>
              <w:fldChar w:fldCharType="end"/>
            </w:r>
          </w:hyperlink>
        </w:p>
        <w:p w:rsidR="001247BB" w:rsidRDefault="003F4484">
          <w:pPr>
            <w:pStyle w:val="TOC1"/>
            <w:rPr>
              <w:noProof/>
              <w:lang w:val="en-AU" w:eastAsia="en-AU"/>
            </w:rPr>
          </w:pPr>
          <w:hyperlink w:anchor="_Toc377031441" w:history="1">
            <w:r w:rsidR="001247BB" w:rsidRPr="009927A5">
              <w:rPr>
                <w:rStyle w:val="Hyperlink"/>
                <w:noProof/>
              </w:rPr>
              <w:t>2.</w:t>
            </w:r>
            <w:r w:rsidR="001247BB">
              <w:rPr>
                <w:noProof/>
                <w:lang w:val="en-AU" w:eastAsia="en-AU"/>
              </w:rPr>
              <w:tab/>
            </w:r>
            <w:r w:rsidR="001247BB" w:rsidRPr="009927A5">
              <w:rPr>
                <w:rStyle w:val="Hyperlink"/>
                <w:noProof/>
              </w:rPr>
              <w:t>Why we need this plan</w:t>
            </w:r>
            <w:r w:rsidR="001247BB">
              <w:rPr>
                <w:noProof/>
                <w:webHidden/>
              </w:rPr>
              <w:tab/>
            </w:r>
            <w:r>
              <w:rPr>
                <w:noProof/>
                <w:webHidden/>
              </w:rPr>
              <w:fldChar w:fldCharType="begin"/>
            </w:r>
            <w:r w:rsidR="001247BB">
              <w:rPr>
                <w:noProof/>
                <w:webHidden/>
              </w:rPr>
              <w:instrText xml:space="preserve"> PAGEREF _Toc377031441 \h </w:instrText>
            </w:r>
            <w:r>
              <w:rPr>
                <w:noProof/>
                <w:webHidden/>
              </w:rPr>
            </w:r>
            <w:r>
              <w:rPr>
                <w:noProof/>
                <w:webHidden/>
              </w:rPr>
              <w:fldChar w:fldCharType="separate"/>
            </w:r>
            <w:r w:rsidR="00E47BE0">
              <w:rPr>
                <w:noProof/>
                <w:webHidden/>
              </w:rPr>
              <w:t>1</w:t>
            </w:r>
            <w:r>
              <w:rPr>
                <w:noProof/>
                <w:webHidden/>
              </w:rPr>
              <w:fldChar w:fldCharType="end"/>
            </w:r>
          </w:hyperlink>
        </w:p>
        <w:p w:rsidR="001247BB" w:rsidRDefault="003F4484">
          <w:pPr>
            <w:pStyle w:val="TOC1"/>
            <w:rPr>
              <w:noProof/>
              <w:lang w:val="en-AU" w:eastAsia="en-AU"/>
            </w:rPr>
          </w:pPr>
          <w:hyperlink w:anchor="_Toc377031442" w:history="1">
            <w:r w:rsidR="001247BB" w:rsidRPr="009927A5">
              <w:rPr>
                <w:rStyle w:val="Hyperlink"/>
                <w:noProof/>
              </w:rPr>
              <w:t>3.</w:t>
            </w:r>
            <w:r w:rsidR="001247BB">
              <w:rPr>
                <w:noProof/>
                <w:lang w:val="en-AU" w:eastAsia="en-AU"/>
              </w:rPr>
              <w:tab/>
            </w:r>
            <w:r w:rsidR="001247BB" w:rsidRPr="009927A5">
              <w:rPr>
                <w:rStyle w:val="Hyperlink"/>
                <w:noProof/>
              </w:rPr>
              <w:t>How this plan will be used</w:t>
            </w:r>
            <w:r w:rsidR="001247BB">
              <w:rPr>
                <w:noProof/>
                <w:webHidden/>
              </w:rPr>
              <w:tab/>
            </w:r>
            <w:r>
              <w:rPr>
                <w:noProof/>
                <w:webHidden/>
              </w:rPr>
              <w:fldChar w:fldCharType="begin"/>
            </w:r>
            <w:r w:rsidR="001247BB">
              <w:rPr>
                <w:noProof/>
                <w:webHidden/>
              </w:rPr>
              <w:instrText xml:space="preserve"> PAGEREF _Toc377031442 \h </w:instrText>
            </w:r>
            <w:r>
              <w:rPr>
                <w:noProof/>
                <w:webHidden/>
              </w:rPr>
            </w:r>
            <w:r>
              <w:rPr>
                <w:noProof/>
                <w:webHidden/>
              </w:rPr>
              <w:fldChar w:fldCharType="separate"/>
            </w:r>
            <w:r w:rsidR="00E47BE0">
              <w:rPr>
                <w:noProof/>
                <w:webHidden/>
              </w:rPr>
              <w:t>2</w:t>
            </w:r>
            <w:r>
              <w:rPr>
                <w:noProof/>
                <w:webHidden/>
              </w:rPr>
              <w:fldChar w:fldCharType="end"/>
            </w:r>
          </w:hyperlink>
        </w:p>
        <w:p w:rsidR="001247BB" w:rsidRDefault="003F4484">
          <w:pPr>
            <w:pStyle w:val="TOC1"/>
            <w:rPr>
              <w:noProof/>
              <w:lang w:val="en-AU" w:eastAsia="en-AU"/>
            </w:rPr>
          </w:pPr>
          <w:hyperlink w:anchor="_Toc377031443" w:history="1">
            <w:r w:rsidR="001247BB" w:rsidRPr="009927A5">
              <w:rPr>
                <w:rStyle w:val="Hyperlink"/>
                <w:noProof/>
              </w:rPr>
              <w:t>4.</w:t>
            </w:r>
            <w:r w:rsidR="001247BB">
              <w:rPr>
                <w:noProof/>
                <w:lang w:val="en-AU" w:eastAsia="en-AU"/>
              </w:rPr>
              <w:tab/>
            </w:r>
            <w:r w:rsidR="001247BB" w:rsidRPr="009927A5">
              <w:rPr>
                <w:rStyle w:val="Hyperlink"/>
                <w:noProof/>
              </w:rPr>
              <w:t>How the plan was prepared</w:t>
            </w:r>
            <w:r w:rsidR="001247BB">
              <w:rPr>
                <w:noProof/>
                <w:webHidden/>
              </w:rPr>
              <w:tab/>
            </w:r>
            <w:r>
              <w:rPr>
                <w:noProof/>
                <w:webHidden/>
              </w:rPr>
              <w:fldChar w:fldCharType="begin"/>
            </w:r>
            <w:r w:rsidR="001247BB">
              <w:rPr>
                <w:noProof/>
                <w:webHidden/>
              </w:rPr>
              <w:instrText xml:space="preserve"> PAGEREF _Toc377031443 \h </w:instrText>
            </w:r>
            <w:r>
              <w:rPr>
                <w:noProof/>
                <w:webHidden/>
              </w:rPr>
            </w:r>
            <w:r>
              <w:rPr>
                <w:noProof/>
                <w:webHidden/>
              </w:rPr>
              <w:fldChar w:fldCharType="separate"/>
            </w:r>
            <w:r w:rsidR="00E47BE0">
              <w:rPr>
                <w:noProof/>
                <w:webHidden/>
              </w:rPr>
              <w:t>2</w:t>
            </w:r>
            <w:r>
              <w:rPr>
                <w:noProof/>
                <w:webHidden/>
              </w:rPr>
              <w:fldChar w:fldCharType="end"/>
            </w:r>
          </w:hyperlink>
        </w:p>
        <w:p w:rsidR="001247BB" w:rsidRDefault="003F4484">
          <w:pPr>
            <w:pStyle w:val="TOC1"/>
            <w:rPr>
              <w:noProof/>
              <w:lang w:val="en-AU" w:eastAsia="en-AU"/>
            </w:rPr>
          </w:pPr>
          <w:hyperlink w:anchor="_Toc377031444" w:history="1">
            <w:r w:rsidR="001247BB" w:rsidRPr="009927A5">
              <w:rPr>
                <w:rStyle w:val="Hyperlink"/>
                <w:noProof/>
              </w:rPr>
              <w:t>5.</w:t>
            </w:r>
            <w:r w:rsidR="001247BB">
              <w:rPr>
                <w:noProof/>
                <w:lang w:val="en-AU" w:eastAsia="en-AU"/>
              </w:rPr>
              <w:tab/>
            </w:r>
            <w:r w:rsidR="001247BB" w:rsidRPr="009927A5">
              <w:rPr>
                <w:rStyle w:val="Hyperlink"/>
                <w:noProof/>
              </w:rPr>
              <w:t>Components of this plan</w:t>
            </w:r>
            <w:r w:rsidR="001247BB">
              <w:rPr>
                <w:noProof/>
                <w:webHidden/>
              </w:rPr>
              <w:tab/>
            </w:r>
            <w:r>
              <w:rPr>
                <w:noProof/>
                <w:webHidden/>
              </w:rPr>
              <w:fldChar w:fldCharType="begin"/>
            </w:r>
            <w:r w:rsidR="001247BB">
              <w:rPr>
                <w:noProof/>
                <w:webHidden/>
              </w:rPr>
              <w:instrText xml:space="preserve"> PAGEREF _Toc377031444 \h </w:instrText>
            </w:r>
            <w:r>
              <w:rPr>
                <w:noProof/>
                <w:webHidden/>
              </w:rPr>
            </w:r>
            <w:r>
              <w:rPr>
                <w:noProof/>
                <w:webHidden/>
              </w:rPr>
              <w:fldChar w:fldCharType="separate"/>
            </w:r>
            <w:r w:rsidR="00E47BE0">
              <w:rPr>
                <w:noProof/>
                <w:webHidden/>
              </w:rPr>
              <w:t>3</w:t>
            </w:r>
            <w:r>
              <w:rPr>
                <w:noProof/>
                <w:webHidden/>
              </w:rPr>
              <w:fldChar w:fldCharType="end"/>
            </w:r>
          </w:hyperlink>
        </w:p>
        <w:p w:rsidR="001247BB" w:rsidRDefault="003F4484">
          <w:pPr>
            <w:pStyle w:val="TOC1"/>
            <w:rPr>
              <w:noProof/>
              <w:lang w:val="en-AU" w:eastAsia="en-AU"/>
            </w:rPr>
          </w:pPr>
          <w:hyperlink w:anchor="_Toc377031445" w:history="1">
            <w:r w:rsidR="001247BB" w:rsidRPr="009927A5">
              <w:rPr>
                <w:rStyle w:val="Hyperlink"/>
                <w:noProof/>
              </w:rPr>
              <w:t>PART B:</w:t>
            </w:r>
            <w:r w:rsidR="001247BB">
              <w:rPr>
                <w:noProof/>
                <w:lang w:val="en-AU" w:eastAsia="en-AU"/>
              </w:rPr>
              <w:tab/>
            </w:r>
            <w:r w:rsidR="001247BB" w:rsidRPr="009927A5">
              <w:rPr>
                <w:rStyle w:val="Hyperlink"/>
                <w:noProof/>
              </w:rPr>
              <w:t>REGIONAL OVERVIEW</w:t>
            </w:r>
            <w:r w:rsidR="001247BB">
              <w:rPr>
                <w:noProof/>
                <w:webHidden/>
              </w:rPr>
              <w:tab/>
            </w:r>
            <w:r>
              <w:rPr>
                <w:noProof/>
                <w:webHidden/>
              </w:rPr>
              <w:fldChar w:fldCharType="begin"/>
            </w:r>
            <w:r w:rsidR="001247BB">
              <w:rPr>
                <w:noProof/>
                <w:webHidden/>
              </w:rPr>
              <w:instrText xml:space="preserve"> PAGEREF _Toc377031445 \h </w:instrText>
            </w:r>
            <w:r>
              <w:rPr>
                <w:noProof/>
                <w:webHidden/>
              </w:rPr>
            </w:r>
            <w:r>
              <w:rPr>
                <w:noProof/>
                <w:webHidden/>
              </w:rPr>
              <w:fldChar w:fldCharType="separate"/>
            </w:r>
            <w:r w:rsidR="00E47BE0">
              <w:rPr>
                <w:noProof/>
                <w:webHidden/>
              </w:rPr>
              <w:t>4</w:t>
            </w:r>
            <w:r>
              <w:rPr>
                <w:noProof/>
                <w:webHidden/>
              </w:rPr>
              <w:fldChar w:fldCharType="end"/>
            </w:r>
          </w:hyperlink>
        </w:p>
        <w:p w:rsidR="001247BB" w:rsidRDefault="003F4484">
          <w:pPr>
            <w:pStyle w:val="TOC1"/>
            <w:rPr>
              <w:noProof/>
              <w:lang w:val="en-AU" w:eastAsia="en-AU"/>
            </w:rPr>
          </w:pPr>
          <w:hyperlink w:anchor="_Toc377031446" w:history="1">
            <w:r w:rsidR="001247BB" w:rsidRPr="009927A5">
              <w:rPr>
                <w:rStyle w:val="Hyperlink"/>
                <w:noProof/>
              </w:rPr>
              <w:t>6.</w:t>
            </w:r>
            <w:r w:rsidR="001247BB">
              <w:rPr>
                <w:noProof/>
                <w:lang w:val="en-AU" w:eastAsia="en-AU"/>
              </w:rPr>
              <w:tab/>
            </w:r>
            <w:r w:rsidR="001247BB" w:rsidRPr="009927A5">
              <w:rPr>
                <w:rStyle w:val="Hyperlink"/>
                <w:noProof/>
              </w:rPr>
              <w:t>Snapshot of the region</w:t>
            </w:r>
            <w:r w:rsidR="001247BB">
              <w:rPr>
                <w:noProof/>
                <w:webHidden/>
              </w:rPr>
              <w:tab/>
            </w:r>
            <w:r>
              <w:rPr>
                <w:noProof/>
                <w:webHidden/>
              </w:rPr>
              <w:fldChar w:fldCharType="begin"/>
            </w:r>
            <w:r w:rsidR="001247BB">
              <w:rPr>
                <w:noProof/>
                <w:webHidden/>
              </w:rPr>
              <w:instrText xml:space="preserve"> PAGEREF _Toc377031446 \h </w:instrText>
            </w:r>
            <w:r>
              <w:rPr>
                <w:noProof/>
                <w:webHidden/>
              </w:rPr>
            </w:r>
            <w:r>
              <w:rPr>
                <w:noProof/>
                <w:webHidden/>
              </w:rPr>
              <w:fldChar w:fldCharType="separate"/>
            </w:r>
            <w:r w:rsidR="00E47BE0">
              <w:rPr>
                <w:noProof/>
                <w:webHidden/>
              </w:rPr>
              <w:t>4</w:t>
            </w:r>
            <w:r>
              <w:rPr>
                <w:noProof/>
                <w:webHidden/>
              </w:rPr>
              <w:fldChar w:fldCharType="end"/>
            </w:r>
          </w:hyperlink>
        </w:p>
        <w:p w:rsidR="001247BB" w:rsidRDefault="003F4484">
          <w:pPr>
            <w:pStyle w:val="TOC1"/>
            <w:rPr>
              <w:noProof/>
              <w:lang w:val="en-AU" w:eastAsia="en-AU"/>
            </w:rPr>
          </w:pPr>
          <w:hyperlink w:anchor="_Toc377031448" w:history="1">
            <w:r w:rsidR="001247BB" w:rsidRPr="009927A5">
              <w:rPr>
                <w:rStyle w:val="Hyperlink"/>
                <w:noProof/>
              </w:rPr>
              <w:t>7.</w:t>
            </w:r>
            <w:r w:rsidR="001247BB">
              <w:rPr>
                <w:noProof/>
                <w:lang w:val="en-AU" w:eastAsia="en-AU"/>
              </w:rPr>
              <w:tab/>
            </w:r>
            <w:r w:rsidR="001247BB" w:rsidRPr="009927A5">
              <w:rPr>
                <w:rStyle w:val="Hyperlink"/>
                <w:noProof/>
              </w:rPr>
              <w:t>Drivers of change</w:t>
            </w:r>
            <w:r w:rsidR="001247BB">
              <w:rPr>
                <w:noProof/>
                <w:webHidden/>
              </w:rPr>
              <w:tab/>
            </w:r>
            <w:r>
              <w:rPr>
                <w:noProof/>
                <w:webHidden/>
              </w:rPr>
              <w:fldChar w:fldCharType="begin"/>
            </w:r>
            <w:r w:rsidR="001247BB">
              <w:rPr>
                <w:noProof/>
                <w:webHidden/>
              </w:rPr>
              <w:instrText xml:space="preserve"> PAGEREF _Toc377031448 \h </w:instrText>
            </w:r>
            <w:r>
              <w:rPr>
                <w:noProof/>
                <w:webHidden/>
              </w:rPr>
            </w:r>
            <w:r>
              <w:rPr>
                <w:noProof/>
                <w:webHidden/>
              </w:rPr>
              <w:fldChar w:fldCharType="separate"/>
            </w:r>
            <w:r w:rsidR="00E47BE0">
              <w:rPr>
                <w:noProof/>
                <w:webHidden/>
              </w:rPr>
              <w:t>9</w:t>
            </w:r>
            <w:r>
              <w:rPr>
                <w:noProof/>
                <w:webHidden/>
              </w:rPr>
              <w:fldChar w:fldCharType="end"/>
            </w:r>
          </w:hyperlink>
        </w:p>
        <w:p w:rsidR="001247BB" w:rsidRDefault="003F4484">
          <w:pPr>
            <w:pStyle w:val="TOC1"/>
            <w:rPr>
              <w:noProof/>
              <w:lang w:val="en-AU" w:eastAsia="en-AU"/>
            </w:rPr>
          </w:pPr>
          <w:hyperlink w:anchor="_Toc377031449" w:history="1">
            <w:r w:rsidR="001247BB" w:rsidRPr="009927A5">
              <w:rPr>
                <w:rStyle w:val="Hyperlink"/>
                <w:noProof/>
              </w:rPr>
              <w:t>8.</w:t>
            </w:r>
            <w:r w:rsidR="001247BB">
              <w:rPr>
                <w:noProof/>
                <w:lang w:val="en-AU" w:eastAsia="en-AU"/>
              </w:rPr>
              <w:tab/>
            </w:r>
            <w:r w:rsidR="001247BB" w:rsidRPr="009927A5">
              <w:rPr>
                <w:rStyle w:val="Hyperlink"/>
                <w:noProof/>
              </w:rPr>
              <w:t>Challenges for growth</w:t>
            </w:r>
            <w:r w:rsidR="001247BB">
              <w:rPr>
                <w:noProof/>
                <w:webHidden/>
              </w:rPr>
              <w:tab/>
            </w:r>
            <w:r>
              <w:rPr>
                <w:noProof/>
                <w:webHidden/>
              </w:rPr>
              <w:fldChar w:fldCharType="begin"/>
            </w:r>
            <w:r w:rsidR="001247BB">
              <w:rPr>
                <w:noProof/>
                <w:webHidden/>
              </w:rPr>
              <w:instrText xml:space="preserve"> PAGEREF _Toc377031449 \h </w:instrText>
            </w:r>
            <w:r>
              <w:rPr>
                <w:noProof/>
                <w:webHidden/>
              </w:rPr>
            </w:r>
            <w:r>
              <w:rPr>
                <w:noProof/>
                <w:webHidden/>
              </w:rPr>
              <w:fldChar w:fldCharType="separate"/>
            </w:r>
            <w:r w:rsidR="00E47BE0">
              <w:rPr>
                <w:noProof/>
                <w:webHidden/>
              </w:rPr>
              <w:t>9</w:t>
            </w:r>
            <w:r>
              <w:rPr>
                <w:noProof/>
                <w:webHidden/>
              </w:rPr>
              <w:fldChar w:fldCharType="end"/>
            </w:r>
          </w:hyperlink>
        </w:p>
        <w:p w:rsidR="001247BB" w:rsidRDefault="003F4484">
          <w:pPr>
            <w:pStyle w:val="TOC1"/>
            <w:rPr>
              <w:noProof/>
              <w:lang w:val="en-AU" w:eastAsia="en-AU"/>
            </w:rPr>
          </w:pPr>
          <w:hyperlink w:anchor="_Toc377031450" w:history="1">
            <w:r w:rsidR="001247BB" w:rsidRPr="009927A5">
              <w:rPr>
                <w:rStyle w:val="Hyperlink"/>
                <w:noProof/>
              </w:rPr>
              <w:t>9.</w:t>
            </w:r>
            <w:r w:rsidR="001247BB">
              <w:rPr>
                <w:noProof/>
                <w:lang w:val="en-AU" w:eastAsia="en-AU"/>
              </w:rPr>
              <w:tab/>
            </w:r>
            <w:r w:rsidR="001247BB" w:rsidRPr="009927A5">
              <w:rPr>
                <w:rStyle w:val="Hyperlink"/>
                <w:noProof/>
              </w:rPr>
              <w:t>Vision for the region</w:t>
            </w:r>
            <w:r w:rsidR="001247BB">
              <w:rPr>
                <w:noProof/>
                <w:webHidden/>
              </w:rPr>
              <w:tab/>
            </w:r>
            <w:r>
              <w:rPr>
                <w:noProof/>
                <w:webHidden/>
              </w:rPr>
              <w:fldChar w:fldCharType="begin"/>
            </w:r>
            <w:r w:rsidR="001247BB">
              <w:rPr>
                <w:noProof/>
                <w:webHidden/>
              </w:rPr>
              <w:instrText xml:space="preserve"> PAGEREF _Toc377031450 \h </w:instrText>
            </w:r>
            <w:r>
              <w:rPr>
                <w:noProof/>
                <w:webHidden/>
              </w:rPr>
            </w:r>
            <w:r>
              <w:rPr>
                <w:noProof/>
                <w:webHidden/>
              </w:rPr>
              <w:fldChar w:fldCharType="separate"/>
            </w:r>
            <w:r w:rsidR="00E47BE0">
              <w:rPr>
                <w:noProof/>
                <w:webHidden/>
              </w:rPr>
              <w:t>10</w:t>
            </w:r>
            <w:r>
              <w:rPr>
                <w:noProof/>
                <w:webHidden/>
              </w:rPr>
              <w:fldChar w:fldCharType="end"/>
            </w:r>
          </w:hyperlink>
        </w:p>
        <w:p w:rsidR="001247BB" w:rsidRDefault="003F4484">
          <w:pPr>
            <w:pStyle w:val="TOC1"/>
            <w:rPr>
              <w:noProof/>
              <w:lang w:val="en-AU" w:eastAsia="en-AU"/>
            </w:rPr>
          </w:pPr>
          <w:hyperlink w:anchor="_Toc377031451" w:history="1">
            <w:r w:rsidR="001247BB" w:rsidRPr="009927A5">
              <w:rPr>
                <w:rStyle w:val="Hyperlink"/>
                <w:noProof/>
              </w:rPr>
              <w:t>10.</w:t>
            </w:r>
            <w:r w:rsidR="001247BB">
              <w:rPr>
                <w:noProof/>
                <w:lang w:val="en-AU" w:eastAsia="en-AU"/>
              </w:rPr>
              <w:tab/>
            </w:r>
            <w:r w:rsidR="001247BB" w:rsidRPr="009927A5">
              <w:rPr>
                <w:rStyle w:val="Hyperlink"/>
                <w:noProof/>
              </w:rPr>
              <w:t>Principles to achieve the vision</w:t>
            </w:r>
            <w:r w:rsidR="001247BB">
              <w:rPr>
                <w:noProof/>
                <w:webHidden/>
              </w:rPr>
              <w:tab/>
            </w:r>
            <w:r>
              <w:rPr>
                <w:noProof/>
                <w:webHidden/>
              </w:rPr>
              <w:fldChar w:fldCharType="begin"/>
            </w:r>
            <w:r w:rsidR="001247BB">
              <w:rPr>
                <w:noProof/>
                <w:webHidden/>
              </w:rPr>
              <w:instrText xml:space="preserve"> PAGEREF _Toc377031451 \h </w:instrText>
            </w:r>
            <w:r>
              <w:rPr>
                <w:noProof/>
                <w:webHidden/>
              </w:rPr>
            </w:r>
            <w:r>
              <w:rPr>
                <w:noProof/>
                <w:webHidden/>
              </w:rPr>
              <w:fldChar w:fldCharType="separate"/>
            </w:r>
            <w:r w:rsidR="00E47BE0">
              <w:rPr>
                <w:noProof/>
                <w:webHidden/>
              </w:rPr>
              <w:t>10</w:t>
            </w:r>
            <w:r>
              <w:rPr>
                <w:noProof/>
                <w:webHidden/>
              </w:rPr>
              <w:fldChar w:fldCharType="end"/>
            </w:r>
          </w:hyperlink>
        </w:p>
        <w:p w:rsidR="001247BB" w:rsidRDefault="003F4484">
          <w:pPr>
            <w:pStyle w:val="TOC1"/>
            <w:rPr>
              <w:noProof/>
              <w:lang w:val="en-AU" w:eastAsia="en-AU"/>
            </w:rPr>
          </w:pPr>
          <w:hyperlink w:anchor="_Toc377031452" w:history="1">
            <w:r w:rsidR="001247BB" w:rsidRPr="009927A5">
              <w:rPr>
                <w:rStyle w:val="Hyperlink"/>
                <w:noProof/>
              </w:rPr>
              <w:t>PART C:</w:t>
            </w:r>
            <w:r w:rsidR="001247BB">
              <w:rPr>
                <w:noProof/>
                <w:lang w:val="en-AU" w:eastAsia="en-AU"/>
              </w:rPr>
              <w:tab/>
            </w:r>
            <w:r w:rsidR="001247BB" w:rsidRPr="009927A5">
              <w:rPr>
                <w:rStyle w:val="Hyperlink"/>
                <w:noProof/>
              </w:rPr>
              <w:t>TOWARDS THE REGIONAL GROWTH PLAN –REGIONAL LAND USE FRAMEWORK</w:t>
            </w:r>
            <w:r w:rsidR="001247BB">
              <w:rPr>
                <w:noProof/>
                <w:webHidden/>
              </w:rPr>
              <w:tab/>
            </w:r>
            <w:r>
              <w:rPr>
                <w:noProof/>
                <w:webHidden/>
              </w:rPr>
              <w:fldChar w:fldCharType="begin"/>
            </w:r>
            <w:r w:rsidR="001247BB">
              <w:rPr>
                <w:noProof/>
                <w:webHidden/>
              </w:rPr>
              <w:instrText xml:space="preserve"> PAGEREF _Toc377031452 \h </w:instrText>
            </w:r>
            <w:r>
              <w:rPr>
                <w:noProof/>
                <w:webHidden/>
              </w:rPr>
            </w:r>
            <w:r>
              <w:rPr>
                <w:noProof/>
                <w:webHidden/>
              </w:rPr>
              <w:fldChar w:fldCharType="separate"/>
            </w:r>
            <w:r w:rsidR="00E47BE0">
              <w:rPr>
                <w:noProof/>
                <w:webHidden/>
              </w:rPr>
              <w:t>13</w:t>
            </w:r>
            <w:r>
              <w:rPr>
                <w:noProof/>
                <w:webHidden/>
              </w:rPr>
              <w:fldChar w:fldCharType="end"/>
            </w:r>
          </w:hyperlink>
        </w:p>
        <w:p w:rsidR="001247BB" w:rsidRDefault="003F4484">
          <w:pPr>
            <w:pStyle w:val="TOC1"/>
            <w:rPr>
              <w:noProof/>
              <w:lang w:val="en-AU" w:eastAsia="en-AU"/>
            </w:rPr>
          </w:pPr>
          <w:hyperlink w:anchor="_Toc377031453" w:history="1">
            <w:r w:rsidR="001247BB" w:rsidRPr="009927A5">
              <w:rPr>
                <w:rStyle w:val="Hyperlink"/>
                <w:noProof/>
              </w:rPr>
              <w:t>11.</w:t>
            </w:r>
            <w:r w:rsidR="001247BB">
              <w:rPr>
                <w:noProof/>
                <w:lang w:val="en-AU" w:eastAsia="en-AU"/>
              </w:rPr>
              <w:tab/>
            </w:r>
            <w:r w:rsidR="001247BB" w:rsidRPr="009927A5">
              <w:rPr>
                <w:rStyle w:val="Hyperlink"/>
                <w:noProof/>
              </w:rPr>
              <w:t>Regional economy</w:t>
            </w:r>
            <w:r w:rsidR="001247BB">
              <w:rPr>
                <w:noProof/>
                <w:webHidden/>
              </w:rPr>
              <w:tab/>
            </w:r>
            <w:r>
              <w:rPr>
                <w:noProof/>
                <w:webHidden/>
              </w:rPr>
              <w:fldChar w:fldCharType="begin"/>
            </w:r>
            <w:r w:rsidR="001247BB">
              <w:rPr>
                <w:noProof/>
                <w:webHidden/>
              </w:rPr>
              <w:instrText xml:space="preserve"> PAGEREF _Toc377031453 \h </w:instrText>
            </w:r>
            <w:r>
              <w:rPr>
                <w:noProof/>
                <w:webHidden/>
              </w:rPr>
            </w:r>
            <w:r>
              <w:rPr>
                <w:noProof/>
                <w:webHidden/>
              </w:rPr>
              <w:fldChar w:fldCharType="separate"/>
            </w:r>
            <w:r w:rsidR="00E47BE0">
              <w:rPr>
                <w:noProof/>
                <w:webHidden/>
              </w:rPr>
              <w:t>13</w:t>
            </w:r>
            <w:r>
              <w:rPr>
                <w:noProof/>
                <w:webHidden/>
              </w:rPr>
              <w:fldChar w:fldCharType="end"/>
            </w:r>
          </w:hyperlink>
        </w:p>
        <w:p w:rsidR="001247BB" w:rsidRDefault="003F4484">
          <w:pPr>
            <w:pStyle w:val="TOC2"/>
            <w:rPr>
              <w:noProof/>
              <w:lang w:val="en-AU" w:eastAsia="en-AU"/>
            </w:rPr>
          </w:pPr>
          <w:hyperlink w:anchor="_Toc377031454" w:history="1">
            <w:r w:rsidR="001247BB" w:rsidRPr="009927A5">
              <w:rPr>
                <w:rStyle w:val="Hyperlink"/>
                <w:noProof/>
                <w:lang w:val="en-AU"/>
              </w:rPr>
              <w:t>11.1</w:t>
            </w:r>
            <w:r w:rsidR="001247BB">
              <w:rPr>
                <w:noProof/>
                <w:lang w:val="en-AU" w:eastAsia="en-AU"/>
              </w:rPr>
              <w:tab/>
            </w:r>
            <w:r w:rsidR="001247BB" w:rsidRPr="009927A5">
              <w:rPr>
                <w:rStyle w:val="Hyperlink"/>
                <w:noProof/>
                <w:lang w:val="en-AU"/>
              </w:rPr>
              <w:t>Building on economic strengths</w:t>
            </w:r>
            <w:r w:rsidR="001247BB">
              <w:rPr>
                <w:noProof/>
                <w:webHidden/>
              </w:rPr>
              <w:tab/>
            </w:r>
            <w:r>
              <w:rPr>
                <w:noProof/>
                <w:webHidden/>
              </w:rPr>
              <w:fldChar w:fldCharType="begin"/>
            </w:r>
            <w:r w:rsidR="001247BB">
              <w:rPr>
                <w:noProof/>
                <w:webHidden/>
              </w:rPr>
              <w:instrText xml:space="preserve"> PAGEREF _Toc377031454 \h </w:instrText>
            </w:r>
            <w:r>
              <w:rPr>
                <w:noProof/>
                <w:webHidden/>
              </w:rPr>
            </w:r>
            <w:r>
              <w:rPr>
                <w:noProof/>
                <w:webHidden/>
              </w:rPr>
              <w:fldChar w:fldCharType="separate"/>
            </w:r>
            <w:r w:rsidR="00E47BE0">
              <w:rPr>
                <w:noProof/>
                <w:webHidden/>
              </w:rPr>
              <w:t>14</w:t>
            </w:r>
            <w:r>
              <w:rPr>
                <w:noProof/>
                <w:webHidden/>
              </w:rPr>
              <w:fldChar w:fldCharType="end"/>
            </w:r>
          </w:hyperlink>
        </w:p>
        <w:p w:rsidR="001247BB" w:rsidRDefault="003F4484">
          <w:pPr>
            <w:pStyle w:val="TOC2"/>
            <w:rPr>
              <w:noProof/>
              <w:lang w:val="en-AU" w:eastAsia="en-AU"/>
            </w:rPr>
          </w:pPr>
          <w:hyperlink w:anchor="_Toc377031455" w:history="1">
            <w:r w:rsidR="001247BB" w:rsidRPr="009927A5">
              <w:rPr>
                <w:rStyle w:val="Hyperlink"/>
                <w:noProof/>
                <w:lang w:val="en-AU"/>
              </w:rPr>
              <w:t>11.2</w:t>
            </w:r>
            <w:r w:rsidR="001247BB">
              <w:rPr>
                <w:noProof/>
                <w:lang w:val="en-AU" w:eastAsia="en-AU"/>
              </w:rPr>
              <w:tab/>
            </w:r>
            <w:r w:rsidR="001247BB" w:rsidRPr="009927A5">
              <w:rPr>
                <w:rStyle w:val="Hyperlink"/>
                <w:noProof/>
                <w:lang w:val="en-AU"/>
              </w:rPr>
              <w:t>Agriculture</w:t>
            </w:r>
            <w:r w:rsidR="001247BB">
              <w:rPr>
                <w:noProof/>
                <w:webHidden/>
              </w:rPr>
              <w:tab/>
            </w:r>
            <w:r>
              <w:rPr>
                <w:noProof/>
                <w:webHidden/>
              </w:rPr>
              <w:fldChar w:fldCharType="begin"/>
            </w:r>
            <w:r w:rsidR="001247BB">
              <w:rPr>
                <w:noProof/>
                <w:webHidden/>
              </w:rPr>
              <w:instrText xml:space="preserve"> PAGEREF _Toc377031455 \h </w:instrText>
            </w:r>
            <w:r>
              <w:rPr>
                <w:noProof/>
                <w:webHidden/>
              </w:rPr>
            </w:r>
            <w:r>
              <w:rPr>
                <w:noProof/>
                <w:webHidden/>
              </w:rPr>
              <w:fldChar w:fldCharType="separate"/>
            </w:r>
            <w:r w:rsidR="00E47BE0">
              <w:rPr>
                <w:noProof/>
                <w:webHidden/>
              </w:rPr>
              <w:t>16</w:t>
            </w:r>
            <w:r>
              <w:rPr>
                <w:noProof/>
                <w:webHidden/>
              </w:rPr>
              <w:fldChar w:fldCharType="end"/>
            </w:r>
          </w:hyperlink>
        </w:p>
        <w:p w:rsidR="001247BB" w:rsidRDefault="003F4484">
          <w:pPr>
            <w:pStyle w:val="TOC1"/>
            <w:rPr>
              <w:noProof/>
              <w:lang w:val="en-AU" w:eastAsia="en-AU"/>
            </w:rPr>
          </w:pPr>
          <w:hyperlink w:anchor="_Toc377031456" w:history="1">
            <w:r w:rsidR="001247BB" w:rsidRPr="009927A5">
              <w:rPr>
                <w:rStyle w:val="Hyperlink"/>
                <w:noProof/>
              </w:rPr>
              <w:t>12.</w:t>
            </w:r>
            <w:r w:rsidR="001247BB">
              <w:rPr>
                <w:noProof/>
                <w:lang w:val="en-AU" w:eastAsia="en-AU"/>
              </w:rPr>
              <w:tab/>
            </w:r>
            <w:r w:rsidR="001247BB" w:rsidRPr="009927A5">
              <w:rPr>
                <w:rStyle w:val="Hyperlink"/>
                <w:noProof/>
              </w:rPr>
              <w:t>Environment and heritage</w:t>
            </w:r>
            <w:r w:rsidR="001247BB">
              <w:rPr>
                <w:noProof/>
                <w:webHidden/>
              </w:rPr>
              <w:tab/>
            </w:r>
            <w:r>
              <w:rPr>
                <w:noProof/>
                <w:webHidden/>
              </w:rPr>
              <w:fldChar w:fldCharType="begin"/>
            </w:r>
            <w:r w:rsidR="001247BB">
              <w:rPr>
                <w:noProof/>
                <w:webHidden/>
              </w:rPr>
              <w:instrText xml:space="preserve"> PAGEREF _Toc377031456 \h </w:instrText>
            </w:r>
            <w:r>
              <w:rPr>
                <w:noProof/>
                <w:webHidden/>
              </w:rPr>
            </w:r>
            <w:r>
              <w:rPr>
                <w:noProof/>
                <w:webHidden/>
              </w:rPr>
              <w:fldChar w:fldCharType="separate"/>
            </w:r>
            <w:r w:rsidR="00E47BE0">
              <w:rPr>
                <w:noProof/>
                <w:webHidden/>
              </w:rPr>
              <w:t>18</w:t>
            </w:r>
            <w:r>
              <w:rPr>
                <w:noProof/>
                <w:webHidden/>
              </w:rPr>
              <w:fldChar w:fldCharType="end"/>
            </w:r>
          </w:hyperlink>
        </w:p>
        <w:p w:rsidR="001247BB" w:rsidRDefault="003F4484">
          <w:pPr>
            <w:pStyle w:val="TOC2"/>
            <w:rPr>
              <w:noProof/>
              <w:lang w:val="en-AU" w:eastAsia="en-AU"/>
            </w:rPr>
          </w:pPr>
          <w:hyperlink w:anchor="_Toc377031457" w:history="1">
            <w:r w:rsidR="001247BB" w:rsidRPr="009927A5">
              <w:rPr>
                <w:rStyle w:val="Hyperlink"/>
                <w:noProof/>
                <w:lang w:val="en-AU"/>
              </w:rPr>
              <w:t>12.1</w:t>
            </w:r>
            <w:r w:rsidR="001247BB">
              <w:rPr>
                <w:noProof/>
                <w:lang w:val="en-AU" w:eastAsia="en-AU"/>
              </w:rPr>
              <w:tab/>
            </w:r>
            <w:r w:rsidR="001247BB" w:rsidRPr="009927A5">
              <w:rPr>
                <w:rStyle w:val="Hyperlink"/>
                <w:noProof/>
                <w:lang w:val="en-AU"/>
              </w:rPr>
              <w:t>Environmental and heritage assets</w:t>
            </w:r>
            <w:r w:rsidR="001247BB">
              <w:rPr>
                <w:noProof/>
                <w:webHidden/>
              </w:rPr>
              <w:tab/>
            </w:r>
            <w:r>
              <w:rPr>
                <w:noProof/>
                <w:webHidden/>
              </w:rPr>
              <w:fldChar w:fldCharType="begin"/>
            </w:r>
            <w:r w:rsidR="001247BB">
              <w:rPr>
                <w:noProof/>
                <w:webHidden/>
              </w:rPr>
              <w:instrText xml:space="preserve"> PAGEREF _Toc377031457 \h </w:instrText>
            </w:r>
            <w:r>
              <w:rPr>
                <w:noProof/>
                <w:webHidden/>
              </w:rPr>
            </w:r>
            <w:r>
              <w:rPr>
                <w:noProof/>
                <w:webHidden/>
              </w:rPr>
              <w:fldChar w:fldCharType="separate"/>
            </w:r>
            <w:r w:rsidR="00E47BE0">
              <w:rPr>
                <w:noProof/>
                <w:webHidden/>
              </w:rPr>
              <w:t>19</w:t>
            </w:r>
            <w:r>
              <w:rPr>
                <w:noProof/>
                <w:webHidden/>
              </w:rPr>
              <w:fldChar w:fldCharType="end"/>
            </w:r>
          </w:hyperlink>
        </w:p>
        <w:p w:rsidR="001247BB" w:rsidRDefault="003F4484">
          <w:pPr>
            <w:pStyle w:val="TOC2"/>
            <w:rPr>
              <w:noProof/>
              <w:lang w:val="en-AU" w:eastAsia="en-AU"/>
            </w:rPr>
          </w:pPr>
          <w:hyperlink w:anchor="_Toc377031458" w:history="1">
            <w:r w:rsidR="001247BB" w:rsidRPr="009927A5">
              <w:rPr>
                <w:rStyle w:val="Hyperlink"/>
                <w:noProof/>
                <w:lang w:val="en-AU"/>
              </w:rPr>
              <w:t>12.2</w:t>
            </w:r>
            <w:r w:rsidR="001247BB">
              <w:rPr>
                <w:noProof/>
                <w:lang w:val="en-AU" w:eastAsia="en-AU"/>
              </w:rPr>
              <w:tab/>
            </w:r>
            <w:r w:rsidR="001247BB" w:rsidRPr="009927A5">
              <w:rPr>
                <w:rStyle w:val="Hyperlink"/>
                <w:noProof/>
                <w:lang w:val="en-AU"/>
              </w:rPr>
              <w:t>Natural hazards and risks</w:t>
            </w:r>
            <w:r w:rsidR="001247BB">
              <w:rPr>
                <w:noProof/>
                <w:webHidden/>
              </w:rPr>
              <w:tab/>
            </w:r>
            <w:r>
              <w:rPr>
                <w:noProof/>
                <w:webHidden/>
              </w:rPr>
              <w:fldChar w:fldCharType="begin"/>
            </w:r>
            <w:r w:rsidR="001247BB">
              <w:rPr>
                <w:noProof/>
                <w:webHidden/>
              </w:rPr>
              <w:instrText xml:space="preserve"> PAGEREF _Toc377031458 \h </w:instrText>
            </w:r>
            <w:r>
              <w:rPr>
                <w:noProof/>
                <w:webHidden/>
              </w:rPr>
            </w:r>
            <w:r>
              <w:rPr>
                <w:noProof/>
                <w:webHidden/>
              </w:rPr>
              <w:fldChar w:fldCharType="separate"/>
            </w:r>
            <w:r w:rsidR="00E47BE0">
              <w:rPr>
                <w:noProof/>
                <w:webHidden/>
              </w:rPr>
              <w:t>22</w:t>
            </w:r>
            <w:r>
              <w:rPr>
                <w:noProof/>
                <w:webHidden/>
              </w:rPr>
              <w:fldChar w:fldCharType="end"/>
            </w:r>
          </w:hyperlink>
        </w:p>
        <w:p w:rsidR="001247BB" w:rsidRDefault="003F4484">
          <w:pPr>
            <w:pStyle w:val="TOC1"/>
            <w:rPr>
              <w:noProof/>
              <w:lang w:val="en-AU" w:eastAsia="en-AU"/>
            </w:rPr>
          </w:pPr>
          <w:hyperlink w:anchor="_Toc377031459" w:history="1">
            <w:r w:rsidR="001247BB" w:rsidRPr="009927A5">
              <w:rPr>
                <w:rStyle w:val="Hyperlink"/>
                <w:noProof/>
              </w:rPr>
              <w:t>13.</w:t>
            </w:r>
            <w:r w:rsidR="001247BB">
              <w:rPr>
                <w:noProof/>
                <w:lang w:val="en-AU" w:eastAsia="en-AU"/>
              </w:rPr>
              <w:tab/>
            </w:r>
            <w:r w:rsidR="001247BB" w:rsidRPr="009927A5">
              <w:rPr>
                <w:rStyle w:val="Hyperlink"/>
                <w:noProof/>
              </w:rPr>
              <w:t>Living in the region</w:t>
            </w:r>
            <w:r w:rsidR="001247BB">
              <w:rPr>
                <w:noProof/>
                <w:webHidden/>
              </w:rPr>
              <w:tab/>
            </w:r>
            <w:r>
              <w:rPr>
                <w:noProof/>
                <w:webHidden/>
              </w:rPr>
              <w:fldChar w:fldCharType="begin"/>
            </w:r>
            <w:r w:rsidR="001247BB">
              <w:rPr>
                <w:noProof/>
                <w:webHidden/>
              </w:rPr>
              <w:instrText xml:space="preserve"> PAGEREF _Toc377031459 \h </w:instrText>
            </w:r>
            <w:r>
              <w:rPr>
                <w:noProof/>
                <w:webHidden/>
              </w:rPr>
            </w:r>
            <w:r>
              <w:rPr>
                <w:noProof/>
                <w:webHidden/>
              </w:rPr>
              <w:fldChar w:fldCharType="separate"/>
            </w:r>
            <w:r w:rsidR="00E47BE0">
              <w:rPr>
                <w:noProof/>
                <w:webHidden/>
              </w:rPr>
              <w:t>24</w:t>
            </w:r>
            <w:r>
              <w:rPr>
                <w:noProof/>
                <w:webHidden/>
              </w:rPr>
              <w:fldChar w:fldCharType="end"/>
            </w:r>
          </w:hyperlink>
        </w:p>
        <w:p w:rsidR="001247BB" w:rsidRDefault="003F4484">
          <w:pPr>
            <w:pStyle w:val="TOC2"/>
            <w:rPr>
              <w:noProof/>
              <w:lang w:val="en-AU" w:eastAsia="en-AU"/>
            </w:rPr>
          </w:pPr>
          <w:hyperlink w:anchor="_Toc377031460" w:history="1">
            <w:r w:rsidR="001247BB" w:rsidRPr="009927A5">
              <w:rPr>
                <w:rStyle w:val="Hyperlink"/>
                <w:noProof/>
                <w:lang w:val="en-AU"/>
              </w:rPr>
              <w:t>13.1</w:t>
            </w:r>
            <w:r w:rsidR="001247BB">
              <w:rPr>
                <w:noProof/>
                <w:lang w:val="en-AU" w:eastAsia="en-AU"/>
              </w:rPr>
              <w:tab/>
            </w:r>
            <w:r w:rsidR="001247BB" w:rsidRPr="009927A5">
              <w:rPr>
                <w:rStyle w:val="Hyperlink"/>
                <w:noProof/>
                <w:lang w:val="en-AU"/>
              </w:rPr>
              <w:t>Loddon Mallee North settlement</w:t>
            </w:r>
            <w:r w:rsidR="001247BB">
              <w:rPr>
                <w:noProof/>
                <w:webHidden/>
              </w:rPr>
              <w:tab/>
            </w:r>
            <w:r>
              <w:rPr>
                <w:noProof/>
                <w:webHidden/>
              </w:rPr>
              <w:fldChar w:fldCharType="begin"/>
            </w:r>
            <w:r w:rsidR="001247BB">
              <w:rPr>
                <w:noProof/>
                <w:webHidden/>
              </w:rPr>
              <w:instrText xml:space="preserve"> PAGEREF _Toc377031460 \h </w:instrText>
            </w:r>
            <w:r>
              <w:rPr>
                <w:noProof/>
                <w:webHidden/>
              </w:rPr>
            </w:r>
            <w:r>
              <w:rPr>
                <w:noProof/>
                <w:webHidden/>
              </w:rPr>
              <w:fldChar w:fldCharType="separate"/>
            </w:r>
            <w:r w:rsidR="00E47BE0">
              <w:rPr>
                <w:noProof/>
                <w:webHidden/>
              </w:rPr>
              <w:t>24</w:t>
            </w:r>
            <w:r>
              <w:rPr>
                <w:noProof/>
                <w:webHidden/>
              </w:rPr>
              <w:fldChar w:fldCharType="end"/>
            </w:r>
          </w:hyperlink>
        </w:p>
        <w:p w:rsidR="001247BB" w:rsidRDefault="003F4484">
          <w:pPr>
            <w:pStyle w:val="TOC2"/>
            <w:rPr>
              <w:noProof/>
              <w:lang w:val="en-AU" w:eastAsia="en-AU"/>
            </w:rPr>
          </w:pPr>
          <w:hyperlink w:anchor="_Toc377031461" w:history="1">
            <w:r w:rsidR="001247BB" w:rsidRPr="009927A5">
              <w:rPr>
                <w:rStyle w:val="Hyperlink"/>
                <w:noProof/>
                <w:lang w:val="en-AU"/>
              </w:rPr>
              <w:t>13.2</w:t>
            </w:r>
            <w:r w:rsidR="001247BB">
              <w:rPr>
                <w:noProof/>
                <w:lang w:val="en-AU" w:eastAsia="en-AU"/>
              </w:rPr>
              <w:tab/>
            </w:r>
            <w:r w:rsidR="001247BB" w:rsidRPr="009927A5">
              <w:rPr>
                <w:rStyle w:val="Hyperlink"/>
                <w:noProof/>
                <w:lang w:val="en-AU"/>
              </w:rPr>
              <w:t>Mallee community of interest</w:t>
            </w:r>
            <w:r w:rsidR="001247BB">
              <w:rPr>
                <w:noProof/>
                <w:webHidden/>
              </w:rPr>
              <w:tab/>
            </w:r>
            <w:r>
              <w:rPr>
                <w:noProof/>
                <w:webHidden/>
              </w:rPr>
              <w:fldChar w:fldCharType="begin"/>
            </w:r>
            <w:r w:rsidR="001247BB">
              <w:rPr>
                <w:noProof/>
                <w:webHidden/>
              </w:rPr>
              <w:instrText xml:space="preserve"> PAGEREF _Toc377031461 \h </w:instrText>
            </w:r>
            <w:r>
              <w:rPr>
                <w:noProof/>
                <w:webHidden/>
              </w:rPr>
            </w:r>
            <w:r>
              <w:rPr>
                <w:noProof/>
                <w:webHidden/>
              </w:rPr>
              <w:fldChar w:fldCharType="separate"/>
            </w:r>
            <w:r w:rsidR="00E47BE0">
              <w:rPr>
                <w:noProof/>
                <w:webHidden/>
              </w:rPr>
              <w:t>26</w:t>
            </w:r>
            <w:r>
              <w:rPr>
                <w:noProof/>
                <w:webHidden/>
              </w:rPr>
              <w:fldChar w:fldCharType="end"/>
            </w:r>
          </w:hyperlink>
        </w:p>
        <w:p w:rsidR="001247BB" w:rsidRDefault="003F4484">
          <w:pPr>
            <w:pStyle w:val="TOC2"/>
            <w:rPr>
              <w:noProof/>
              <w:lang w:val="en-AU" w:eastAsia="en-AU"/>
            </w:rPr>
          </w:pPr>
          <w:hyperlink w:anchor="_Toc377031462" w:history="1">
            <w:r w:rsidR="001247BB" w:rsidRPr="009927A5">
              <w:rPr>
                <w:rStyle w:val="Hyperlink"/>
                <w:noProof/>
                <w:lang w:val="en-AU"/>
              </w:rPr>
              <w:t>13.3</w:t>
            </w:r>
            <w:r w:rsidR="001247BB">
              <w:rPr>
                <w:noProof/>
                <w:lang w:val="en-AU" w:eastAsia="en-AU"/>
              </w:rPr>
              <w:tab/>
            </w:r>
            <w:r w:rsidR="001247BB" w:rsidRPr="009927A5">
              <w:rPr>
                <w:rStyle w:val="Hyperlink"/>
                <w:noProof/>
                <w:lang w:val="en-AU"/>
              </w:rPr>
              <w:t>Campaspe community of interest</w:t>
            </w:r>
            <w:r w:rsidR="001247BB">
              <w:rPr>
                <w:noProof/>
                <w:webHidden/>
              </w:rPr>
              <w:tab/>
            </w:r>
            <w:r>
              <w:rPr>
                <w:noProof/>
                <w:webHidden/>
              </w:rPr>
              <w:fldChar w:fldCharType="begin"/>
            </w:r>
            <w:r w:rsidR="001247BB">
              <w:rPr>
                <w:noProof/>
                <w:webHidden/>
              </w:rPr>
              <w:instrText xml:space="preserve"> PAGEREF _Toc377031462 \h </w:instrText>
            </w:r>
            <w:r>
              <w:rPr>
                <w:noProof/>
                <w:webHidden/>
              </w:rPr>
            </w:r>
            <w:r>
              <w:rPr>
                <w:noProof/>
                <w:webHidden/>
              </w:rPr>
              <w:fldChar w:fldCharType="separate"/>
            </w:r>
            <w:r w:rsidR="00E47BE0">
              <w:rPr>
                <w:noProof/>
                <w:webHidden/>
              </w:rPr>
              <w:t>28</w:t>
            </w:r>
            <w:r>
              <w:rPr>
                <w:noProof/>
                <w:webHidden/>
              </w:rPr>
              <w:fldChar w:fldCharType="end"/>
            </w:r>
          </w:hyperlink>
        </w:p>
        <w:p w:rsidR="001247BB" w:rsidRDefault="003F4484">
          <w:pPr>
            <w:pStyle w:val="TOC2"/>
            <w:rPr>
              <w:noProof/>
              <w:lang w:val="en-AU" w:eastAsia="en-AU"/>
            </w:rPr>
          </w:pPr>
          <w:hyperlink w:anchor="_Toc377031463" w:history="1">
            <w:r w:rsidR="001247BB" w:rsidRPr="009927A5">
              <w:rPr>
                <w:rStyle w:val="Hyperlink"/>
                <w:noProof/>
                <w:lang w:val="en-AU"/>
              </w:rPr>
              <w:t>13.4</w:t>
            </w:r>
            <w:r w:rsidR="001247BB">
              <w:rPr>
                <w:noProof/>
                <w:lang w:val="en-AU" w:eastAsia="en-AU"/>
              </w:rPr>
              <w:tab/>
            </w:r>
            <w:r w:rsidR="001247BB" w:rsidRPr="009927A5">
              <w:rPr>
                <w:rStyle w:val="Hyperlink"/>
                <w:noProof/>
                <w:lang w:val="en-AU"/>
              </w:rPr>
              <w:t>Eastern Mallee community of interest</w:t>
            </w:r>
            <w:r w:rsidR="001247BB">
              <w:rPr>
                <w:noProof/>
                <w:webHidden/>
              </w:rPr>
              <w:tab/>
            </w:r>
            <w:r>
              <w:rPr>
                <w:noProof/>
                <w:webHidden/>
              </w:rPr>
              <w:fldChar w:fldCharType="begin"/>
            </w:r>
            <w:r w:rsidR="001247BB">
              <w:rPr>
                <w:noProof/>
                <w:webHidden/>
              </w:rPr>
              <w:instrText xml:space="preserve"> PAGEREF _Toc377031463 \h </w:instrText>
            </w:r>
            <w:r>
              <w:rPr>
                <w:noProof/>
                <w:webHidden/>
              </w:rPr>
            </w:r>
            <w:r>
              <w:rPr>
                <w:noProof/>
                <w:webHidden/>
              </w:rPr>
              <w:fldChar w:fldCharType="separate"/>
            </w:r>
            <w:r w:rsidR="00E47BE0">
              <w:rPr>
                <w:noProof/>
                <w:webHidden/>
              </w:rPr>
              <w:t>29</w:t>
            </w:r>
            <w:r>
              <w:rPr>
                <w:noProof/>
                <w:webHidden/>
              </w:rPr>
              <w:fldChar w:fldCharType="end"/>
            </w:r>
          </w:hyperlink>
        </w:p>
        <w:p w:rsidR="001247BB" w:rsidRDefault="003F4484">
          <w:pPr>
            <w:pStyle w:val="TOC2"/>
            <w:rPr>
              <w:noProof/>
              <w:lang w:val="en-AU" w:eastAsia="en-AU"/>
            </w:rPr>
          </w:pPr>
          <w:hyperlink w:anchor="_Toc377031464" w:history="1">
            <w:r w:rsidR="001247BB" w:rsidRPr="009927A5">
              <w:rPr>
                <w:rStyle w:val="Hyperlink"/>
                <w:noProof/>
                <w:lang w:val="en-AU"/>
              </w:rPr>
              <w:t>13.5</w:t>
            </w:r>
            <w:r w:rsidR="001247BB">
              <w:rPr>
                <w:noProof/>
                <w:lang w:val="en-AU" w:eastAsia="en-AU"/>
              </w:rPr>
              <w:tab/>
            </w:r>
            <w:r w:rsidR="001247BB" w:rsidRPr="009927A5">
              <w:rPr>
                <w:rStyle w:val="Hyperlink"/>
                <w:noProof/>
                <w:lang w:val="en-AU"/>
              </w:rPr>
              <w:t>Gannawarra community of interest</w:t>
            </w:r>
            <w:r w:rsidR="001247BB">
              <w:rPr>
                <w:noProof/>
                <w:webHidden/>
              </w:rPr>
              <w:tab/>
            </w:r>
            <w:r>
              <w:rPr>
                <w:noProof/>
                <w:webHidden/>
              </w:rPr>
              <w:fldChar w:fldCharType="begin"/>
            </w:r>
            <w:r w:rsidR="001247BB">
              <w:rPr>
                <w:noProof/>
                <w:webHidden/>
              </w:rPr>
              <w:instrText xml:space="preserve"> PAGEREF _Toc377031464 \h </w:instrText>
            </w:r>
            <w:r>
              <w:rPr>
                <w:noProof/>
                <w:webHidden/>
              </w:rPr>
            </w:r>
            <w:r>
              <w:rPr>
                <w:noProof/>
                <w:webHidden/>
              </w:rPr>
              <w:fldChar w:fldCharType="separate"/>
            </w:r>
            <w:r w:rsidR="00E47BE0">
              <w:rPr>
                <w:noProof/>
                <w:webHidden/>
              </w:rPr>
              <w:t>30</w:t>
            </w:r>
            <w:r>
              <w:rPr>
                <w:noProof/>
                <w:webHidden/>
              </w:rPr>
              <w:fldChar w:fldCharType="end"/>
            </w:r>
          </w:hyperlink>
        </w:p>
        <w:p w:rsidR="001247BB" w:rsidRDefault="003F4484">
          <w:pPr>
            <w:pStyle w:val="TOC2"/>
            <w:rPr>
              <w:noProof/>
              <w:lang w:val="en-AU" w:eastAsia="en-AU"/>
            </w:rPr>
          </w:pPr>
          <w:hyperlink w:anchor="_Toc377031465" w:history="1">
            <w:r w:rsidR="001247BB" w:rsidRPr="009927A5">
              <w:rPr>
                <w:rStyle w:val="Hyperlink"/>
                <w:noProof/>
                <w:lang w:val="en-AU"/>
              </w:rPr>
              <w:t>13.6</w:t>
            </w:r>
            <w:r w:rsidR="001247BB">
              <w:rPr>
                <w:noProof/>
                <w:lang w:val="en-AU" w:eastAsia="en-AU"/>
              </w:rPr>
              <w:tab/>
            </w:r>
            <w:r w:rsidR="001247BB" w:rsidRPr="009927A5">
              <w:rPr>
                <w:rStyle w:val="Hyperlink"/>
                <w:noProof/>
                <w:lang w:val="en-AU"/>
              </w:rPr>
              <w:t>Buloke community of interest</w:t>
            </w:r>
            <w:r w:rsidR="001247BB">
              <w:rPr>
                <w:noProof/>
                <w:webHidden/>
              </w:rPr>
              <w:tab/>
            </w:r>
            <w:r>
              <w:rPr>
                <w:noProof/>
                <w:webHidden/>
              </w:rPr>
              <w:fldChar w:fldCharType="begin"/>
            </w:r>
            <w:r w:rsidR="001247BB">
              <w:rPr>
                <w:noProof/>
                <w:webHidden/>
              </w:rPr>
              <w:instrText xml:space="preserve"> PAGEREF _Toc377031465 \h </w:instrText>
            </w:r>
            <w:r>
              <w:rPr>
                <w:noProof/>
                <w:webHidden/>
              </w:rPr>
            </w:r>
            <w:r>
              <w:rPr>
                <w:noProof/>
                <w:webHidden/>
              </w:rPr>
              <w:fldChar w:fldCharType="separate"/>
            </w:r>
            <w:r w:rsidR="00E47BE0">
              <w:rPr>
                <w:noProof/>
                <w:webHidden/>
              </w:rPr>
              <w:t>32</w:t>
            </w:r>
            <w:r>
              <w:rPr>
                <w:noProof/>
                <w:webHidden/>
              </w:rPr>
              <w:fldChar w:fldCharType="end"/>
            </w:r>
          </w:hyperlink>
        </w:p>
        <w:p w:rsidR="001247BB" w:rsidRDefault="003F4484">
          <w:pPr>
            <w:pStyle w:val="TOC1"/>
            <w:rPr>
              <w:noProof/>
              <w:lang w:val="en-AU" w:eastAsia="en-AU"/>
            </w:rPr>
          </w:pPr>
          <w:hyperlink w:anchor="_Toc377031466" w:history="1">
            <w:r w:rsidR="001247BB" w:rsidRPr="009927A5">
              <w:rPr>
                <w:rStyle w:val="Hyperlink"/>
                <w:noProof/>
              </w:rPr>
              <w:t>14.</w:t>
            </w:r>
            <w:r w:rsidR="001247BB">
              <w:rPr>
                <w:noProof/>
                <w:lang w:val="en-AU" w:eastAsia="en-AU"/>
              </w:rPr>
              <w:tab/>
            </w:r>
            <w:r w:rsidR="001247BB" w:rsidRPr="009927A5">
              <w:rPr>
                <w:rStyle w:val="Hyperlink"/>
                <w:noProof/>
              </w:rPr>
              <w:t>Regional infrastructure</w:t>
            </w:r>
            <w:r w:rsidR="001247BB">
              <w:rPr>
                <w:noProof/>
                <w:webHidden/>
              </w:rPr>
              <w:tab/>
            </w:r>
            <w:r>
              <w:rPr>
                <w:noProof/>
                <w:webHidden/>
              </w:rPr>
              <w:fldChar w:fldCharType="begin"/>
            </w:r>
            <w:r w:rsidR="001247BB">
              <w:rPr>
                <w:noProof/>
                <w:webHidden/>
              </w:rPr>
              <w:instrText xml:space="preserve"> PAGEREF _Toc377031466 \h </w:instrText>
            </w:r>
            <w:r>
              <w:rPr>
                <w:noProof/>
                <w:webHidden/>
              </w:rPr>
            </w:r>
            <w:r>
              <w:rPr>
                <w:noProof/>
                <w:webHidden/>
              </w:rPr>
              <w:fldChar w:fldCharType="separate"/>
            </w:r>
            <w:r w:rsidR="00E47BE0">
              <w:rPr>
                <w:noProof/>
                <w:webHidden/>
              </w:rPr>
              <w:t>32</w:t>
            </w:r>
            <w:r>
              <w:rPr>
                <w:noProof/>
                <w:webHidden/>
              </w:rPr>
              <w:fldChar w:fldCharType="end"/>
            </w:r>
          </w:hyperlink>
        </w:p>
        <w:p w:rsidR="001247BB" w:rsidRDefault="003F4484">
          <w:pPr>
            <w:pStyle w:val="TOC2"/>
            <w:rPr>
              <w:noProof/>
              <w:lang w:val="en-AU" w:eastAsia="en-AU"/>
            </w:rPr>
          </w:pPr>
          <w:hyperlink w:anchor="_Toc377031467" w:history="1">
            <w:r w:rsidR="001247BB" w:rsidRPr="009927A5">
              <w:rPr>
                <w:rStyle w:val="Hyperlink"/>
                <w:noProof/>
                <w:lang w:val="en-AU"/>
              </w:rPr>
              <w:t>14.1</w:t>
            </w:r>
            <w:r w:rsidR="001247BB">
              <w:rPr>
                <w:noProof/>
                <w:lang w:val="en-AU" w:eastAsia="en-AU"/>
              </w:rPr>
              <w:tab/>
            </w:r>
            <w:r w:rsidR="001247BB" w:rsidRPr="009927A5">
              <w:rPr>
                <w:rStyle w:val="Hyperlink"/>
                <w:noProof/>
                <w:lang w:val="en-AU"/>
              </w:rPr>
              <w:t>Transport networks</w:t>
            </w:r>
            <w:r w:rsidR="001247BB">
              <w:rPr>
                <w:noProof/>
                <w:webHidden/>
              </w:rPr>
              <w:tab/>
            </w:r>
            <w:r>
              <w:rPr>
                <w:noProof/>
                <w:webHidden/>
              </w:rPr>
              <w:fldChar w:fldCharType="begin"/>
            </w:r>
            <w:r w:rsidR="001247BB">
              <w:rPr>
                <w:noProof/>
                <w:webHidden/>
              </w:rPr>
              <w:instrText xml:space="preserve"> PAGEREF _Toc377031467 \h </w:instrText>
            </w:r>
            <w:r>
              <w:rPr>
                <w:noProof/>
                <w:webHidden/>
              </w:rPr>
            </w:r>
            <w:r>
              <w:rPr>
                <w:noProof/>
                <w:webHidden/>
              </w:rPr>
              <w:fldChar w:fldCharType="separate"/>
            </w:r>
            <w:r w:rsidR="00E47BE0">
              <w:rPr>
                <w:noProof/>
                <w:webHidden/>
              </w:rPr>
              <w:t>33</w:t>
            </w:r>
            <w:r>
              <w:rPr>
                <w:noProof/>
                <w:webHidden/>
              </w:rPr>
              <w:fldChar w:fldCharType="end"/>
            </w:r>
          </w:hyperlink>
        </w:p>
        <w:p w:rsidR="001247BB" w:rsidRDefault="003F4484">
          <w:pPr>
            <w:pStyle w:val="TOC2"/>
            <w:rPr>
              <w:noProof/>
              <w:lang w:val="en-AU" w:eastAsia="en-AU"/>
            </w:rPr>
          </w:pPr>
          <w:hyperlink w:anchor="_Toc377031468" w:history="1">
            <w:r w:rsidR="001247BB" w:rsidRPr="009927A5">
              <w:rPr>
                <w:rStyle w:val="Hyperlink"/>
                <w:noProof/>
                <w:lang w:val="en-AU"/>
              </w:rPr>
              <w:t>14.2</w:t>
            </w:r>
            <w:r w:rsidR="001247BB">
              <w:rPr>
                <w:noProof/>
                <w:lang w:val="en-AU" w:eastAsia="en-AU"/>
              </w:rPr>
              <w:tab/>
            </w:r>
            <w:r w:rsidR="001247BB" w:rsidRPr="009927A5">
              <w:rPr>
                <w:rStyle w:val="Hyperlink"/>
                <w:noProof/>
                <w:lang w:val="en-AU"/>
              </w:rPr>
              <w:t>Social infrastructure</w:t>
            </w:r>
            <w:r w:rsidR="001247BB">
              <w:rPr>
                <w:noProof/>
                <w:webHidden/>
              </w:rPr>
              <w:tab/>
            </w:r>
            <w:r>
              <w:rPr>
                <w:noProof/>
                <w:webHidden/>
              </w:rPr>
              <w:fldChar w:fldCharType="begin"/>
            </w:r>
            <w:r w:rsidR="001247BB">
              <w:rPr>
                <w:noProof/>
                <w:webHidden/>
              </w:rPr>
              <w:instrText xml:space="preserve"> PAGEREF _Toc377031468 \h </w:instrText>
            </w:r>
            <w:r>
              <w:rPr>
                <w:noProof/>
                <w:webHidden/>
              </w:rPr>
            </w:r>
            <w:r>
              <w:rPr>
                <w:noProof/>
                <w:webHidden/>
              </w:rPr>
              <w:fldChar w:fldCharType="separate"/>
            </w:r>
            <w:r w:rsidR="00E47BE0">
              <w:rPr>
                <w:noProof/>
                <w:webHidden/>
              </w:rPr>
              <w:t>36</w:t>
            </w:r>
            <w:r>
              <w:rPr>
                <w:noProof/>
                <w:webHidden/>
              </w:rPr>
              <w:fldChar w:fldCharType="end"/>
            </w:r>
          </w:hyperlink>
        </w:p>
        <w:p w:rsidR="001247BB" w:rsidRDefault="003F4484">
          <w:pPr>
            <w:pStyle w:val="TOC2"/>
            <w:rPr>
              <w:noProof/>
              <w:lang w:val="en-AU" w:eastAsia="en-AU"/>
            </w:rPr>
          </w:pPr>
          <w:hyperlink w:anchor="_Toc377031469" w:history="1">
            <w:r w:rsidR="001247BB" w:rsidRPr="009927A5">
              <w:rPr>
                <w:rStyle w:val="Hyperlink"/>
                <w:noProof/>
                <w:lang w:val="en-AU"/>
              </w:rPr>
              <w:t>14.3</w:t>
            </w:r>
            <w:r w:rsidR="001247BB">
              <w:rPr>
                <w:noProof/>
                <w:lang w:val="en-AU" w:eastAsia="en-AU"/>
              </w:rPr>
              <w:tab/>
            </w:r>
            <w:r w:rsidR="001247BB" w:rsidRPr="009927A5">
              <w:rPr>
                <w:rStyle w:val="Hyperlink"/>
                <w:noProof/>
                <w:lang w:val="en-AU"/>
              </w:rPr>
              <w:t>Water, energy and utilities</w:t>
            </w:r>
            <w:r w:rsidR="001247BB">
              <w:rPr>
                <w:noProof/>
                <w:webHidden/>
              </w:rPr>
              <w:tab/>
            </w:r>
            <w:r>
              <w:rPr>
                <w:noProof/>
                <w:webHidden/>
              </w:rPr>
              <w:fldChar w:fldCharType="begin"/>
            </w:r>
            <w:r w:rsidR="001247BB">
              <w:rPr>
                <w:noProof/>
                <w:webHidden/>
              </w:rPr>
              <w:instrText xml:space="preserve"> PAGEREF _Toc377031469 \h </w:instrText>
            </w:r>
            <w:r>
              <w:rPr>
                <w:noProof/>
                <w:webHidden/>
              </w:rPr>
            </w:r>
            <w:r>
              <w:rPr>
                <w:noProof/>
                <w:webHidden/>
              </w:rPr>
              <w:fldChar w:fldCharType="separate"/>
            </w:r>
            <w:r w:rsidR="00E47BE0">
              <w:rPr>
                <w:noProof/>
                <w:webHidden/>
              </w:rPr>
              <w:t>38</w:t>
            </w:r>
            <w:r>
              <w:rPr>
                <w:noProof/>
                <w:webHidden/>
              </w:rPr>
              <w:fldChar w:fldCharType="end"/>
            </w:r>
          </w:hyperlink>
        </w:p>
        <w:p w:rsidR="001247BB" w:rsidRDefault="003F4484">
          <w:pPr>
            <w:pStyle w:val="TOC1"/>
            <w:rPr>
              <w:noProof/>
              <w:lang w:val="en-AU" w:eastAsia="en-AU"/>
            </w:rPr>
          </w:pPr>
          <w:hyperlink w:anchor="_Toc377031470" w:history="1">
            <w:r w:rsidR="001247BB" w:rsidRPr="009927A5">
              <w:rPr>
                <w:rStyle w:val="Hyperlink"/>
                <w:noProof/>
                <w:lang w:val="en-AU"/>
              </w:rPr>
              <w:t>PART D:</w:t>
            </w:r>
            <w:r w:rsidR="001247BB">
              <w:rPr>
                <w:noProof/>
                <w:lang w:val="en-AU" w:eastAsia="en-AU"/>
              </w:rPr>
              <w:tab/>
            </w:r>
            <w:r w:rsidR="001247BB" w:rsidRPr="009927A5">
              <w:rPr>
                <w:rStyle w:val="Hyperlink"/>
                <w:noProof/>
                <w:lang w:val="en-AU"/>
              </w:rPr>
              <w:t>REGIONAL GROWTH PLAN</w:t>
            </w:r>
            <w:r w:rsidR="001247BB">
              <w:rPr>
                <w:noProof/>
                <w:webHidden/>
              </w:rPr>
              <w:tab/>
            </w:r>
            <w:r>
              <w:rPr>
                <w:noProof/>
                <w:webHidden/>
              </w:rPr>
              <w:fldChar w:fldCharType="begin"/>
            </w:r>
            <w:r w:rsidR="001247BB">
              <w:rPr>
                <w:noProof/>
                <w:webHidden/>
              </w:rPr>
              <w:instrText xml:space="preserve"> PAGEREF _Toc377031470 \h </w:instrText>
            </w:r>
            <w:r>
              <w:rPr>
                <w:noProof/>
                <w:webHidden/>
              </w:rPr>
            </w:r>
            <w:r>
              <w:rPr>
                <w:noProof/>
                <w:webHidden/>
              </w:rPr>
              <w:fldChar w:fldCharType="separate"/>
            </w:r>
            <w:r w:rsidR="00E47BE0">
              <w:rPr>
                <w:noProof/>
                <w:webHidden/>
              </w:rPr>
              <w:t>42</w:t>
            </w:r>
            <w:r>
              <w:rPr>
                <w:noProof/>
                <w:webHidden/>
              </w:rPr>
              <w:fldChar w:fldCharType="end"/>
            </w:r>
          </w:hyperlink>
        </w:p>
        <w:p w:rsidR="001247BB" w:rsidRDefault="003F4484">
          <w:pPr>
            <w:pStyle w:val="TOC1"/>
            <w:rPr>
              <w:noProof/>
              <w:lang w:val="en-AU" w:eastAsia="en-AU"/>
            </w:rPr>
          </w:pPr>
          <w:hyperlink w:anchor="_Toc377031471" w:history="1">
            <w:r w:rsidR="001247BB" w:rsidRPr="009927A5">
              <w:rPr>
                <w:rStyle w:val="Hyperlink"/>
                <w:noProof/>
              </w:rPr>
              <w:t>15.</w:t>
            </w:r>
            <w:r w:rsidR="001247BB">
              <w:rPr>
                <w:noProof/>
                <w:lang w:val="en-AU" w:eastAsia="en-AU"/>
              </w:rPr>
              <w:tab/>
            </w:r>
            <w:r w:rsidR="001247BB" w:rsidRPr="009927A5">
              <w:rPr>
                <w:rStyle w:val="Hyperlink"/>
                <w:noProof/>
              </w:rPr>
              <w:t>Future directions for regional growth</w:t>
            </w:r>
            <w:r w:rsidR="001247BB">
              <w:rPr>
                <w:noProof/>
                <w:webHidden/>
              </w:rPr>
              <w:tab/>
            </w:r>
            <w:r>
              <w:rPr>
                <w:noProof/>
                <w:webHidden/>
              </w:rPr>
              <w:fldChar w:fldCharType="begin"/>
            </w:r>
            <w:r w:rsidR="001247BB">
              <w:rPr>
                <w:noProof/>
                <w:webHidden/>
              </w:rPr>
              <w:instrText xml:space="preserve"> PAGEREF _Toc377031471 \h </w:instrText>
            </w:r>
            <w:r>
              <w:rPr>
                <w:noProof/>
                <w:webHidden/>
              </w:rPr>
            </w:r>
            <w:r>
              <w:rPr>
                <w:noProof/>
                <w:webHidden/>
              </w:rPr>
              <w:fldChar w:fldCharType="separate"/>
            </w:r>
            <w:r w:rsidR="00E47BE0">
              <w:rPr>
                <w:noProof/>
                <w:webHidden/>
              </w:rPr>
              <w:t>42</w:t>
            </w:r>
            <w:r>
              <w:rPr>
                <w:noProof/>
                <w:webHidden/>
              </w:rPr>
              <w:fldChar w:fldCharType="end"/>
            </w:r>
          </w:hyperlink>
        </w:p>
        <w:p w:rsidR="001247BB" w:rsidRDefault="003F4484">
          <w:pPr>
            <w:pStyle w:val="TOC1"/>
            <w:rPr>
              <w:noProof/>
              <w:lang w:val="en-AU" w:eastAsia="en-AU"/>
            </w:rPr>
          </w:pPr>
          <w:hyperlink w:anchor="_Toc377031472" w:history="1">
            <w:r w:rsidR="001247BB" w:rsidRPr="009927A5">
              <w:rPr>
                <w:rStyle w:val="Hyperlink"/>
                <w:noProof/>
              </w:rPr>
              <w:t>PART E:</w:t>
            </w:r>
            <w:r w:rsidR="001247BB">
              <w:rPr>
                <w:noProof/>
                <w:lang w:val="en-AU" w:eastAsia="en-AU"/>
              </w:rPr>
              <w:tab/>
            </w:r>
            <w:r w:rsidR="001247BB" w:rsidRPr="009927A5">
              <w:rPr>
                <w:rStyle w:val="Hyperlink"/>
                <w:noProof/>
              </w:rPr>
              <w:t>DELIVERING REGIONAL GROWTH</w:t>
            </w:r>
            <w:r w:rsidR="001247BB">
              <w:rPr>
                <w:noProof/>
                <w:webHidden/>
              </w:rPr>
              <w:tab/>
            </w:r>
            <w:r>
              <w:rPr>
                <w:noProof/>
                <w:webHidden/>
              </w:rPr>
              <w:fldChar w:fldCharType="begin"/>
            </w:r>
            <w:r w:rsidR="001247BB">
              <w:rPr>
                <w:noProof/>
                <w:webHidden/>
              </w:rPr>
              <w:instrText xml:space="preserve"> PAGEREF _Toc377031472 \h </w:instrText>
            </w:r>
            <w:r>
              <w:rPr>
                <w:noProof/>
                <w:webHidden/>
              </w:rPr>
            </w:r>
            <w:r>
              <w:rPr>
                <w:noProof/>
                <w:webHidden/>
              </w:rPr>
              <w:fldChar w:fldCharType="separate"/>
            </w:r>
            <w:r w:rsidR="00E47BE0">
              <w:rPr>
                <w:noProof/>
                <w:webHidden/>
              </w:rPr>
              <w:t>47</w:t>
            </w:r>
            <w:r>
              <w:rPr>
                <w:noProof/>
                <w:webHidden/>
              </w:rPr>
              <w:fldChar w:fldCharType="end"/>
            </w:r>
          </w:hyperlink>
        </w:p>
        <w:p w:rsidR="001247BB" w:rsidRDefault="003F4484">
          <w:pPr>
            <w:pStyle w:val="TOC1"/>
            <w:rPr>
              <w:noProof/>
              <w:lang w:val="en-AU" w:eastAsia="en-AU"/>
            </w:rPr>
          </w:pPr>
          <w:hyperlink w:anchor="_Toc377031473" w:history="1">
            <w:r w:rsidR="001247BB" w:rsidRPr="009927A5">
              <w:rPr>
                <w:rStyle w:val="Hyperlink"/>
                <w:noProof/>
              </w:rPr>
              <w:t>16.</w:t>
            </w:r>
            <w:r w:rsidR="001247BB">
              <w:rPr>
                <w:noProof/>
                <w:lang w:val="en-AU" w:eastAsia="en-AU"/>
              </w:rPr>
              <w:tab/>
            </w:r>
            <w:r w:rsidR="001247BB" w:rsidRPr="009927A5">
              <w:rPr>
                <w:rStyle w:val="Hyperlink"/>
                <w:noProof/>
              </w:rPr>
              <w:t>Implementation</w:t>
            </w:r>
            <w:r w:rsidR="001247BB">
              <w:rPr>
                <w:noProof/>
                <w:webHidden/>
              </w:rPr>
              <w:tab/>
            </w:r>
            <w:r>
              <w:rPr>
                <w:noProof/>
                <w:webHidden/>
              </w:rPr>
              <w:fldChar w:fldCharType="begin"/>
            </w:r>
            <w:r w:rsidR="001247BB">
              <w:rPr>
                <w:noProof/>
                <w:webHidden/>
              </w:rPr>
              <w:instrText xml:space="preserve"> PAGEREF _Toc377031473 \h </w:instrText>
            </w:r>
            <w:r>
              <w:rPr>
                <w:noProof/>
                <w:webHidden/>
              </w:rPr>
            </w:r>
            <w:r>
              <w:rPr>
                <w:noProof/>
                <w:webHidden/>
              </w:rPr>
              <w:fldChar w:fldCharType="separate"/>
            </w:r>
            <w:r w:rsidR="00E47BE0">
              <w:rPr>
                <w:noProof/>
                <w:webHidden/>
              </w:rPr>
              <w:t>47</w:t>
            </w:r>
            <w:r>
              <w:rPr>
                <w:noProof/>
                <w:webHidden/>
              </w:rPr>
              <w:fldChar w:fldCharType="end"/>
            </w:r>
          </w:hyperlink>
        </w:p>
        <w:p w:rsidR="001247BB" w:rsidRDefault="003F4484">
          <w:pPr>
            <w:pStyle w:val="TOC2"/>
            <w:rPr>
              <w:noProof/>
              <w:lang w:val="en-AU" w:eastAsia="en-AU"/>
            </w:rPr>
          </w:pPr>
          <w:hyperlink w:anchor="_Toc377031474" w:history="1">
            <w:r w:rsidR="001247BB" w:rsidRPr="009927A5">
              <w:rPr>
                <w:rStyle w:val="Hyperlink"/>
                <w:noProof/>
                <w:lang w:val="en-AU"/>
              </w:rPr>
              <w:t>16.1</w:t>
            </w:r>
            <w:r w:rsidR="001247BB">
              <w:rPr>
                <w:noProof/>
                <w:lang w:val="en-AU" w:eastAsia="en-AU"/>
              </w:rPr>
              <w:tab/>
            </w:r>
            <w:r w:rsidR="001247BB" w:rsidRPr="009927A5">
              <w:rPr>
                <w:rStyle w:val="Hyperlink"/>
                <w:noProof/>
                <w:lang w:val="en-AU"/>
              </w:rPr>
              <w:t>Planning schemes</w:t>
            </w:r>
            <w:r w:rsidR="001247BB">
              <w:rPr>
                <w:noProof/>
                <w:webHidden/>
              </w:rPr>
              <w:tab/>
            </w:r>
            <w:r>
              <w:rPr>
                <w:noProof/>
                <w:webHidden/>
              </w:rPr>
              <w:fldChar w:fldCharType="begin"/>
            </w:r>
            <w:r w:rsidR="001247BB">
              <w:rPr>
                <w:noProof/>
                <w:webHidden/>
              </w:rPr>
              <w:instrText xml:space="preserve"> PAGEREF _Toc377031474 \h </w:instrText>
            </w:r>
            <w:r>
              <w:rPr>
                <w:noProof/>
                <w:webHidden/>
              </w:rPr>
            </w:r>
            <w:r>
              <w:rPr>
                <w:noProof/>
                <w:webHidden/>
              </w:rPr>
              <w:fldChar w:fldCharType="separate"/>
            </w:r>
            <w:r w:rsidR="00E47BE0">
              <w:rPr>
                <w:noProof/>
                <w:webHidden/>
              </w:rPr>
              <w:t>47</w:t>
            </w:r>
            <w:r>
              <w:rPr>
                <w:noProof/>
                <w:webHidden/>
              </w:rPr>
              <w:fldChar w:fldCharType="end"/>
            </w:r>
          </w:hyperlink>
        </w:p>
        <w:p w:rsidR="001247BB" w:rsidRDefault="003F4484">
          <w:pPr>
            <w:pStyle w:val="TOC2"/>
            <w:rPr>
              <w:noProof/>
              <w:lang w:val="en-AU" w:eastAsia="en-AU"/>
            </w:rPr>
          </w:pPr>
          <w:hyperlink w:anchor="_Toc377031475" w:history="1">
            <w:r w:rsidR="001247BB" w:rsidRPr="009927A5">
              <w:rPr>
                <w:rStyle w:val="Hyperlink"/>
                <w:noProof/>
                <w:lang w:val="en-AU"/>
              </w:rPr>
              <w:t>16.2</w:t>
            </w:r>
            <w:r w:rsidR="001247BB">
              <w:rPr>
                <w:noProof/>
                <w:lang w:val="en-AU" w:eastAsia="en-AU"/>
              </w:rPr>
              <w:tab/>
            </w:r>
            <w:r w:rsidR="001247BB" w:rsidRPr="009927A5">
              <w:rPr>
                <w:rStyle w:val="Hyperlink"/>
                <w:noProof/>
                <w:lang w:val="en-AU"/>
              </w:rPr>
              <w:t>Links to Regional Strategic Plan implementation</w:t>
            </w:r>
            <w:r w:rsidR="001247BB">
              <w:rPr>
                <w:noProof/>
                <w:webHidden/>
              </w:rPr>
              <w:tab/>
            </w:r>
            <w:r>
              <w:rPr>
                <w:noProof/>
                <w:webHidden/>
              </w:rPr>
              <w:fldChar w:fldCharType="begin"/>
            </w:r>
            <w:r w:rsidR="001247BB">
              <w:rPr>
                <w:noProof/>
                <w:webHidden/>
              </w:rPr>
              <w:instrText xml:space="preserve"> PAGEREF _Toc377031475 \h </w:instrText>
            </w:r>
            <w:r>
              <w:rPr>
                <w:noProof/>
                <w:webHidden/>
              </w:rPr>
            </w:r>
            <w:r>
              <w:rPr>
                <w:noProof/>
                <w:webHidden/>
              </w:rPr>
              <w:fldChar w:fldCharType="separate"/>
            </w:r>
            <w:r w:rsidR="00E47BE0">
              <w:rPr>
                <w:noProof/>
                <w:webHidden/>
              </w:rPr>
              <w:t>47</w:t>
            </w:r>
            <w:r>
              <w:rPr>
                <w:noProof/>
                <w:webHidden/>
              </w:rPr>
              <w:fldChar w:fldCharType="end"/>
            </w:r>
          </w:hyperlink>
        </w:p>
        <w:p w:rsidR="001247BB" w:rsidRDefault="003F4484">
          <w:pPr>
            <w:pStyle w:val="TOC2"/>
            <w:rPr>
              <w:noProof/>
              <w:lang w:val="en-AU" w:eastAsia="en-AU"/>
            </w:rPr>
          </w:pPr>
          <w:hyperlink w:anchor="_Toc377031476" w:history="1">
            <w:r w:rsidR="001247BB" w:rsidRPr="009927A5">
              <w:rPr>
                <w:rStyle w:val="Hyperlink"/>
                <w:noProof/>
                <w:lang w:val="en-AU"/>
              </w:rPr>
              <w:t>16.3</w:t>
            </w:r>
            <w:r w:rsidR="001247BB">
              <w:rPr>
                <w:noProof/>
                <w:lang w:val="en-AU" w:eastAsia="en-AU"/>
              </w:rPr>
              <w:tab/>
            </w:r>
            <w:r w:rsidR="001247BB" w:rsidRPr="009927A5">
              <w:rPr>
                <w:rStyle w:val="Hyperlink"/>
                <w:noProof/>
                <w:lang w:val="en-AU"/>
              </w:rPr>
              <w:t>A plan for implementation of actions</w:t>
            </w:r>
            <w:r w:rsidR="001247BB">
              <w:rPr>
                <w:noProof/>
                <w:webHidden/>
              </w:rPr>
              <w:tab/>
            </w:r>
            <w:r>
              <w:rPr>
                <w:noProof/>
                <w:webHidden/>
              </w:rPr>
              <w:fldChar w:fldCharType="begin"/>
            </w:r>
            <w:r w:rsidR="001247BB">
              <w:rPr>
                <w:noProof/>
                <w:webHidden/>
              </w:rPr>
              <w:instrText xml:space="preserve"> PAGEREF _Toc377031476 \h </w:instrText>
            </w:r>
            <w:r>
              <w:rPr>
                <w:noProof/>
                <w:webHidden/>
              </w:rPr>
            </w:r>
            <w:r>
              <w:rPr>
                <w:noProof/>
                <w:webHidden/>
              </w:rPr>
              <w:fldChar w:fldCharType="separate"/>
            </w:r>
            <w:r w:rsidR="00E47BE0">
              <w:rPr>
                <w:noProof/>
                <w:webHidden/>
              </w:rPr>
              <w:t>47</w:t>
            </w:r>
            <w:r>
              <w:rPr>
                <w:noProof/>
                <w:webHidden/>
              </w:rPr>
              <w:fldChar w:fldCharType="end"/>
            </w:r>
          </w:hyperlink>
        </w:p>
        <w:p w:rsidR="001247BB" w:rsidRDefault="003F4484">
          <w:pPr>
            <w:pStyle w:val="TOC2"/>
            <w:rPr>
              <w:noProof/>
              <w:lang w:val="en-AU" w:eastAsia="en-AU"/>
            </w:rPr>
          </w:pPr>
          <w:hyperlink w:anchor="_Toc377031477" w:history="1">
            <w:r w:rsidR="001247BB" w:rsidRPr="009927A5">
              <w:rPr>
                <w:rStyle w:val="Hyperlink"/>
                <w:noProof/>
                <w:lang w:val="en-AU"/>
              </w:rPr>
              <w:t>16.4</w:t>
            </w:r>
            <w:r w:rsidR="001247BB">
              <w:rPr>
                <w:noProof/>
                <w:lang w:val="en-AU" w:eastAsia="en-AU"/>
              </w:rPr>
              <w:tab/>
            </w:r>
            <w:r w:rsidR="001247BB" w:rsidRPr="009927A5">
              <w:rPr>
                <w:rStyle w:val="Hyperlink"/>
                <w:noProof/>
                <w:lang w:val="en-AU"/>
              </w:rPr>
              <w:t>Review and performance</w:t>
            </w:r>
            <w:r w:rsidR="001247BB">
              <w:rPr>
                <w:noProof/>
                <w:webHidden/>
              </w:rPr>
              <w:tab/>
            </w:r>
            <w:r>
              <w:rPr>
                <w:noProof/>
                <w:webHidden/>
              </w:rPr>
              <w:fldChar w:fldCharType="begin"/>
            </w:r>
            <w:r w:rsidR="001247BB">
              <w:rPr>
                <w:noProof/>
                <w:webHidden/>
              </w:rPr>
              <w:instrText xml:space="preserve"> PAGEREF _Toc377031477 \h </w:instrText>
            </w:r>
            <w:r>
              <w:rPr>
                <w:noProof/>
                <w:webHidden/>
              </w:rPr>
            </w:r>
            <w:r>
              <w:rPr>
                <w:noProof/>
                <w:webHidden/>
              </w:rPr>
              <w:fldChar w:fldCharType="separate"/>
            </w:r>
            <w:r w:rsidR="00E47BE0">
              <w:rPr>
                <w:noProof/>
                <w:webHidden/>
              </w:rPr>
              <w:t>50</w:t>
            </w:r>
            <w:r>
              <w:rPr>
                <w:noProof/>
                <w:webHidden/>
              </w:rPr>
              <w:fldChar w:fldCharType="end"/>
            </w:r>
          </w:hyperlink>
        </w:p>
        <w:p w:rsidR="001247BB" w:rsidRDefault="003F4484">
          <w:pPr>
            <w:pStyle w:val="TOC2"/>
            <w:rPr>
              <w:noProof/>
              <w:lang w:val="en-AU" w:eastAsia="en-AU"/>
            </w:rPr>
          </w:pPr>
          <w:hyperlink w:anchor="_Toc377031478" w:history="1">
            <w:r w:rsidR="001247BB" w:rsidRPr="009927A5">
              <w:rPr>
                <w:rStyle w:val="Hyperlink"/>
                <w:noProof/>
                <w:lang w:val="en-AU"/>
              </w:rPr>
              <w:t>16.5</w:t>
            </w:r>
            <w:r w:rsidR="001247BB">
              <w:rPr>
                <w:noProof/>
                <w:lang w:val="en-AU" w:eastAsia="en-AU"/>
              </w:rPr>
              <w:tab/>
            </w:r>
            <w:r w:rsidR="001247BB" w:rsidRPr="009927A5">
              <w:rPr>
                <w:rStyle w:val="Hyperlink"/>
                <w:noProof/>
                <w:lang w:val="en-AU"/>
              </w:rPr>
              <w:t>Implementation summary</w:t>
            </w:r>
            <w:r w:rsidR="001247BB">
              <w:rPr>
                <w:noProof/>
                <w:webHidden/>
              </w:rPr>
              <w:tab/>
            </w:r>
            <w:r>
              <w:rPr>
                <w:noProof/>
                <w:webHidden/>
              </w:rPr>
              <w:fldChar w:fldCharType="begin"/>
            </w:r>
            <w:r w:rsidR="001247BB">
              <w:rPr>
                <w:noProof/>
                <w:webHidden/>
              </w:rPr>
              <w:instrText xml:space="preserve"> PAGEREF _Toc377031478 \h </w:instrText>
            </w:r>
            <w:r>
              <w:rPr>
                <w:noProof/>
                <w:webHidden/>
              </w:rPr>
            </w:r>
            <w:r>
              <w:rPr>
                <w:noProof/>
                <w:webHidden/>
              </w:rPr>
              <w:fldChar w:fldCharType="separate"/>
            </w:r>
            <w:r w:rsidR="00E47BE0">
              <w:rPr>
                <w:noProof/>
                <w:webHidden/>
              </w:rPr>
              <w:t>50</w:t>
            </w:r>
            <w:r>
              <w:rPr>
                <w:noProof/>
                <w:webHidden/>
              </w:rPr>
              <w:fldChar w:fldCharType="end"/>
            </w:r>
          </w:hyperlink>
        </w:p>
        <w:p w:rsidR="001247BB" w:rsidRDefault="003F4484">
          <w:pPr>
            <w:pStyle w:val="TOC1"/>
            <w:rPr>
              <w:noProof/>
              <w:lang w:val="en-AU" w:eastAsia="en-AU"/>
            </w:rPr>
          </w:pPr>
          <w:hyperlink w:anchor="_Toc377031479" w:history="1">
            <w:r w:rsidR="001247BB" w:rsidRPr="009927A5">
              <w:rPr>
                <w:rStyle w:val="Hyperlink"/>
                <w:noProof/>
                <w:lang w:val="en-AU"/>
              </w:rPr>
              <w:t>GLOSSARY</w:t>
            </w:r>
            <w:r w:rsidR="001247BB">
              <w:rPr>
                <w:noProof/>
                <w:webHidden/>
              </w:rPr>
              <w:tab/>
            </w:r>
            <w:r>
              <w:rPr>
                <w:noProof/>
                <w:webHidden/>
              </w:rPr>
              <w:fldChar w:fldCharType="begin"/>
            </w:r>
            <w:r w:rsidR="001247BB">
              <w:rPr>
                <w:noProof/>
                <w:webHidden/>
              </w:rPr>
              <w:instrText xml:space="preserve"> PAGEREF _Toc377031479 \h </w:instrText>
            </w:r>
            <w:r>
              <w:rPr>
                <w:noProof/>
                <w:webHidden/>
              </w:rPr>
            </w:r>
            <w:r>
              <w:rPr>
                <w:noProof/>
                <w:webHidden/>
              </w:rPr>
              <w:fldChar w:fldCharType="separate"/>
            </w:r>
            <w:r w:rsidR="00E47BE0">
              <w:rPr>
                <w:noProof/>
                <w:webHidden/>
              </w:rPr>
              <w:t>53</w:t>
            </w:r>
            <w:r>
              <w:rPr>
                <w:noProof/>
                <w:webHidden/>
              </w:rPr>
              <w:fldChar w:fldCharType="end"/>
            </w:r>
          </w:hyperlink>
        </w:p>
        <w:p w:rsidR="00E02F62" w:rsidRPr="00521DF0" w:rsidRDefault="003F4484" w:rsidP="00521DF0">
          <w:pPr>
            <w:pStyle w:val="TOC1"/>
            <w:rPr>
              <w:rFonts w:eastAsiaTheme="minorHAnsi"/>
              <w:color w:val="0000FF" w:themeColor="hyperlink"/>
              <w:u w:val="single"/>
            </w:rPr>
          </w:pPr>
          <w:r w:rsidRPr="00D156F9">
            <w:rPr>
              <w:rFonts w:eastAsiaTheme="minorHAnsi"/>
              <w:color w:val="0000FF" w:themeColor="hyperlink"/>
              <w:u w:val="single"/>
            </w:rPr>
            <w:fldChar w:fldCharType="end"/>
          </w:r>
        </w:p>
      </w:sdtContent>
    </w:sdt>
    <w:p w:rsidR="00E02F62" w:rsidRPr="004B3BA5" w:rsidRDefault="003E4202" w:rsidP="003C7518">
      <w:pPr>
        <w:pStyle w:val="TOCH"/>
      </w:pPr>
      <w:r w:rsidRPr="004B3BA5">
        <w:t>Tables</w:t>
      </w:r>
    </w:p>
    <w:p w:rsidR="00B7777B" w:rsidRDefault="003F4484">
      <w:pPr>
        <w:pStyle w:val="TableofFigures"/>
        <w:tabs>
          <w:tab w:val="right" w:leader="dot" w:pos="9016"/>
        </w:tabs>
        <w:rPr>
          <w:noProof/>
          <w:lang w:val="en-AU" w:eastAsia="en-AU"/>
        </w:rPr>
      </w:pPr>
      <w:r w:rsidRPr="003F4484">
        <w:rPr>
          <w:rFonts w:ascii="Calibri" w:eastAsia="Times New Roman" w:hAnsi="Calibri" w:cs="Times New Roman"/>
          <w:b/>
          <w:bCs/>
          <w:color w:val="0000FF" w:themeColor="hyperlink"/>
          <w:sz w:val="34"/>
          <w:szCs w:val="28"/>
          <w:u w:val="single"/>
        </w:rPr>
        <w:fldChar w:fldCharType="begin"/>
      </w:r>
      <w:r w:rsidR="003E4202" w:rsidRPr="008D2C92">
        <w:rPr>
          <w:color w:val="0000FF" w:themeColor="hyperlink"/>
          <w:u w:val="single"/>
        </w:rPr>
        <w:instrText xml:space="preserve"> TOC \f F \h \z \c "Table" </w:instrText>
      </w:r>
      <w:r w:rsidRPr="003F4484">
        <w:rPr>
          <w:rFonts w:ascii="Calibri" w:eastAsia="Times New Roman" w:hAnsi="Calibri" w:cs="Times New Roman"/>
          <w:b/>
          <w:bCs/>
          <w:color w:val="0000FF" w:themeColor="hyperlink"/>
          <w:sz w:val="34"/>
          <w:szCs w:val="28"/>
          <w:u w:val="single"/>
        </w:rPr>
        <w:fldChar w:fldCharType="separate"/>
      </w:r>
      <w:hyperlink w:anchor="_Toc380651276" w:history="1">
        <w:r w:rsidR="00B7777B" w:rsidRPr="00000D07">
          <w:rPr>
            <w:rStyle w:val="Hyperlink"/>
            <w:noProof/>
            <w:lang w:val="en-AU"/>
          </w:rPr>
          <w:t>Table 1: Population projections</w:t>
        </w:r>
        <w:r w:rsidR="00B7777B">
          <w:rPr>
            <w:noProof/>
            <w:webHidden/>
          </w:rPr>
          <w:tab/>
        </w:r>
        <w:r>
          <w:rPr>
            <w:noProof/>
            <w:webHidden/>
          </w:rPr>
          <w:fldChar w:fldCharType="begin"/>
        </w:r>
        <w:r w:rsidR="00B7777B">
          <w:rPr>
            <w:noProof/>
            <w:webHidden/>
          </w:rPr>
          <w:instrText xml:space="preserve"> PAGEREF _Toc380651276 \h </w:instrText>
        </w:r>
        <w:r>
          <w:rPr>
            <w:noProof/>
            <w:webHidden/>
          </w:rPr>
        </w:r>
        <w:r>
          <w:rPr>
            <w:noProof/>
            <w:webHidden/>
          </w:rPr>
          <w:fldChar w:fldCharType="separate"/>
        </w:r>
        <w:r w:rsidR="00E47BE0">
          <w:rPr>
            <w:noProof/>
            <w:webHidden/>
          </w:rPr>
          <w:t>5</w:t>
        </w:r>
        <w:r>
          <w:rPr>
            <w:noProof/>
            <w:webHidden/>
          </w:rPr>
          <w:fldChar w:fldCharType="end"/>
        </w:r>
      </w:hyperlink>
    </w:p>
    <w:p w:rsidR="00B7777B" w:rsidRDefault="003F4484">
      <w:pPr>
        <w:pStyle w:val="TableofFigures"/>
        <w:tabs>
          <w:tab w:val="right" w:leader="dot" w:pos="9016"/>
        </w:tabs>
        <w:rPr>
          <w:noProof/>
          <w:lang w:val="en-AU" w:eastAsia="en-AU"/>
        </w:rPr>
      </w:pPr>
      <w:hyperlink w:anchor="_Toc380651277" w:history="1">
        <w:r w:rsidR="00B7777B" w:rsidRPr="00000D07">
          <w:rPr>
            <w:rStyle w:val="Hyperlink"/>
            <w:noProof/>
            <w:lang w:val="en-AU"/>
          </w:rPr>
          <w:t>Table 2: Actions</w:t>
        </w:r>
        <w:r w:rsidR="00B7777B">
          <w:rPr>
            <w:noProof/>
            <w:webHidden/>
          </w:rPr>
          <w:tab/>
        </w:r>
        <w:r>
          <w:rPr>
            <w:noProof/>
            <w:webHidden/>
          </w:rPr>
          <w:fldChar w:fldCharType="begin"/>
        </w:r>
        <w:r w:rsidR="00B7777B">
          <w:rPr>
            <w:noProof/>
            <w:webHidden/>
          </w:rPr>
          <w:instrText xml:space="preserve"> PAGEREF _Toc380651277 \h </w:instrText>
        </w:r>
        <w:r>
          <w:rPr>
            <w:noProof/>
            <w:webHidden/>
          </w:rPr>
        </w:r>
        <w:r>
          <w:rPr>
            <w:noProof/>
            <w:webHidden/>
          </w:rPr>
          <w:fldChar w:fldCharType="separate"/>
        </w:r>
        <w:r w:rsidR="00E47BE0">
          <w:rPr>
            <w:noProof/>
            <w:webHidden/>
          </w:rPr>
          <w:t>48</w:t>
        </w:r>
        <w:r>
          <w:rPr>
            <w:noProof/>
            <w:webHidden/>
          </w:rPr>
          <w:fldChar w:fldCharType="end"/>
        </w:r>
      </w:hyperlink>
    </w:p>
    <w:p w:rsidR="004B3BA5" w:rsidRDefault="003F4484" w:rsidP="00546F99">
      <w:pPr>
        <w:pStyle w:val="TableofFigures"/>
        <w:tabs>
          <w:tab w:val="right" w:leader="dot" w:pos="9016"/>
        </w:tabs>
        <w:rPr>
          <w:lang w:val="en-AU"/>
        </w:rPr>
      </w:pPr>
      <w:r w:rsidRPr="00BB10EC">
        <w:rPr>
          <w:lang w:val="en-AU"/>
        </w:rPr>
        <w:fldChar w:fldCharType="end"/>
      </w:r>
    </w:p>
    <w:p w:rsidR="00CA74F9" w:rsidRPr="00AC1AF4" w:rsidRDefault="00CA74F9" w:rsidP="00134771">
      <w:pPr>
        <w:pStyle w:val="TOCH"/>
        <w:rPr>
          <w:lang w:val="en-AU"/>
        </w:rPr>
        <w:sectPr w:rsidR="00CA74F9" w:rsidRPr="00AC1AF4" w:rsidSect="006B6033">
          <w:headerReference w:type="default"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rsidR="00A13A59" w:rsidRPr="00FA0B0E" w:rsidRDefault="00A13A59" w:rsidP="00347423">
      <w:pPr>
        <w:pStyle w:val="Heading1"/>
        <w:rPr>
          <w:lang w:val="en-AU"/>
        </w:rPr>
      </w:pPr>
      <w:bookmarkStart w:id="2" w:name="_Toc377031438"/>
      <w:r w:rsidRPr="00FA0B0E">
        <w:rPr>
          <w:lang w:val="en-AU"/>
        </w:rPr>
        <w:lastRenderedPageBreak/>
        <w:t>EXECUTIVE SUMMARY</w:t>
      </w:r>
      <w:bookmarkEnd w:id="2"/>
    </w:p>
    <w:p w:rsidR="00A13A59" w:rsidRPr="00FA0B0E" w:rsidRDefault="004C5DAA" w:rsidP="004C5DAA">
      <w:pPr>
        <w:pStyle w:val="bt"/>
        <w:rPr>
          <w:lang w:val="en-AU"/>
        </w:rPr>
      </w:pPr>
      <w:r w:rsidRPr="00FA0B0E">
        <w:rPr>
          <w:lang w:val="en-AU"/>
        </w:rPr>
        <w:t xml:space="preserve">This Loddon Mallee North Regional Growth Plan details a regional approach to land use planning </w:t>
      </w:r>
      <w:r w:rsidR="00432C19" w:rsidRPr="00FA0B0E">
        <w:rPr>
          <w:lang w:val="en-AU"/>
        </w:rPr>
        <w:t xml:space="preserve">across the five municipalities of Buloke, Campaspe, Gannawarra, Mildura and Swan Hill. The </w:t>
      </w:r>
      <w:r w:rsidR="004A456E" w:rsidRPr="00FA0B0E">
        <w:rPr>
          <w:lang w:val="en-AU"/>
        </w:rPr>
        <w:t>p</w:t>
      </w:r>
      <w:r w:rsidR="00432C19" w:rsidRPr="00FA0B0E">
        <w:rPr>
          <w:lang w:val="en-AU"/>
        </w:rPr>
        <w:t>lan identifies opportunities to encourage and accommodate growth and address challenges over the next 30 years, building on the directions of the Loddon Mallee Regional Strategic Plan</w:t>
      </w:r>
      <w:r w:rsidR="003A5E4D" w:rsidRPr="00FA0B0E">
        <w:rPr>
          <w:lang w:val="en-AU"/>
        </w:rPr>
        <w:t xml:space="preserve"> – Northern Region (2010)</w:t>
      </w:r>
      <w:r w:rsidR="00432C19" w:rsidRPr="00FA0B0E">
        <w:rPr>
          <w:lang w:val="en-AU"/>
        </w:rPr>
        <w:t xml:space="preserve">. </w:t>
      </w:r>
      <w:r w:rsidR="00564E59" w:rsidRPr="00FA0B0E">
        <w:rPr>
          <w:lang w:val="en-AU"/>
        </w:rPr>
        <w:t xml:space="preserve">The </w:t>
      </w:r>
      <w:r w:rsidR="00253D01" w:rsidRPr="00FA0B0E">
        <w:rPr>
          <w:lang w:val="en-AU"/>
        </w:rPr>
        <w:t>p</w:t>
      </w:r>
      <w:r w:rsidR="00564E59" w:rsidRPr="00FA0B0E">
        <w:rPr>
          <w:lang w:val="en-AU"/>
        </w:rPr>
        <w:t>lan has been developed to achieve the following vision for the region:</w:t>
      </w:r>
    </w:p>
    <w:p w:rsidR="00432C19" w:rsidRPr="00FA0B0E" w:rsidRDefault="00432C19" w:rsidP="004827E1">
      <w:pPr>
        <w:pStyle w:val="bt"/>
        <w:rPr>
          <w:rStyle w:val="Emphasis"/>
          <w:lang w:val="en-AU"/>
        </w:rPr>
      </w:pPr>
      <w:r w:rsidRPr="00FA0B0E">
        <w:rPr>
          <w:rStyle w:val="Emphasis"/>
          <w:lang w:val="en-AU"/>
        </w:rPr>
        <w:t xml:space="preserve">In 2041, Loddon Mallee </w:t>
      </w:r>
      <w:proofErr w:type="gramStart"/>
      <w:r w:rsidRPr="00FA0B0E">
        <w:rPr>
          <w:rStyle w:val="Emphasis"/>
          <w:lang w:val="en-AU"/>
        </w:rPr>
        <w:t>North</w:t>
      </w:r>
      <w:proofErr w:type="gramEnd"/>
      <w:r w:rsidRPr="00FA0B0E">
        <w:rPr>
          <w:rStyle w:val="Emphasis"/>
          <w:lang w:val="en-AU"/>
        </w:rPr>
        <w:t xml:space="preserve"> has built on its strengths to become a thriving Australian region. It has cultivated its environmental credentials to emerge as a prosperous place of choice for people to live, work, visit and invest. It has become renowned</w:t>
      </w:r>
      <w:r w:rsidR="001F267B" w:rsidRPr="00FA0B0E">
        <w:rPr>
          <w:rStyle w:val="Emphasis"/>
          <w:lang w:val="en-AU"/>
        </w:rPr>
        <w:t xml:space="preserve"> for</w:t>
      </w:r>
      <w:r w:rsidRPr="00FA0B0E">
        <w:rPr>
          <w:rStyle w:val="Emphasis"/>
          <w:lang w:val="en-AU"/>
        </w:rPr>
        <w:t>:</w:t>
      </w:r>
    </w:p>
    <w:p w:rsidR="00243C23" w:rsidRPr="00FA0B0E" w:rsidRDefault="00243C23" w:rsidP="00F50A29">
      <w:pPr>
        <w:pStyle w:val="btbullet"/>
        <w:ind w:left="426"/>
        <w:rPr>
          <w:rStyle w:val="Emphasis"/>
          <w:lang w:val="en-AU"/>
        </w:rPr>
      </w:pPr>
      <w:r w:rsidRPr="00FA0B0E">
        <w:rPr>
          <w:rStyle w:val="Emphasis"/>
          <w:lang w:val="en-AU"/>
        </w:rPr>
        <w:t>its produce and innovation in areas such as renewable energy</w:t>
      </w:r>
    </w:p>
    <w:p w:rsidR="00243C23" w:rsidRPr="005567F8" w:rsidRDefault="00243C23" w:rsidP="00F50A29">
      <w:pPr>
        <w:pStyle w:val="btbullet"/>
        <w:ind w:left="426"/>
        <w:rPr>
          <w:rStyle w:val="Emphasis"/>
          <w:lang w:val="en-AU"/>
        </w:rPr>
      </w:pPr>
      <w:r w:rsidRPr="00FA0B0E">
        <w:rPr>
          <w:rStyle w:val="Emphasis"/>
          <w:lang w:val="en-AU"/>
        </w:rPr>
        <w:t xml:space="preserve">custodianship </w:t>
      </w:r>
      <w:r w:rsidR="00535DDD" w:rsidRPr="00535DDD">
        <w:rPr>
          <w:rStyle w:val="Emphasis"/>
          <w:lang w:val="en-AU"/>
        </w:rPr>
        <w:t>of distinctive</w:t>
      </w:r>
      <w:r w:rsidRPr="005567F8">
        <w:rPr>
          <w:rStyle w:val="Emphasis"/>
          <w:lang w:val="en-AU"/>
        </w:rPr>
        <w:t xml:space="preserve"> environmental and cultural heritage assets</w:t>
      </w:r>
    </w:p>
    <w:p w:rsidR="00243C23" w:rsidRPr="005567F8" w:rsidRDefault="00243C23" w:rsidP="00F50A29">
      <w:pPr>
        <w:pStyle w:val="btbullet"/>
        <w:ind w:left="426"/>
        <w:rPr>
          <w:rStyle w:val="Emphasis"/>
          <w:lang w:val="en-AU"/>
        </w:rPr>
      </w:pPr>
      <w:proofErr w:type="gramStart"/>
      <w:r w:rsidRPr="005567F8">
        <w:rPr>
          <w:rStyle w:val="Emphasis"/>
          <w:lang w:val="en-AU"/>
        </w:rPr>
        <w:t>being</w:t>
      </w:r>
      <w:proofErr w:type="gramEnd"/>
      <w:r w:rsidRPr="005567F8">
        <w:rPr>
          <w:rStyle w:val="Emphasis"/>
          <w:lang w:val="en-AU"/>
        </w:rPr>
        <w:t xml:space="preserve"> a key contributor to national pride in a healthy, iconic and celebrated Murray River.</w:t>
      </w:r>
    </w:p>
    <w:p w:rsidR="00E44B40" w:rsidRPr="005567F8" w:rsidRDefault="00E44B40" w:rsidP="000E052D">
      <w:pPr>
        <w:pStyle w:val="bt"/>
        <w:rPr>
          <w:lang w:val="en-AU"/>
        </w:rPr>
      </w:pPr>
      <w:r w:rsidRPr="005567F8">
        <w:rPr>
          <w:lang w:val="en-AU"/>
        </w:rPr>
        <w:t>The e</w:t>
      </w:r>
      <w:r w:rsidR="003D0D2B" w:rsidRPr="005567F8">
        <w:rPr>
          <w:lang w:val="en-AU"/>
        </w:rPr>
        <w:t>conomy of Loddon Mallee North has been</w:t>
      </w:r>
      <w:r w:rsidRPr="005567F8">
        <w:rPr>
          <w:lang w:val="en-AU"/>
        </w:rPr>
        <w:t xml:space="preserve"> driven by its competitive advantage in agriculture and strategic location on </w:t>
      </w:r>
      <w:r w:rsidR="003D0D2B" w:rsidRPr="005567F8">
        <w:rPr>
          <w:lang w:val="en-AU"/>
        </w:rPr>
        <w:t xml:space="preserve">national road and rail transport routes. The region is facing a period of change. Water policy reform and investment in irrigation renewal will drive change in the irrigation sector. Climate change will provide both </w:t>
      </w:r>
      <w:r w:rsidR="00B32D14" w:rsidRPr="005567F8">
        <w:rPr>
          <w:lang w:val="en-AU"/>
        </w:rPr>
        <w:t xml:space="preserve">risks </w:t>
      </w:r>
      <w:r w:rsidR="003D0D2B" w:rsidRPr="005567F8">
        <w:rPr>
          <w:lang w:val="en-AU"/>
        </w:rPr>
        <w:t>and opportunities for agriculture</w:t>
      </w:r>
      <w:r w:rsidR="00B32D14" w:rsidRPr="005567F8">
        <w:rPr>
          <w:lang w:val="en-AU"/>
        </w:rPr>
        <w:t xml:space="preserve"> and other economic sectors</w:t>
      </w:r>
      <w:r w:rsidR="003D0D2B" w:rsidRPr="005567F8">
        <w:rPr>
          <w:lang w:val="en-AU"/>
        </w:rPr>
        <w:t xml:space="preserve"> and place pressure on </w:t>
      </w:r>
      <w:r w:rsidR="005C5762" w:rsidRPr="005567F8">
        <w:rPr>
          <w:lang w:val="en-AU"/>
        </w:rPr>
        <w:t xml:space="preserve">communities to manage increased risk from </w:t>
      </w:r>
      <w:r w:rsidR="00BE3F0D">
        <w:rPr>
          <w:lang w:val="en-AU"/>
        </w:rPr>
        <w:t>flood</w:t>
      </w:r>
      <w:r w:rsidR="005C5762" w:rsidRPr="005567F8">
        <w:rPr>
          <w:lang w:val="en-AU"/>
        </w:rPr>
        <w:t xml:space="preserve"> and </w:t>
      </w:r>
      <w:r w:rsidR="00E60805">
        <w:rPr>
          <w:lang w:val="en-AU"/>
        </w:rPr>
        <w:t>bushfire</w:t>
      </w:r>
      <w:r w:rsidR="005C5762" w:rsidRPr="005567F8">
        <w:rPr>
          <w:lang w:val="en-AU"/>
        </w:rPr>
        <w:t xml:space="preserve">. </w:t>
      </w:r>
      <w:proofErr w:type="gramStart"/>
      <w:r w:rsidR="005C5762" w:rsidRPr="005567F8">
        <w:rPr>
          <w:lang w:val="en-AU"/>
        </w:rPr>
        <w:t>The region’s uneven population growth and ageing demographic needs to be accommodated</w:t>
      </w:r>
      <w:r w:rsidR="0073126E" w:rsidRPr="005567F8">
        <w:rPr>
          <w:lang w:val="en-AU"/>
        </w:rPr>
        <w:t>,</w:t>
      </w:r>
      <w:r w:rsidR="005C5762" w:rsidRPr="005567F8">
        <w:rPr>
          <w:lang w:val="en-AU"/>
        </w:rPr>
        <w:t xml:space="preserve"> </w:t>
      </w:r>
      <w:r w:rsidR="00253D01" w:rsidRPr="005567F8">
        <w:rPr>
          <w:lang w:val="en-AU"/>
        </w:rPr>
        <w:t>while</w:t>
      </w:r>
      <w:r w:rsidR="005C5762" w:rsidRPr="005567F8">
        <w:rPr>
          <w:lang w:val="en-AU"/>
        </w:rPr>
        <w:t xml:space="preserve"> increased housing choice, services and infrastructure are required.</w:t>
      </w:r>
      <w:proofErr w:type="gramEnd"/>
    </w:p>
    <w:p w:rsidR="00E44B40" w:rsidRPr="005567F8" w:rsidRDefault="005C5762" w:rsidP="000E052D">
      <w:pPr>
        <w:pStyle w:val="bt"/>
        <w:rPr>
          <w:lang w:val="en-AU"/>
        </w:rPr>
      </w:pPr>
      <w:r w:rsidRPr="005567F8">
        <w:rPr>
          <w:lang w:val="en-AU"/>
        </w:rPr>
        <w:t xml:space="preserve">This </w:t>
      </w:r>
      <w:r w:rsidR="00253D01" w:rsidRPr="005567F8">
        <w:rPr>
          <w:lang w:val="en-AU"/>
        </w:rPr>
        <w:t>p</w:t>
      </w:r>
      <w:r w:rsidRPr="005567F8">
        <w:rPr>
          <w:lang w:val="en-AU"/>
        </w:rPr>
        <w:t>l</w:t>
      </w:r>
      <w:r w:rsidR="00D34C7E" w:rsidRPr="005567F8">
        <w:rPr>
          <w:lang w:val="en-AU"/>
        </w:rPr>
        <w:t>an addresses</w:t>
      </w:r>
      <w:r w:rsidRPr="005567F8">
        <w:rPr>
          <w:lang w:val="en-AU"/>
        </w:rPr>
        <w:t xml:space="preserve"> these challenges by recognising assets of regional significance and establishing an integrated planning framework to direct and manage growth across the region. It establishes a regional policy to guide the use and protection of these assets and provides a high level of certainty and direction for investors, infrastructure and service providers, </w:t>
      </w:r>
      <w:r w:rsidR="004A5A83" w:rsidRPr="005567F8">
        <w:rPr>
          <w:lang w:val="en-AU"/>
        </w:rPr>
        <w:t>and community</w:t>
      </w:r>
      <w:r w:rsidRPr="005567F8">
        <w:rPr>
          <w:lang w:val="en-AU"/>
        </w:rPr>
        <w:t xml:space="preserve"> and decision makers.</w:t>
      </w:r>
    </w:p>
    <w:p w:rsidR="00E44B40" w:rsidRPr="005567F8" w:rsidRDefault="00892034" w:rsidP="000E052D">
      <w:pPr>
        <w:pStyle w:val="bt"/>
        <w:rPr>
          <w:lang w:val="en-AU"/>
        </w:rPr>
      </w:pPr>
      <w:r w:rsidRPr="005567F8">
        <w:rPr>
          <w:lang w:val="en-AU"/>
        </w:rPr>
        <w:t>With modest projected population growth, regional growth planning in Loddon Mallee North is focusing on providing a land use framework to underpin sustained economic growth</w:t>
      </w:r>
      <w:r w:rsidR="007366F4" w:rsidRPr="005567F8">
        <w:rPr>
          <w:lang w:val="en-AU"/>
        </w:rPr>
        <w:t>,</w:t>
      </w:r>
      <w:r w:rsidRPr="005567F8">
        <w:rPr>
          <w:lang w:val="en-AU"/>
        </w:rPr>
        <w:t xml:space="preserve"> as well as addressing challenges arising from population change.</w:t>
      </w:r>
      <w:r w:rsidR="00D34C7E" w:rsidRPr="005567F8">
        <w:rPr>
          <w:lang w:val="en-AU"/>
        </w:rPr>
        <w:t xml:space="preserve"> The</w:t>
      </w:r>
      <w:r w:rsidR="00253D01" w:rsidRPr="005567F8">
        <w:rPr>
          <w:lang w:val="en-AU"/>
        </w:rPr>
        <w:t>re is a</w:t>
      </w:r>
      <w:r w:rsidR="00D34C7E" w:rsidRPr="005567F8">
        <w:rPr>
          <w:lang w:val="en-AU"/>
        </w:rPr>
        <w:t xml:space="preserve"> need to grow and diversif</w:t>
      </w:r>
      <w:r w:rsidRPr="005567F8">
        <w:rPr>
          <w:lang w:val="en-AU"/>
        </w:rPr>
        <w:t>y the region’s economy and take advantage of value</w:t>
      </w:r>
      <w:r w:rsidR="00253D01" w:rsidRPr="005567F8">
        <w:rPr>
          <w:lang w:val="en-AU"/>
        </w:rPr>
        <w:t>-</w:t>
      </w:r>
      <w:r w:rsidRPr="005567F8">
        <w:rPr>
          <w:lang w:val="en-AU"/>
        </w:rPr>
        <w:t>adding opportunities</w:t>
      </w:r>
      <w:r w:rsidR="00253D01" w:rsidRPr="005567F8">
        <w:rPr>
          <w:lang w:val="en-AU"/>
        </w:rPr>
        <w:t xml:space="preserve">, particularly for </w:t>
      </w:r>
      <w:r w:rsidR="00A6167A" w:rsidRPr="005567F8">
        <w:rPr>
          <w:lang w:val="en-AU"/>
        </w:rPr>
        <w:t>the agriculture</w:t>
      </w:r>
      <w:r w:rsidR="00B87E06" w:rsidRPr="005567F8">
        <w:rPr>
          <w:lang w:val="en-AU"/>
        </w:rPr>
        <w:t xml:space="preserve">, mining, alternative energy </w:t>
      </w:r>
      <w:r w:rsidRPr="005567F8">
        <w:rPr>
          <w:lang w:val="en-AU"/>
        </w:rPr>
        <w:t>and tourism</w:t>
      </w:r>
      <w:r w:rsidR="00253D01" w:rsidRPr="005567F8">
        <w:rPr>
          <w:lang w:val="en-AU"/>
        </w:rPr>
        <w:t xml:space="preserve"> sectors</w:t>
      </w:r>
      <w:r w:rsidRPr="005567F8">
        <w:rPr>
          <w:lang w:val="en-AU"/>
        </w:rPr>
        <w:t xml:space="preserve">. </w:t>
      </w:r>
      <w:r w:rsidR="009F270D" w:rsidRPr="005567F8">
        <w:rPr>
          <w:lang w:val="en-AU"/>
        </w:rPr>
        <w:t xml:space="preserve">Areas of strategic significance for agriculture will be identified to support the region’s </w:t>
      </w:r>
      <w:r w:rsidR="004C16D5" w:rsidRPr="005567F8">
        <w:rPr>
          <w:lang w:val="en-AU"/>
        </w:rPr>
        <w:t xml:space="preserve">aspiration to continue </w:t>
      </w:r>
      <w:r w:rsidR="00253D01" w:rsidRPr="005567F8">
        <w:rPr>
          <w:lang w:val="en-AU"/>
        </w:rPr>
        <w:t xml:space="preserve">to </w:t>
      </w:r>
      <w:r w:rsidR="005267CC" w:rsidRPr="005567F8">
        <w:rPr>
          <w:lang w:val="en-AU"/>
        </w:rPr>
        <w:t>be a</w:t>
      </w:r>
      <w:r w:rsidR="004C16D5" w:rsidRPr="005567F8">
        <w:rPr>
          <w:lang w:val="en-AU"/>
        </w:rPr>
        <w:t xml:space="preserve"> nationally recognised food bowl.</w:t>
      </w:r>
    </w:p>
    <w:p w:rsidR="00996D0B" w:rsidRPr="005567F8" w:rsidRDefault="009B3694" w:rsidP="000E052D">
      <w:pPr>
        <w:pStyle w:val="bt"/>
        <w:rPr>
          <w:lang w:val="en-AU"/>
        </w:rPr>
      </w:pPr>
      <w:r w:rsidRPr="005567F8">
        <w:rPr>
          <w:lang w:val="en-AU"/>
        </w:rPr>
        <w:t xml:space="preserve">The settlement framework for the region has been structured around five communities of interest: Mallee, Eastern Mallee, Buloke, Campaspe and Gannawarra and builds </w:t>
      </w:r>
      <w:r w:rsidR="005267CC" w:rsidRPr="005567F8">
        <w:rPr>
          <w:lang w:val="en-AU"/>
        </w:rPr>
        <w:t>on existing</w:t>
      </w:r>
      <w:r w:rsidRPr="005567F8">
        <w:rPr>
          <w:lang w:val="en-AU"/>
        </w:rPr>
        <w:t xml:space="preserve"> settlement relationships and networks. These communities of interest acknowledge the strong interrelationships of </w:t>
      </w:r>
      <w:r w:rsidR="005B41AB" w:rsidRPr="005567F8">
        <w:rPr>
          <w:lang w:val="en-AU"/>
        </w:rPr>
        <w:t>the region’s</w:t>
      </w:r>
      <w:r w:rsidR="006C42AC" w:rsidRPr="005567F8">
        <w:rPr>
          <w:lang w:val="en-AU"/>
        </w:rPr>
        <w:t xml:space="preserve"> settlements with those in neighbouring regions and interstate. The projected population increase of 25,000 </w:t>
      </w:r>
      <w:r w:rsidR="00253D01" w:rsidRPr="005567F8">
        <w:rPr>
          <w:lang w:val="en-AU"/>
        </w:rPr>
        <w:t xml:space="preserve">people </w:t>
      </w:r>
      <w:r w:rsidR="006C42AC" w:rsidRPr="005567F8">
        <w:rPr>
          <w:lang w:val="en-AU"/>
        </w:rPr>
        <w:t>by 2041 will be unevenly spread across the region and accommodated mainly in the regional city of Mildura</w:t>
      </w:r>
      <w:r w:rsidR="00C32F9F" w:rsidRPr="005567F8">
        <w:rPr>
          <w:lang w:val="en-AU"/>
        </w:rPr>
        <w:t>,</w:t>
      </w:r>
      <w:r w:rsidR="006C42AC" w:rsidRPr="005567F8">
        <w:rPr>
          <w:lang w:val="en-AU"/>
        </w:rPr>
        <w:t xml:space="preserve"> </w:t>
      </w:r>
      <w:r w:rsidR="00253D01" w:rsidRPr="005567F8">
        <w:rPr>
          <w:lang w:val="en-AU"/>
        </w:rPr>
        <w:t xml:space="preserve">as well as </w:t>
      </w:r>
      <w:r w:rsidR="007366F4" w:rsidRPr="005567F8">
        <w:rPr>
          <w:lang w:val="en-AU"/>
        </w:rPr>
        <w:t xml:space="preserve">the </w:t>
      </w:r>
      <w:r w:rsidR="006C42AC" w:rsidRPr="005567F8">
        <w:rPr>
          <w:lang w:val="en-AU"/>
        </w:rPr>
        <w:t>regional centres of Echuca and Swan Hill. A network of towns</w:t>
      </w:r>
      <w:r w:rsidR="007366F4" w:rsidRPr="005567F8">
        <w:rPr>
          <w:lang w:val="en-AU"/>
        </w:rPr>
        <w:t>,</w:t>
      </w:r>
      <w:r w:rsidR="006C42AC" w:rsidRPr="005567F8">
        <w:rPr>
          <w:lang w:val="en-AU"/>
        </w:rPr>
        <w:t xml:space="preserve"> including</w:t>
      </w:r>
      <w:r w:rsidR="00E44B40" w:rsidRPr="005567F8">
        <w:rPr>
          <w:lang w:val="en-AU"/>
        </w:rPr>
        <w:t xml:space="preserve"> Kerang, Kyabram, Rochester, Donald, Birchip</w:t>
      </w:r>
      <w:r w:rsidR="00253D01" w:rsidRPr="005567F8">
        <w:rPr>
          <w:lang w:val="en-AU"/>
        </w:rPr>
        <w:t xml:space="preserve"> and</w:t>
      </w:r>
      <w:r w:rsidR="00E44B40" w:rsidRPr="005567F8">
        <w:rPr>
          <w:lang w:val="en-AU"/>
        </w:rPr>
        <w:t xml:space="preserve"> Robinvale</w:t>
      </w:r>
      <w:r w:rsidR="007366F4" w:rsidRPr="005567F8">
        <w:rPr>
          <w:lang w:val="en-AU"/>
        </w:rPr>
        <w:t>,</w:t>
      </w:r>
      <w:r w:rsidR="00E44B40" w:rsidRPr="005567F8">
        <w:rPr>
          <w:lang w:val="en-AU"/>
        </w:rPr>
        <w:t xml:space="preserve"> provide</w:t>
      </w:r>
      <w:r w:rsidR="005567F8">
        <w:rPr>
          <w:lang w:val="en-AU"/>
        </w:rPr>
        <w:t>s</w:t>
      </w:r>
      <w:r w:rsidR="00E44B40" w:rsidRPr="005567F8">
        <w:rPr>
          <w:lang w:val="en-AU"/>
        </w:rPr>
        <w:t xml:space="preserve"> affordable housing and employment opportunities. </w:t>
      </w:r>
      <w:r w:rsidR="00996D0B" w:rsidRPr="005567F8">
        <w:rPr>
          <w:lang w:val="en-AU"/>
        </w:rPr>
        <w:t xml:space="preserve">While some towns will experience little growth or population </w:t>
      </w:r>
      <w:r w:rsidR="00D50AC0" w:rsidRPr="005567F8">
        <w:rPr>
          <w:lang w:val="en-AU"/>
        </w:rPr>
        <w:t>decrease</w:t>
      </w:r>
      <w:r w:rsidR="00996D0B" w:rsidRPr="005567F8">
        <w:rPr>
          <w:lang w:val="en-AU"/>
        </w:rPr>
        <w:t xml:space="preserve">, their importance as service centres </w:t>
      </w:r>
      <w:r w:rsidR="00253D01" w:rsidRPr="005567F8">
        <w:rPr>
          <w:lang w:val="en-AU"/>
        </w:rPr>
        <w:t>for</w:t>
      </w:r>
      <w:r w:rsidR="00996D0B" w:rsidRPr="005567F8">
        <w:rPr>
          <w:lang w:val="en-AU"/>
        </w:rPr>
        <w:t xml:space="preserve"> dispersed</w:t>
      </w:r>
      <w:r w:rsidR="00253D01" w:rsidRPr="005567F8">
        <w:rPr>
          <w:lang w:val="en-AU"/>
        </w:rPr>
        <w:t xml:space="preserve">, </w:t>
      </w:r>
      <w:r w:rsidR="00996D0B" w:rsidRPr="005567F8">
        <w:rPr>
          <w:lang w:val="en-AU"/>
        </w:rPr>
        <w:t>remote rural populations will be supported.</w:t>
      </w:r>
      <w:r w:rsidRPr="005567F8">
        <w:rPr>
          <w:lang w:val="en-AU"/>
        </w:rPr>
        <w:t xml:space="preserve"> </w:t>
      </w:r>
    </w:p>
    <w:p w:rsidR="004C5EB4" w:rsidRPr="005567F8" w:rsidRDefault="004C16D5" w:rsidP="00A435D9">
      <w:pPr>
        <w:pStyle w:val="bt"/>
        <w:rPr>
          <w:lang w:val="en-AU"/>
        </w:rPr>
      </w:pPr>
      <w:r w:rsidRPr="005567F8">
        <w:rPr>
          <w:lang w:val="en-AU"/>
        </w:rPr>
        <w:t>Economic development and future settlement patterns are planned to take advantage</w:t>
      </w:r>
      <w:r w:rsidR="00D34C7E" w:rsidRPr="005567F8">
        <w:rPr>
          <w:lang w:val="en-AU"/>
        </w:rPr>
        <w:t xml:space="preserve"> of existing infrastructure, </w:t>
      </w:r>
      <w:r w:rsidRPr="005567F8">
        <w:rPr>
          <w:lang w:val="en-AU"/>
        </w:rPr>
        <w:t>servicing investment</w:t>
      </w:r>
      <w:r w:rsidR="00D34C7E" w:rsidRPr="005567F8">
        <w:rPr>
          <w:lang w:val="en-AU"/>
        </w:rPr>
        <w:t xml:space="preserve"> and capacity. Significant road and rail networks are identified to support the region’s growth and </w:t>
      </w:r>
      <w:r w:rsidR="00253D01" w:rsidRPr="005567F8">
        <w:rPr>
          <w:lang w:val="en-AU"/>
        </w:rPr>
        <w:t xml:space="preserve">facilitate </w:t>
      </w:r>
      <w:r w:rsidR="00D34C7E" w:rsidRPr="005567F8">
        <w:rPr>
          <w:lang w:val="en-AU"/>
        </w:rPr>
        <w:t xml:space="preserve">access to markets and services within and beyond the region. </w:t>
      </w:r>
    </w:p>
    <w:p w:rsidR="000E052D" w:rsidRDefault="000E052D" w:rsidP="00E7445F">
      <w:pPr>
        <w:pStyle w:val="bt"/>
        <w:rPr>
          <w:lang w:val="en-AU"/>
        </w:rPr>
      </w:pPr>
      <w:r w:rsidRPr="005567F8">
        <w:rPr>
          <w:lang w:val="en-AU"/>
        </w:rPr>
        <w:t xml:space="preserve">The </w:t>
      </w:r>
      <w:r w:rsidR="005B41AB" w:rsidRPr="005567F8">
        <w:rPr>
          <w:lang w:val="en-AU"/>
        </w:rPr>
        <w:t xml:space="preserve">plan </w:t>
      </w:r>
      <w:r w:rsidRPr="005567F8">
        <w:rPr>
          <w:lang w:val="en-AU"/>
        </w:rPr>
        <w:t>is driven by eight guiding principles</w:t>
      </w:r>
      <w:r w:rsidR="005B41AB" w:rsidRPr="005567F8">
        <w:rPr>
          <w:lang w:val="en-AU"/>
        </w:rPr>
        <w:t>:</w:t>
      </w:r>
    </w:p>
    <w:p w:rsidR="00E7445F" w:rsidRPr="005567F8" w:rsidRDefault="000E052D" w:rsidP="005F4E9C">
      <w:pPr>
        <w:pStyle w:val="ListNumber"/>
        <w:numPr>
          <w:ilvl w:val="0"/>
          <w:numId w:val="22"/>
        </w:numPr>
        <w:rPr>
          <w:lang w:val="en-AU"/>
        </w:rPr>
      </w:pPr>
      <w:r w:rsidRPr="005567F8">
        <w:rPr>
          <w:lang w:val="en-AU"/>
        </w:rPr>
        <w:t>Align population and economic growth</w:t>
      </w:r>
    </w:p>
    <w:p w:rsidR="00E7445F" w:rsidRPr="005567F8" w:rsidRDefault="00E7445F" w:rsidP="005F4E9C">
      <w:pPr>
        <w:pStyle w:val="ListNumber"/>
        <w:numPr>
          <w:ilvl w:val="0"/>
          <w:numId w:val="22"/>
        </w:numPr>
        <w:rPr>
          <w:lang w:val="en-AU"/>
        </w:rPr>
      </w:pPr>
      <w:r w:rsidRPr="005567F8">
        <w:rPr>
          <w:lang w:val="en-AU"/>
        </w:rPr>
        <w:lastRenderedPageBreak/>
        <w:t>Realise opportunities to strengthen and diversify the regional economy</w:t>
      </w:r>
    </w:p>
    <w:p w:rsidR="00081088" w:rsidRPr="005567F8" w:rsidRDefault="00081088" w:rsidP="005F4E9C">
      <w:pPr>
        <w:pStyle w:val="ListNumber"/>
        <w:numPr>
          <w:ilvl w:val="0"/>
          <w:numId w:val="22"/>
        </w:numPr>
        <w:rPr>
          <w:lang w:val="en-AU"/>
        </w:rPr>
      </w:pPr>
      <w:r w:rsidRPr="005567F8">
        <w:rPr>
          <w:lang w:val="en-AU"/>
        </w:rPr>
        <w:t>Support and manage our rural landscapes</w:t>
      </w:r>
    </w:p>
    <w:p w:rsidR="00E7445F" w:rsidRPr="005567F8" w:rsidRDefault="00E7445F" w:rsidP="005F4E9C">
      <w:pPr>
        <w:pStyle w:val="ListNumber"/>
        <w:numPr>
          <w:ilvl w:val="0"/>
          <w:numId w:val="22"/>
        </w:numPr>
        <w:rPr>
          <w:lang w:val="en-AU"/>
        </w:rPr>
      </w:pPr>
      <w:r w:rsidRPr="005567F8">
        <w:rPr>
          <w:lang w:val="en-AU"/>
        </w:rPr>
        <w:t xml:space="preserve">Be custodians of our region’s </w:t>
      </w:r>
      <w:r w:rsidR="00D50AC0" w:rsidRPr="005567F8">
        <w:rPr>
          <w:lang w:val="en-AU"/>
        </w:rPr>
        <w:t xml:space="preserve">environmental </w:t>
      </w:r>
      <w:r w:rsidRPr="005567F8">
        <w:rPr>
          <w:lang w:val="en-AU"/>
        </w:rPr>
        <w:t>and cultural</w:t>
      </w:r>
      <w:r w:rsidR="00CE170F" w:rsidRPr="005567F8">
        <w:rPr>
          <w:lang w:val="en-AU"/>
        </w:rPr>
        <w:t xml:space="preserve"> heritage</w:t>
      </w:r>
      <w:r w:rsidRPr="005567F8">
        <w:rPr>
          <w:lang w:val="en-AU"/>
        </w:rPr>
        <w:t xml:space="preserve"> assets and minimise the region’s exposure to </w:t>
      </w:r>
      <w:r w:rsidR="00D50AC0" w:rsidRPr="005567F8">
        <w:rPr>
          <w:lang w:val="en-AU"/>
        </w:rPr>
        <w:t>natural hazards</w:t>
      </w:r>
    </w:p>
    <w:p w:rsidR="00E7445F" w:rsidRPr="005567F8" w:rsidRDefault="00E7445F" w:rsidP="005F4E9C">
      <w:pPr>
        <w:pStyle w:val="ListNumber"/>
        <w:numPr>
          <w:ilvl w:val="0"/>
          <w:numId w:val="22"/>
        </w:numPr>
        <w:rPr>
          <w:lang w:val="en-AU"/>
        </w:rPr>
      </w:pPr>
      <w:r w:rsidRPr="005567F8">
        <w:rPr>
          <w:lang w:val="en-AU"/>
        </w:rPr>
        <w:t>Protect and provide local sense of place</w:t>
      </w:r>
    </w:p>
    <w:p w:rsidR="006261B5" w:rsidRPr="005567F8" w:rsidRDefault="006261B5" w:rsidP="005F4E9C">
      <w:pPr>
        <w:pStyle w:val="ListNumber"/>
        <w:numPr>
          <w:ilvl w:val="0"/>
          <w:numId w:val="22"/>
        </w:numPr>
        <w:rPr>
          <w:lang w:val="en-AU"/>
        </w:rPr>
      </w:pPr>
      <w:r w:rsidRPr="005567F8">
        <w:rPr>
          <w:lang w:val="en-AU"/>
        </w:rPr>
        <w:t>Develop a living network of towns</w:t>
      </w:r>
    </w:p>
    <w:p w:rsidR="006261B5" w:rsidRPr="005567F8" w:rsidRDefault="006261B5" w:rsidP="005F4E9C">
      <w:pPr>
        <w:pStyle w:val="ListNumber"/>
        <w:numPr>
          <w:ilvl w:val="0"/>
          <w:numId w:val="22"/>
        </w:numPr>
        <w:rPr>
          <w:lang w:val="en-AU"/>
        </w:rPr>
      </w:pPr>
      <w:r w:rsidRPr="005567F8">
        <w:rPr>
          <w:lang w:val="en-AU"/>
        </w:rPr>
        <w:t>Enable healthy lifestyles</w:t>
      </w:r>
    </w:p>
    <w:p w:rsidR="006261B5" w:rsidRPr="005567F8" w:rsidRDefault="006261B5" w:rsidP="005F4E9C">
      <w:pPr>
        <w:pStyle w:val="ListNumber"/>
        <w:numPr>
          <w:ilvl w:val="0"/>
          <w:numId w:val="22"/>
        </w:numPr>
        <w:rPr>
          <w:lang w:val="en-AU"/>
        </w:rPr>
      </w:pPr>
      <w:r w:rsidRPr="005567F8">
        <w:rPr>
          <w:lang w:val="en-AU"/>
        </w:rPr>
        <w:t>Strategically retain, renew and build infrastructure to support growth and enable healthy and supportive communities</w:t>
      </w:r>
      <w:r w:rsidR="007366F4" w:rsidRPr="005567F8">
        <w:rPr>
          <w:lang w:val="en-AU"/>
        </w:rPr>
        <w:t>.</w:t>
      </w:r>
    </w:p>
    <w:p w:rsidR="00E7445F" w:rsidRPr="005567F8" w:rsidRDefault="00826317" w:rsidP="00E7445F">
      <w:pPr>
        <w:pStyle w:val="bt"/>
        <w:rPr>
          <w:lang w:val="en-AU"/>
        </w:rPr>
      </w:pPr>
      <w:r w:rsidRPr="005567F8">
        <w:rPr>
          <w:lang w:val="en-AU"/>
        </w:rPr>
        <w:t xml:space="preserve">The land use planning future directions </w:t>
      </w:r>
      <w:r w:rsidR="00253D01" w:rsidRPr="005567F8">
        <w:rPr>
          <w:lang w:val="en-AU"/>
        </w:rPr>
        <w:t>for</w:t>
      </w:r>
      <w:r w:rsidRPr="005567F8">
        <w:rPr>
          <w:lang w:val="en-AU"/>
        </w:rPr>
        <w:t xml:space="preserve"> address</w:t>
      </w:r>
      <w:r w:rsidR="00253D01" w:rsidRPr="005567F8">
        <w:rPr>
          <w:lang w:val="en-AU"/>
        </w:rPr>
        <w:t>ing</w:t>
      </w:r>
      <w:r w:rsidRPr="005567F8">
        <w:rPr>
          <w:lang w:val="en-AU"/>
        </w:rPr>
        <w:t xml:space="preserve"> regional challenges and opportunities are summarised against four themes as follows:</w:t>
      </w:r>
    </w:p>
    <w:p w:rsidR="00826317" w:rsidRPr="00A435D9" w:rsidRDefault="0052071E" w:rsidP="00A435D9">
      <w:pPr>
        <w:pStyle w:val="bt"/>
        <w:rPr>
          <w:rStyle w:val="Strong"/>
        </w:rPr>
      </w:pPr>
      <w:r w:rsidRPr="00A435D9">
        <w:rPr>
          <w:rStyle w:val="Strong"/>
        </w:rPr>
        <w:t>Regional economy</w:t>
      </w:r>
    </w:p>
    <w:p w:rsidR="00826317" w:rsidRPr="005567F8" w:rsidRDefault="00826317" w:rsidP="00D902AD">
      <w:pPr>
        <w:pStyle w:val="btbullet"/>
        <w:rPr>
          <w:lang w:val="en-AU"/>
        </w:rPr>
      </w:pPr>
      <w:r w:rsidRPr="005567F8">
        <w:rPr>
          <w:lang w:val="en-AU"/>
        </w:rPr>
        <w:t>Facilitate vibrant and prosperous commercial centres and industrial hubs in the region’s major urban centres that respond to changing population and markets</w:t>
      </w:r>
    </w:p>
    <w:p w:rsidR="00035457" w:rsidRPr="005567F8" w:rsidRDefault="00035457" w:rsidP="00035457">
      <w:pPr>
        <w:pStyle w:val="btbullet"/>
        <w:rPr>
          <w:lang w:val="en-AU"/>
        </w:rPr>
      </w:pPr>
      <w:r w:rsidRPr="005567F8">
        <w:rPr>
          <w:lang w:val="en-AU"/>
        </w:rPr>
        <w:t>Further diversify the primary production, service and manufacturing industries to support job creation, investment and value-adding to local products</w:t>
      </w:r>
    </w:p>
    <w:p w:rsidR="00035457" w:rsidRPr="005567F8" w:rsidRDefault="00035457" w:rsidP="00035457">
      <w:pPr>
        <w:pStyle w:val="btbullet"/>
        <w:rPr>
          <w:lang w:val="en-AU"/>
        </w:rPr>
      </w:pPr>
      <w:r w:rsidRPr="005567F8">
        <w:rPr>
          <w:lang w:val="en-AU"/>
        </w:rPr>
        <w:t xml:space="preserve">Protect key regional assets to ensure future prosperity, including </w:t>
      </w:r>
      <w:r w:rsidR="00F71F7D">
        <w:rPr>
          <w:lang w:val="en-AU"/>
        </w:rPr>
        <w:t>those</w:t>
      </w:r>
      <w:r w:rsidR="00F71F7D" w:rsidRPr="005567F8">
        <w:rPr>
          <w:lang w:val="en-AU"/>
        </w:rPr>
        <w:t xml:space="preserve"> </w:t>
      </w:r>
      <w:r w:rsidRPr="005567F8">
        <w:rPr>
          <w:lang w:val="en-AU"/>
        </w:rPr>
        <w:t>arising from strategically important rural land uses</w:t>
      </w:r>
    </w:p>
    <w:p w:rsidR="00826317" w:rsidRPr="005567F8" w:rsidRDefault="00826317" w:rsidP="00D902AD">
      <w:pPr>
        <w:pStyle w:val="btbullet"/>
        <w:rPr>
          <w:lang w:val="en-AU"/>
        </w:rPr>
      </w:pPr>
      <w:r w:rsidRPr="005567F8">
        <w:rPr>
          <w:lang w:val="en-AU"/>
        </w:rPr>
        <w:t xml:space="preserve">Maximise the local and regional benefits of </w:t>
      </w:r>
      <w:r w:rsidR="000D0FA3" w:rsidRPr="005567F8">
        <w:rPr>
          <w:lang w:val="en-AU"/>
        </w:rPr>
        <w:t>emerging</w:t>
      </w:r>
      <w:r w:rsidRPr="005567F8">
        <w:rPr>
          <w:lang w:val="en-AU"/>
        </w:rPr>
        <w:t xml:space="preserve"> economic opportunities associated with future growth in mining, food production and energy</w:t>
      </w:r>
    </w:p>
    <w:p w:rsidR="000E052D" w:rsidRPr="005567F8" w:rsidRDefault="0052071E" w:rsidP="00A435D9">
      <w:pPr>
        <w:pStyle w:val="bt"/>
        <w:rPr>
          <w:rStyle w:val="Strong"/>
          <w:lang w:val="en-AU"/>
        </w:rPr>
      </w:pPr>
      <w:r w:rsidRPr="005567F8">
        <w:rPr>
          <w:rStyle w:val="Strong"/>
          <w:lang w:val="en-AU"/>
        </w:rPr>
        <w:t>Environment and heritage</w:t>
      </w:r>
    </w:p>
    <w:p w:rsidR="00D902AD" w:rsidRPr="005567F8" w:rsidRDefault="00D902AD" w:rsidP="00D902AD">
      <w:pPr>
        <w:pStyle w:val="btbullet"/>
        <w:rPr>
          <w:lang w:val="en-AU"/>
        </w:rPr>
      </w:pPr>
      <w:r w:rsidRPr="005567F8">
        <w:rPr>
          <w:lang w:val="en-AU"/>
        </w:rPr>
        <w:t>Manage risks to Loddon Mallee North’s community and economy from natural hazards</w:t>
      </w:r>
    </w:p>
    <w:p w:rsidR="00D902AD" w:rsidRPr="005567F8" w:rsidRDefault="00D902AD" w:rsidP="00D902AD">
      <w:pPr>
        <w:pStyle w:val="btbullet"/>
        <w:rPr>
          <w:lang w:val="en-AU"/>
        </w:rPr>
      </w:pPr>
      <w:r w:rsidRPr="005567F8">
        <w:rPr>
          <w:lang w:val="en-AU"/>
        </w:rPr>
        <w:t>Protect and improve the condition of Loddon Mallee North’s environmental and cultural heritage assets to achieve the best outcome for the region’s environment, economy and community</w:t>
      </w:r>
    </w:p>
    <w:p w:rsidR="00D902AD" w:rsidRPr="005567F8" w:rsidRDefault="00D902AD" w:rsidP="00D902AD">
      <w:pPr>
        <w:pStyle w:val="btbullet"/>
        <w:rPr>
          <w:lang w:val="en-AU"/>
        </w:rPr>
      </w:pPr>
      <w:r w:rsidRPr="005567F8">
        <w:rPr>
          <w:lang w:val="en-AU"/>
        </w:rPr>
        <w:t xml:space="preserve">Plan for </w:t>
      </w:r>
      <w:r w:rsidR="00CE170F" w:rsidRPr="005567F8">
        <w:rPr>
          <w:lang w:val="en-AU"/>
        </w:rPr>
        <w:t xml:space="preserve">and manage </w:t>
      </w:r>
      <w:r w:rsidRPr="005567F8">
        <w:rPr>
          <w:lang w:val="en-AU"/>
        </w:rPr>
        <w:t xml:space="preserve">potential </w:t>
      </w:r>
      <w:r w:rsidR="00D50AC0" w:rsidRPr="005567F8">
        <w:rPr>
          <w:lang w:val="en-AU"/>
        </w:rPr>
        <w:t xml:space="preserve">risks </w:t>
      </w:r>
      <w:r w:rsidRPr="005567F8">
        <w:rPr>
          <w:lang w:val="en-AU"/>
        </w:rPr>
        <w:t xml:space="preserve">and opportunities arising from climate change and </w:t>
      </w:r>
      <w:r w:rsidR="002C1AC7" w:rsidRPr="005567F8">
        <w:rPr>
          <w:lang w:val="en-AU"/>
        </w:rPr>
        <w:t>initiatives that support national and global action to reduce greenhouse gas emissions</w:t>
      </w:r>
    </w:p>
    <w:p w:rsidR="000E052D" w:rsidRPr="005567F8" w:rsidRDefault="0052071E" w:rsidP="00A435D9">
      <w:pPr>
        <w:pStyle w:val="bt"/>
        <w:rPr>
          <w:rStyle w:val="Strong"/>
          <w:lang w:val="en-AU"/>
        </w:rPr>
      </w:pPr>
      <w:r w:rsidRPr="005567F8">
        <w:rPr>
          <w:rStyle w:val="Strong"/>
          <w:lang w:val="en-AU"/>
        </w:rPr>
        <w:t>Living in the region</w:t>
      </w:r>
    </w:p>
    <w:p w:rsidR="00D902AD" w:rsidRPr="005567F8" w:rsidRDefault="00D902AD" w:rsidP="00D902AD">
      <w:pPr>
        <w:pStyle w:val="btbullet"/>
        <w:rPr>
          <w:lang w:val="en-AU"/>
        </w:rPr>
      </w:pPr>
      <w:r w:rsidRPr="005567F8">
        <w:rPr>
          <w:lang w:val="en-AU"/>
        </w:rPr>
        <w:t>Direct major population and housing growth to existing regional cities and centres where infrastructure and services can be used in the most efficient, cost</w:t>
      </w:r>
      <w:r w:rsidR="003B313E">
        <w:rPr>
          <w:lang w:val="en-AU"/>
        </w:rPr>
        <w:t>-</w:t>
      </w:r>
      <w:r w:rsidRPr="005567F8">
        <w:rPr>
          <w:lang w:val="en-AU"/>
        </w:rPr>
        <w:t>effective and sustainable manner</w:t>
      </w:r>
    </w:p>
    <w:p w:rsidR="00D83094" w:rsidRPr="005567F8" w:rsidRDefault="00D83094" w:rsidP="00D902AD">
      <w:pPr>
        <w:pStyle w:val="btbullet"/>
        <w:rPr>
          <w:lang w:val="en-AU"/>
        </w:rPr>
      </w:pPr>
      <w:r w:rsidRPr="005567F8">
        <w:rPr>
          <w:lang w:val="en-AU"/>
        </w:rPr>
        <w:t>Improve linkages</w:t>
      </w:r>
      <w:r w:rsidR="00F36D28" w:rsidRPr="005567F8">
        <w:rPr>
          <w:lang w:val="en-AU"/>
        </w:rPr>
        <w:t xml:space="preserve"> </w:t>
      </w:r>
      <w:r w:rsidRPr="005567F8">
        <w:rPr>
          <w:lang w:val="en-AU"/>
        </w:rPr>
        <w:t>within and between Loddon Mallee North’s five communities of interest</w:t>
      </w:r>
    </w:p>
    <w:p w:rsidR="00D902AD" w:rsidRPr="005567F8" w:rsidRDefault="00D902AD" w:rsidP="00D902AD">
      <w:pPr>
        <w:pStyle w:val="btbullet"/>
        <w:rPr>
          <w:lang w:val="en-AU"/>
        </w:rPr>
      </w:pPr>
      <w:r w:rsidRPr="005567F8">
        <w:rPr>
          <w:lang w:val="en-AU"/>
        </w:rPr>
        <w:t>Anticipate and respond to changing community needs to support growth and demographic change</w:t>
      </w:r>
    </w:p>
    <w:p w:rsidR="000E052D" w:rsidRPr="005567F8" w:rsidRDefault="0052071E" w:rsidP="00A435D9">
      <w:pPr>
        <w:pStyle w:val="bt"/>
        <w:rPr>
          <w:rStyle w:val="Strong"/>
          <w:lang w:val="en-AU"/>
        </w:rPr>
      </w:pPr>
      <w:r w:rsidRPr="005567F8">
        <w:rPr>
          <w:rStyle w:val="Strong"/>
          <w:lang w:val="en-AU"/>
        </w:rPr>
        <w:t xml:space="preserve">Regional </w:t>
      </w:r>
      <w:r w:rsidR="00FD3D45" w:rsidRPr="005567F8">
        <w:rPr>
          <w:rStyle w:val="Strong"/>
          <w:lang w:val="en-AU"/>
        </w:rPr>
        <w:t>i</w:t>
      </w:r>
      <w:r w:rsidRPr="005567F8">
        <w:rPr>
          <w:rStyle w:val="Strong"/>
          <w:lang w:val="en-AU"/>
        </w:rPr>
        <w:t>nfrastructure</w:t>
      </w:r>
    </w:p>
    <w:p w:rsidR="00D83094" w:rsidRPr="005567F8" w:rsidRDefault="00D83094" w:rsidP="00D83094">
      <w:pPr>
        <w:pStyle w:val="btbullet"/>
        <w:rPr>
          <w:lang w:val="en-AU"/>
        </w:rPr>
      </w:pPr>
      <w:r w:rsidRPr="005567F8">
        <w:rPr>
          <w:lang w:val="en-AU"/>
        </w:rPr>
        <w:t>Support health, education and sporting facilities to meet local needs and promote social inclusion and community cohesion</w:t>
      </w:r>
    </w:p>
    <w:p w:rsidR="00D902AD" w:rsidRPr="005567F8" w:rsidRDefault="00D902AD" w:rsidP="00D902AD">
      <w:pPr>
        <w:pStyle w:val="btbullet"/>
        <w:rPr>
          <w:lang w:val="en-AU"/>
        </w:rPr>
      </w:pPr>
      <w:r w:rsidRPr="005567F8">
        <w:rPr>
          <w:lang w:val="en-AU"/>
        </w:rPr>
        <w:t xml:space="preserve">Work with utility and service agencies to optimise access to gas, electricity, drainage, water, </w:t>
      </w:r>
      <w:r w:rsidR="009B178C" w:rsidRPr="005567F8">
        <w:rPr>
          <w:lang w:val="en-AU"/>
        </w:rPr>
        <w:t xml:space="preserve">waste, </w:t>
      </w:r>
      <w:r w:rsidRPr="005567F8">
        <w:rPr>
          <w:lang w:val="en-AU"/>
        </w:rPr>
        <w:t xml:space="preserve">sewerage and telecommunications </w:t>
      </w:r>
      <w:r w:rsidR="00480722">
        <w:rPr>
          <w:lang w:val="en-AU"/>
        </w:rPr>
        <w:t>to</w:t>
      </w:r>
      <w:r w:rsidRPr="005567F8">
        <w:rPr>
          <w:lang w:val="en-AU"/>
        </w:rPr>
        <w:t xml:space="preserve"> cater for the population and economic needs of the region</w:t>
      </w:r>
    </w:p>
    <w:p w:rsidR="00D902AD" w:rsidRPr="005567F8" w:rsidRDefault="00D902AD" w:rsidP="00590DDE">
      <w:pPr>
        <w:pStyle w:val="btbullet"/>
        <w:rPr>
          <w:lang w:val="en-AU"/>
        </w:rPr>
      </w:pPr>
      <w:r w:rsidRPr="005567F8">
        <w:rPr>
          <w:lang w:val="en-AU"/>
        </w:rPr>
        <w:t xml:space="preserve">Support road, rail and logistics </w:t>
      </w:r>
      <w:r w:rsidR="00253D01" w:rsidRPr="005567F8">
        <w:rPr>
          <w:lang w:val="en-AU"/>
        </w:rPr>
        <w:t>upgrades</w:t>
      </w:r>
      <w:r w:rsidRPr="005567F8">
        <w:rPr>
          <w:lang w:val="en-AU"/>
        </w:rPr>
        <w:t xml:space="preserve"> to </w:t>
      </w:r>
      <w:r w:rsidR="00253D01" w:rsidRPr="005567F8">
        <w:rPr>
          <w:lang w:val="en-AU"/>
        </w:rPr>
        <w:t>improve</w:t>
      </w:r>
      <w:r w:rsidRPr="005567F8">
        <w:rPr>
          <w:lang w:val="en-AU"/>
        </w:rPr>
        <w:t xml:space="preserve"> economic growth and accessibility</w:t>
      </w:r>
    </w:p>
    <w:p w:rsidR="00CD03E8" w:rsidRPr="005567F8" w:rsidRDefault="00CD03E8" w:rsidP="00590DDE">
      <w:pPr>
        <w:pStyle w:val="btbullet"/>
        <w:rPr>
          <w:lang w:val="en-AU"/>
        </w:rPr>
        <w:sectPr w:rsidR="00CD03E8" w:rsidRPr="005567F8" w:rsidSect="00834ED5">
          <w:headerReference w:type="default" r:id="rId18"/>
          <w:footerReference w:type="default" r:id="rId19"/>
          <w:headerReference w:type="first" r:id="rId20"/>
          <w:pgSz w:w="11906" w:h="16838"/>
          <w:pgMar w:top="1440" w:right="1440" w:bottom="993" w:left="1440" w:header="708" w:footer="708" w:gutter="0"/>
          <w:pgNumType w:fmt="lowerRoman" w:start="1"/>
          <w:cols w:space="708"/>
          <w:docGrid w:linePitch="360"/>
        </w:sectPr>
      </w:pPr>
    </w:p>
    <w:p w:rsidR="00A43B5F" w:rsidRPr="005567F8" w:rsidRDefault="00A43B5F" w:rsidP="00347423">
      <w:pPr>
        <w:pStyle w:val="Heading1"/>
        <w:rPr>
          <w:lang w:val="en-AU"/>
        </w:rPr>
      </w:pPr>
      <w:bookmarkStart w:id="3" w:name="_Toc377031439"/>
      <w:r w:rsidRPr="005567F8">
        <w:rPr>
          <w:lang w:val="en-AU"/>
        </w:rPr>
        <w:lastRenderedPageBreak/>
        <w:t>PART A</w:t>
      </w:r>
      <w:r w:rsidR="00A61BAF">
        <w:rPr>
          <w:lang w:val="en-AU"/>
        </w:rPr>
        <w:t>:</w:t>
      </w:r>
      <w:r w:rsidRPr="005567F8">
        <w:rPr>
          <w:lang w:val="en-AU"/>
        </w:rPr>
        <w:tab/>
        <w:t>I</w:t>
      </w:r>
      <w:r w:rsidR="009B6188" w:rsidRPr="005567F8">
        <w:rPr>
          <w:lang w:val="en-AU"/>
        </w:rPr>
        <w:t>NTRODUCTION</w:t>
      </w:r>
      <w:bookmarkEnd w:id="3"/>
    </w:p>
    <w:p w:rsidR="00D533B4" w:rsidRPr="005567F8" w:rsidRDefault="006C17DF" w:rsidP="00FF2BCB">
      <w:pPr>
        <w:pStyle w:val="Heading11"/>
      </w:pPr>
      <w:bookmarkStart w:id="4" w:name="_Toc377031440"/>
      <w:r w:rsidRPr="005567F8">
        <w:t>What is a</w:t>
      </w:r>
      <w:r w:rsidR="00A13A59" w:rsidRPr="005567F8">
        <w:t xml:space="preserve"> </w:t>
      </w:r>
      <w:r w:rsidR="00253D01" w:rsidRPr="005567F8">
        <w:t>r</w:t>
      </w:r>
      <w:r w:rsidR="00A13A59" w:rsidRPr="005567F8">
        <w:t xml:space="preserve">egional </w:t>
      </w:r>
      <w:r w:rsidR="00253D01" w:rsidRPr="005567F8">
        <w:t>g</w:t>
      </w:r>
      <w:r w:rsidR="00A13A59" w:rsidRPr="005567F8">
        <w:t xml:space="preserve">rowth </w:t>
      </w:r>
      <w:r w:rsidR="00253D01" w:rsidRPr="005567F8">
        <w:t>p</w:t>
      </w:r>
      <w:r w:rsidR="00A13A59" w:rsidRPr="005567F8">
        <w:t>lan</w:t>
      </w:r>
      <w:r w:rsidRPr="005567F8">
        <w:t>?</w:t>
      </w:r>
      <w:bookmarkEnd w:id="4"/>
    </w:p>
    <w:p w:rsidR="00A94835" w:rsidRPr="005567F8" w:rsidRDefault="00A94835" w:rsidP="00A94835">
      <w:pPr>
        <w:pStyle w:val="bt"/>
        <w:rPr>
          <w:rFonts w:cs="Calibri"/>
          <w:szCs w:val="20"/>
          <w:lang w:val="en-AU"/>
        </w:rPr>
      </w:pPr>
      <w:r w:rsidRPr="005567F8">
        <w:rPr>
          <w:rFonts w:cs="Calibri"/>
          <w:szCs w:val="20"/>
          <w:lang w:val="en-AU"/>
        </w:rPr>
        <w:t xml:space="preserve">Eight </w:t>
      </w:r>
      <w:r w:rsidR="00253D01" w:rsidRPr="005567F8">
        <w:rPr>
          <w:rFonts w:cs="Calibri"/>
          <w:szCs w:val="20"/>
          <w:lang w:val="en-AU"/>
        </w:rPr>
        <w:t>r</w:t>
      </w:r>
      <w:r w:rsidRPr="005567F8">
        <w:rPr>
          <w:rFonts w:cs="Calibri"/>
          <w:szCs w:val="20"/>
          <w:lang w:val="en-AU"/>
        </w:rPr>
        <w:t xml:space="preserve">egional </w:t>
      </w:r>
      <w:r w:rsidR="00253D01" w:rsidRPr="005567F8">
        <w:rPr>
          <w:rFonts w:cs="Calibri"/>
          <w:szCs w:val="20"/>
          <w:lang w:val="en-AU"/>
        </w:rPr>
        <w:t>g</w:t>
      </w:r>
      <w:r w:rsidRPr="005567F8">
        <w:rPr>
          <w:rFonts w:cs="Calibri"/>
          <w:szCs w:val="20"/>
          <w:lang w:val="en-AU"/>
        </w:rPr>
        <w:t xml:space="preserve">rowth </w:t>
      </w:r>
      <w:r w:rsidR="00253D01" w:rsidRPr="005567F8">
        <w:rPr>
          <w:rFonts w:cs="Calibri"/>
          <w:szCs w:val="20"/>
          <w:lang w:val="en-AU"/>
        </w:rPr>
        <w:t>p</w:t>
      </w:r>
      <w:r w:rsidRPr="005567F8">
        <w:rPr>
          <w:rFonts w:cs="Calibri"/>
          <w:szCs w:val="20"/>
          <w:lang w:val="en-AU"/>
        </w:rPr>
        <w:t xml:space="preserve">lans </w:t>
      </w:r>
      <w:r w:rsidR="00841817">
        <w:rPr>
          <w:rFonts w:cs="Calibri"/>
          <w:szCs w:val="20"/>
          <w:lang w:val="en-AU"/>
        </w:rPr>
        <w:t>have been</w:t>
      </w:r>
      <w:r w:rsidRPr="005567F8">
        <w:rPr>
          <w:rFonts w:cs="Calibri"/>
          <w:szCs w:val="20"/>
          <w:lang w:val="en-AU"/>
        </w:rPr>
        <w:t xml:space="preserve"> developed to provide broad direction for land use and development across regional Victoria</w:t>
      </w:r>
      <w:r w:rsidR="00BA611B" w:rsidRPr="005567F8">
        <w:rPr>
          <w:rFonts w:cs="Calibri"/>
          <w:szCs w:val="20"/>
          <w:lang w:val="en-AU"/>
        </w:rPr>
        <w:t xml:space="preserve"> (refer t</w:t>
      </w:r>
      <w:r w:rsidR="004B391F">
        <w:rPr>
          <w:rFonts w:cs="Calibri"/>
          <w:szCs w:val="20"/>
          <w:lang w:val="en-AU"/>
        </w:rPr>
        <w:t>o Map 1</w:t>
      </w:r>
      <w:r w:rsidR="00BA611B" w:rsidRPr="005567F8">
        <w:rPr>
          <w:rFonts w:cs="Calibri"/>
          <w:szCs w:val="20"/>
          <w:lang w:val="en-AU"/>
        </w:rPr>
        <w:t>)</w:t>
      </w:r>
      <w:r w:rsidRPr="005567F8">
        <w:rPr>
          <w:rFonts w:cs="Calibri"/>
          <w:szCs w:val="20"/>
          <w:lang w:val="en-AU"/>
        </w:rPr>
        <w:t>. They also provide more detailed planning frameworks for key regional cities and centres. The Loddon Mallee North Regional Growth Plan is the strategic regional land use pl</w:t>
      </w:r>
      <w:r w:rsidR="00266B9D" w:rsidRPr="005567F8">
        <w:rPr>
          <w:rFonts w:cs="Calibri"/>
          <w:szCs w:val="20"/>
          <w:lang w:val="en-AU"/>
        </w:rPr>
        <w:t>an for the Loddon Mallee North r</w:t>
      </w:r>
      <w:r w:rsidRPr="005567F8">
        <w:rPr>
          <w:rFonts w:cs="Calibri"/>
          <w:szCs w:val="20"/>
          <w:lang w:val="en-AU"/>
        </w:rPr>
        <w:t>egion comprising the following local government areas: Buloke Shire, Campaspe Shire, Gannawarra Shire, Mildura Rural City and Swan Hill Rural City.</w:t>
      </w:r>
    </w:p>
    <w:p w:rsidR="00FD227B" w:rsidRPr="00A745E2" w:rsidRDefault="00FD227B" w:rsidP="00FD227B">
      <w:pPr>
        <w:pStyle w:val="bt"/>
      </w:pPr>
      <w:r w:rsidRPr="00A745E2">
        <w:t xml:space="preserve">Increasing the growth of regional Victoria will help improve the state’s competitiveness by strengthening regional </w:t>
      </w:r>
      <w:proofErr w:type="spellStart"/>
      <w:r w:rsidRPr="00A745E2">
        <w:t>labour</w:t>
      </w:r>
      <w:proofErr w:type="spellEnd"/>
      <w:r w:rsidRPr="00A745E2">
        <w:t xml:space="preserve"> markets, expanding markets for local goods and services and providing a greater diversity of affordable housing and employment opportunities.</w:t>
      </w:r>
    </w:p>
    <w:p w:rsidR="00CF51DA" w:rsidRPr="00FD227B" w:rsidRDefault="00FD227B" w:rsidP="00A94835">
      <w:pPr>
        <w:pStyle w:val="bt"/>
      </w:pPr>
      <w:r w:rsidRPr="00A745E2">
        <w:t xml:space="preserve">Regional growth plans, together with the new metropolitan planning strategy, </w:t>
      </w:r>
      <w:r w:rsidRPr="00A745E2">
        <w:rPr>
          <w:i/>
        </w:rPr>
        <w:t>Plan Melbourne</w:t>
      </w:r>
      <w:r w:rsidRPr="00A745E2">
        <w:t>, have been aligned in a way that builds on the interdependence of our urban settlements and facilitates their development as a networked ‘state of cities’. Unlocking the growth potential of these cities – so they can accommodate a greater proportion of the state’s future growth, with good transport connections between them and Melbourne – will create a state of cities where there are greater choices for people about where to live, work or start a business. It is likely that demand for housing in regional cities and centres would be accelerated in the future with the imposition of a permanent growth boundary around Melbourne.</w:t>
      </w:r>
    </w:p>
    <w:p w:rsidR="00CF51DA" w:rsidRPr="005567F8" w:rsidRDefault="00253D01" w:rsidP="00A94835">
      <w:pPr>
        <w:pStyle w:val="bt"/>
        <w:rPr>
          <w:rFonts w:cs="Calibri"/>
          <w:szCs w:val="20"/>
          <w:lang w:val="en-AU"/>
        </w:rPr>
      </w:pPr>
      <w:r w:rsidRPr="005567F8">
        <w:rPr>
          <w:rFonts w:cs="Calibri"/>
          <w:szCs w:val="20"/>
          <w:lang w:val="en-AU"/>
        </w:rPr>
        <w:t>R</w:t>
      </w:r>
      <w:r w:rsidR="00A94835" w:rsidRPr="005567F8">
        <w:rPr>
          <w:rFonts w:cs="Calibri"/>
          <w:szCs w:val="20"/>
          <w:lang w:val="en-AU"/>
        </w:rPr>
        <w:t xml:space="preserve">egional </w:t>
      </w:r>
      <w:r w:rsidR="005B41AB" w:rsidRPr="005567F8">
        <w:rPr>
          <w:rFonts w:cs="Calibri"/>
          <w:szCs w:val="20"/>
          <w:lang w:val="en-AU"/>
        </w:rPr>
        <w:t>g</w:t>
      </w:r>
      <w:r w:rsidR="00A94835" w:rsidRPr="005567F8">
        <w:rPr>
          <w:rFonts w:cs="Calibri"/>
          <w:szCs w:val="20"/>
          <w:lang w:val="en-AU"/>
        </w:rPr>
        <w:t xml:space="preserve">rowth </w:t>
      </w:r>
      <w:r w:rsidR="005B41AB" w:rsidRPr="005567F8">
        <w:rPr>
          <w:rFonts w:cs="Calibri"/>
          <w:szCs w:val="20"/>
          <w:lang w:val="en-AU"/>
        </w:rPr>
        <w:t xml:space="preserve">plans </w:t>
      </w:r>
      <w:r w:rsidR="00A94835" w:rsidRPr="005567F8">
        <w:rPr>
          <w:rFonts w:cs="Calibri"/>
          <w:szCs w:val="20"/>
          <w:lang w:val="en-AU"/>
        </w:rPr>
        <w:t xml:space="preserve">respond to directions established in </w:t>
      </w:r>
      <w:r w:rsidRPr="005567F8">
        <w:rPr>
          <w:rFonts w:cs="Calibri"/>
          <w:szCs w:val="20"/>
          <w:lang w:val="en-AU"/>
        </w:rPr>
        <w:t>r</w:t>
      </w:r>
      <w:r w:rsidR="00A94835" w:rsidRPr="005567F8">
        <w:rPr>
          <w:rFonts w:cs="Calibri"/>
          <w:szCs w:val="20"/>
          <w:lang w:val="en-AU"/>
        </w:rPr>
        <w:t xml:space="preserve">egional </w:t>
      </w:r>
      <w:r w:rsidRPr="005567F8">
        <w:rPr>
          <w:rFonts w:cs="Calibri"/>
          <w:szCs w:val="20"/>
          <w:lang w:val="en-AU"/>
        </w:rPr>
        <w:t>s</w:t>
      </w:r>
      <w:r w:rsidR="00A94835" w:rsidRPr="005567F8">
        <w:rPr>
          <w:rFonts w:cs="Calibri"/>
          <w:szCs w:val="20"/>
          <w:lang w:val="en-AU"/>
        </w:rPr>
        <w:t xml:space="preserve">trategic </w:t>
      </w:r>
      <w:r w:rsidRPr="005567F8">
        <w:rPr>
          <w:rFonts w:cs="Calibri"/>
          <w:szCs w:val="20"/>
          <w:lang w:val="en-AU"/>
        </w:rPr>
        <w:t>p</w:t>
      </w:r>
      <w:r w:rsidR="00A94835" w:rsidRPr="005567F8">
        <w:rPr>
          <w:rFonts w:cs="Calibri"/>
          <w:szCs w:val="20"/>
          <w:lang w:val="en-AU"/>
        </w:rPr>
        <w:t xml:space="preserve">lans (originally known as </w:t>
      </w:r>
      <w:r w:rsidRPr="005567F8">
        <w:rPr>
          <w:rFonts w:cs="Calibri"/>
          <w:szCs w:val="20"/>
          <w:lang w:val="en-AU"/>
        </w:rPr>
        <w:t>r</w:t>
      </w:r>
      <w:r w:rsidR="00A94835" w:rsidRPr="005567F8">
        <w:rPr>
          <w:rFonts w:cs="Calibri"/>
          <w:szCs w:val="20"/>
          <w:lang w:val="en-AU"/>
        </w:rPr>
        <w:t xml:space="preserve">egional </w:t>
      </w:r>
      <w:r w:rsidRPr="005567F8">
        <w:rPr>
          <w:rFonts w:cs="Calibri"/>
          <w:szCs w:val="20"/>
          <w:lang w:val="en-AU"/>
        </w:rPr>
        <w:t>p</w:t>
      </w:r>
      <w:r w:rsidR="00A94835" w:rsidRPr="005567F8">
        <w:rPr>
          <w:rFonts w:cs="Calibri"/>
          <w:szCs w:val="20"/>
          <w:lang w:val="en-AU"/>
        </w:rPr>
        <w:t>lans)</w:t>
      </w:r>
      <w:r w:rsidRPr="005567F8">
        <w:rPr>
          <w:rFonts w:cs="Calibri"/>
          <w:szCs w:val="20"/>
          <w:lang w:val="en-AU"/>
        </w:rPr>
        <w:t>. These plans</w:t>
      </w:r>
      <w:r w:rsidR="00A94835" w:rsidRPr="005567F8">
        <w:rPr>
          <w:rFonts w:cs="Calibri"/>
          <w:szCs w:val="20"/>
          <w:lang w:val="en-AU"/>
        </w:rPr>
        <w:t xml:space="preserve"> were prepared across regional Victoria between 2007</w:t>
      </w:r>
      <w:r w:rsidRPr="005567F8">
        <w:rPr>
          <w:rFonts w:cs="Calibri"/>
          <w:szCs w:val="20"/>
          <w:lang w:val="en-AU"/>
        </w:rPr>
        <w:t xml:space="preserve"> and </w:t>
      </w:r>
      <w:r w:rsidR="00A94835" w:rsidRPr="005567F8">
        <w:rPr>
          <w:rFonts w:cs="Calibri"/>
          <w:szCs w:val="20"/>
          <w:lang w:val="en-AU"/>
        </w:rPr>
        <w:t xml:space="preserve">2010. </w:t>
      </w:r>
    </w:p>
    <w:p w:rsidR="00A94835" w:rsidRPr="005567F8" w:rsidRDefault="00A94835" w:rsidP="00A94835">
      <w:pPr>
        <w:pStyle w:val="bt"/>
        <w:rPr>
          <w:rFonts w:cs="Calibri"/>
          <w:szCs w:val="20"/>
          <w:lang w:val="en-AU"/>
        </w:rPr>
      </w:pPr>
      <w:r w:rsidRPr="005567F8">
        <w:rPr>
          <w:rFonts w:cs="Calibri"/>
          <w:szCs w:val="20"/>
          <w:lang w:val="en-AU"/>
        </w:rPr>
        <w:t xml:space="preserve">The </w:t>
      </w:r>
      <w:r w:rsidR="00343F2B" w:rsidRPr="005567F8">
        <w:rPr>
          <w:rFonts w:cs="Calibri"/>
          <w:szCs w:val="20"/>
          <w:lang w:val="en-AU"/>
        </w:rPr>
        <w:t>Loddon Mallee Regional Strategic Plan</w:t>
      </w:r>
      <w:r w:rsidR="005B41AB" w:rsidRPr="005567F8">
        <w:rPr>
          <w:rFonts w:cs="Calibri"/>
          <w:szCs w:val="20"/>
          <w:lang w:val="en-AU"/>
        </w:rPr>
        <w:t xml:space="preserve"> – </w:t>
      </w:r>
      <w:r w:rsidR="00343F2B" w:rsidRPr="005567F8">
        <w:rPr>
          <w:rFonts w:cs="Calibri"/>
          <w:szCs w:val="20"/>
          <w:lang w:val="en-AU"/>
        </w:rPr>
        <w:t>Northern Region (2010)</w:t>
      </w:r>
      <w:r w:rsidRPr="005567F8">
        <w:rPr>
          <w:rFonts w:cs="Calibri"/>
          <w:szCs w:val="20"/>
          <w:lang w:val="en-AU"/>
        </w:rPr>
        <w:t xml:space="preserve"> identifies the most important issues facing the region and presents a framework </w:t>
      </w:r>
      <w:r w:rsidR="00253D01" w:rsidRPr="005567F8">
        <w:rPr>
          <w:rFonts w:cs="Calibri"/>
          <w:szCs w:val="20"/>
          <w:lang w:val="en-AU"/>
        </w:rPr>
        <w:t xml:space="preserve">for </w:t>
      </w:r>
      <w:r w:rsidRPr="005567F8">
        <w:rPr>
          <w:rFonts w:cs="Calibri"/>
          <w:szCs w:val="20"/>
          <w:lang w:val="en-AU"/>
        </w:rPr>
        <w:t>work</w:t>
      </w:r>
      <w:r w:rsidR="00253D01" w:rsidRPr="005567F8">
        <w:rPr>
          <w:rFonts w:cs="Calibri"/>
          <w:szCs w:val="20"/>
          <w:lang w:val="en-AU"/>
        </w:rPr>
        <w:t>ing</w:t>
      </w:r>
      <w:r w:rsidRPr="005567F8">
        <w:rPr>
          <w:rFonts w:cs="Calibri"/>
          <w:szCs w:val="20"/>
          <w:lang w:val="en-AU"/>
        </w:rPr>
        <w:t xml:space="preserve"> together</w:t>
      </w:r>
      <w:r w:rsidR="00253D01" w:rsidRPr="005567F8">
        <w:rPr>
          <w:rFonts w:cs="Calibri"/>
          <w:szCs w:val="20"/>
          <w:lang w:val="en-AU"/>
        </w:rPr>
        <w:t>. It looks at ways</w:t>
      </w:r>
      <w:r w:rsidRPr="005567F8">
        <w:rPr>
          <w:rFonts w:cs="Calibri"/>
          <w:szCs w:val="20"/>
          <w:lang w:val="en-AU"/>
        </w:rPr>
        <w:t xml:space="preserve"> to maximise opportunities and manage future growth and change in a way that strengthens the economy, helps people thrive and protects the region’s rich natural and cultural heritage. </w:t>
      </w:r>
    </w:p>
    <w:p w:rsidR="00E34790" w:rsidRPr="005567F8" w:rsidRDefault="00A94835" w:rsidP="00A94835">
      <w:pPr>
        <w:pStyle w:val="bt"/>
        <w:rPr>
          <w:rFonts w:cs="Calibri"/>
          <w:szCs w:val="20"/>
          <w:lang w:val="en-AU"/>
        </w:rPr>
      </w:pPr>
      <w:r w:rsidRPr="005567F8">
        <w:rPr>
          <w:rFonts w:cs="Calibri"/>
          <w:szCs w:val="20"/>
          <w:lang w:val="en-AU"/>
        </w:rPr>
        <w:t xml:space="preserve">The strategic directions identified in the </w:t>
      </w:r>
      <w:r w:rsidR="00E34790" w:rsidRPr="005567F8">
        <w:rPr>
          <w:rFonts w:cs="Calibri"/>
          <w:szCs w:val="20"/>
          <w:lang w:val="en-AU"/>
        </w:rPr>
        <w:t xml:space="preserve">Loddon Mallee Regional Strategic Plan </w:t>
      </w:r>
      <w:r w:rsidR="00FA016E" w:rsidRPr="005567F8">
        <w:rPr>
          <w:rFonts w:cs="Calibri"/>
          <w:szCs w:val="20"/>
          <w:lang w:val="en-AU"/>
        </w:rPr>
        <w:t xml:space="preserve">– Northern Region (2010) </w:t>
      </w:r>
      <w:r w:rsidRPr="005567F8">
        <w:rPr>
          <w:rFonts w:cs="Calibri"/>
          <w:szCs w:val="20"/>
          <w:lang w:val="en-AU"/>
        </w:rPr>
        <w:t xml:space="preserve">informed the </w:t>
      </w:r>
      <w:r w:rsidR="00FA016E" w:rsidRPr="005567F8">
        <w:rPr>
          <w:rFonts w:cs="Calibri"/>
          <w:szCs w:val="20"/>
          <w:lang w:val="en-AU"/>
        </w:rPr>
        <w:t>v</w:t>
      </w:r>
      <w:r w:rsidRPr="005567F8">
        <w:rPr>
          <w:rFonts w:cs="Calibri"/>
          <w:szCs w:val="20"/>
          <w:lang w:val="en-AU"/>
        </w:rPr>
        <w:t>is</w:t>
      </w:r>
      <w:r w:rsidR="00E34790" w:rsidRPr="005567F8">
        <w:rPr>
          <w:rFonts w:cs="Calibri"/>
          <w:szCs w:val="20"/>
          <w:lang w:val="en-AU"/>
        </w:rPr>
        <w:t xml:space="preserve">ion and </w:t>
      </w:r>
      <w:r w:rsidR="00FA016E" w:rsidRPr="005567F8">
        <w:rPr>
          <w:rFonts w:cs="Calibri"/>
          <w:szCs w:val="20"/>
          <w:lang w:val="en-AU"/>
        </w:rPr>
        <w:t>p</w:t>
      </w:r>
      <w:r w:rsidR="00E34790" w:rsidRPr="005567F8">
        <w:rPr>
          <w:rFonts w:cs="Calibri"/>
          <w:szCs w:val="20"/>
          <w:lang w:val="en-AU"/>
        </w:rPr>
        <w:t xml:space="preserve">rinciples of this </w:t>
      </w:r>
      <w:r w:rsidR="00FA016E" w:rsidRPr="005567F8">
        <w:rPr>
          <w:rFonts w:cs="Calibri"/>
          <w:szCs w:val="20"/>
          <w:lang w:val="en-AU"/>
        </w:rPr>
        <w:t>p</w:t>
      </w:r>
      <w:r w:rsidR="00E34790" w:rsidRPr="005567F8">
        <w:rPr>
          <w:rFonts w:cs="Calibri"/>
          <w:szCs w:val="20"/>
          <w:lang w:val="en-AU"/>
        </w:rPr>
        <w:t>lan. The strategic directions include:</w:t>
      </w:r>
    </w:p>
    <w:p w:rsidR="00E34790" w:rsidRPr="005567F8" w:rsidRDefault="00E34790" w:rsidP="00471439">
      <w:pPr>
        <w:pStyle w:val="btbullet"/>
        <w:rPr>
          <w:lang w:val="en-AU"/>
        </w:rPr>
      </w:pPr>
      <w:r w:rsidRPr="005567F8">
        <w:rPr>
          <w:lang w:val="en-AU"/>
        </w:rPr>
        <w:t>Balance our irrigation, amenity and environmental water needs</w:t>
      </w:r>
    </w:p>
    <w:p w:rsidR="00E34790" w:rsidRPr="005567F8" w:rsidRDefault="00E34790" w:rsidP="00471439">
      <w:pPr>
        <w:pStyle w:val="btbullet"/>
        <w:rPr>
          <w:lang w:val="en-AU"/>
        </w:rPr>
      </w:pPr>
      <w:r w:rsidRPr="005567F8">
        <w:rPr>
          <w:lang w:val="en-AU"/>
        </w:rPr>
        <w:t>Strengthen our settlements and communities, especially our small towns</w:t>
      </w:r>
    </w:p>
    <w:p w:rsidR="00E34790" w:rsidRPr="005567F8" w:rsidRDefault="00E34790" w:rsidP="00471439">
      <w:pPr>
        <w:pStyle w:val="btbullet"/>
        <w:rPr>
          <w:lang w:val="en-AU"/>
        </w:rPr>
      </w:pPr>
      <w:r w:rsidRPr="005567F8">
        <w:rPr>
          <w:lang w:val="en-AU"/>
        </w:rPr>
        <w:t>Strengthen and diversify our economy</w:t>
      </w:r>
    </w:p>
    <w:p w:rsidR="00E34790" w:rsidRPr="005567F8" w:rsidRDefault="00E34790" w:rsidP="00471439">
      <w:pPr>
        <w:pStyle w:val="btbullet"/>
        <w:rPr>
          <w:lang w:val="en-AU"/>
        </w:rPr>
      </w:pPr>
      <w:r w:rsidRPr="005567F8">
        <w:rPr>
          <w:lang w:val="en-AU"/>
        </w:rPr>
        <w:t>Improve our infrastructure</w:t>
      </w:r>
    </w:p>
    <w:p w:rsidR="00E34790" w:rsidRPr="005567F8" w:rsidRDefault="00E34790" w:rsidP="00471439">
      <w:pPr>
        <w:pStyle w:val="btbullet"/>
        <w:rPr>
          <w:lang w:val="en-AU"/>
        </w:rPr>
      </w:pPr>
      <w:r w:rsidRPr="005567F8">
        <w:rPr>
          <w:lang w:val="en-AU"/>
        </w:rPr>
        <w:t>Improve education and training outcomes</w:t>
      </w:r>
    </w:p>
    <w:p w:rsidR="00E34790" w:rsidRPr="005567F8" w:rsidRDefault="00E34790" w:rsidP="00471439">
      <w:pPr>
        <w:pStyle w:val="btbullet"/>
        <w:rPr>
          <w:lang w:val="en-AU"/>
        </w:rPr>
      </w:pPr>
      <w:r w:rsidRPr="005567F8">
        <w:rPr>
          <w:lang w:val="en-AU"/>
        </w:rPr>
        <w:t>Protect and enhance our natural environment</w:t>
      </w:r>
    </w:p>
    <w:p w:rsidR="00E34790" w:rsidRPr="005567F8" w:rsidRDefault="00E34790" w:rsidP="00471439">
      <w:pPr>
        <w:pStyle w:val="btbullet"/>
        <w:rPr>
          <w:lang w:val="en-AU"/>
        </w:rPr>
      </w:pPr>
      <w:r w:rsidRPr="005567F8">
        <w:rPr>
          <w:lang w:val="en-AU"/>
        </w:rPr>
        <w:t>Resolve our cross-border issues</w:t>
      </w:r>
      <w:r w:rsidR="005B41AB" w:rsidRPr="005567F8">
        <w:rPr>
          <w:lang w:val="en-AU"/>
        </w:rPr>
        <w:t>.</w:t>
      </w:r>
    </w:p>
    <w:p w:rsidR="00A94835" w:rsidRPr="005567F8" w:rsidRDefault="00A94835" w:rsidP="00A94835">
      <w:pPr>
        <w:pStyle w:val="bt"/>
        <w:rPr>
          <w:rFonts w:cs="Calibri"/>
          <w:szCs w:val="20"/>
          <w:lang w:val="en-AU"/>
        </w:rPr>
      </w:pPr>
      <w:r w:rsidRPr="005567F8">
        <w:rPr>
          <w:rFonts w:cs="Calibri"/>
          <w:szCs w:val="20"/>
          <w:lang w:val="en-AU"/>
        </w:rPr>
        <w:t xml:space="preserve">This </w:t>
      </w:r>
      <w:r w:rsidR="005B41AB" w:rsidRPr="005567F8">
        <w:rPr>
          <w:rFonts w:cs="Calibri"/>
          <w:szCs w:val="20"/>
          <w:lang w:val="en-AU"/>
        </w:rPr>
        <w:t xml:space="preserve">plan </w:t>
      </w:r>
      <w:r w:rsidRPr="005567F8">
        <w:rPr>
          <w:rFonts w:cs="Calibri"/>
          <w:szCs w:val="20"/>
          <w:lang w:val="en-AU"/>
        </w:rPr>
        <w:t xml:space="preserve">supports the </w:t>
      </w:r>
      <w:r w:rsidR="00FA016E" w:rsidRPr="005567F8">
        <w:rPr>
          <w:rFonts w:cs="Calibri"/>
          <w:szCs w:val="20"/>
          <w:lang w:val="en-AU"/>
        </w:rPr>
        <w:t>Loddon Mallee Regional Strategic Plan – Northern Region (2010)</w:t>
      </w:r>
      <w:r w:rsidRPr="005567F8">
        <w:rPr>
          <w:rFonts w:cs="Calibri"/>
          <w:szCs w:val="20"/>
          <w:lang w:val="en-AU"/>
        </w:rPr>
        <w:t xml:space="preserve"> by providin</w:t>
      </w:r>
      <w:r w:rsidR="00350C42">
        <w:rPr>
          <w:rFonts w:cs="Calibri"/>
          <w:szCs w:val="20"/>
          <w:lang w:val="en-AU"/>
        </w:rPr>
        <w:t>g a land use planning policy</w:t>
      </w:r>
      <w:r w:rsidRPr="005567F8">
        <w:rPr>
          <w:rFonts w:cs="Calibri"/>
          <w:szCs w:val="20"/>
          <w:lang w:val="en-AU"/>
        </w:rPr>
        <w:t xml:space="preserve"> framework that facilitates several strategic directions, priority actions and key initiatives identified in it.</w:t>
      </w:r>
    </w:p>
    <w:p w:rsidR="00A94835" w:rsidRPr="005567F8" w:rsidRDefault="00FA016E" w:rsidP="00A94835">
      <w:pPr>
        <w:pStyle w:val="bt"/>
        <w:rPr>
          <w:rFonts w:cs="Calibri"/>
          <w:szCs w:val="20"/>
          <w:lang w:val="en-AU"/>
        </w:rPr>
      </w:pPr>
      <w:r w:rsidRPr="005567F8">
        <w:rPr>
          <w:rFonts w:cs="Calibri"/>
          <w:szCs w:val="20"/>
          <w:lang w:val="en-AU"/>
        </w:rPr>
        <w:t>R</w:t>
      </w:r>
      <w:r w:rsidR="00A94835" w:rsidRPr="005567F8">
        <w:rPr>
          <w:rFonts w:cs="Calibri"/>
          <w:szCs w:val="20"/>
          <w:lang w:val="en-AU"/>
        </w:rPr>
        <w:t xml:space="preserve">egional growth plans are the next stage in planning for growth and change in regional Victoria. They have been developed in a partnership between local government and state agencies and authorities. The regional growth plans reflect state and local </w:t>
      </w:r>
      <w:r w:rsidR="00471439" w:rsidRPr="005567F8">
        <w:rPr>
          <w:rFonts w:cs="Calibri"/>
          <w:szCs w:val="20"/>
          <w:lang w:val="en-AU"/>
        </w:rPr>
        <w:t>government objectives</w:t>
      </w:r>
      <w:r w:rsidR="00A94835" w:rsidRPr="005567F8">
        <w:rPr>
          <w:rFonts w:cs="Calibri"/>
          <w:szCs w:val="20"/>
          <w:lang w:val="en-AU"/>
        </w:rPr>
        <w:t>.</w:t>
      </w:r>
    </w:p>
    <w:p w:rsidR="00DE44C5" w:rsidRPr="00DE44C5" w:rsidRDefault="00A94835" w:rsidP="00DE44C5">
      <w:pPr>
        <w:pStyle w:val="bt"/>
        <w:rPr>
          <w:rFonts w:cs="Calibri"/>
          <w:szCs w:val="20"/>
          <w:lang w:val="en-AU"/>
        </w:rPr>
      </w:pPr>
      <w:r w:rsidRPr="005567F8">
        <w:rPr>
          <w:rFonts w:cs="Calibri"/>
          <w:szCs w:val="20"/>
          <w:lang w:val="en-AU"/>
        </w:rPr>
        <w:t xml:space="preserve">These plans provide a </w:t>
      </w:r>
      <w:r w:rsidR="00535DDD" w:rsidRPr="00535DDD">
        <w:rPr>
          <w:rFonts w:cs="Calibri"/>
          <w:szCs w:val="20"/>
          <w:lang w:val="en-AU"/>
        </w:rPr>
        <w:t>long-term</w:t>
      </w:r>
      <w:r w:rsidRPr="003B313E">
        <w:rPr>
          <w:rFonts w:cs="Calibri"/>
          <w:szCs w:val="20"/>
          <w:lang w:val="en-AU"/>
        </w:rPr>
        <w:t xml:space="preserve"> view of the region to 2041 and beyond, allowing for some </w:t>
      </w:r>
      <w:r w:rsidR="00535DDD" w:rsidRPr="00535DDD">
        <w:rPr>
          <w:rFonts w:cs="Calibri"/>
          <w:szCs w:val="20"/>
          <w:lang w:val="en-AU"/>
        </w:rPr>
        <w:t>short-term</w:t>
      </w:r>
      <w:r w:rsidRPr="003B313E">
        <w:rPr>
          <w:rFonts w:cs="Calibri"/>
          <w:szCs w:val="20"/>
          <w:lang w:val="en-AU"/>
        </w:rPr>
        <w:t xml:space="preserve"> actions, and providing long-term strategic land use direction.</w:t>
      </w:r>
    </w:p>
    <w:p w:rsidR="00BA611B" w:rsidRPr="0013562A" w:rsidRDefault="00BA611B" w:rsidP="0013562A">
      <w:pPr>
        <w:pStyle w:val="bt"/>
      </w:pPr>
      <w:bookmarkStart w:id="5" w:name="_Ref373922824"/>
      <w:bookmarkStart w:id="6" w:name="_Toc358365460"/>
      <w:bookmarkStart w:id="7" w:name="_Toc375052095"/>
      <w:r w:rsidRPr="0013562A">
        <w:lastRenderedPageBreak/>
        <w:t>Map</w:t>
      </w:r>
      <w:bookmarkEnd w:id="5"/>
      <w:r w:rsidR="004B391F">
        <w:t xml:space="preserve"> 1</w:t>
      </w:r>
      <w:r w:rsidR="0013562A" w:rsidRPr="0013562A">
        <w:t xml:space="preserve"> </w:t>
      </w:r>
      <w:r w:rsidR="0013562A">
        <w:t>is located here in the document and it shows -</w:t>
      </w:r>
      <w:r w:rsidR="004460A3" w:rsidRPr="0013562A">
        <w:t xml:space="preserve"> </w:t>
      </w:r>
      <w:r w:rsidRPr="0013562A">
        <w:t xml:space="preserve">The </w:t>
      </w:r>
      <w:r w:rsidR="0013562A">
        <w:t xml:space="preserve">areas covered by the </w:t>
      </w:r>
      <w:r w:rsidRPr="0013562A">
        <w:t>eight regional growth plans</w:t>
      </w:r>
      <w:bookmarkEnd w:id="6"/>
      <w:bookmarkEnd w:id="7"/>
    </w:p>
    <w:p w:rsidR="00A43B5F" w:rsidRPr="003B313E" w:rsidRDefault="004338A5" w:rsidP="00FF2BCB">
      <w:pPr>
        <w:pStyle w:val="Heading11"/>
      </w:pPr>
      <w:bookmarkStart w:id="8" w:name="_Toc377031441"/>
      <w:r w:rsidRPr="003B313E">
        <w:t xml:space="preserve">Why </w:t>
      </w:r>
      <w:r w:rsidR="005B41AB" w:rsidRPr="003B313E">
        <w:t>w</w:t>
      </w:r>
      <w:r w:rsidRPr="003B313E">
        <w:t xml:space="preserve">e </w:t>
      </w:r>
      <w:r w:rsidR="005B41AB" w:rsidRPr="003B313E">
        <w:t>n</w:t>
      </w:r>
      <w:r w:rsidRPr="003B313E">
        <w:t xml:space="preserve">eed this </w:t>
      </w:r>
      <w:r w:rsidR="005B41AB" w:rsidRPr="003B313E">
        <w:t>p</w:t>
      </w:r>
      <w:r w:rsidRPr="003B313E">
        <w:t>lan</w:t>
      </w:r>
      <w:bookmarkEnd w:id="8"/>
    </w:p>
    <w:p w:rsidR="00BA3E40" w:rsidRPr="003B313E" w:rsidRDefault="00BA3E40" w:rsidP="00BA3E40">
      <w:pPr>
        <w:pStyle w:val="bt"/>
        <w:rPr>
          <w:lang w:val="en-AU"/>
        </w:rPr>
      </w:pPr>
      <w:r w:rsidRPr="003B313E">
        <w:rPr>
          <w:lang w:val="en-AU"/>
        </w:rPr>
        <w:t xml:space="preserve">The </w:t>
      </w:r>
      <w:r w:rsidR="005B41AB" w:rsidRPr="003B313E">
        <w:rPr>
          <w:lang w:val="en-AU"/>
        </w:rPr>
        <w:t>r</w:t>
      </w:r>
      <w:r w:rsidRPr="003B313E">
        <w:rPr>
          <w:lang w:val="en-AU"/>
        </w:rPr>
        <w:t xml:space="preserve">egional </w:t>
      </w:r>
      <w:r w:rsidR="005B41AB" w:rsidRPr="003B313E">
        <w:rPr>
          <w:lang w:val="en-AU"/>
        </w:rPr>
        <w:t>g</w:t>
      </w:r>
      <w:r w:rsidRPr="003B313E">
        <w:rPr>
          <w:lang w:val="en-AU"/>
        </w:rPr>
        <w:t xml:space="preserve">rowth </w:t>
      </w:r>
      <w:r w:rsidR="005B41AB" w:rsidRPr="003B313E">
        <w:rPr>
          <w:lang w:val="en-AU"/>
        </w:rPr>
        <w:t>p</w:t>
      </w:r>
      <w:r w:rsidRPr="003B313E">
        <w:rPr>
          <w:lang w:val="en-AU"/>
        </w:rPr>
        <w:t>lans translate and integrate emerging statewide regional land use planning policy. They provide the basis for regional coordination and planning of infrastructure to support regional land use objectives.</w:t>
      </w:r>
      <w:r w:rsidR="00B278C0">
        <w:rPr>
          <w:lang w:val="en-AU"/>
        </w:rPr>
        <w:t xml:space="preserve"> </w:t>
      </w:r>
      <w:r w:rsidRPr="003B313E">
        <w:rPr>
          <w:lang w:val="en-AU"/>
        </w:rPr>
        <w:t>Th</w:t>
      </w:r>
      <w:r w:rsidR="00FA016E" w:rsidRPr="003B313E">
        <w:rPr>
          <w:lang w:val="en-AU"/>
        </w:rPr>
        <w:t>is plan</w:t>
      </w:r>
      <w:r w:rsidRPr="003B313E">
        <w:rPr>
          <w:lang w:val="en-AU"/>
        </w:rPr>
        <w:t>:</w:t>
      </w:r>
    </w:p>
    <w:p w:rsidR="00BA3E40" w:rsidRPr="003B313E" w:rsidRDefault="00BA3E40" w:rsidP="00BA3E40">
      <w:pPr>
        <w:pStyle w:val="btbullet"/>
        <w:rPr>
          <w:lang w:val="en-AU"/>
        </w:rPr>
      </w:pPr>
      <w:r w:rsidRPr="003B313E">
        <w:rPr>
          <w:lang w:val="en-AU"/>
        </w:rPr>
        <w:t>establish</w:t>
      </w:r>
      <w:r w:rsidR="00841817">
        <w:rPr>
          <w:lang w:val="en-AU"/>
        </w:rPr>
        <w:t>es</w:t>
      </w:r>
      <w:r w:rsidRPr="003B313E">
        <w:rPr>
          <w:lang w:val="en-AU"/>
        </w:rPr>
        <w:t xml:space="preserve"> a framework for strategic land use and settlement planning that can sustainably accommodate growth</w:t>
      </w:r>
    </w:p>
    <w:p w:rsidR="00BA3E40" w:rsidRPr="003B313E" w:rsidRDefault="00BA3E40" w:rsidP="00BA3E40">
      <w:pPr>
        <w:pStyle w:val="btbullet"/>
        <w:rPr>
          <w:lang w:val="en-AU"/>
        </w:rPr>
      </w:pPr>
      <w:r w:rsidRPr="003B313E">
        <w:rPr>
          <w:lang w:val="en-AU"/>
        </w:rPr>
        <w:t>identif</w:t>
      </w:r>
      <w:r w:rsidR="00841817">
        <w:rPr>
          <w:lang w:val="en-AU"/>
        </w:rPr>
        <w:t>ies</w:t>
      </w:r>
      <w:r w:rsidRPr="003B313E">
        <w:rPr>
          <w:lang w:val="en-AU"/>
        </w:rPr>
        <w:t xml:space="preserve"> important economic, environmental, social and cultural resources to be preserved, maintained or developed</w:t>
      </w:r>
    </w:p>
    <w:p w:rsidR="00BA3E40" w:rsidRPr="003B313E" w:rsidRDefault="00BA3E40" w:rsidP="00BA3E40">
      <w:pPr>
        <w:pStyle w:val="btbullet"/>
        <w:rPr>
          <w:lang w:val="en-AU"/>
        </w:rPr>
      </w:pPr>
      <w:r w:rsidRPr="003B313E">
        <w:rPr>
          <w:lang w:val="en-AU"/>
        </w:rPr>
        <w:t>provide</w:t>
      </w:r>
      <w:r w:rsidR="00841817">
        <w:rPr>
          <w:lang w:val="en-AU"/>
        </w:rPr>
        <w:t>s</w:t>
      </w:r>
      <w:r w:rsidRPr="003B313E">
        <w:rPr>
          <w:lang w:val="en-AU"/>
        </w:rPr>
        <w:t xml:space="preserve"> direction for accommodating growth and change including residential, employment, industrial, commercial, agriculture and other rural activities</w:t>
      </w:r>
    </w:p>
    <w:p w:rsidR="00BA3E40" w:rsidRPr="003B313E" w:rsidRDefault="00202127" w:rsidP="00BA3E40">
      <w:pPr>
        <w:pStyle w:val="btbullet"/>
        <w:rPr>
          <w:lang w:val="en-AU"/>
        </w:rPr>
      </w:pPr>
      <w:r w:rsidRPr="003B313E">
        <w:rPr>
          <w:lang w:val="en-AU"/>
        </w:rPr>
        <w:t>identif</w:t>
      </w:r>
      <w:r w:rsidR="00841817">
        <w:rPr>
          <w:lang w:val="en-AU"/>
        </w:rPr>
        <w:t>ies</w:t>
      </w:r>
      <w:r w:rsidRPr="003B313E">
        <w:rPr>
          <w:lang w:val="en-AU"/>
        </w:rPr>
        <w:t xml:space="preserve"> </w:t>
      </w:r>
      <w:r w:rsidR="00BA3E40" w:rsidRPr="003B313E">
        <w:rPr>
          <w:lang w:val="en-AU"/>
        </w:rPr>
        <w:t>which areas of land can accommodate growth and which are to be maintained</w:t>
      </w:r>
    </w:p>
    <w:p w:rsidR="00BA3E40" w:rsidRPr="003B313E" w:rsidRDefault="00BA3E40" w:rsidP="00BA3E40">
      <w:pPr>
        <w:pStyle w:val="btbullet"/>
        <w:rPr>
          <w:lang w:val="en-AU"/>
        </w:rPr>
      </w:pPr>
      <w:proofErr w:type="gramStart"/>
      <w:r w:rsidRPr="003B313E">
        <w:rPr>
          <w:lang w:val="en-AU"/>
        </w:rPr>
        <w:t>identif</w:t>
      </w:r>
      <w:r w:rsidR="00841817">
        <w:rPr>
          <w:lang w:val="en-AU"/>
        </w:rPr>
        <w:t>ies</w:t>
      </w:r>
      <w:proofErr w:type="gramEnd"/>
      <w:r w:rsidRPr="003B313E">
        <w:rPr>
          <w:lang w:val="en-AU"/>
        </w:rPr>
        <w:t xml:space="preserve"> opportunities for supporting regional level infrastructure, providing an essential contribution to the long-term sustainability of the region</w:t>
      </w:r>
      <w:r w:rsidR="00202127" w:rsidRPr="003B313E">
        <w:rPr>
          <w:lang w:val="en-AU"/>
        </w:rPr>
        <w:t>.</w:t>
      </w:r>
    </w:p>
    <w:p w:rsidR="00B278C0" w:rsidRDefault="00BA3E40" w:rsidP="00BA3E40">
      <w:pPr>
        <w:pStyle w:val="bt"/>
        <w:rPr>
          <w:rFonts w:cs="Calibri"/>
          <w:szCs w:val="20"/>
          <w:lang w:val="en-AU"/>
        </w:rPr>
      </w:pPr>
      <w:r w:rsidRPr="003B313E">
        <w:rPr>
          <w:rFonts w:cs="Calibri"/>
          <w:szCs w:val="20"/>
          <w:lang w:val="en-AU"/>
        </w:rPr>
        <w:t xml:space="preserve">The </w:t>
      </w:r>
      <w:r w:rsidR="00F71B0A" w:rsidRPr="003B313E">
        <w:rPr>
          <w:rFonts w:cs="Calibri"/>
          <w:szCs w:val="20"/>
          <w:lang w:val="en-AU"/>
        </w:rPr>
        <w:t>p</w:t>
      </w:r>
      <w:r w:rsidRPr="003B313E">
        <w:rPr>
          <w:rFonts w:cs="Calibri"/>
          <w:szCs w:val="20"/>
          <w:lang w:val="en-AU"/>
        </w:rPr>
        <w:t>lan provide</w:t>
      </w:r>
      <w:r w:rsidR="00841817">
        <w:rPr>
          <w:rFonts w:cs="Calibri"/>
          <w:szCs w:val="20"/>
          <w:lang w:val="en-AU"/>
        </w:rPr>
        <w:t>s</w:t>
      </w:r>
      <w:r w:rsidRPr="003B313E">
        <w:rPr>
          <w:rFonts w:cs="Calibri"/>
          <w:szCs w:val="20"/>
          <w:lang w:val="en-AU"/>
        </w:rPr>
        <w:t xml:space="preserve"> a regional strategic land use framework for growth and change. It is a strategic direction</w:t>
      </w:r>
      <w:r w:rsidR="00E9525F">
        <w:rPr>
          <w:rFonts w:cs="Calibri"/>
          <w:szCs w:val="20"/>
          <w:lang w:val="en-AU"/>
        </w:rPr>
        <w:t>-</w:t>
      </w:r>
      <w:r w:rsidRPr="003B313E">
        <w:rPr>
          <w:rFonts w:cs="Calibri"/>
          <w:szCs w:val="20"/>
          <w:lang w:val="en-AU"/>
        </w:rPr>
        <w:t xml:space="preserve">setting </w:t>
      </w:r>
      <w:r w:rsidR="004A5A83" w:rsidRPr="003B313E">
        <w:rPr>
          <w:rFonts w:cs="Calibri"/>
          <w:szCs w:val="20"/>
          <w:lang w:val="en-AU"/>
        </w:rPr>
        <w:t>document, which</w:t>
      </w:r>
      <w:r w:rsidRPr="003B313E">
        <w:rPr>
          <w:rFonts w:cs="Calibri"/>
          <w:szCs w:val="20"/>
          <w:lang w:val="en-AU"/>
        </w:rPr>
        <w:t xml:space="preserve"> identifies </w:t>
      </w:r>
      <w:r w:rsidR="00535DDD" w:rsidRPr="00535DDD">
        <w:rPr>
          <w:rFonts w:cs="Calibri"/>
          <w:szCs w:val="20"/>
          <w:lang w:val="en-AU"/>
        </w:rPr>
        <w:t>long-term</w:t>
      </w:r>
      <w:r w:rsidRPr="00E641C4">
        <w:rPr>
          <w:rFonts w:cs="Calibri"/>
          <w:szCs w:val="20"/>
          <w:lang w:val="en-AU"/>
        </w:rPr>
        <w:t xml:space="preserve"> land uses and growth objectives. It is not</w:t>
      </w:r>
      <w:r w:rsidR="00202127" w:rsidRPr="00E641C4">
        <w:rPr>
          <w:rFonts w:cs="Calibri"/>
          <w:szCs w:val="20"/>
          <w:lang w:val="en-AU"/>
        </w:rPr>
        <w:t xml:space="preserve"> intended to be</w:t>
      </w:r>
      <w:r w:rsidRPr="00E641C4">
        <w:rPr>
          <w:rFonts w:cs="Calibri"/>
          <w:szCs w:val="20"/>
          <w:lang w:val="en-AU"/>
        </w:rPr>
        <w:t xml:space="preserve"> at a level where service planning or specific unquantified infrastructure could be committed. The </w:t>
      </w:r>
      <w:r w:rsidR="005B41AB" w:rsidRPr="00E641C4">
        <w:rPr>
          <w:lang w:val="en-AU"/>
        </w:rPr>
        <w:t>plan</w:t>
      </w:r>
      <w:r w:rsidRPr="00E641C4">
        <w:rPr>
          <w:rFonts w:cs="Calibri"/>
          <w:szCs w:val="20"/>
          <w:lang w:val="en-AU"/>
        </w:rPr>
        <w:t xml:space="preserve"> will guide infrastructure decisions and </w:t>
      </w:r>
      <w:r w:rsidR="00202127" w:rsidRPr="00E641C4">
        <w:rPr>
          <w:rFonts w:cs="Calibri"/>
          <w:szCs w:val="20"/>
          <w:lang w:val="en-AU"/>
        </w:rPr>
        <w:t>provide priority</w:t>
      </w:r>
      <w:r w:rsidRPr="00E641C4">
        <w:rPr>
          <w:rFonts w:cs="Calibri"/>
          <w:szCs w:val="20"/>
          <w:lang w:val="en-AU"/>
        </w:rPr>
        <w:t xml:space="preserve"> for further investigations of regionally significant infrastructure.</w:t>
      </w:r>
      <w:r w:rsidR="00FE7E3F" w:rsidRPr="00E641C4">
        <w:rPr>
          <w:rFonts w:cs="Calibri"/>
          <w:szCs w:val="20"/>
          <w:lang w:val="en-AU"/>
        </w:rPr>
        <w:t xml:space="preserve"> </w:t>
      </w:r>
    </w:p>
    <w:p w:rsidR="00BA3E40" w:rsidRPr="00E641C4" w:rsidRDefault="00BA3E40" w:rsidP="00BA3E40">
      <w:pPr>
        <w:pStyle w:val="bt"/>
        <w:rPr>
          <w:rFonts w:cs="Calibri"/>
          <w:szCs w:val="20"/>
          <w:lang w:val="en-AU"/>
        </w:rPr>
      </w:pPr>
      <w:r w:rsidRPr="00E641C4">
        <w:rPr>
          <w:rFonts w:cs="Calibri"/>
          <w:szCs w:val="20"/>
          <w:lang w:val="en-AU"/>
        </w:rPr>
        <w:t>Site</w:t>
      </w:r>
      <w:r w:rsidR="00F71B0A" w:rsidRPr="00E641C4">
        <w:rPr>
          <w:rFonts w:cs="Calibri"/>
          <w:szCs w:val="20"/>
          <w:lang w:val="en-AU"/>
        </w:rPr>
        <w:t>-</w:t>
      </w:r>
      <w:r w:rsidRPr="00E641C4">
        <w:rPr>
          <w:rFonts w:cs="Calibri"/>
          <w:szCs w:val="20"/>
          <w:lang w:val="en-AU"/>
        </w:rPr>
        <w:t xml:space="preserve">specific development proposals and processes are also outside </w:t>
      </w:r>
      <w:r w:rsidR="00202127" w:rsidRPr="00E641C4">
        <w:rPr>
          <w:rFonts w:cs="Calibri"/>
          <w:szCs w:val="20"/>
          <w:lang w:val="en-AU"/>
        </w:rPr>
        <w:t>the scope of this plan</w:t>
      </w:r>
      <w:r w:rsidRPr="00E641C4">
        <w:rPr>
          <w:rFonts w:cs="Calibri"/>
          <w:szCs w:val="20"/>
          <w:lang w:val="en-AU"/>
        </w:rPr>
        <w:t xml:space="preserve">. The </w:t>
      </w:r>
      <w:r w:rsidR="005B41AB" w:rsidRPr="00E641C4">
        <w:rPr>
          <w:rFonts w:cs="Calibri"/>
          <w:szCs w:val="20"/>
          <w:lang w:val="en-AU"/>
        </w:rPr>
        <w:t>p</w:t>
      </w:r>
      <w:r w:rsidRPr="00E641C4">
        <w:rPr>
          <w:rFonts w:cs="Calibri"/>
          <w:szCs w:val="20"/>
          <w:lang w:val="en-AU"/>
        </w:rPr>
        <w:t xml:space="preserve">lan will provide solutions to common issues across </w:t>
      </w:r>
      <w:r w:rsidR="00F71B0A" w:rsidRPr="00E641C4">
        <w:rPr>
          <w:rFonts w:cs="Calibri"/>
          <w:szCs w:val="20"/>
          <w:lang w:val="en-AU"/>
        </w:rPr>
        <w:t xml:space="preserve">the </w:t>
      </w:r>
      <w:r w:rsidR="00A370CF" w:rsidRPr="00E641C4">
        <w:rPr>
          <w:lang w:val="en-AU"/>
        </w:rPr>
        <w:t>Loddon Mallee North</w:t>
      </w:r>
      <w:r w:rsidR="00A370CF" w:rsidRPr="00E641C4">
        <w:rPr>
          <w:rFonts w:cs="Calibri"/>
          <w:szCs w:val="20"/>
          <w:lang w:val="en-AU"/>
        </w:rPr>
        <w:t xml:space="preserve"> </w:t>
      </w:r>
      <w:r w:rsidR="00F71B0A" w:rsidRPr="00E641C4">
        <w:rPr>
          <w:rFonts w:cs="Calibri"/>
          <w:szCs w:val="20"/>
          <w:lang w:val="en-AU"/>
        </w:rPr>
        <w:t xml:space="preserve">region </w:t>
      </w:r>
      <w:r w:rsidRPr="00E641C4">
        <w:rPr>
          <w:rFonts w:cs="Calibri"/>
          <w:szCs w:val="20"/>
          <w:lang w:val="en-AU"/>
        </w:rPr>
        <w:t xml:space="preserve">but will not reduce attention </w:t>
      </w:r>
      <w:r w:rsidR="00F71B0A" w:rsidRPr="00E641C4">
        <w:rPr>
          <w:rFonts w:cs="Calibri"/>
          <w:szCs w:val="20"/>
          <w:lang w:val="en-AU"/>
        </w:rPr>
        <w:t>on</w:t>
      </w:r>
      <w:r w:rsidRPr="00E641C4">
        <w:rPr>
          <w:rFonts w:cs="Calibri"/>
          <w:szCs w:val="20"/>
          <w:lang w:val="en-AU"/>
        </w:rPr>
        <w:t xml:space="preserve"> local issues or repl</w:t>
      </w:r>
      <w:r w:rsidR="00FE7E3F" w:rsidRPr="00E641C4">
        <w:rPr>
          <w:rFonts w:cs="Calibri"/>
          <w:szCs w:val="20"/>
          <w:lang w:val="en-AU"/>
        </w:rPr>
        <w:t>ace local planning</w:t>
      </w:r>
      <w:r w:rsidR="00202127" w:rsidRPr="00E641C4">
        <w:rPr>
          <w:rFonts w:cs="Calibri"/>
          <w:szCs w:val="20"/>
          <w:lang w:val="en-AU"/>
        </w:rPr>
        <w:t xml:space="preserve">, for </w:t>
      </w:r>
      <w:r w:rsidR="00FE7E3F" w:rsidRPr="00E641C4">
        <w:rPr>
          <w:rFonts w:cs="Calibri"/>
          <w:szCs w:val="20"/>
          <w:lang w:val="en-AU"/>
        </w:rPr>
        <w:t>example,</w:t>
      </w:r>
      <w:r w:rsidRPr="00E641C4">
        <w:rPr>
          <w:rFonts w:cs="Calibri"/>
          <w:szCs w:val="20"/>
          <w:lang w:val="en-AU"/>
        </w:rPr>
        <w:t xml:space="preserve"> identification of future industrial and other employment locations or consistent regional approaches to matters</w:t>
      </w:r>
      <w:r w:rsidR="00E9525F">
        <w:rPr>
          <w:rFonts w:cs="Calibri"/>
          <w:szCs w:val="20"/>
          <w:lang w:val="en-AU"/>
        </w:rPr>
        <w:t>,</w:t>
      </w:r>
      <w:r w:rsidRPr="00E641C4">
        <w:rPr>
          <w:rFonts w:cs="Calibri"/>
          <w:szCs w:val="20"/>
          <w:lang w:val="en-AU"/>
        </w:rPr>
        <w:t xml:space="preserve"> such as planning for key resources, waste, tourism and heritage.</w:t>
      </w:r>
    </w:p>
    <w:p w:rsidR="00C507C7" w:rsidRPr="00E641C4" w:rsidRDefault="00C507C7" w:rsidP="00FF2BCB">
      <w:pPr>
        <w:pStyle w:val="Heading11"/>
      </w:pPr>
      <w:bookmarkStart w:id="9" w:name="_Toc336871210"/>
      <w:bookmarkStart w:id="10" w:name="_Toc377031442"/>
      <w:r w:rsidRPr="00E641C4">
        <w:t xml:space="preserve">How this </w:t>
      </w:r>
      <w:r w:rsidR="005B41AB" w:rsidRPr="00E641C4">
        <w:t>p</w:t>
      </w:r>
      <w:r w:rsidRPr="00E641C4">
        <w:t xml:space="preserve">lan will be </w:t>
      </w:r>
      <w:r w:rsidR="005B41AB" w:rsidRPr="00E641C4">
        <w:t>u</w:t>
      </w:r>
      <w:r w:rsidRPr="00E641C4">
        <w:t>sed</w:t>
      </w:r>
      <w:bookmarkEnd w:id="9"/>
      <w:bookmarkEnd w:id="10"/>
    </w:p>
    <w:p w:rsidR="00C40F86" w:rsidRPr="00E641C4" w:rsidRDefault="00A07C93" w:rsidP="00C40F86">
      <w:pPr>
        <w:pStyle w:val="bt"/>
        <w:rPr>
          <w:szCs w:val="20"/>
          <w:lang w:val="en-AU"/>
        </w:rPr>
      </w:pPr>
      <w:r w:rsidRPr="00E641C4">
        <w:rPr>
          <w:szCs w:val="20"/>
          <w:lang w:val="en-AU"/>
        </w:rPr>
        <w:t>The</w:t>
      </w:r>
      <w:r w:rsidR="00C40F86" w:rsidRPr="00E641C4">
        <w:rPr>
          <w:szCs w:val="20"/>
          <w:lang w:val="en-AU"/>
        </w:rPr>
        <w:t xml:space="preserve"> la</w:t>
      </w:r>
      <w:r w:rsidR="00EF7035" w:rsidRPr="00E641C4">
        <w:rPr>
          <w:szCs w:val="20"/>
          <w:lang w:val="en-AU"/>
        </w:rPr>
        <w:t>nd use planning directions of th</w:t>
      </w:r>
      <w:r w:rsidR="00F35CBF" w:rsidRPr="00E641C4">
        <w:rPr>
          <w:szCs w:val="20"/>
          <w:lang w:val="en-AU"/>
        </w:rPr>
        <w:t>is plan</w:t>
      </w:r>
      <w:r w:rsidR="00C40F86" w:rsidRPr="00E641C4">
        <w:rPr>
          <w:szCs w:val="20"/>
          <w:lang w:val="en-AU"/>
        </w:rPr>
        <w:t xml:space="preserve"> will be implemented through the </w:t>
      </w:r>
      <w:r w:rsidR="005B41AB" w:rsidRPr="00E641C4">
        <w:rPr>
          <w:szCs w:val="20"/>
          <w:lang w:val="en-AU"/>
        </w:rPr>
        <w:t>s</w:t>
      </w:r>
      <w:r w:rsidR="00C40F86" w:rsidRPr="00E641C4">
        <w:rPr>
          <w:szCs w:val="20"/>
          <w:lang w:val="en-AU"/>
        </w:rPr>
        <w:t xml:space="preserve">tate </w:t>
      </w:r>
      <w:r w:rsidR="005B41AB" w:rsidRPr="00E641C4">
        <w:rPr>
          <w:szCs w:val="20"/>
          <w:lang w:val="en-AU"/>
        </w:rPr>
        <w:t>p</w:t>
      </w:r>
      <w:r w:rsidR="00C40F86" w:rsidRPr="00E641C4">
        <w:rPr>
          <w:szCs w:val="20"/>
          <w:lang w:val="en-AU"/>
        </w:rPr>
        <w:t xml:space="preserve">lanning system by each council in the </w:t>
      </w:r>
      <w:r w:rsidRPr="00E641C4">
        <w:rPr>
          <w:szCs w:val="20"/>
          <w:lang w:val="en-AU"/>
        </w:rPr>
        <w:t xml:space="preserve">region to </w:t>
      </w:r>
      <w:r w:rsidR="00C40F86" w:rsidRPr="00E641C4">
        <w:rPr>
          <w:szCs w:val="20"/>
          <w:lang w:val="en-AU"/>
        </w:rPr>
        <w:t>support decision making at a local level</w:t>
      </w:r>
      <w:r w:rsidR="00F87491" w:rsidRPr="00E641C4">
        <w:rPr>
          <w:szCs w:val="20"/>
          <w:lang w:val="en-AU"/>
        </w:rPr>
        <w:t>.</w:t>
      </w:r>
    </w:p>
    <w:p w:rsidR="00C40F86" w:rsidRPr="00E641C4" w:rsidRDefault="00C40F86" w:rsidP="00C40F86">
      <w:pPr>
        <w:pStyle w:val="bt"/>
        <w:rPr>
          <w:szCs w:val="20"/>
          <w:lang w:val="en-AU"/>
        </w:rPr>
      </w:pPr>
      <w:r w:rsidRPr="00E641C4">
        <w:rPr>
          <w:szCs w:val="20"/>
          <w:lang w:val="en-AU"/>
        </w:rPr>
        <w:t xml:space="preserve">Implementation will occur in a number of ways, such as further specific amendments to planning schemes, preparation of infrastructure plans, land supply monitoring and other projects. </w:t>
      </w:r>
    </w:p>
    <w:p w:rsidR="005C34AD" w:rsidRPr="00E641C4" w:rsidRDefault="00C40F86" w:rsidP="00C40F86">
      <w:pPr>
        <w:pStyle w:val="bt"/>
        <w:rPr>
          <w:lang w:val="en-AU"/>
        </w:rPr>
      </w:pPr>
      <w:r w:rsidRPr="00E641C4">
        <w:rPr>
          <w:szCs w:val="20"/>
          <w:lang w:val="en-AU"/>
        </w:rPr>
        <w:t xml:space="preserve">The </w:t>
      </w:r>
      <w:r w:rsidR="00E45FF3" w:rsidRPr="00E641C4">
        <w:rPr>
          <w:lang w:val="en-AU"/>
        </w:rPr>
        <w:t>plan</w:t>
      </w:r>
      <w:r w:rsidRPr="00E641C4">
        <w:rPr>
          <w:szCs w:val="20"/>
          <w:lang w:val="en-AU"/>
        </w:rPr>
        <w:t xml:space="preserve"> will be used to guide and inform future land use planning work across the region, including subsequent reviews of each council’s </w:t>
      </w:r>
      <w:r w:rsidR="00203A0E" w:rsidRPr="00E641C4">
        <w:rPr>
          <w:szCs w:val="20"/>
          <w:lang w:val="en-AU"/>
        </w:rPr>
        <w:t>municipal strategic statement</w:t>
      </w:r>
      <w:r w:rsidRPr="00E641C4">
        <w:rPr>
          <w:szCs w:val="20"/>
          <w:lang w:val="en-AU"/>
        </w:rPr>
        <w:t>.</w:t>
      </w:r>
    </w:p>
    <w:p w:rsidR="00D81C28" w:rsidRPr="00E641C4" w:rsidRDefault="006B4B1C" w:rsidP="00FF2BCB">
      <w:pPr>
        <w:pStyle w:val="Heading11"/>
      </w:pPr>
      <w:bookmarkStart w:id="11" w:name="_Toc377031443"/>
      <w:r w:rsidRPr="00E641C4">
        <w:t>Ho</w:t>
      </w:r>
      <w:r w:rsidR="00146741" w:rsidRPr="00E641C4">
        <w:t xml:space="preserve">w the </w:t>
      </w:r>
      <w:r w:rsidR="00F35CBF" w:rsidRPr="00E641C4">
        <w:t>p</w:t>
      </w:r>
      <w:r w:rsidR="00146741" w:rsidRPr="00E641C4">
        <w:t xml:space="preserve">lan was </w:t>
      </w:r>
      <w:r w:rsidR="00F35CBF" w:rsidRPr="00E641C4">
        <w:t>p</w:t>
      </w:r>
      <w:r w:rsidR="00146741" w:rsidRPr="00E641C4">
        <w:t>repared</w:t>
      </w:r>
      <w:bookmarkEnd w:id="11"/>
    </w:p>
    <w:p w:rsidR="00C40F86" w:rsidRPr="00E641C4" w:rsidRDefault="00C40F86" w:rsidP="001250D3">
      <w:pPr>
        <w:pStyle w:val="bt"/>
        <w:rPr>
          <w:lang w:val="en-AU"/>
        </w:rPr>
      </w:pPr>
      <w:r w:rsidRPr="00E641C4">
        <w:rPr>
          <w:lang w:val="en-AU"/>
        </w:rPr>
        <w:t xml:space="preserve">The </w:t>
      </w:r>
      <w:r w:rsidR="00F35CBF" w:rsidRPr="00E641C4">
        <w:rPr>
          <w:lang w:val="en-AU"/>
        </w:rPr>
        <w:t>p</w:t>
      </w:r>
      <w:r w:rsidRPr="00E641C4">
        <w:rPr>
          <w:lang w:val="en-AU"/>
        </w:rPr>
        <w:t xml:space="preserve">lan has been developed through a series of issues papers, regional workshops and analysis of information provided </w:t>
      </w:r>
      <w:r w:rsidR="00032058" w:rsidRPr="00E641C4">
        <w:rPr>
          <w:lang w:val="en-AU"/>
        </w:rPr>
        <w:t>by all partners in the process.</w:t>
      </w:r>
    </w:p>
    <w:p w:rsidR="00A94835" w:rsidRPr="00E641C4" w:rsidRDefault="00A94835" w:rsidP="001250D3">
      <w:pPr>
        <w:pStyle w:val="bt"/>
        <w:rPr>
          <w:color w:val="000000" w:themeColor="text1"/>
          <w:lang w:val="en-AU"/>
        </w:rPr>
      </w:pPr>
      <w:r w:rsidRPr="00E641C4">
        <w:rPr>
          <w:color w:val="000000" w:themeColor="text1"/>
          <w:lang w:val="en-AU"/>
        </w:rPr>
        <w:t xml:space="preserve">The development of the </w:t>
      </w:r>
      <w:r w:rsidR="00E45FF3" w:rsidRPr="00E641C4">
        <w:rPr>
          <w:color w:val="000000" w:themeColor="text1"/>
          <w:lang w:val="en-AU"/>
        </w:rPr>
        <w:t>p</w:t>
      </w:r>
      <w:r w:rsidRPr="00E641C4">
        <w:rPr>
          <w:color w:val="000000" w:themeColor="text1"/>
          <w:lang w:val="en-AU"/>
        </w:rPr>
        <w:t xml:space="preserve">lan has been guided by a Project Steering </w:t>
      </w:r>
      <w:r w:rsidR="00203A0E" w:rsidRPr="00E641C4">
        <w:rPr>
          <w:color w:val="000000" w:themeColor="text1"/>
          <w:lang w:val="en-AU"/>
        </w:rPr>
        <w:t xml:space="preserve">Committee </w:t>
      </w:r>
      <w:r w:rsidRPr="00E641C4">
        <w:rPr>
          <w:color w:val="000000" w:themeColor="text1"/>
          <w:lang w:val="en-AU"/>
        </w:rPr>
        <w:t xml:space="preserve">and Technical Working Group working in partnership with the five municipalities, </w:t>
      </w:r>
      <w:r w:rsidR="00841817">
        <w:rPr>
          <w:color w:val="000000" w:themeColor="text1"/>
          <w:lang w:val="en-AU"/>
        </w:rPr>
        <w:t xml:space="preserve">and </w:t>
      </w:r>
      <w:r w:rsidR="00203A0E" w:rsidRPr="00E641C4">
        <w:rPr>
          <w:color w:val="000000" w:themeColor="text1"/>
          <w:lang w:val="en-AU"/>
        </w:rPr>
        <w:t xml:space="preserve">state government </w:t>
      </w:r>
      <w:r w:rsidRPr="00E641C4">
        <w:rPr>
          <w:color w:val="000000" w:themeColor="text1"/>
          <w:lang w:val="en-AU"/>
        </w:rPr>
        <w:t>departments and agencies</w:t>
      </w:r>
      <w:r w:rsidR="00841817">
        <w:rPr>
          <w:color w:val="000000" w:themeColor="text1"/>
          <w:lang w:val="en-AU"/>
        </w:rPr>
        <w:t>,</w:t>
      </w:r>
      <w:r w:rsidRPr="00E641C4">
        <w:rPr>
          <w:color w:val="000000" w:themeColor="text1"/>
          <w:lang w:val="en-AU"/>
        </w:rPr>
        <w:t xml:space="preserve"> including the Department of </w:t>
      </w:r>
      <w:r w:rsidR="00203A0E" w:rsidRPr="00E641C4">
        <w:rPr>
          <w:color w:val="000000" w:themeColor="text1"/>
          <w:lang w:val="en-AU"/>
        </w:rPr>
        <w:t>Transport, Planning and Local Infrastructure</w:t>
      </w:r>
      <w:r w:rsidR="00C95345" w:rsidRPr="00E641C4">
        <w:rPr>
          <w:color w:val="000000" w:themeColor="text1"/>
          <w:lang w:val="en-AU"/>
        </w:rPr>
        <w:t xml:space="preserve"> </w:t>
      </w:r>
      <w:r w:rsidR="00841817">
        <w:rPr>
          <w:color w:val="000000" w:themeColor="text1"/>
          <w:lang w:val="en-AU"/>
        </w:rPr>
        <w:t>(</w:t>
      </w:r>
      <w:r w:rsidR="00203A0E" w:rsidRPr="00E641C4">
        <w:rPr>
          <w:color w:val="000000" w:themeColor="text1"/>
          <w:lang w:val="en-AU"/>
        </w:rPr>
        <w:t>which has replaced the Department of Planning and Community Development and the Department of Transport</w:t>
      </w:r>
      <w:r w:rsidR="00841817">
        <w:rPr>
          <w:color w:val="000000" w:themeColor="text1"/>
          <w:lang w:val="en-AU"/>
        </w:rPr>
        <w:t xml:space="preserve">), </w:t>
      </w:r>
      <w:r w:rsidR="00203A0E" w:rsidRPr="00E641C4">
        <w:rPr>
          <w:color w:val="000000" w:themeColor="text1"/>
          <w:lang w:val="en-AU"/>
        </w:rPr>
        <w:t xml:space="preserve">the </w:t>
      </w:r>
      <w:r w:rsidRPr="00E641C4">
        <w:rPr>
          <w:color w:val="000000" w:themeColor="text1"/>
          <w:lang w:val="en-AU"/>
        </w:rPr>
        <w:t xml:space="preserve">Department of Environment </w:t>
      </w:r>
      <w:r w:rsidR="00F35CBF" w:rsidRPr="00E641C4">
        <w:rPr>
          <w:color w:val="000000" w:themeColor="text1"/>
          <w:lang w:val="en-AU"/>
        </w:rPr>
        <w:t xml:space="preserve">and Primary Industries, </w:t>
      </w:r>
      <w:r w:rsidR="003B2F3C" w:rsidRPr="00E641C4">
        <w:rPr>
          <w:color w:val="000000" w:themeColor="text1"/>
          <w:lang w:val="en-AU"/>
        </w:rPr>
        <w:t>VicRoads, c</w:t>
      </w:r>
      <w:r w:rsidRPr="00E641C4">
        <w:rPr>
          <w:color w:val="000000" w:themeColor="text1"/>
          <w:lang w:val="en-AU"/>
        </w:rPr>
        <w:t>atch</w:t>
      </w:r>
      <w:r w:rsidR="00032058" w:rsidRPr="00E641C4">
        <w:rPr>
          <w:color w:val="000000" w:themeColor="text1"/>
          <w:lang w:val="en-AU"/>
        </w:rPr>
        <w:t>ment management authorities</w:t>
      </w:r>
      <w:r w:rsidR="004A456E" w:rsidRPr="00E641C4">
        <w:rPr>
          <w:color w:val="000000" w:themeColor="text1"/>
          <w:lang w:val="en-AU"/>
        </w:rPr>
        <w:t>,</w:t>
      </w:r>
      <w:r w:rsidRPr="00E641C4">
        <w:rPr>
          <w:color w:val="000000" w:themeColor="text1"/>
          <w:lang w:val="en-AU"/>
        </w:rPr>
        <w:t xml:space="preserve"> </w:t>
      </w:r>
      <w:r w:rsidR="00841817">
        <w:rPr>
          <w:color w:val="000000" w:themeColor="text1"/>
          <w:lang w:val="en-AU"/>
        </w:rPr>
        <w:t>and</w:t>
      </w:r>
      <w:r w:rsidRPr="00E641C4">
        <w:rPr>
          <w:color w:val="000000" w:themeColor="text1"/>
          <w:lang w:val="en-AU"/>
        </w:rPr>
        <w:t xml:space="preserve"> water corporations</w:t>
      </w:r>
      <w:r w:rsidR="00032058" w:rsidRPr="00E641C4">
        <w:rPr>
          <w:color w:val="000000" w:themeColor="text1"/>
          <w:lang w:val="en-AU"/>
        </w:rPr>
        <w:t>.</w:t>
      </w:r>
    </w:p>
    <w:p w:rsidR="008F0961" w:rsidRPr="00E641C4" w:rsidRDefault="008F0961" w:rsidP="004827E1">
      <w:pPr>
        <w:pStyle w:val="bt"/>
        <w:rPr>
          <w:lang w:val="en-AU"/>
        </w:rPr>
      </w:pPr>
      <w:r w:rsidRPr="00E641C4">
        <w:rPr>
          <w:lang w:val="en-AU"/>
        </w:rPr>
        <w:t>The region and its local government areas are shown in</w:t>
      </w:r>
      <w:r w:rsidR="004B391F">
        <w:rPr>
          <w:lang w:val="en-AU"/>
        </w:rPr>
        <w:t xml:space="preserve"> Map 2</w:t>
      </w:r>
      <w:r w:rsidRPr="00E641C4">
        <w:rPr>
          <w:lang w:val="en-AU"/>
        </w:rPr>
        <w:t>.</w:t>
      </w:r>
    </w:p>
    <w:p w:rsidR="00FC5996" w:rsidRPr="00E641C4" w:rsidRDefault="00FC5996" w:rsidP="001250D3">
      <w:pPr>
        <w:pStyle w:val="bt"/>
        <w:rPr>
          <w:color w:val="000000" w:themeColor="text1"/>
          <w:lang w:val="en-AU"/>
        </w:rPr>
      </w:pPr>
      <w:r w:rsidRPr="00E641C4">
        <w:rPr>
          <w:color w:val="000000" w:themeColor="text1"/>
          <w:lang w:val="en-AU"/>
        </w:rPr>
        <w:lastRenderedPageBreak/>
        <w:t xml:space="preserve">The process for preparing the plan </w:t>
      </w:r>
      <w:r w:rsidR="003218E3">
        <w:rPr>
          <w:color w:val="000000" w:themeColor="text1"/>
          <w:lang w:val="en-AU"/>
        </w:rPr>
        <w:t>was</w:t>
      </w:r>
      <w:r w:rsidRPr="00E641C4">
        <w:rPr>
          <w:color w:val="000000" w:themeColor="text1"/>
          <w:lang w:val="en-AU"/>
        </w:rPr>
        <w:t xml:space="preserve"> as fol</w:t>
      </w:r>
      <w:r w:rsidRPr="00E641C4">
        <w:rPr>
          <w:lang w:val="en-AU"/>
        </w:rPr>
        <w:t>l</w:t>
      </w:r>
      <w:r w:rsidRPr="00E641C4">
        <w:rPr>
          <w:color w:val="000000" w:themeColor="text1"/>
          <w:lang w:val="en-AU"/>
        </w:rPr>
        <w:t>ows:</w:t>
      </w:r>
    </w:p>
    <w:p w:rsidR="00D81C28" w:rsidRPr="00E641C4" w:rsidRDefault="00FC5996" w:rsidP="00320441">
      <w:pPr>
        <w:pStyle w:val="ListNumber"/>
        <w:numPr>
          <w:ilvl w:val="0"/>
          <w:numId w:val="40"/>
        </w:numPr>
        <w:rPr>
          <w:lang w:val="en-AU"/>
        </w:rPr>
      </w:pPr>
      <w:r w:rsidRPr="00E641C4">
        <w:rPr>
          <w:lang w:val="en-AU"/>
        </w:rPr>
        <w:t>Project establishment</w:t>
      </w:r>
    </w:p>
    <w:p w:rsidR="00D81C28" w:rsidRPr="00E641C4" w:rsidRDefault="00EF2C16" w:rsidP="00320441">
      <w:pPr>
        <w:pStyle w:val="ListNumber"/>
        <w:numPr>
          <w:ilvl w:val="0"/>
          <w:numId w:val="40"/>
        </w:numPr>
        <w:rPr>
          <w:lang w:val="en-AU"/>
        </w:rPr>
      </w:pPr>
      <w:r>
        <w:rPr>
          <w:lang w:val="en-AU"/>
        </w:rPr>
        <w:t>Prepare background issues paper</w:t>
      </w:r>
    </w:p>
    <w:p w:rsidR="00D81C28" w:rsidRPr="00E641C4" w:rsidRDefault="00FC5996" w:rsidP="00320441">
      <w:pPr>
        <w:pStyle w:val="ListNumber"/>
        <w:numPr>
          <w:ilvl w:val="0"/>
          <w:numId w:val="40"/>
        </w:numPr>
        <w:rPr>
          <w:lang w:val="en-AU"/>
        </w:rPr>
      </w:pPr>
      <w:r w:rsidRPr="00E641C4">
        <w:rPr>
          <w:lang w:val="en-AU"/>
        </w:rPr>
        <w:t xml:space="preserve">Establish the plan’s strategic </w:t>
      </w:r>
      <w:r w:rsidR="00037368" w:rsidRPr="00E641C4">
        <w:rPr>
          <w:lang w:val="en-AU"/>
        </w:rPr>
        <w:t xml:space="preserve">directions </w:t>
      </w:r>
      <w:r w:rsidR="00037368">
        <w:rPr>
          <w:lang w:val="en-AU"/>
        </w:rPr>
        <w:t>–</w:t>
      </w:r>
      <w:r w:rsidR="00037368" w:rsidRPr="00E641C4">
        <w:rPr>
          <w:lang w:val="en-AU"/>
        </w:rPr>
        <w:t xml:space="preserve"> </w:t>
      </w:r>
      <w:r w:rsidR="00F71F7D">
        <w:rPr>
          <w:lang w:val="en-AU"/>
        </w:rPr>
        <w:t>p</w:t>
      </w:r>
      <w:r w:rsidR="00F71F7D" w:rsidRPr="00E641C4">
        <w:rPr>
          <w:lang w:val="en-AU"/>
        </w:rPr>
        <w:t xml:space="preserve">ublic </w:t>
      </w:r>
      <w:r w:rsidR="00F71F7D">
        <w:rPr>
          <w:lang w:val="en-AU"/>
        </w:rPr>
        <w:t>c</w:t>
      </w:r>
      <w:r w:rsidR="00F71F7D" w:rsidRPr="00E641C4">
        <w:rPr>
          <w:lang w:val="en-AU"/>
        </w:rPr>
        <w:t>onsultation</w:t>
      </w:r>
    </w:p>
    <w:p w:rsidR="00D81C28" w:rsidRPr="00E641C4" w:rsidRDefault="00FC5996" w:rsidP="00320441">
      <w:pPr>
        <w:pStyle w:val="ListNumber"/>
        <w:numPr>
          <w:ilvl w:val="0"/>
          <w:numId w:val="40"/>
        </w:numPr>
        <w:rPr>
          <w:lang w:val="en-AU"/>
        </w:rPr>
      </w:pPr>
      <w:r w:rsidRPr="00E641C4">
        <w:rPr>
          <w:lang w:val="en-AU"/>
        </w:rPr>
        <w:t xml:space="preserve">Prepare draft regional growth plan – </w:t>
      </w:r>
      <w:r w:rsidR="00F71F7D">
        <w:rPr>
          <w:lang w:val="en-AU"/>
        </w:rPr>
        <w:t>p</w:t>
      </w:r>
      <w:r w:rsidR="00F71F7D" w:rsidRPr="00E641C4">
        <w:rPr>
          <w:lang w:val="en-AU"/>
        </w:rPr>
        <w:t xml:space="preserve">ublic </w:t>
      </w:r>
      <w:r w:rsidR="00F71F7D">
        <w:rPr>
          <w:lang w:val="en-AU"/>
        </w:rPr>
        <w:t>c</w:t>
      </w:r>
      <w:r w:rsidR="00F71F7D" w:rsidRPr="00E641C4">
        <w:rPr>
          <w:lang w:val="en-AU"/>
        </w:rPr>
        <w:t xml:space="preserve">onsultation  </w:t>
      </w:r>
    </w:p>
    <w:p w:rsidR="00D81C28" w:rsidRPr="00E641C4" w:rsidRDefault="00FC5996" w:rsidP="00320441">
      <w:pPr>
        <w:pStyle w:val="ListNumber"/>
        <w:numPr>
          <w:ilvl w:val="0"/>
          <w:numId w:val="40"/>
        </w:numPr>
        <w:rPr>
          <w:lang w:val="en-AU"/>
        </w:rPr>
      </w:pPr>
      <w:r w:rsidRPr="00E641C4">
        <w:rPr>
          <w:lang w:val="en-AU"/>
        </w:rPr>
        <w:t>Prepare final regional growth plan</w:t>
      </w:r>
      <w:r w:rsidR="00037368">
        <w:rPr>
          <w:lang w:val="en-AU"/>
        </w:rPr>
        <w:t>.</w:t>
      </w:r>
    </w:p>
    <w:p w:rsidR="00C405E1" w:rsidRPr="00E641C4" w:rsidRDefault="00032058" w:rsidP="00032058">
      <w:pPr>
        <w:pStyle w:val="bt"/>
        <w:rPr>
          <w:lang w:val="en-AU"/>
        </w:rPr>
      </w:pPr>
      <w:r w:rsidRPr="00E641C4">
        <w:rPr>
          <w:lang w:val="en-AU"/>
        </w:rPr>
        <w:t xml:space="preserve">A </w:t>
      </w:r>
      <w:r w:rsidR="00F35CBF" w:rsidRPr="00E641C4">
        <w:rPr>
          <w:lang w:val="en-AU"/>
        </w:rPr>
        <w:t>b</w:t>
      </w:r>
      <w:r w:rsidRPr="00E641C4">
        <w:rPr>
          <w:lang w:val="en-AU"/>
        </w:rPr>
        <w:t xml:space="preserve">ackground </w:t>
      </w:r>
      <w:r w:rsidR="00F35CBF" w:rsidRPr="00E641C4">
        <w:rPr>
          <w:lang w:val="en-AU"/>
        </w:rPr>
        <w:t>r</w:t>
      </w:r>
      <w:r w:rsidRPr="00E641C4">
        <w:rPr>
          <w:lang w:val="en-AU"/>
        </w:rPr>
        <w:t xml:space="preserve">eport sits as a companion to this </w:t>
      </w:r>
      <w:r w:rsidR="00F35CBF" w:rsidRPr="00E641C4">
        <w:rPr>
          <w:lang w:val="en-AU"/>
        </w:rPr>
        <w:t>p</w:t>
      </w:r>
      <w:r w:rsidRPr="00E641C4">
        <w:rPr>
          <w:lang w:val="en-AU"/>
        </w:rPr>
        <w:t xml:space="preserve">lan. The </w:t>
      </w:r>
      <w:r w:rsidR="00F35CBF" w:rsidRPr="00E641C4">
        <w:rPr>
          <w:lang w:val="en-AU"/>
        </w:rPr>
        <w:t>b</w:t>
      </w:r>
      <w:r w:rsidRPr="00E641C4">
        <w:rPr>
          <w:lang w:val="en-AU"/>
        </w:rPr>
        <w:t xml:space="preserve">ackground </w:t>
      </w:r>
      <w:r w:rsidR="00F35CBF" w:rsidRPr="00E641C4">
        <w:rPr>
          <w:lang w:val="en-AU"/>
        </w:rPr>
        <w:t>r</w:t>
      </w:r>
      <w:r w:rsidRPr="00E641C4">
        <w:rPr>
          <w:lang w:val="en-AU"/>
        </w:rPr>
        <w:t>eport contains additional information</w:t>
      </w:r>
      <w:r w:rsidR="00F35CBF" w:rsidRPr="00E641C4">
        <w:rPr>
          <w:lang w:val="en-AU"/>
        </w:rPr>
        <w:t xml:space="preserve"> which was used to inform </w:t>
      </w:r>
      <w:r w:rsidRPr="00E641C4">
        <w:rPr>
          <w:lang w:val="en-AU"/>
        </w:rPr>
        <w:t>the development of th</w:t>
      </w:r>
      <w:r w:rsidR="00F35CBF" w:rsidRPr="00E641C4">
        <w:rPr>
          <w:lang w:val="en-AU"/>
        </w:rPr>
        <w:t>is plan</w:t>
      </w:r>
      <w:r w:rsidRPr="00E641C4">
        <w:rPr>
          <w:lang w:val="en-AU"/>
        </w:rPr>
        <w:t xml:space="preserve">. </w:t>
      </w:r>
      <w:r w:rsidR="00A6167A" w:rsidRPr="00E641C4">
        <w:rPr>
          <w:lang w:val="en-AU"/>
        </w:rPr>
        <w:t xml:space="preserve">The background report is available </w:t>
      </w:r>
      <w:r w:rsidR="00A745E2">
        <w:rPr>
          <w:lang w:val="en-AU"/>
        </w:rPr>
        <w:t xml:space="preserve">on the Department of Transport, Planning and Local Infrastructure website </w:t>
      </w:r>
      <w:r w:rsidR="00A6167A" w:rsidRPr="00E641C4">
        <w:rPr>
          <w:lang w:val="en-AU"/>
        </w:rPr>
        <w:t xml:space="preserve">at: </w:t>
      </w:r>
      <w:hyperlink r:id="rId21" w:history="1">
        <w:r w:rsidR="00B278C0" w:rsidRPr="00AC2F7C">
          <w:rPr>
            <w:rStyle w:val="Hyperlink"/>
            <w:lang w:val="en-AU"/>
          </w:rPr>
          <w:t>www.dtpli.vic.gov.au/regionalgrowthplans</w:t>
        </w:r>
      </w:hyperlink>
      <w:r w:rsidR="00B278C0">
        <w:rPr>
          <w:lang w:val="en-AU"/>
        </w:rPr>
        <w:t xml:space="preserve"> </w:t>
      </w:r>
    </w:p>
    <w:p w:rsidR="00D81C28" w:rsidRPr="0013562A" w:rsidRDefault="00D81C28" w:rsidP="0013562A">
      <w:pPr>
        <w:pStyle w:val="bt"/>
      </w:pPr>
      <w:bookmarkStart w:id="12" w:name="_Ref373922843"/>
      <w:bookmarkStart w:id="13" w:name="_Toc358365461"/>
      <w:bookmarkStart w:id="14" w:name="_Toc375052096"/>
      <w:bookmarkStart w:id="15" w:name="_Toc336871212"/>
      <w:r w:rsidRPr="0013562A">
        <w:t xml:space="preserve">Map </w:t>
      </w:r>
      <w:bookmarkEnd w:id="12"/>
      <w:r w:rsidR="004B391F">
        <w:t xml:space="preserve">2 </w:t>
      </w:r>
      <w:r w:rsidR="0013562A">
        <w:t>is located here in the document and it shows -</w:t>
      </w:r>
      <w:r w:rsidRPr="0013562A">
        <w:t xml:space="preserve"> Loddon Mallee North region</w:t>
      </w:r>
      <w:bookmarkEnd w:id="13"/>
      <w:bookmarkEnd w:id="14"/>
    </w:p>
    <w:p w:rsidR="00C507C7" w:rsidRPr="00E641C4" w:rsidRDefault="00C507C7" w:rsidP="00FF2BCB">
      <w:pPr>
        <w:pStyle w:val="Heading11"/>
      </w:pPr>
      <w:bookmarkStart w:id="16" w:name="_Toc377031444"/>
      <w:r w:rsidRPr="00E641C4">
        <w:t xml:space="preserve">Components of this </w:t>
      </w:r>
      <w:r w:rsidR="00E45FF3" w:rsidRPr="00E641C4">
        <w:t>p</w:t>
      </w:r>
      <w:r w:rsidRPr="00E641C4">
        <w:t>lan</w:t>
      </w:r>
      <w:bookmarkEnd w:id="15"/>
      <w:bookmarkEnd w:id="16"/>
    </w:p>
    <w:p w:rsidR="00AD6D6A" w:rsidRPr="00E641C4" w:rsidRDefault="00AD6D6A" w:rsidP="00AD6D6A">
      <w:pPr>
        <w:pStyle w:val="bt"/>
        <w:rPr>
          <w:lang w:val="en-AU"/>
        </w:rPr>
      </w:pPr>
      <w:r w:rsidRPr="00E641C4">
        <w:rPr>
          <w:lang w:val="en-AU"/>
        </w:rPr>
        <w:t xml:space="preserve">This </w:t>
      </w:r>
      <w:r w:rsidR="00E45FF3" w:rsidRPr="00E641C4">
        <w:rPr>
          <w:lang w:val="en-AU"/>
        </w:rPr>
        <w:t>p</w:t>
      </w:r>
      <w:r w:rsidRPr="00E641C4">
        <w:rPr>
          <w:lang w:val="en-AU"/>
        </w:rPr>
        <w:t>lan is made up of five parts:</w:t>
      </w:r>
    </w:p>
    <w:p w:rsidR="00AD6D6A" w:rsidRPr="00E641C4" w:rsidRDefault="00AD6D6A" w:rsidP="004827E1">
      <w:pPr>
        <w:pStyle w:val="bt"/>
        <w:rPr>
          <w:rStyle w:val="Strong"/>
          <w:lang w:val="en-AU"/>
        </w:rPr>
      </w:pPr>
      <w:r w:rsidRPr="00E641C4">
        <w:rPr>
          <w:rStyle w:val="Strong"/>
          <w:lang w:val="en-AU"/>
        </w:rPr>
        <w:t>A</w:t>
      </w:r>
      <w:r w:rsidR="00203A0E" w:rsidRPr="00E641C4">
        <w:rPr>
          <w:rStyle w:val="Strong"/>
          <w:lang w:val="en-AU"/>
        </w:rPr>
        <w:t>:</w:t>
      </w:r>
      <w:r w:rsidRPr="00E641C4">
        <w:rPr>
          <w:rStyle w:val="Strong"/>
          <w:lang w:val="en-AU"/>
        </w:rPr>
        <w:t xml:space="preserve"> Introduction</w:t>
      </w:r>
    </w:p>
    <w:p w:rsidR="00AD6D6A" w:rsidRPr="00E641C4" w:rsidRDefault="00AD6D6A" w:rsidP="00AD6D6A">
      <w:pPr>
        <w:pStyle w:val="bt"/>
        <w:rPr>
          <w:lang w:val="en-AU"/>
        </w:rPr>
      </w:pPr>
      <w:r w:rsidRPr="00E641C4">
        <w:rPr>
          <w:lang w:val="en-AU"/>
        </w:rPr>
        <w:t xml:space="preserve">Provides an overview of the context of </w:t>
      </w:r>
      <w:r w:rsidR="00F35CBF" w:rsidRPr="00E641C4">
        <w:rPr>
          <w:lang w:val="en-AU"/>
        </w:rPr>
        <w:t>the plan</w:t>
      </w:r>
      <w:r w:rsidRPr="00E641C4">
        <w:rPr>
          <w:lang w:val="en-AU"/>
        </w:rPr>
        <w:t xml:space="preserve"> and how it was prepared. </w:t>
      </w:r>
    </w:p>
    <w:p w:rsidR="00AD6D6A" w:rsidRPr="00E641C4" w:rsidRDefault="00AD6D6A" w:rsidP="004827E1">
      <w:pPr>
        <w:pStyle w:val="bt"/>
        <w:rPr>
          <w:rStyle w:val="Strong"/>
          <w:lang w:val="en-AU"/>
        </w:rPr>
      </w:pPr>
      <w:r w:rsidRPr="00E641C4">
        <w:rPr>
          <w:rStyle w:val="Strong"/>
          <w:lang w:val="en-AU"/>
        </w:rPr>
        <w:t>B</w:t>
      </w:r>
      <w:r w:rsidR="00203A0E" w:rsidRPr="00E641C4">
        <w:rPr>
          <w:rStyle w:val="Strong"/>
          <w:lang w:val="en-AU"/>
        </w:rPr>
        <w:t>:</w:t>
      </w:r>
      <w:r w:rsidRPr="00E641C4">
        <w:rPr>
          <w:rStyle w:val="Strong"/>
          <w:lang w:val="en-AU"/>
        </w:rPr>
        <w:t xml:space="preserve"> Regional </w:t>
      </w:r>
      <w:r w:rsidR="00F35CBF" w:rsidRPr="00E641C4">
        <w:rPr>
          <w:rStyle w:val="Strong"/>
          <w:lang w:val="en-AU"/>
        </w:rPr>
        <w:t>o</w:t>
      </w:r>
      <w:r w:rsidRPr="00E641C4">
        <w:rPr>
          <w:rStyle w:val="Strong"/>
          <w:lang w:val="en-AU"/>
        </w:rPr>
        <w:t>verview</w:t>
      </w:r>
    </w:p>
    <w:p w:rsidR="00AD6D6A" w:rsidRPr="00E641C4" w:rsidRDefault="00AD6D6A" w:rsidP="00AD6D6A">
      <w:pPr>
        <w:pStyle w:val="bt"/>
        <w:rPr>
          <w:lang w:val="en-AU"/>
        </w:rPr>
      </w:pPr>
      <w:proofErr w:type="gramStart"/>
      <w:r w:rsidRPr="00E641C4">
        <w:rPr>
          <w:lang w:val="en-AU"/>
        </w:rPr>
        <w:t xml:space="preserve">Provides a snapshot of the </w:t>
      </w:r>
      <w:r w:rsidR="00E45FF3" w:rsidRPr="00E641C4">
        <w:rPr>
          <w:lang w:val="en-AU"/>
        </w:rPr>
        <w:t>region</w:t>
      </w:r>
      <w:r w:rsidR="00203A0E" w:rsidRPr="00E641C4">
        <w:rPr>
          <w:lang w:val="en-AU"/>
        </w:rPr>
        <w:t>,</w:t>
      </w:r>
      <w:r w:rsidRPr="00E641C4">
        <w:rPr>
          <w:lang w:val="en-AU"/>
        </w:rPr>
        <w:t xml:space="preserve"> including its </w:t>
      </w:r>
      <w:r w:rsidR="00E45FF3" w:rsidRPr="00E641C4">
        <w:rPr>
          <w:lang w:val="en-AU"/>
        </w:rPr>
        <w:t>s</w:t>
      </w:r>
      <w:r w:rsidRPr="00E641C4">
        <w:rPr>
          <w:lang w:val="en-AU"/>
        </w:rPr>
        <w:t xml:space="preserve">trategic </w:t>
      </w:r>
      <w:r w:rsidR="00D373A1" w:rsidRPr="00E641C4">
        <w:rPr>
          <w:lang w:val="en-AU"/>
        </w:rPr>
        <w:t>assets</w:t>
      </w:r>
      <w:r w:rsidRPr="00E641C4">
        <w:rPr>
          <w:lang w:val="en-AU"/>
        </w:rPr>
        <w:t xml:space="preserve">, current trends affecting economic and population growth, </w:t>
      </w:r>
      <w:r w:rsidR="00E45FF3" w:rsidRPr="00E641C4">
        <w:rPr>
          <w:lang w:val="en-AU"/>
        </w:rPr>
        <w:t>d</w:t>
      </w:r>
      <w:r w:rsidRPr="00E641C4">
        <w:rPr>
          <w:lang w:val="en-AU"/>
        </w:rPr>
        <w:t xml:space="preserve">rivers of </w:t>
      </w:r>
      <w:r w:rsidR="00E45FF3" w:rsidRPr="00E641C4">
        <w:rPr>
          <w:lang w:val="en-AU"/>
        </w:rPr>
        <w:t>c</w:t>
      </w:r>
      <w:r w:rsidRPr="00E641C4">
        <w:rPr>
          <w:lang w:val="en-AU"/>
        </w:rPr>
        <w:t xml:space="preserve">hange and </w:t>
      </w:r>
      <w:r w:rsidR="00E45FF3" w:rsidRPr="00E641C4">
        <w:rPr>
          <w:lang w:val="en-AU"/>
        </w:rPr>
        <w:t>c</w:t>
      </w:r>
      <w:r w:rsidRPr="00E641C4">
        <w:rPr>
          <w:lang w:val="en-AU"/>
        </w:rPr>
        <w:t xml:space="preserve">hallenges for </w:t>
      </w:r>
      <w:r w:rsidR="00E45FF3" w:rsidRPr="00E641C4">
        <w:rPr>
          <w:lang w:val="en-AU"/>
        </w:rPr>
        <w:t>g</w:t>
      </w:r>
      <w:r w:rsidRPr="00E641C4">
        <w:rPr>
          <w:lang w:val="en-AU"/>
        </w:rPr>
        <w:t>rowth.</w:t>
      </w:r>
      <w:proofErr w:type="gramEnd"/>
      <w:r w:rsidRPr="00E641C4">
        <w:rPr>
          <w:lang w:val="en-AU"/>
        </w:rPr>
        <w:t xml:space="preserve"> It sets out a </w:t>
      </w:r>
      <w:r w:rsidR="00F35CBF" w:rsidRPr="00E641C4">
        <w:rPr>
          <w:lang w:val="en-AU"/>
        </w:rPr>
        <w:t>v</w:t>
      </w:r>
      <w:r w:rsidRPr="00E641C4">
        <w:rPr>
          <w:lang w:val="en-AU"/>
        </w:rPr>
        <w:t xml:space="preserve">ision for the region and </w:t>
      </w:r>
      <w:r w:rsidR="00F35CBF" w:rsidRPr="00E641C4">
        <w:rPr>
          <w:lang w:val="en-AU"/>
        </w:rPr>
        <w:t>p</w:t>
      </w:r>
      <w:r w:rsidRPr="00E641C4">
        <w:rPr>
          <w:lang w:val="en-AU"/>
        </w:rPr>
        <w:t xml:space="preserve">rinciples for </w:t>
      </w:r>
      <w:r w:rsidR="00F35CBF" w:rsidRPr="00E641C4">
        <w:rPr>
          <w:lang w:val="en-AU"/>
        </w:rPr>
        <w:t>g</w:t>
      </w:r>
      <w:r w:rsidRPr="00E641C4">
        <w:rPr>
          <w:lang w:val="en-AU"/>
        </w:rPr>
        <w:t xml:space="preserve">rowth to achieve the </w:t>
      </w:r>
      <w:r w:rsidR="00F35CBF" w:rsidRPr="00E641C4">
        <w:rPr>
          <w:lang w:val="en-AU"/>
        </w:rPr>
        <w:t>v</w:t>
      </w:r>
      <w:r w:rsidRPr="00E641C4">
        <w:rPr>
          <w:lang w:val="en-AU"/>
        </w:rPr>
        <w:t>ision.</w:t>
      </w:r>
    </w:p>
    <w:p w:rsidR="00AD6D6A" w:rsidRPr="00E641C4" w:rsidRDefault="00AD6D6A" w:rsidP="004827E1">
      <w:pPr>
        <w:pStyle w:val="bt"/>
        <w:rPr>
          <w:rStyle w:val="Strong"/>
          <w:lang w:val="en-AU"/>
        </w:rPr>
      </w:pPr>
      <w:r w:rsidRPr="00E641C4">
        <w:rPr>
          <w:rStyle w:val="Strong"/>
          <w:lang w:val="en-AU"/>
        </w:rPr>
        <w:t>C</w:t>
      </w:r>
      <w:r w:rsidR="00203A0E" w:rsidRPr="00E641C4">
        <w:rPr>
          <w:rStyle w:val="Strong"/>
          <w:lang w:val="en-AU"/>
        </w:rPr>
        <w:t>:</w:t>
      </w:r>
      <w:r w:rsidRPr="00E641C4">
        <w:rPr>
          <w:rStyle w:val="Strong"/>
          <w:lang w:val="en-AU"/>
        </w:rPr>
        <w:t xml:space="preserve"> Towards the </w:t>
      </w:r>
      <w:r w:rsidR="00F35CBF" w:rsidRPr="00E641C4">
        <w:rPr>
          <w:rStyle w:val="Strong"/>
          <w:lang w:val="en-AU"/>
        </w:rPr>
        <w:t>r</w:t>
      </w:r>
      <w:r w:rsidRPr="00E641C4">
        <w:rPr>
          <w:rStyle w:val="Strong"/>
          <w:lang w:val="en-AU"/>
        </w:rPr>
        <w:t xml:space="preserve">egional </w:t>
      </w:r>
      <w:r w:rsidR="00F35CBF" w:rsidRPr="00E641C4">
        <w:rPr>
          <w:rStyle w:val="Strong"/>
          <w:lang w:val="en-AU"/>
        </w:rPr>
        <w:t>g</w:t>
      </w:r>
      <w:r w:rsidRPr="00E641C4">
        <w:rPr>
          <w:rStyle w:val="Strong"/>
          <w:lang w:val="en-AU"/>
        </w:rPr>
        <w:t xml:space="preserve">rowth </w:t>
      </w:r>
      <w:r w:rsidR="00F35CBF" w:rsidRPr="00E641C4">
        <w:rPr>
          <w:rStyle w:val="Strong"/>
          <w:lang w:val="en-AU"/>
        </w:rPr>
        <w:t>p</w:t>
      </w:r>
      <w:r w:rsidRPr="00E641C4">
        <w:rPr>
          <w:rStyle w:val="Strong"/>
          <w:lang w:val="en-AU"/>
        </w:rPr>
        <w:t>lan –</w:t>
      </w:r>
      <w:r w:rsidR="00C55C16">
        <w:rPr>
          <w:rStyle w:val="Strong"/>
          <w:lang w:val="en-AU"/>
        </w:rPr>
        <w:t xml:space="preserve"> </w:t>
      </w:r>
      <w:r w:rsidR="00907679">
        <w:rPr>
          <w:rStyle w:val="Strong"/>
          <w:lang w:val="en-AU"/>
        </w:rPr>
        <w:t>R</w:t>
      </w:r>
      <w:r w:rsidRPr="00E641C4">
        <w:rPr>
          <w:rStyle w:val="Strong"/>
          <w:lang w:val="en-AU"/>
        </w:rPr>
        <w:t xml:space="preserve">egional </w:t>
      </w:r>
      <w:r w:rsidR="00E45FF3" w:rsidRPr="00E641C4">
        <w:rPr>
          <w:rStyle w:val="Strong"/>
          <w:lang w:val="en-AU"/>
        </w:rPr>
        <w:t>l</w:t>
      </w:r>
      <w:r w:rsidRPr="00E641C4">
        <w:rPr>
          <w:rStyle w:val="Strong"/>
          <w:lang w:val="en-AU"/>
        </w:rPr>
        <w:t xml:space="preserve">and </w:t>
      </w:r>
      <w:r w:rsidR="00E45FF3" w:rsidRPr="00E641C4">
        <w:rPr>
          <w:rStyle w:val="Strong"/>
          <w:lang w:val="en-AU"/>
        </w:rPr>
        <w:t>u</w:t>
      </w:r>
      <w:r w:rsidRPr="00E641C4">
        <w:rPr>
          <w:rStyle w:val="Strong"/>
          <w:lang w:val="en-AU"/>
        </w:rPr>
        <w:t xml:space="preserve">se </w:t>
      </w:r>
      <w:r w:rsidR="00E45FF3" w:rsidRPr="00E641C4">
        <w:rPr>
          <w:rStyle w:val="Strong"/>
          <w:lang w:val="en-AU"/>
        </w:rPr>
        <w:t>f</w:t>
      </w:r>
      <w:r w:rsidRPr="00E641C4">
        <w:rPr>
          <w:rStyle w:val="Strong"/>
          <w:lang w:val="en-AU"/>
        </w:rPr>
        <w:t>ramework</w:t>
      </w:r>
    </w:p>
    <w:p w:rsidR="00AD6D6A" w:rsidRPr="00E641C4" w:rsidRDefault="00AD6D6A" w:rsidP="00AD6D6A">
      <w:pPr>
        <w:pStyle w:val="bt"/>
        <w:rPr>
          <w:lang w:val="en-AU"/>
        </w:rPr>
      </w:pPr>
      <w:r w:rsidRPr="00E641C4">
        <w:rPr>
          <w:lang w:val="en-AU"/>
        </w:rPr>
        <w:t>Outlines land use planning issues for the Loddon Mallee North</w:t>
      </w:r>
      <w:r w:rsidR="00F35CBF" w:rsidRPr="00E641C4">
        <w:rPr>
          <w:lang w:val="en-AU"/>
        </w:rPr>
        <w:t xml:space="preserve"> region as well as</w:t>
      </w:r>
      <w:r w:rsidRPr="00E641C4">
        <w:rPr>
          <w:lang w:val="en-AU"/>
        </w:rPr>
        <w:t xml:space="preserve"> responses </w:t>
      </w:r>
      <w:r w:rsidR="00DD501C" w:rsidRPr="00E641C4">
        <w:rPr>
          <w:lang w:val="en-AU"/>
        </w:rPr>
        <w:t xml:space="preserve">or </w:t>
      </w:r>
      <w:r w:rsidRPr="00E641C4">
        <w:rPr>
          <w:lang w:val="en-AU"/>
        </w:rPr>
        <w:t xml:space="preserve">approaches to these in the form of </w:t>
      </w:r>
      <w:r w:rsidR="00F35CBF" w:rsidRPr="00E641C4">
        <w:rPr>
          <w:lang w:val="en-AU"/>
        </w:rPr>
        <w:t>f</w:t>
      </w:r>
      <w:r w:rsidRPr="00E641C4">
        <w:rPr>
          <w:lang w:val="en-AU"/>
        </w:rPr>
        <w:t xml:space="preserve">uture </w:t>
      </w:r>
      <w:r w:rsidR="00F35CBF" w:rsidRPr="00E641C4">
        <w:rPr>
          <w:lang w:val="en-AU"/>
        </w:rPr>
        <w:t>d</w:t>
      </w:r>
      <w:r w:rsidRPr="00E641C4">
        <w:rPr>
          <w:lang w:val="en-AU"/>
        </w:rPr>
        <w:t xml:space="preserve">irections. These are </w:t>
      </w:r>
      <w:r w:rsidR="00F35CBF" w:rsidRPr="00E641C4">
        <w:rPr>
          <w:lang w:val="en-AU"/>
        </w:rPr>
        <w:t xml:space="preserve">divided into </w:t>
      </w:r>
      <w:r w:rsidRPr="00E641C4">
        <w:rPr>
          <w:lang w:val="en-AU"/>
        </w:rPr>
        <w:t xml:space="preserve">the </w:t>
      </w:r>
      <w:r w:rsidR="00F35CBF" w:rsidRPr="00E641C4">
        <w:rPr>
          <w:lang w:val="en-AU"/>
        </w:rPr>
        <w:t xml:space="preserve">following </w:t>
      </w:r>
      <w:r w:rsidRPr="00E641C4">
        <w:rPr>
          <w:lang w:val="en-AU"/>
        </w:rPr>
        <w:t xml:space="preserve">topics: </w:t>
      </w:r>
      <w:r w:rsidR="00F35CBF" w:rsidRPr="00E641C4">
        <w:rPr>
          <w:lang w:val="en-AU"/>
        </w:rPr>
        <w:t>r</w:t>
      </w:r>
      <w:r w:rsidRPr="00E641C4">
        <w:rPr>
          <w:lang w:val="en-AU"/>
        </w:rPr>
        <w:t xml:space="preserve">egional </w:t>
      </w:r>
      <w:r w:rsidR="00E45FF3" w:rsidRPr="00E641C4">
        <w:rPr>
          <w:lang w:val="en-AU"/>
        </w:rPr>
        <w:t>e</w:t>
      </w:r>
      <w:r w:rsidRPr="00E641C4">
        <w:rPr>
          <w:lang w:val="en-AU"/>
        </w:rPr>
        <w:t xml:space="preserve">conomy; </w:t>
      </w:r>
      <w:r w:rsidR="00F35CBF" w:rsidRPr="00E641C4">
        <w:rPr>
          <w:lang w:val="en-AU"/>
        </w:rPr>
        <w:t>e</w:t>
      </w:r>
      <w:r w:rsidRPr="00E641C4">
        <w:rPr>
          <w:lang w:val="en-AU"/>
        </w:rPr>
        <w:t xml:space="preserve">nvironment and </w:t>
      </w:r>
      <w:r w:rsidR="00E45FF3" w:rsidRPr="00E641C4">
        <w:rPr>
          <w:lang w:val="en-AU"/>
        </w:rPr>
        <w:t>h</w:t>
      </w:r>
      <w:r w:rsidRPr="00E641C4">
        <w:rPr>
          <w:lang w:val="en-AU"/>
        </w:rPr>
        <w:t xml:space="preserve">eritage; </w:t>
      </w:r>
      <w:r w:rsidR="00F35CBF" w:rsidRPr="00E641C4">
        <w:rPr>
          <w:lang w:val="en-AU"/>
        </w:rPr>
        <w:t>l</w:t>
      </w:r>
      <w:r w:rsidRPr="00E641C4">
        <w:rPr>
          <w:lang w:val="en-AU"/>
        </w:rPr>
        <w:t xml:space="preserve">iving in the </w:t>
      </w:r>
      <w:r w:rsidR="00E45FF3" w:rsidRPr="00E641C4">
        <w:rPr>
          <w:lang w:val="en-AU"/>
        </w:rPr>
        <w:t>r</w:t>
      </w:r>
      <w:r w:rsidRPr="00E641C4">
        <w:rPr>
          <w:lang w:val="en-AU"/>
        </w:rPr>
        <w:t xml:space="preserve">egion; and </w:t>
      </w:r>
      <w:r w:rsidR="00F35CBF" w:rsidRPr="00E641C4">
        <w:rPr>
          <w:lang w:val="en-AU"/>
        </w:rPr>
        <w:t>r</w:t>
      </w:r>
      <w:r w:rsidRPr="00E641C4">
        <w:rPr>
          <w:lang w:val="en-AU"/>
        </w:rPr>
        <w:t xml:space="preserve">egional </w:t>
      </w:r>
      <w:r w:rsidR="00E45FF3" w:rsidRPr="00E641C4">
        <w:rPr>
          <w:lang w:val="en-AU"/>
        </w:rPr>
        <w:t>i</w:t>
      </w:r>
      <w:r w:rsidRPr="00E641C4">
        <w:rPr>
          <w:lang w:val="en-AU"/>
        </w:rPr>
        <w:t xml:space="preserve">nfrastructure. They </w:t>
      </w:r>
      <w:r w:rsidR="00F35CBF" w:rsidRPr="00E641C4">
        <w:rPr>
          <w:lang w:val="en-AU"/>
        </w:rPr>
        <w:t xml:space="preserve">explain </w:t>
      </w:r>
      <w:r w:rsidRPr="00E641C4">
        <w:rPr>
          <w:lang w:val="en-AU"/>
        </w:rPr>
        <w:t>the logic behind the outcomes in Part D</w:t>
      </w:r>
      <w:r w:rsidR="00DD501C" w:rsidRPr="00E641C4">
        <w:rPr>
          <w:lang w:val="en-AU"/>
        </w:rPr>
        <w:t xml:space="preserve">: </w:t>
      </w:r>
      <w:r w:rsidR="00841817">
        <w:rPr>
          <w:lang w:val="en-AU"/>
        </w:rPr>
        <w:t>R</w:t>
      </w:r>
      <w:r w:rsidR="00841817" w:rsidRPr="00E641C4">
        <w:rPr>
          <w:lang w:val="en-AU"/>
        </w:rPr>
        <w:t xml:space="preserve">egional </w:t>
      </w:r>
      <w:r w:rsidR="00E405F2" w:rsidRPr="00E641C4">
        <w:rPr>
          <w:lang w:val="en-AU"/>
        </w:rPr>
        <w:t>growth plan</w:t>
      </w:r>
      <w:r w:rsidRPr="00E641C4">
        <w:rPr>
          <w:lang w:val="en-AU"/>
        </w:rPr>
        <w:t>.</w:t>
      </w:r>
    </w:p>
    <w:p w:rsidR="00AD6D6A" w:rsidRPr="00E641C4" w:rsidRDefault="00AD6D6A" w:rsidP="004827E1">
      <w:pPr>
        <w:pStyle w:val="bt"/>
        <w:rPr>
          <w:rStyle w:val="Strong"/>
          <w:lang w:val="en-AU"/>
        </w:rPr>
      </w:pPr>
      <w:r w:rsidRPr="00E641C4">
        <w:rPr>
          <w:rStyle w:val="Strong"/>
          <w:lang w:val="en-AU"/>
        </w:rPr>
        <w:t>D</w:t>
      </w:r>
      <w:r w:rsidR="00203A0E" w:rsidRPr="00E641C4">
        <w:rPr>
          <w:rStyle w:val="Strong"/>
          <w:lang w:val="en-AU"/>
        </w:rPr>
        <w:t>:</w:t>
      </w:r>
      <w:r w:rsidRPr="00E641C4">
        <w:rPr>
          <w:rStyle w:val="Strong"/>
          <w:lang w:val="en-AU"/>
        </w:rPr>
        <w:t xml:space="preserve"> </w:t>
      </w:r>
      <w:r w:rsidR="00DE41C2" w:rsidRPr="00E641C4">
        <w:rPr>
          <w:rStyle w:val="Strong"/>
          <w:lang w:val="en-AU"/>
        </w:rPr>
        <w:t>R</w:t>
      </w:r>
      <w:r w:rsidRPr="00E641C4">
        <w:rPr>
          <w:rStyle w:val="Strong"/>
          <w:lang w:val="en-AU"/>
        </w:rPr>
        <w:t xml:space="preserve">egional </w:t>
      </w:r>
      <w:r w:rsidR="00F35CBF" w:rsidRPr="00E641C4">
        <w:rPr>
          <w:rStyle w:val="Strong"/>
          <w:lang w:val="en-AU"/>
        </w:rPr>
        <w:t>g</w:t>
      </w:r>
      <w:r w:rsidRPr="00E641C4">
        <w:rPr>
          <w:rStyle w:val="Strong"/>
          <w:lang w:val="en-AU"/>
        </w:rPr>
        <w:t xml:space="preserve">rowth </w:t>
      </w:r>
      <w:r w:rsidR="00F35CBF" w:rsidRPr="00E641C4">
        <w:rPr>
          <w:rStyle w:val="Strong"/>
          <w:lang w:val="en-AU"/>
        </w:rPr>
        <w:t>p</w:t>
      </w:r>
      <w:r w:rsidRPr="00E641C4">
        <w:rPr>
          <w:rStyle w:val="Strong"/>
          <w:lang w:val="en-AU"/>
        </w:rPr>
        <w:t>lan</w:t>
      </w:r>
    </w:p>
    <w:p w:rsidR="00AD6D6A" w:rsidRPr="00E641C4" w:rsidRDefault="00A6167A" w:rsidP="00AD6D6A">
      <w:pPr>
        <w:pStyle w:val="bt"/>
        <w:rPr>
          <w:lang w:val="en-AU"/>
        </w:rPr>
      </w:pPr>
      <w:r w:rsidRPr="00E641C4">
        <w:rPr>
          <w:lang w:val="en-AU"/>
        </w:rPr>
        <w:t>Building on the future directions outlined in Part C, the plan provides an integrated strategic land use plan to manage growth and change across the Loddon Mallee North region until 2041.</w:t>
      </w:r>
    </w:p>
    <w:p w:rsidR="00AD6D6A" w:rsidRPr="00E641C4" w:rsidRDefault="00AD6D6A" w:rsidP="004827E1">
      <w:pPr>
        <w:pStyle w:val="bt"/>
        <w:rPr>
          <w:rStyle w:val="Strong"/>
          <w:lang w:val="en-AU"/>
        </w:rPr>
      </w:pPr>
      <w:r w:rsidRPr="00E641C4">
        <w:rPr>
          <w:rStyle w:val="Strong"/>
          <w:lang w:val="en-AU"/>
        </w:rPr>
        <w:t>E</w:t>
      </w:r>
      <w:r w:rsidR="00203A0E" w:rsidRPr="00E641C4">
        <w:rPr>
          <w:rStyle w:val="Strong"/>
          <w:lang w:val="en-AU"/>
        </w:rPr>
        <w:t>:</w:t>
      </w:r>
      <w:r w:rsidRPr="00E641C4">
        <w:rPr>
          <w:rStyle w:val="Strong"/>
          <w:lang w:val="en-AU"/>
        </w:rPr>
        <w:t xml:space="preserve"> Delivering </w:t>
      </w:r>
      <w:r w:rsidR="00E45FF3" w:rsidRPr="00E641C4">
        <w:rPr>
          <w:rStyle w:val="Strong"/>
          <w:lang w:val="en-AU"/>
        </w:rPr>
        <w:t>r</w:t>
      </w:r>
      <w:r w:rsidRPr="00E641C4">
        <w:rPr>
          <w:rStyle w:val="Strong"/>
          <w:lang w:val="en-AU"/>
        </w:rPr>
        <w:t xml:space="preserve">egional </w:t>
      </w:r>
      <w:r w:rsidR="00E45FF3" w:rsidRPr="00E641C4">
        <w:rPr>
          <w:rStyle w:val="Strong"/>
          <w:lang w:val="en-AU"/>
        </w:rPr>
        <w:t>g</w:t>
      </w:r>
      <w:r w:rsidRPr="00E641C4">
        <w:rPr>
          <w:rStyle w:val="Strong"/>
          <w:lang w:val="en-AU"/>
        </w:rPr>
        <w:t>rowth</w:t>
      </w:r>
    </w:p>
    <w:p w:rsidR="00AD6D6A" w:rsidRPr="00E641C4" w:rsidRDefault="00AD6D6A" w:rsidP="00AD6D6A">
      <w:pPr>
        <w:pStyle w:val="bt"/>
        <w:rPr>
          <w:lang w:val="en-AU"/>
        </w:rPr>
      </w:pPr>
      <w:r w:rsidRPr="00E641C4">
        <w:rPr>
          <w:lang w:val="en-AU"/>
        </w:rPr>
        <w:t xml:space="preserve">Outlines how the </w:t>
      </w:r>
      <w:r w:rsidR="00F35CBF" w:rsidRPr="00E641C4">
        <w:rPr>
          <w:lang w:val="en-AU"/>
        </w:rPr>
        <w:t>p</w:t>
      </w:r>
      <w:r w:rsidRPr="00E641C4">
        <w:rPr>
          <w:lang w:val="en-AU"/>
        </w:rPr>
        <w:t>lan will be implemented and progress monitored.</w:t>
      </w:r>
    </w:p>
    <w:p w:rsidR="007366F4" w:rsidRPr="00E641C4" w:rsidRDefault="007366F4" w:rsidP="00C507C7">
      <w:pPr>
        <w:pStyle w:val="bt"/>
        <w:rPr>
          <w:lang w:val="en-AU"/>
        </w:rPr>
      </w:pPr>
    </w:p>
    <w:p w:rsidR="00FC5996" w:rsidRPr="00E641C4" w:rsidRDefault="00FC5996" w:rsidP="00C507C7">
      <w:pPr>
        <w:pStyle w:val="bt"/>
        <w:rPr>
          <w:lang w:val="en-AU"/>
        </w:rPr>
        <w:sectPr w:rsidR="00FC5996" w:rsidRPr="00E641C4" w:rsidSect="00134771">
          <w:headerReference w:type="default" r:id="rId22"/>
          <w:footerReference w:type="default" r:id="rId23"/>
          <w:pgSz w:w="11906" w:h="16838"/>
          <w:pgMar w:top="1440" w:right="1440" w:bottom="993" w:left="1440" w:header="708" w:footer="708" w:gutter="0"/>
          <w:pgNumType w:start="1"/>
          <w:cols w:space="708"/>
          <w:docGrid w:linePitch="360"/>
        </w:sectPr>
      </w:pPr>
    </w:p>
    <w:p w:rsidR="00C507C7" w:rsidRPr="00FF6F18" w:rsidRDefault="00A61BAF" w:rsidP="00347423">
      <w:pPr>
        <w:pStyle w:val="Heading1"/>
      </w:pPr>
      <w:bookmarkStart w:id="17" w:name="_Toc336871213"/>
      <w:bookmarkStart w:id="18" w:name="_Toc377031445"/>
      <w:r>
        <w:lastRenderedPageBreak/>
        <w:t>PART B:</w:t>
      </w:r>
      <w:r w:rsidR="00C507C7" w:rsidRPr="00FF6F18">
        <w:tab/>
        <w:t>R</w:t>
      </w:r>
      <w:r w:rsidR="009B6188" w:rsidRPr="00FF6F18">
        <w:t>EGIONAL</w:t>
      </w:r>
      <w:r w:rsidR="00C507C7" w:rsidRPr="00FF6F18">
        <w:t xml:space="preserve"> O</w:t>
      </w:r>
      <w:bookmarkEnd w:id="17"/>
      <w:r w:rsidR="009B6188" w:rsidRPr="00FF6F18">
        <w:t>VERVIEW</w:t>
      </w:r>
      <w:bookmarkEnd w:id="18"/>
    </w:p>
    <w:p w:rsidR="00AD6D6A" w:rsidRPr="00E641C4" w:rsidRDefault="00AD6D6A" w:rsidP="00AD6D6A">
      <w:pPr>
        <w:pStyle w:val="bt"/>
        <w:rPr>
          <w:color w:val="000000" w:themeColor="text1"/>
          <w:lang w:val="en-AU"/>
        </w:rPr>
      </w:pPr>
      <w:r w:rsidRPr="00E641C4">
        <w:rPr>
          <w:color w:val="000000" w:themeColor="text1"/>
          <w:lang w:val="en-AU"/>
        </w:rPr>
        <w:t>This part of the plan provides a broad overview of the Loddon Mallee North region</w:t>
      </w:r>
      <w:r w:rsidR="00E405F2" w:rsidRPr="00E641C4">
        <w:rPr>
          <w:color w:val="000000" w:themeColor="text1"/>
          <w:lang w:val="en-AU"/>
        </w:rPr>
        <w:t>,</w:t>
      </w:r>
      <w:r w:rsidRPr="00E641C4">
        <w:rPr>
          <w:color w:val="000000" w:themeColor="text1"/>
          <w:lang w:val="en-AU"/>
        </w:rPr>
        <w:t xml:space="preserve"> including drivers of growth and change, land use challenges facing the region and a </w:t>
      </w:r>
      <w:r w:rsidR="00742428" w:rsidRPr="00E641C4">
        <w:rPr>
          <w:color w:val="000000" w:themeColor="text1"/>
          <w:lang w:val="en-AU"/>
        </w:rPr>
        <w:t xml:space="preserve">vision </w:t>
      </w:r>
      <w:r w:rsidRPr="00E641C4">
        <w:rPr>
          <w:color w:val="000000" w:themeColor="text1"/>
          <w:lang w:val="en-AU"/>
        </w:rPr>
        <w:t>statement outlining a desired future for the region.</w:t>
      </w:r>
    </w:p>
    <w:p w:rsidR="00AD6D6A" w:rsidRPr="00E641C4" w:rsidRDefault="00AD6D6A" w:rsidP="00FF2BCB">
      <w:pPr>
        <w:pStyle w:val="Heading11"/>
      </w:pPr>
      <w:bookmarkStart w:id="19" w:name="_Toc229541136"/>
      <w:bookmarkStart w:id="20" w:name="_Toc377031446"/>
      <w:r w:rsidRPr="00E641C4">
        <w:t xml:space="preserve">Snapshot of the </w:t>
      </w:r>
      <w:r w:rsidR="00E45FF3" w:rsidRPr="00E641C4">
        <w:t>r</w:t>
      </w:r>
      <w:r w:rsidRPr="00E641C4">
        <w:t>egion</w:t>
      </w:r>
      <w:bookmarkEnd w:id="19"/>
      <w:bookmarkEnd w:id="20"/>
    </w:p>
    <w:p w:rsidR="00055692" w:rsidRPr="00E641C4" w:rsidRDefault="00055692" w:rsidP="00055692">
      <w:pPr>
        <w:pStyle w:val="bt"/>
        <w:rPr>
          <w:lang w:val="en-AU"/>
        </w:rPr>
      </w:pPr>
      <w:r w:rsidRPr="00E641C4">
        <w:rPr>
          <w:lang w:val="en-AU"/>
        </w:rPr>
        <w:t>The regional economy is heavily concentrated around two significant industries</w:t>
      </w:r>
      <w:r w:rsidR="00742428" w:rsidRPr="00E641C4">
        <w:rPr>
          <w:lang w:val="en-AU"/>
        </w:rPr>
        <w:t>, agriculture and manufacturing</w:t>
      </w:r>
      <w:r w:rsidRPr="00E641C4">
        <w:rPr>
          <w:lang w:val="en-AU"/>
        </w:rPr>
        <w:t xml:space="preserve">. The key features of the economy </w:t>
      </w:r>
      <w:r w:rsidR="00742428" w:rsidRPr="00E641C4">
        <w:rPr>
          <w:lang w:val="en-AU"/>
        </w:rPr>
        <w:t>are</w:t>
      </w:r>
      <w:r w:rsidRPr="00E641C4">
        <w:rPr>
          <w:lang w:val="en-AU"/>
        </w:rPr>
        <w:t>:</w:t>
      </w:r>
    </w:p>
    <w:p w:rsidR="00055692" w:rsidRPr="00E641C4" w:rsidRDefault="00742428" w:rsidP="00055692">
      <w:pPr>
        <w:pStyle w:val="btbullet"/>
        <w:rPr>
          <w:lang w:val="en-AU"/>
        </w:rPr>
      </w:pPr>
      <w:r w:rsidRPr="00E641C4">
        <w:rPr>
          <w:lang w:val="en-AU"/>
        </w:rPr>
        <w:t>In 2011, a</w:t>
      </w:r>
      <w:r w:rsidR="00055692" w:rsidRPr="00E641C4">
        <w:rPr>
          <w:lang w:val="en-AU"/>
        </w:rPr>
        <w:t xml:space="preserve">griculture and </w:t>
      </w:r>
      <w:r w:rsidR="00E405F2" w:rsidRPr="00E641C4">
        <w:rPr>
          <w:lang w:val="en-AU"/>
        </w:rPr>
        <w:t xml:space="preserve">manufacturing </w:t>
      </w:r>
      <w:r w:rsidR="000622FA" w:rsidRPr="00E641C4">
        <w:rPr>
          <w:lang w:val="en-AU"/>
        </w:rPr>
        <w:t>comprised 34</w:t>
      </w:r>
      <w:r w:rsidRPr="00E641C4">
        <w:rPr>
          <w:lang w:val="en-AU"/>
        </w:rPr>
        <w:t xml:space="preserve"> per cent </w:t>
      </w:r>
      <w:r w:rsidR="000622FA" w:rsidRPr="00E641C4">
        <w:rPr>
          <w:lang w:val="en-AU"/>
        </w:rPr>
        <w:t xml:space="preserve">of the </w:t>
      </w:r>
      <w:r w:rsidR="009F0010" w:rsidRPr="00E641C4">
        <w:rPr>
          <w:lang w:val="en-AU"/>
        </w:rPr>
        <w:t>Gross Regional Product</w:t>
      </w:r>
      <w:r w:rsidR="00C32F9F" w:rsidRPr="00E641C4">
        <w:rPr>
          <w:lang w:val="en-AU"/>
        </w:rPr>
        <w:t>.</w:t>
      </w:r>
    </w:p>
    <w:p w:rsidR="00055692" w:rsidRPr="00E641C4" w:rsidRDefault="00055692" w:rsidP="00055692">
      <w:pPr>
        <w:pStyle w:val="btbullet"/>
        <w:rPr>
          <w:lang w:val="en-AU"/>
        </w:rPr>
      </w:pPr>
      <w:r w:rsidRPr="00E641C4">
        <w:rPr>
          <w:lang w:val="en-AU"/>
        </w:rPr>
        <w:t>Manufacturing in the region is particularly dependent on inputs from the agriculture sector – in 2011, food product manufacturing and beverage manufacturing ma</w:t>
      </w:r>
      <w:r w:rsidR="00C00D47" w:rsidRPr="00E641C4">
        <w:rPr>
          <w:lang w:val="en-AU"/>
        </w:rPr>
        <w:t>d</w:t>
      </w:r>
      <w:r w:rsidRPr="00E641C4">
        <w:rPr>
          <w:lang w:val="en-AU"/>
        </w:rPr>
        <w:t>e up 65</w:t>
      </w:r>
      <w:r w:rsidR="00E405F2" w:rsidRPr="00E641C4">
        <w:rPr>
          <w:lang w:val="en-AU"/>
        </w:rPr>
        <w:t xml:space="preserve"> per cent </w:t>
      </w:r>
      <w:r w:rsidRPr="00E641C4">
        <w:rPr>
          <w:lang w:val="en-AU"/>
        </w:rPr>
        <w:t>of the manufacturin</w:t>
      </w:r>
      <w:r w:rsidR="000622FA" w:rsidRPr="00E641C4">
        <w:rPr>
          <w:lang w:val="en-AU"/>
        </w:rPr>
        <w:t>g sector in Loddon Mallee North</w:t>
      </w:r>
      <w:r w:rsidR="00C32F9F" w:rsidRPr="00E641C4">
        <w:rPr>
          <w:lang w:val="en-AU"/>
        </w:rPr>
        <w:t>.</w:t>
      </w:r>
    </w:p>
    <w:p w:rsidR="00055692" w:rsidRPr="00E641C4" w:rsidRDefault="00055692" w:rsidP="00055692">
      <w:pPr>
        <w:pStyle w:val="btbullet"/>
        <w:rPr>
          <w:lang w:val="en-AU"/>
        </w:rPr>
      </w:pPr>
      <w:r w:rsidRPr="00E641C4">
        <w:rPr>
          <w:lang w:val="en-AU"/>
        </w:rPr>
        <w:t>Population driven sectors</w:t>
      </w:r>
      <w:r w:rsidR="00E405F2" w:rsidRPr="00E641C4">
        <w:rPr>
          <w:lang w:val="en-AU"/>
        </w:rPr>
        <w:t>,</w:t>
      </w:r>
      <w:r w:rsidRPr="00E641C4">
        <w:rPr>
          <w:lang w:val="en-AU"/>
        </w:rPr>
        <w:t xml:space="preserve"> such as construction, healthcare and retail trade</w:t>
      </w:r>
      <w:r w:rsidR="000F5389">
        <w:rPr>
          <w:lang w:val="en-AU"/>
        </w:rPr>
        <w:t>,</w:t>
      </w:r>
      <w:r w:rsidRPr="00E641C4">
        <w:rPr>
          <w:lang w:val="en-AU"/>
        </w:rPr>
        <w:t xml:space="preserve"> are also significant sectors</w:t>
      </w:r>
      <w:r w:rsidR="00C32F9F" w:rsidRPr="00E641C4">
        <w:rPr>
          <w:lang w:val="en-AU"/>
        </w:rPr>
        <w:t>.</w:t>
      </w:r>
      <w:r w:rsidRPr="00E641C4">
        <w:rPr>
          <w:lang w:val="en-AU"/>
        </w:rPr>
        <w:t xml:space="preserve"> </w:t>
      </w:r>
    </w:p>
    <w:p w:rsidR="00055692" w:rsidRPr="00E641C4" w:rsidRDefault="00055692" w:rsidP="00055692">
      <w:pPr>
        <w:pStyle w:val="btbullet"/>
        <w:rPr>
          <w:lang w:val="en-AU"/>
        </w:rPr>
      </w:pPr>
      <w:r w:rsidRPr="00E641C4">
        <w:rPr>
          <w:lang w:val="en-AU"/>
        </w:rPr>
        <w:t xml:space="preserve">The </w:t>
      </w:r>
      <w:r w:rsidR="009F0010" w:rsidRPr="00E641C4">
        <w:rPr>
          <w:lang w:val="en-AU"/>
        </w:rPr>
        <w:t>f</w:t>
      </w:r>
      <w:r w:rsidRPr="00E641C4">
        <w:rPr>
          <w:lang w:val="en-AU"/>
        </w:rPr>
        <w:t xml:space="preserve">inance and </w:t>
      </w:r>
      <w:r w:rsidR="00E405F2" w:rsidRPr="00E641C4">
        <w:rPr>
          <w:lang w:val="en-AU"/>
        </w:rPr>
        <w:t xml:space="preserve">insurance services </w:t>
      </w:r>
      <w:r w:rsidRPr="00E641C4">
        <w:rPr>
          <w:lang w:val="en-AU"/>
        </w:rPr>
        <w:t>sector</w:t>
      </w:r>
      <w:r w:rsidR="00742428" w:rsidRPr="00E641C4">
        <w:rPr>
          <w:lang w:val="en-AU"/>
        </w:rPr>
        <w:t xml:space="preserve"> and</w:t>
      </w:r>
      <w:r w:rsidRPr="00E641C4">
        <w:rPr>
          <w:lang w:val="en-AU"/>
        </w:rPr>
        <w:t xml:space="preserve"> the </w:t>
      </w:r>
      <w:r w:rsidR="009F0010" w:rsidRPr="00E641C4">
        <w:rPr>
          <w:lang w:val="en-AU"/>
        </w:rPr>
        <w:t>h</w:t>
      </w:r>
      <w:r w:rsidRPr="00E641C4">
        <w:rPr>
          <w:lang w:val="en-AU"/>
        </w:rPr>
        <w:t xml:space="preserve">ealth </w:t>
      </w:r>
      <w:r w:rsidR="00E405F2" w:rsidRPr="00E641C4">
        <w:rPr>
          <w:lang w:val="en-AU"/>
        </w:rPr>
        <w:t xml:space="preserve">care </w:t>
      </w:r>
      <w:r w:rsidRPr="00E641C4">
        <w:rPr>
          <w:lang w:val="en-AU"/>
        </w:rPr>
        <w:t xml:space="preserve">and </w:t>
      </w:r>
      <w:r w:rsidR="00E405F2" w:rsidRPr="00E641C4">
        <w:rPr>
          <w:lang w:val="en-AU"/>
        </w:rPr>
        <w:t xml:space="preserve">social assistance </w:t>
      </w:r>
      <w:r w:rsidRPr="00E641C4">
        <w:rPr>
          <w:lang w:val="en-AU"/>
        </w:rPr>
        <w:t>sector</w:t>
      </w:r>
      <w:r w:rsidR="00742428" w:rsidRPr="00E641C4">
        <w:rPr>
          <w:lang w:val="en-AU"/>
        </w:rPr>
        <w:t xml:space="preserve"> are among</w:t>
      </w:r>
      <w:r w:rsidRPr="00E641C4">
        <w:rPr>
          <w:lang w:val="en-AU"/>
        </w:rPr>
        <w:t xml:space="preserve"> the top five industries in the region.</w:t>
      </w:r>
    </w:p>
    <w:p w:rsidR="00055692" w:rsidRPr="00E641C4" w:rsidRDefault="00055692" w:rsidP="00055692">
      <w:pPr>
        <w:pStyle w:val="bt"/>
        <w:rPr>
          <w:lang w:val="en-AU"/>
        </w:rPr>
      </w:pPr>
      <w:r w:rsidRPr="00E641C4">
        <w:rPr>
          <w:lang w:val="en-AU"/>
        </w:rPr>
        <w:t xml:space="preserve">The region’s economy is based on irrigated and </w:t>
      </w:r>
      <w:r w:rsidR="00A6167A" w:rsidRPr="00E641C4">
        <w:rPr>
          <w:lang w:val="en-AU"/>
        </w:rPr>
        <w:t>dry land</w:t>
      </w:r>
      <w:r w:rsidRPr="00E641C4">
        <w:rPr>
          <w:lang w:val="en-AU"/>
        </w:rPr>
        <w:t xml:space="preserve"> farming and is recognised as being part of the Murray Darling food bowl of Victoria. Other industry sectors are strongly linked to agricultural production</w:t>
      </w:r>
      <w:r w:rsidR="00E405F2" w:rsidRPr="00E641C4">
        <w:rPr>
          <w:lang w:val="en-AU"/>
        </w:rPr>
        <w:t>,</w:t>
      </w:r>
      <w:r w:rsidRPr="00E641C4">
        <w:rPr>
          <w:lang w:val="en-AU"/>
        </w:rPr>
        <w:t xml:space="preserve"> including agricultural and transport equipment and advanced services in regional centres</w:t>
      </w:r>
      <w:r w:rsidR="00F75A43" w:rsidRPr="00E641C4">
        <w:rPr>
          <w:rStyle w:val="FootnoteReference"/>
          <w:lang w:val="en-AU"/>
        </w:rPr>
        <w:footnoteReference w:id="1"/>
      </w:r>
      <w:r w:rsidR="00F94BC6" w:rsidRPr="00F94BC6">
        <w:rPr>
          <w:lang w:val="en-AU"/>
        </w:rPr>
        <w:t xml:space="preserve"> </w:t>
      </w:r>
      <w:r w:rsidR="00F94BC6" w:rsidRPr="00E641C4">
        <w:rPr>
          <w:lang w:val="en-AU"/>
        </w:rPr>
        <w:t>.</w:t>
      </w:r>
    </w:p>
    <w:p w:rsidR="00AD6D6A" w:rsidRPr="00E641C4" w:rsidRDefault="00AD6D6A" w:rsidP="007E5014">
      <w:pPr>
        <w:pStyle w:val="Heading3"/>
        <w:rPr>
          <w:lang w:val="en-AU"/>
        </w:rPr>
      </w:pPr>
      <w:r w:rsidRPr="00E641C4">
        <w:rPr>
          <w:lang w:val="en-AU"/>
        </w:rPr>
        <w:t>Geographic area and settlements</w:t>
      </w:r>
    </w:p>
    <w:p w:rsidR="00AD6D6A" w:rsidRPr="00B278C0" w:rsidRDefault="00AD6D6A" w:rsidP="00AD6D6A">
      <w:pPr>
        <w:pStyle w:val="bt"/>
        <w:rPr>
          <w:rFonts w:cs="Calibri"/>
          <w:color w:val="000000" w:themeColor="text1"/>
          <w:szCs w:val="20"/>
          <w:lang w:val="en-AU" w:eastAsia="en-US"/>
        </w:rPr>
      </w:pPr>
      <w:r w:rsidRPr="00E641C4">
        <w:rPr>
          <w:rFonts w:cs="Calibri"/>
          <w:color w:val="000000" w:themeColor="text1"/>
          <w:szCs w:val="20"/>
          <w:lang w:val="en-AU" w:eastAsia="en-US"/>
        </w:rPr>
        <w:t xml:space="preserve">The Loddon Mallee </w:t>
      </w:r>
      <w:r w:rsidR="00A07C93" w:rsidRPr="00E641C4">
        <w:rPr>
          <w:rFonts w:cs="Calibri"/>
          <w:color w:val="000000" w:themeColor="text1"/>
          <w:szCs w:val="20"/>
          <w:lang w:val="en-AU" w:eastAsia="en-US"/>
        </w:rPr>
        <w:t>North r</w:t>
      </w:r>
      <w:r w:rsidRPr="00E641C4">
        <w:rPr>
          <w:rFonts w:cs="Calibri"/>
          <w:color w:val="000000" w:themeColor="text1"/>
          <w:szCs w:val="20"/>
          <w:lang w:val="en-AU" w:eastAsia="en-US"/>
        </w:rPr>
        <w:t xml:space="preserve">egion </w:t>
      </w:r>
      <w:r w:rsidR="00EB3D1A" w:rsidRPr="00E641C4">
        <w:rPr>
          <w:rFonts w:cs="Calibri"/>
          <w:color w:val="000000" w:themeColor="text1"/>
          <w:szCs w:val="20"/>
          <w:lang w:val="en-AU" w:eastAsia="en-US"/>
        </w:rPr>
        <w:t>extends to</w:t>
      </w:r>
      <w:r w:rsidRPr="00E641C4">
        <w:rPr>
          <w:rFonts w:cs="Calibri"/>
          <w:color w:val="000000" w:themeColor="text1"/>
          <w:szCs w:val="20"/>
          <w:lang w:val="en-AU" w:eastAsia="en-US"/>
        </w:rPr>
        <w:t xml:space="preserve"> the far north</w:t>
      </w:r>
      <w:r w:rsidR="00C778E6" w:rsidRPr="00E641C4">
        <w:rPr>
          <w:rFonts w:cs="Calibri"/>
          <w:color w:val="000000" w:themeColor="text1"/>
          <w:szCs w:val="20"/>
          <w:lang w:val="en-AU" w:eastAsia="en-US"/>
        </w:rPr>
        <w:t>-</w:t>
      </w:r>
      <w:r w:rsidRPr="00E641C4">
        <w:rPr>
          <w:rFonts w:cs="Calibri"/>
          <w:color w:val="000000" w:themeColor="text1"/>
          <w:szCs w:val="20"/>
          <w:lang w:val="en-AU" w:eastAsia="en-US"/>
        </w:rPr>
        <w:t xml:space="preserve">west corner of Victoria and covers </w:t>
      </w:r>
      <w:r w:rsidR="00742428" w:rsidRPr="00E641C4">
        <w:rPr>
          <w:rFonts w:cs="Calibri"/>
          <w:color w:val="000000" w:themeColor="text1"/>
          <w:szCs w:val="20"/>
          <w:lang w:val="en-AU" w:eastAsia="en-US"/>
        </w:rPr>
        <w:t xml:space="preserve">more than </w:t>
      </w:r>
      <w:r w:rsidRPr="00E641C4">
        <w:rPr>
          <w:rFonts w:cs="Calibri"/>
          <w:color w:val="000000" w:themeColor="text1"/>
          <w:szCs w:val="20"/>
          <w:lang w:val="en-AU" w:eastAsia="en-US"/>
        </w:rPr>
        <w:t>45,000 square kilometres or 17</w:t>
      </w:r>
      <w:r w:rsidR="00C778E6" w:rsidRPr="00E641C4">
        <w:rPr>
          <w:rFonts w:cs="Calibri"/>
          <w:color w:val="000000" w:themeColor="text1"/>
          <w:szCs w:val="20"/>
          <w:lang w:val="en-AU" w:eastAsia="en-US"/>
        </w:rPr>
        <w:t xml:space="preserve"> per cent</w:t>
      </w:r>
      <w:r w:rsidRPr="00E641C4">
        <w:rPr>
          <w:rFonts w:cs="Calibri"/>
          <w:color w:val="000000" w:themeColor="text1"/>
          <w:szCs w:val="20"/>
          <w:lang w:val="en-AU" w:eastAsia="en-US"/>
        </w:rPr>
        <w:t xml:space="preserve"> of the state. </w:t>
      </w:r>
      <w:r w:rsidRPr="00E641C4">
        <w:rPr>
          <w:lang w:val="en-AU"/>
        </w:rPr>
        <w:t>It lies north of the Great Dividing Range, where the Victorian landscape becomes a vast floodplain draining to the nationally significant Murray River</w:t>
      </w:r>
      <w:r w:rsidR="000122A8" w:rsidRPr="00E641C4">
        <w:rPr>
          <w:lang w:val="en-AU"/>
        </w:rPr>
        <w:t xml:space="preserve"> (</w:t>
      </w:r>
      <w:r w:rsidR="008F0961" w:rsidRPr="00E641C4">
        <w:rPr>
          <w:lang w:val="en-AU"/>
        </w:rPr>
        <w:t>see</w:t>
      </w:r>
      <w:r w:rsidR="004B391F">
        <w:rPr>
          <w:lang w:val="en-AU"/>
        </w:rPr>
        <w:t xml:space="preserve"> Map 3</w:t>
      </w:r>
      <w:r w:rsidR="004A5A83" w:rsidRPr="00E641C4">
        <w:rPr>
          <w:lang w:val="en-AU"/>
        </w:rPr>
        <w:t>).</w:t>
      </w:r>
    </w:p>
    <w:p w:rsidR="00AD6D6A" w:rsidRPr="00E641C4" w:rsidRDefault="00AD6D6A" w:rsidP="00AD6D6A">
      <w:pPr>
        <w:pStyle w:val="bt"/>
        <w:rPr>
          <w:rFonts w:cs="Calibri"/>
          <w:color w:val="000000" w:themeColor="text1"/>
          <w:szCs w:val="20"/>
          <w:lang w:val="en-AU" w:eastAsia="en-US"/>
        </w:rPr>
      </w:pPr>
      <w:r w:rsidRPr="00E641C4">
        <w:rPr>
          <w:rFonts w:cs="Calibri"/>
          <w:color w:val="000000" w:themeColor="text1"/>
          <w:szCs w:val="20"/>
          <w:lang w:val="en-AU" w:eastAsia="en-US"/>
        </w:rPr>
        <w:t xml:space="preserve">Loddon Mallee North has a ‘Mediterranean’ climate that is noticeably warmer and drier than Melbourne and the rest of the </w:t>
      </w:r>
      <w:r w:rsidR="00E45FF3" w:rsidRPr="00E641C4">
        <w:rPr>
          <w:rFonts w:cs="Calibri"/>
          <w:color w:val="000000" w:themeColor="text1"/>
          <w:szCs w:val="20"/>
          <w:lang w:val="en-AU" w:eastAsia="en-US"/>
        </w:rPr>
        <w:t>s</w:t>
      </w:r>
      <w:r w:rsidRPr="00E641C4">
        <w:rPr>
          <w:rFonts w:cs="Calibri"/>
          <w:color w:val="000000" w:themeColor="text1"/>
          <w:szCs w:val="20"/>
          <w:lang w:val="en-AU" w:eastAsia="en-US"/>
        </w:rPr>
        <w:t xml:space="preserve">tate, being both inland and within the ‘rain shadow’ of the Great Dividing </w:t>
      </w:r>
      <w:r w:rsidR="00A07C93" w:rsidRPr="00E641C4">
        <w:rPr>
          <w:rFonts w:cs="Calibri"/>
          <w:color w:val="000000" w:themeColor="text1"/>
          <w:szCs w:val="20"/>
          <w:lang w:val="en-AU" w:eastAsia="en-US"/>
        </w:rPr>
        <w:t xml:space="preserve">Range. The </w:t>
      </w:r>
      <w:r w:rsidR="000122A8" w:rsidRPr="00E641C4">
        <w:rPr>
          <w:rFonts w:cs="Calibri"/>
          <w:color w:val="000000" w:themeColor="text1"/>
          <w:szCs w:val="20"/>
          <w:lang w:val="en-AU" w:eastAsia="en-US"/>
        </w:rPr>
        <w:t xml:space="preserve">region </w:t>
      </w:r>
      <w:r w:rsidRPr="00E641C4">
        <w:rPr>
          <w:rFonts w:cs="Calibri"/>
          <w:color w:val="000000" w:themeColor="text1"/>
          <w:szCs w:val="20"/>
          <w:lang w:val="en-AU" w:eastAsia="en-US"/>
        </w:rPr>
        <w:t>comprises the northern most parts of Victoria</w:t>
      </w:r>
      <w:r w:rsidR="00E405F2" w:rsidRPr="00E641C4">
        <w:rPr>
          <w:rFonts w:cs="Calibri"/>
          <w:color w:val="000000" w:themeColor="text1"/>
          <w:szCs w:val="20"/>
          <w:lang w:val="en-AU" w:eastAsia="en-US"/>
        </w:rPr>
        <w:t>,</w:t>
      </w:r>
      <w:r w:rsidRPr="00E641C4">
        <w:rPr>
          <w:rFonts w:cs="Calibri"/>
          <w:color w:val="000000" w:themeColor="text1"/>
          <w:szCs w:val="20"/>
          <w:lang w:val="en-AU" w:eastAsia="en-US"/>
        </w:rPr>
        <w:t xml:space="preserve"> </w:t>
      </w:r>
      <w:r w:rsidR="00C778E6" w:rsidRPr="00E641C4">
        <w:rPr>
          <w:rFonts w:cs="Calibri"/>
          <w:color w:val="000000" w:themeColor="text1"/>
          <w:szCs w:val="20"/>
          <w:lang w:val="en-AU" w:eastAsia="en-US"/>
        </w:rPr>
        <w:t>with</w:t>
      </w:r>
      <w:r w:rsidRPr="00E641C4">
        <w:rPr>
          <w:rFonts w:cs="Calibri"/>
          <w:color w:val="000000" w:themeColor="text1"/>
          <w:szCs w:val="20"/>
          <w:lang w:val="en-AU" w:eastAsia="en-US"/>
        </w:rPr>
        <w:t xml:space="preserve"> the regional city of Mildura nearly as far north</w:t>
      </w:r>
      <w:r w:rsidR="00E405F2" w:rsidRPr="00E641C4">
        <w:rPr>
          <w:rFonts w:cs="Calibri"/>
          <w:color w:val="000000" w:themeColor="text1"/>
          <w:szCs w:val="20"/>
          <w:lang w:val="en-AU" w:eastAsia="en-US"/>
        </w:rPr>
        <w:t xml:space="preserve"> in latitude</w:t>
      </w:r>
      <w:r w:rsidRPr="00E641C4">
        <w:rPr>
          <w:rFonts w:cs="Calibri"/>
          <w:color w:val="000000" w:themeColor="text1"/>
          <w:szCs w:val="20"/>
          <w:lang w:val="en-AU" w:eastAsia="en-US"/>
        </w:rPr>
        <w:t xml:space="preserve"> as Sydney.</w:t>
      </w:r>
    </w:p>
    <w:p w:rsidR="00AD6D6A" w:rsidRPr="00E641C4" w:rsidRDefault="004B3A6F" w:rsidP="00AD6D6A">
      <w:pPr>
        <w:pStyle w:val="bt"/>
        <w:rPr>
          <w:rFonts w:cs="Calibri"/>
          <w:color w:val="000000" w:themeColor="text1"/>
          <w:szCs w:val="20"/>
          <w:lang w:val="en-AU" w:eastAsia="en-US"/>
        </w:rPr>
      </w:pPr>
      <w:r w:rsidRPr="00E641C4">
        <w:rPr>
          <w:rFonts w:cs="Calibri"/>
          <w:color w:val="000000" w:themeColor="text1"/>
          <w:szCs w:val="20"/>
          <w:lang w:val="en-AU" w:eastAsia="en-US"/>
        </w:rPr>
        <w:t xml:space="preserve">Around </w:t>
      </w:r>
      <w:r w:rsidR="000F5389" w:rsidRPr="00E641C4">
        <w:rPr>
          <w:rFonts w:cs="Calibri"/>
          <w:color w:val="000000" w:themeColor="text1"/>
          <w:szCs w:val="20"/>
          <w:lang w:val="en-AU" w:eastAsia="en-US"/>
        </w:rPr>
        <w:t>one</w:t>
      </w:r>
      <w:r w:rsidR="000F5389">
        <w:rPr>
          <w:rFonts w:cs="Calibri"/>
          <w:color w:val="000000" w:themeColor="text1"/>
          <w:szCs w:val="20"/>
          <w:lang w:val="en-AU" w:eastAsia="en-US"/>
        </w:rPr>
        <w:t>-</w:t>
      </w:r>
      <w:r w:rsidRPr="00E641C4">
        <w:rPr>
          <w:rFonts w:cs="Calibri"/>
          <w:color w:val="000000" w:themeColor="text1"/>
          <w:szCs w:val="20"/>
          <w:lang w:val="en-AU" w:eastAsia="en-US"/>
        </w:rPr>
        <w:t>third of the r</w:t>
      </w:r>
      <w:r w:rsidR="00AD6D6A" w:rsidRPr="00E641C4">
        <w:rPr>
          <w:rFonts w:cs="Calibri"/>
          <w:color w:val="000000" w:themeColor="text1"/>
          <w:szCs w:val="20"/>
          <w:lang w:val="en-AU" w:eastAsia="en-US"/>
        </w:rPr>
        <w:t xml:space="preserve">egion comprises public land, and along with strong ties to the Murray River, the region contains areas of environmental and cultural </w:t>
      </w:r>
      <w:r w:rsidR="00D334F4" w:rsidRPr="00E641C4">
        <w:rPr>
          <w:rFonts w:cs="Calibri"/>
          <w:color w:val="000000" w:themeColor="text1"/>
          <w:szCs w:val="20"/>
          <w:lang w:val="en-AU" w:eastAsia="en-US"/>
        </w:rPr>
        <w:t xml:space="preserve">heritage </w:t>
      </w:r>
      <w:r w:rsidR="00AD6D6A" w:rsidRPr="00E641C4">
        <w:rPr>
          <w:rFonts w:cs="Calibri"/>
          <w:color w:val="000000" w:themeColor="text1"/>
          <w:szCs w:val="20"/>
          <w:lang w:val="en-AU" w:eastAsia="en-US"/>
        </w:rPr>
        <w:t xml:space="preserve">significance including: </w:t>
      </w:r>
      <w:r w:rsidR="00AD6D6A" w:rsidRPr="00E641C4">
        <w:rPr>
          <w:lang w:val="en-AU"/>
        </w:rPr>
        <w:t xml:space="preserve">extensive </w:t>
      </w:r>
      <w:r w:rsidR="00C778E6" w:rsidRPr="00E641C4">
        <w:rPr>
          <w:lang w:val="en-AU"/>
        </w:rPr>
        <w:t>R</w:t>
      </w:r>
      <w:r w:rsidR="00AD6D6A" w:rsidRPr="00E641C4">
        <w:rPr>
          <w:lang w:val="en-AU"/>
        </w:rPr>
        <w:t xml:space="preserve">iver </w:t>
      </w:r>
      <w:r w:rsidR="00C778E6" w:rsidRPr="00E641C4">
        <w:rPr>
          <w:lang w:val="en-AU"/>
        </w:rPr>
        <w:t>R</w:t>
      </w:r>
      <w:r w:rsidR="00AD6D6A" w:rsidRPr="00E641C4">
        <w:rPr>
          <w:lang w:val="en-AU"/>
        </w:rPr>
        <w:t xml:space="preserve">ed </w:t>
      </w:r>
      <w:r w:rsidR="00C778E6" w:rsidRPr="00E641C4">
        <w:rPr>
          <w:lang w:val="en-AU"/>
        </w:rPr>
        <w:t>G</w:t>
      </w:r>
      <w:r w:rsidR="00AD6D6A" w:rsidRPr="00E641C4">
        <w:rPr>
          <w:lang w:val="en-AU"/>
        </w:rPr>
        <w:t>um forests</w:t>
      </w:r>
      <w:r w:rsidR="000E09D4" w:rsidRPr="00E641C4">
        <w:rPr>
          <w:lang w:val="en-AU"/>
        </w:rPr>
        <w:t xml:space="preserve"> and native grasslands</w:t>
      </w:r>
      <w:r w:rsidR="00AD6D6A" w:rsidRPr="00E641C4">
        <w:rPr>
          <w:lang w:val="en-AU"/>
        </w:rPr>
        <w:t xml:space="preserve"> on both public and private land</w:t>
      </w:r>
      <w:r w:rsidR="000E09D4" w:rsidRPr="00E641C4">
        <w:rPr>
          <w:lang w:val="en-AU"/>
        </w:rPr>
        <w:t>; distinctive wetland complexes</w:t>
      </w:r>
      <w:r w:rsidR="00AD6D6A" w:rsidRPr="00E641C4">
        <w:rPr>
          <w:lang w:val="en-AU"/>
        </w:rPr>
        <w:t xml:space="preserve">; </w:t>
      </w:r>
      <w:r w:rsidR="00B840D5" w:rsidRPr="00E641C4">
        <w:rPr>
          <w:lang w:val="en-AU"/>
        </w:rPr>
        <w:t xml:space="preserve">significant </w:t>
      </w:r>
      <w:r w:rsidR="000E09D4" w:rsidRPr="00E641C4">
        <w:rPr>
          <w:lang w:val="en-AU"/>
        </w:rPr>
        <w:t xml:space="preserve">Aboriginal </w:t>
      </w:r>
      <w:r w:rsidR="00AD6D6A" w:rsidRPr="00E641C4">
        <w:rPr>
          <w:lang w:val="en-AU"/>
        </w:rPr>
        <w:t xml:space="preserve">cultural heritage; and </w:t>
      </w:r>
      <w:r w:rsidR="000E09D4" w:rsidRPr="00E641C4">
        <w:rPr>
          <w:lang w:val="en-AU"/>
        </w:rPr>
        <w:t>historic</w:t>
      </w:r>
      <w:r w:rsidR="00AD6D6A" w:rsidRPr="00E641C4">
        <w:rPr>
          <w:lang w:val="en-AU"/>
        </w:rPr>
        <w:t xml:space="preserve"> heritage places from a legacy of nationally significant river trade</w:t>
      </w:r>
      <w:r w:rsidR="008800C2" w:rsidRPr="00E641C4">
        <w:rPr>
          <w:lang w:val="en-AU"/>
        </w:rPr>
        <w:t xml:space="preserve"> and </w:t>
      </w:r>
      <w:r w:rsidR="004A456E" w:rsidRPr="00E641C4">
        <w:rPr>
          <w:lang w:val="en-AU"/>
        </w:rPr>
        <w:t xml:space="preserve">innovative </w:t>
      </w:r>
      <w:r w:rsidR="00AD6D6A" w:rsidRPr="00E641C4">
        <w:rPr>
          <w:lang w:val="en-AU"/>
        </w:rPr>
        <w:t>irrigation schemes.</w:t>
      </w:r>
      <w:r w:rsidR="00AD6D6A" w:rsidRPr="00E641C4">
        <w:rPr>
          <w:rFonts w:cs="Calibri"/>
          <w:color w:val="000000" w:themeColor="text1"/>
          <w:szCs w:val="20"/>
          <w:lang w:val="en-AU" w:eastAsia="en-US"/>
        </w:rPr>
        <w:t xml:space="preserve"> </w:t>
      </w:r>
    </w:p>
    <w:p w:rsidR="00AD6D6A" w:rsidRPr="00E641C4" w:rsidRDefault="00742428" w:rsidP="00AD6D6A">
      <w:pPr>
        <w:pStyle w:val="bt"/>
        <w:rPr>
          <w:rFonts w:cs="Calibri"/>
          <w:color w:val="000000" w:themeColor="text1"/>
          <w:szCs w:val="20"/>
          <w:lang w:val="en-AU" w:eastAsia="en-US"/>
        </w:rPr>
      </w:pPr>
      <w:r w:rsidRPr="00E641C4">
        <w:rPr>
          <w:lang w:val="en-AU"/>
        </w:rPr>
        <w:t>Loddon Mallee North</w:t>
      </w:r>
      <w:r w:rsidR="00AD6D6A" w:rsidRPr="00E641C4">
        <w:rPr>
          <w:lang w:val="en-AU"/>
        </w:rPr>
        <w:t xml:space="preserve"> directly borders two oth</w:t>
      </w:r>
      <w:r w:rsidR="00B840D5" w:rsidRPr="00E641C4">
        <w:rPr>
          <w:lang w:val="en-AU"/>
        </w:rPr>
        <w:t>er states</w:t>
      </w:r>
      <w:r w:rsidR="004218D3">
        <w:rPr>
          <w:lang w:val="en-AU"/>
        </w:rPr>
        <w:t>,</w:t>
      </w:r>
      <w:r w:rsidR="004218D3" w:rsidRPr="00E641C4">
        <w:rPr>
          <w:lang w:val="en-AU"/>
        </w:rPr>
        <w:t xml:space="preserve"> </w:t>
      </w:r>
      <w:r w:rsidR="00B840D5" w:rsidRPr="00E641C4">
        <w:rPr>
          <w:lang w:val="en-AU"/>
        </w:rPr>
        <w:t>New South Wales</w:t>
      </w:r>
      <w:r w:rsidR="00C778E6" w:rsidRPr="00E641C4">
        <w:rPr>
          <w:lang w:val="en-AU"/>
        </w:rPr>
        <w:t xml:space="preserve"> </w:t>
      </w:r>
      <w:r w:rsidR="00AD6D6A" w:rsidRPr="00E641C4">
        <w:rPr>
          <w:lang w:val="en-AU"/>
        </w:rPr>
        <w:t>to the north, with the Murray Riv</w:t>
      </w:r>
      <w:r w:rsidR="00B840D5" w:rsidRPr="00E641C4">
        <w:rPr>
          <w:lang w:val="en-AU"/>
        </w:rPr>
        <w:t xml:space="preserve">er forming </w:t>
      </w:r>
      <w:r w:rsidR="00E405F2" w:rsidRPr="00E641C4">
        <w:rPr>
          <w:lang w:val="en-AU"/>
        </w:rPr>
        <w:t xml:space="preserve">the </w:t>
      </w:r>
      <w:r w:rsidR="00E45FF3" w:rsidRPr="00E641C4">
        <w:rPr>
          <w:lang w:val="en-AU"/>
        </w:rPr>
        <w:t>s</w:t>
      </w:r>
      <w:r w:rsidR="00B840D5" w:rsidRPr="00E641C4">
        <w:rPr>
          <w:lang w:val="en-AU"/>
        </w:rPr>
        <w:t>tate boundary</w:t>
      </w:r>
      <w:r w:rsidRPr="00E641C4">
        <w:rPr>
          <w:lang w:val="en-AU"/>
        </w:rPr>
        <w:t>, and</w:t>
      </w:r>
      <w:r w:rsidR="00B840D5" w:rsidRPr="00E641C4">
        <w:rPr>
          <w:rFonts w:cs="Calibri"/>
          <w:color w:val="000000" w:themeColor="text1"/>
          <w:szCs w:val="20"/>
          <w:lang w:val="en-AU" w:eastAsia="en-US"/>
        </w:rPr>
        <w:t xml:space="preserve"> South Australia</w:t>
      </w:r>
      <w:r w:rsidRPr="00E641C4">
        <w:rPr>
          <w:rFonts w:cs="Calibri"/>
          <w:color w:val="000000" w:themeColor="text1"/>
          <w:szCs w:val="20"/>
          <w:lang w:val="en-AU" w:eastAsia="en-US"/>
        </w:rPr>
        <w:t xml:space="preserve"> to the west</w:t>
      </w:r>
      <w:r w:rsidR="004B3A6F" w:rsidRPr="00E641C4">
        <w:rPr>
          <w:rFonts w:cs="Calibri"/>
          <w:color w:val="000000" w:themeColor="text1"/>
          <w:szCs w:val="20"/>
          <w:lang w:val="en-AU" w:eastAsia="en-US"/>
        </w:rPr>
        <w:t>. The r</w:t>
      </w:r>
      <w:r w:rsidR="00AD6D6A" w:rsidRPr="00E641C4">
        <w:rPr>
          <w:rFonts w:cs="Calibri"/>
          <w:color w:val="000000" w:themeColor="text1"/>
          <w:szCs w:val="20"/>
          <w:lang w:val="en-AU" w:eastAsia="en-US"/>
        </w:rPr>
        <w:t xml:space="preserve">egion has direct functional, economic and social links with these adjoining </w:t>
      </w:r>
      <w:r w:rsidR="00E45FF3" w:rsidRPr="00E641C4">
        <w:rPr>
          <w:rFonts w:cs="Calibri"/>
          <w:color w:val="000000" w:themeColor="text1"/>
          <w:szCs w:val="20"/>
          <w:lang w:val="en-AU" w:eastAsia="en-US"/>
        </w:rPr>
        <w:t>s</w:t>
      </w:r>
      <w:r w:rsidR="00AD6D6A" w:rsidRPr="00E641C4">
        <w:rPr>
          <w:rFonts w:cs="Calibri"/>
          <w:color w:val="000000" w:themeColor="text1"/>
          <w:szCs w:val="20"/>
          <w:lang w:val="en-AU" w:eastAsia="en-US"/>
        </w:rPr>
        <w:t xml:space="preserve">tates. </w:t>
      </w:r>
    </w:p>
    <w:p w:rsidR="00134771" w:rsidRDefault="00AD6D6A" w:rsidP="00134771">
      <w:pPr>
        <w:pStyle w:val="bt"/>
        <w:rPr>
          <w:rFonts w:cs="Calibri"/>
          <w:color w:val="000000" w:themeColor="text1"/>
          <w:szCs w:val="20"/>
          <w:lang w:val="en-AU" w:eastAsia="en-US"/>
        </w:rPr>
      </w:pPr>
      <w:r w:rsidRPr="00E641C4">
        <w:rPr>
          <w:rFonts w:cs="Calibri"/>
          <w:color w:val="000000" w:themeColor="text1"/>
          <w:szCs w:val="20"/>
          <w:lang w:val="en-AU" w:eastAsia="en-US"/>
        </w:rPr>
        <w:t xml:space="preserve">In other areas, Loddon Mallee North has strong relationships </w:t>
      </w:r>
      <w:r w:rsidR="00742428" w:rsidRPr="00E641C4">
        <w:rPr>
          <w:rFonts w:cs="Calibri"/>
          <w:color w:val="000000" w:themeColor="text1"/>
          <w:szCs w:val="20"/>
          <w:lang w:val="en-AU" w:eastAsia="en-US"/>
        </w:rPr>
        <w:t xml:space="preserve">with </w:t>
      </w:r>
      <w:r w:rsidRPr="00E641C4">
        <w:rPr>
          <w:rFonts w:cs="Calibri"/>
          <w:color w:val="000000" w:themeColor="text1"/>
          <w:szCs w:val="20"/>
          <w:lang w:val="en-AU" w:eastAsia="en-US"/>
        </w:rPr>
        <w:t>adjoining Victorian regions. For example</w:t>
      </w:r>
      <w:r w:rsidR="00E405F2" w:rsidRPr="00E641C4">
        <w:rPr>
          <w:rFonts w:cs="Calibri"/>
          <w:color w:val="000000" w:themeColor="text1"/>
          <w:szCs w:val="20"/>
          <w:lang w:val="en-AU" w:eastAsia="en-US"/>
        </w:rPr>
        <w:t>,</w:t>
      </w:r>
      <w:r w:rsidRPr="00E641C4">
        <w:rPr>
          <w:rFonts w:cs="Calibri"/>
          <w:color w:val="000000" w:themeColor="text1"/>
          <w:szCs w:val="20"/>
          <w:lang w:val="en-AU" w:eastAsia="en-US"/>
        </w:rPr>
        <w:t xml:space="preserve"> Buloke Shire, sitting further south and inland </w:t>
      </w:r>
      <w:r w:rsidR="00C778E6" w:rsidRPr="00E641C4">
        <w:rPr>
          <w:rFonts w:cs="Calibri"/>
          <w:color w:val="000000" w:themeColor="text1"/>
          <w:szCs w:val="20"/>
          <w:lang w:val="en-AU" w:eastAsia="en-US"/>
        </w:rPr>
        <w:t>of</w:t>
      </w:r>
      <w:r w:rsidR="00BA611B" w:rsidRPr="00E641C4">
        <w:rPr>
          <w:rFonts w:cs="Calibri"/>
          <w:color w:val="000000" w:themeColor="text1"/>
          <w:szCs w:val="20"/>
          <w:lang w:val="en-AU" w:eastAsia="en-US"/>
        </w:rPr>
        <w:t xml:space="preserve"> </w:t>
      </w:r>
      <w:r w:rsidRPr="00E641C4">
        <w:rPr>
          <w:rFonts w:cs="Calibri"/>
          <w:color w:val="000000" w:themeColor="text1"/>
          <w:szCs w:val="20"/>
          <w:lang w:val="en-AU" w:eastAsia="en-US"/>
        </w:rPr>
        <w:t>the Murray River, has strong relationships wi</w:t>
      </w:r>
      <w:r w:rsidR="00266B9D" w:rsidRPr="00E641C4">
        <w:rPr>
          <w:rFonts w:cs="Calibri"/>
          <w:color w:val="000000" w:themeColor="text1"/>
          <w:szCs w:val="20"/>
          <w:lang w:val="en-AU" w:eastAsia="en-US"/>
        </w:rPr>
        <w:t>th the Wimmera Southern Mallee r</w:t>
      </w:r>
      <w:r w:rsidRPr="00E641C4">
        <w:rPr>
          <w:rFonts w:cs="Calibri"/>
          <w:color w:val="000000" w:themeColor="text1"/>
          <w:szCs w:val="20"/>
          <w:lang w:val="en-AU" w:eastAsia="en-US"/>
        </w:rPr>
        <w:t>egion, while Campaspe relate</w:t>
      </w:r>
      <w:r w:rsidR="00364907" w:rsidRPr="00E641C4">
        <w:rPr>
          <w:rFonts w:cs="Calibri"/>
          <w:color w:val="000000" w:themeColor="text1"/>
          <w:szCs w:val="20"/>
          <w:lang w:val="en-AU" w:eastAsia="en-US"/>
        </w:rPr>
        <w:t>s</w:t>
      </w:r>
      <w:r w:rsidRPr="00E641C4">
        <w:rPr>
          <w:rFonts w:cs="Calibri"/>
          <w:color w:val="000000" w:themeColor="text1"/>
          <w:szCs w:val="20"/>
          <w:lang w:val="en-AU" w:eastAsia="en-US"/>
        </w:rPr>
        <w:t xml:space="preserve"> strongly to th</w:t>
      </w:r>
      <w:r w:rsidR="00364907" w:rsidRPr="00E641C4">
        <w:rPr>
          <w:rFonts w:cs="Calibri"/>
          <w:color w:val="000000" w:themeColor="text1"/>
          <w:szCs w:val="20"/>
          <w:lang w:val="en-AU" w:eastAsia="en-US"/>
        </w:rPr>
        <w:t>e Hume</w:t>
      </w:r>
      <w:r w:rsidR="00266B9D" w:rsidRPr="00E641C4">
        <w:rPr>
          <w:rFonts w:cs="Calibri"/>
          <w:color w:val="000000" w:themeColor="text1"/>
          <w:szCs w:val="20"/>
          <w:lang w:val="en-AU" w:eastAsia="en-US"/>
        </w:rPr>
        <w:t xml:space="preserve"> r</w:t>
      </w:r>
      <w:r w:rsidR="00364907" w:rsidRPr="00E641C4">
        <w:rPr>
          <w:rFonts w:cs="Calibri"/>
          <w:color w:val="000000" w:themeColor="text1"/>
          <w:szCs w:val="20"/>
          <w:lang w:val="en-AU" w:eastAsia="en-US"/>
        </w:rPr>
        <w:t>egion</w:t>
      </w:r>
      <w:r w:rsidR="00743E10" w:rsidRPr="00E641C4">
        <w:rPr>
          <w:rFonts w:cs="Calibri"/>
          <w:color w:val="000000" w:themeColor="text1"/>
          <w:szCs w:val="20"/>
          <w:lang w:val="en-AU" w:eastAsia="en-US"/>
        </w:rPr>
        <w:t xml:space="preserve"> as well as Bendigo</w:t>
      </w:r>
      <w:r w:rsidRPr="00E641C4">
        <w:rPr>
          <w:rFonts w:cs="Calibri"/>
          <w:color w:val="000000" w:themeColor="text1"/>
          <w:szCs w:val="20"/>
          <w:lang w:val="en-AU" w:eastAsia="en-US"/>
        </w:rPr>
        <w:t>. Th</w:t>
      </w:r>
      <w:r w:rsidR="00C778E6" w:rsidRPr="00E641C4">
        <w:rPr>
          <w:rFonts w:cs="Calibri"/>
          <w:color w:val="000000" w:themeColor="text1"/>
          <w:szCs w:val="20"/>
          <w:lang w:val="en-AU" w:eastAsia="en-US"/>
        </w:rPr>
        <w:t>ese relationships are</w:t>
      </w:r>
      <w:r w:rsidRPr="00E641C4">
        <w:rPr>
          <w:rFonts w:cs="Calibri"/>
          <w:color w:val="000000" w:themeColor="text1"/>
          <w:szCs w:val="20"/>
          <w:lang w:val="en-AU" w:eastAsia="en-US"/>
        </w:rPr>
        <w:t xml:space="preserve"> recognised both </w:t>
      </w:r>
      <w:r w:rsidR="00C778E6" w:rsidRPr="00E641C4">
        <w:rPr>
          <w:rFonts w:cs="Calibri"/>
          <w:color w:val="000000" w:themeColor="text1"/>
          <w:szCs w:val="20"/>
          <w:lang w:val="en-AU" w:eastAsia="en-US"/>
        </w:rPr>
        <w:t>in this plan</w:t>
      </w:r>
      <w:r w:rsidRPr="00E641C4">
        <w:rPr>
          <w:rFonts w:cs="Calibri"/>
          <w:color w:val="000000" w:themeColor="text1"/>
          <w:szCs w:val="20"/>
          <w:lang w:val="en-AU" w:eastAsia="en-US"/>
        </w:rPr>
        <w:t xml:space="preserve"> and in the three adjoining regional growth plans </w:t>
      </w:r>
      <w:r w:rsidR="00C778E6" w:rsidRPr="00E641C4">
        <w:rPr>
          <w:rFonts w:cs="Calibri"/>
          <w:color w:val="000000" w:themeColor="text1"/>
          <w:szCs w:val="20"/>
          <w:lang w:val="en-AU" w:eastAsia="en-US"/>
        </w:rPr>
        <w:t xml:space="preserve">for </w:t>
      </w:r>
      <w:r w:rsidRPr="00E641C4">
        <w:rPr>
          <w:rFonts w:cs="Calibri"/>
          <w:color w:val="000000" w:themeColor="text1"/>
          <w:szCs w:val="20"/>
          <w:lang w:val="en-AU" w:eastAsia="en-US"/>
        </w:rPr>
        <w:t>Loddon Mallee South, Wimmera Southern Mallee and Hume.</w:t>
      </w:r>
      <w:bookmarkStart w:id="21" w:name="_Ref373922857"/>
      <w:bookmarkStart w:id="22" w:name="_Toc358365462"/>
      <w:bookmarkStart w:id="23" w:name="_Toc375052097"/>
    </w:p>
    <w:p w:rsidR="00D81C28" w:rsidRPr="00134771" w:rsidRDefault="00D81C28" w:rsidP="00134771">
      <w:pPr>
        <w:pStyle w:val="bt"/>
      </w:pPr>
      <w:r w:rsidRPr="00134771">
        <w:lastRenderedPageBreak/>
        <w:t xml:space="preserve">Map </w:t>
      </w:r>
      <w:bookmarkEnd w:id="21"/>
      <w:r w:rsidR="004B391F">
        <w:t>3</w:t>
      </w:r>
      <w:r w:rsidR="00134771" w:rsidRPr="00134771">
        <w:t xml:space="preserve"> </w:t>
      </w:r>
      <w:r w:rsidR="00134771">
        <w:t>is located here in the document and it shows -</w:t>
      </w:r>
      <w:r w:rsidR="003F3C49" w:rsidRPr="00134771">
        <w:t xml:space="preserve"> </w:t>
      </w:r>
      <w:r w:rsidR="00950E7B">
        <w:t>L</w:t>
      </w:r>
      <w:r w:rsidRPr="00134771">
        <w:t>inks to surrounding regions</w:t>
      </w:r>
      <w:bookmarkEnd w:id="22"/>
      <w:bookmarkEnd w:id="23"/>
    </w:p>
    <w:p w:rsidR="00AD6D6A" w:rsidRPr="00E641C4" w:rsidRDefault="00AD6D6A" w:rsidP="007E5014">
      <w:pPr>
        <w:pStyle w:val="Heading3"/>
        <w:rPr>
          <w:lang w:val="en-AU"/>
        </w:rPr>
      </w:pPr>
      <w:r w:rsidRPr="00E641C4">
        <w:rPr>
          <w:lang w:val="en-AU"/>
        </w:rPr>
        <w:t>People and population growth</w:t>
      </w:r>
    </w:p>
    <w:p w:rsidR="001949EE" w:rsidRDefault="00AD6D6A" w:rsidP="00AD6D6A">
      <w:pPr>
        <w:pStyle w:val="bt"/>
        <w:rPr>
          <w:lang w:val="en-AU"/>
        </w:rPr>
      </w:pPr>
      <w:r w:rsidRPr="00E641C4">
        <w:rPr>
          <w:lang w:val="en-AU"/>
        </w:rPr>
        <w:t>The three large urban centres on the Murray River</w:t>
      </w:r>
      <w:r w:rsidR="009D7690" w:rsidRPr="00E641C4">
        <w:rPr>
          <w:lang w:val="en-AU"/>
        </w:rPr>
        <w:t>,</w:t>
      </w:r>
      <w:r w:rsidRPr="00E641C4">
        <w:rPr>
          <w:lang w:val="en-AU"/>
        </w:rPr>
        <w:t xml:space="preserve"> Mildura</w:t>
      </w:r>
      <w:r w:rsidR="00C778E6" w:rsidRPr="00E641C4">
        <w:rPr>
          <w:lang w:val="en-AU"/>
        </w:rPr>
        <w:t>,</w:t>
      </w:r>
      <w:r w:rsidRPr="00E641C4">
        <w:rPr>
          <w:lang w:val="en-AU"/>
        </w:rPr>
        <w:t xml:space="preserve"> Swan Hill and Echuca</w:t>
      </w:r>
      <w:r w:rsidR="005267CC" w:rsidRPr="00E641C4">
        <w:rPr>
          <w:lang w:val="en-AU"/>
        </w:rPr>
        <w:t>, are</w:t>
      </w:r>
      <w:r w:rsidRPr="00E641C4">
        <w:rPr>
          <w:lang w:val="en-AU"/>
        </w:rPr>
        <w:t xml:space="preserve"> where most people</w:t>
      </w:r>
      <w:r w:rsidR="009D7690" w:rsidRPr="00E641C4">
        <w:rPr>
          <w:lang w:val="en-AU"/>
        </w:rPr>
        <w:t xml:space="preserve"> live</w:t>
      </w:r>
      <w:r w:rsidRPr="00E641C4">
        <w:rPr>
          <w:lang w:val="en-AU"/>
        </w:rPr>
        <w:t xml:space="preserve"> in </w:t>
      </w:r>
      <w:r w:rsidR="009D7690" w:rsidRPr="00E641C4">
        <w:rPr>
          <w:lang w:val="en-AU"/>
        </w:rPr>
        <w:t xml:space="preserve">the </w:t>
      </w:r>
      <w:r w:rsidRPr="00E641C4">
        <w:rPr>
          <w:lang w:val="en-AU"/>
        </w:rPr>
        <w:t>Loddon Mallee North</w:t>
      </w:r>
      <w:r w:rsidR="009D7690" w:rsidRPr="00E641C4">
        <w:rPr>
          <w:lang w:val="en-AU"/>
        </w:rPr>
        <w:t xml:space="preserve"> region</w:t>
      </w:r>
      <w:r w:rsidRPr="00E641C4">
        <w:rPr>
          <w:lang w:val="en-AU"/>
        </w:rPr>
        <w:t>. This pattern is intensifying with population growth in the regional city of Mildura</w:t>
      </w:r>
      <w:r w:rsidR="00C778E6" w:rsidRPr="00E641C4">
        <w:rPr>
          <w:lang w:val="en-AU"/>
        </w:rPr>
        <w:t>, which includes the surrounding small settlements of Red Cliffs, Irymple and Merbein,</w:t>
      </w:r>
      <w:r w:rsidRPr="00E641C4">
        <w:rPr>
          <w:lang w:val="en-AU"/>
        </w:rPr>
        <w:t xml:space="preserve"> and the regional centres of Swan Hill and Ec</w:t>
      </w:r>
      <w:r w:rsidR="00346320" w:rsidRPr="00E641C4">
        <w:rPr>
          <w:lang w:val="en-AU"/>
        </w:rPr>
        <w:t>huca</w:t>
      </w:r>
      <w:r w:rsidR="000B4160">
        <w:rPr>
          <w:lang w:val="en-AU"/>
        </w:rPr>
        <w:t>,</w:t>
      </w:r>
      <w:r w:rsidR="00346320" w:rsidRPr="00E641C4">
        <w:rPr>
          <w:lang w:val="en-AU"/>
        </w:rPr>
        <w:t xml:space="preserve"> greatly outstripping any</w:t>
      </w:r>
      <w:r w:rsidR="00364907" w:rsidRPr="00E641C4">
        <w:rPr>
          <w:lang w:val="en-AU"/>
        </w:rPr>
        <w:t xml:space="preserve"> increases in</w:t>
      </w:r>
      <w:r w:rsidRPr="00E641C4">
        <w:rPr>
          <w:lang w:val="en-AU"/>
        </w:rPr>
        <w:t xml:space="preserve"> inland </w:t>
      </w:r>
      <w:r w:rsidR="00341417" w:rsidRPr="00E641C4">
        <w:rPr>
          <w:lang w:val="en-AU"/>
        </w:rPr>
        <w:t xml:space="preserve">towns and </w:t>
      </w:r>
      <w:r w:rsidRPr="00E641C4">
        <w:rPr>
          <w:lang w:val="en-AU"/>
        </w:rPr>
        <w:t xml:space="preserve">rural settlements. </w:t>
      </w:r>
    </w:p>
    <w:p w:rsidR="00AD6D6A" w:rsidRPr="00E641C4" w:rsidRDefault="00AD6D6A" w:rsidP="00AD6D6A">
      <w:pPr>
        <w:pStyle w:val="bt"/>
        <w:rPr>
          <w:lang w:val="en-AU"/>
        </w:rPr>
      </w:pPr>
      <w:r w:rsidRPr="00E641C4">
        <w:rPr>
          <w:lang w:val="en-AU"/>
        </w:rPr>
        <w:t>These urban centres also provide higher order services to the wider region within Victoria</w:t>
      </w:r>
      <w:r w:rsidR="004460A3" w:rsidRPr="00E641C4">
        <w:rPr>
          <w:lang w:val="en-AU"/>
        </w:rPr>
        <w:t>,</w:t>
      </w:r>
      <w:r w:rsidRPr="00E641C4">
        <w:rPr>
          <w:lang w:val="en-AU"/>
        </w:rPr>
        <w:t xml:space="preserve"> as well as parts of New South Wales and South Australia. </w:t>
      </w:r>
    </w:p>
    <w:p w:rsidR="00AD6D6A" w:rsidRPr="00E641C4" w:rsidRDefault="00AD6D6A" w:rsidP="00AD6D6A">
      <w:pPr>
        <w:pStyle w:val="bt"/>
        <w:rPr>
          <w:lang w:val="en-AU"/>
        </w:rPr>
      </w:pPr>
      <w:r w:rsidRPr="00E641C4">
        <w:rPr>
          <w:lang w:val="en-AU"/>
        </w:rPr>
        <w:t xml:space="preserve">Overall population growth in </w:t>
      </w:r>
      <w:r w:rsidR="00EB3D1A" w:rsidRPr="00E641C4">
        <w:rPr>
          <w:lang w:val="en-AU"/>
        </w:rPr>
        <w:t>the</w:t>
      </w:r>
      <w:r w:rsidRPr="00E641C4">
        <w:rPr>
          <w:lang w:val="en-AU"/>
        </w:rPr>
        <w:t xml:space="preserve"> </w:t>
      </w:r>
      <w:r w:rsidR="00C778E6" w:rsidRPr="00E641C4">
        <w:rPr>
          <w:lang w:val="en-AU"/>
        </w:rPr>
        <w:t xml:space="preserve">region </w:t>
      </w:r>
      <w:r w:rsidRPr="00E641C4">
        <w:rPr>
          <w:lang w:val="en-AU"/>
        </w:rPr>
        <w:t xml:space="preserve">has been relatively modest in </w:t>
      </w:r>
      <w:r w:rsidR="00341417" w:rsidRPr="00E641C4">
        <w:rPr>
          <w:lang w:val="en-AU"/>
        </w:rPr>
        <w:t>recent years, increasing by</w:t>
      </w:r>
      <w:r w:rsidRPr="00E641C4">
        <w:rPr>
          <w:lang w:val="en-AU"/>
        </w:rPr>
        <w:t xml:space="preserve"> 5000 people from 2006 to reach 134</w:t>
      </w:r>
      <w:r w:rsidR="00A6167A" w:rsidRPr="00E641C4">
        <w:rPr>
          <w:lang w:val="en-AU"/>
        </w:rPr>
        <w:t>,</w:t>
      </w:r>
      <w:r w:rsidR="008F0961" w:rsidRPr="00E641C4">
        <w:rPr>
          <w:lang w:val="en-AU"/>
        </w:rPr>
        <w:t xml:space="preserve">314 </w:t>
      </w:r>
      <w:r w:rsidRPr="00E641C4">
        <w:rPr>
          <w:lang w:val="en-AU"/>
        </w:rPr>
        <w:t>in 2011</w:t>
      </w:r>
      <w:r w:rsidR="008F0961" w:rsidRPr="00E641C4">
        <w:rPr>
          <w:lang w:val="en-AU"/>
        </w:rPr>
        <w:t xml:space="preserve"> (refer to Table 1)</w:t>
      </w:r>
      <w:r w:rsidRPr="00E641C4">
        <w:rPr>
          <w:lang w:val="en-AU"/>
        </w:rPr>
        <w:t>. This slow but steady growth rate is expected to continue</w:t>
      </w:r>
      <w:r w:rsidR="000B4160">
        <w:rPr>
          <w:lang w:val="en-AU"/>
        </w:rPr>
        <w:t>,</w:t>
      </w:r>
      <w:r w:rsidRPr="00E641C4">
        <w:rPr>
          <w:lang w:val="en-AU"/>
        </w:rPr>
        <w:t xml:space="preserve"> with the population projected to increase by approximately 25,000 people to around 160,000</w:t>
      </w:r>
      <w:r w:rsidR="00341417" w:rsidRPr="00E641C4">
        <w:rPr>
          <w:lang w:val="en-AU"/>
        </w:rPr>
        <w:t xml:space="preserve"> </w:t>
      </w:r>
      <w:r w:rsidR="00C778E6" w:rsidRPr="00E641C4">
        <w:rPr>
          <w:lang w:val="en-AU"/>
        </w:rPr>
        <w:t xml:space="preserve">people </w:t>
      </w:r>
      <w:r w:rsidR="00341417" w:rsidRPr="00E641C4">
        <w:rPr>
          <w:lang w:val="en-AU"/>
        </w:rPr>
        <w:t>by 2041</w:t>
      </w:r>
      <w:r w:rsidRPr="00E641C4">
        <w:rPr>
          <w:lang w:val="en-AU"/>
        </w:rPr>
        <w:t>. Growth will continue to be unevenly distributed across the region with most growth occurring in Mildura, Swan Hill and Echuca.</w:t>
      </w:r>
    </w:p>
    <w:p w:rsidR="00700FA8" w:rsidRDefault="00341417" w:rsidP="00AD6D6A">
      <w:pPr>
        <w:pStyle w:val="bt"/>
        <w:rPr>
          <w:lang w:val="en-AU"/>
        </w:rPr>
      </w:pPr>
      <w:r w:rsidRPr="00E641C4">
        <w:rPr>
          <w:lang w:val="en-AU"/>
        </w:rPr>
        <w:t>Some places have experienced population decreases over the past decade. Between 2006 and 2011 Gannawarra Shire, which does not have a large urban centre, experienced Victoria’s greatest proportional population decrease, dropping 1.7 per cent</w:t>
      </w:r>
      <w:r w:rsidR="00CF60A2">
        <w:rPr>
          <w:rStyle w:val="FootnoteReference"/>
          <w:lang w:val="en-AU"/>
        </w:rPr>
        <w:footnoteReference w:id="2"/>
      </w:r>
      <w:r w:rsidRPr="00E641C4">
        <w:rPr>
          <w:lang w:val="en-AU"/>
        </w:rPr>
        <w:t>.</w:t>
      </w:r>
    </w:p>
    <w:p w:rsidR="007D12F1" w:rsidRPr="00E641C4" w:rsidRDefault="007D12F1" w:rsidP="00834ED5">
      <w:pPr>
        <w:pStyle w:val="Caption"/>
        <w:rPr>
          <w:lang w:val="en-AU"/>
        </w:rPr>
      </w:pPr>
      <w:bookmarkStart w:id="24" w:name="_Toc380061943"/>
      <w:bookmarkStart w:id="25" w:name="_Toc380651276"/>
      <w:r w:rsidRPr="00E641C4">
        <w:rPr>
          <w:lang w:val="en-AU"/>
        </w:rPr>
        <w:t xml:space="preserve">Table </w:t>
      </w:r>
      <w:r w:rsidR="003F4484" w:rsidRPr="00E641C4">
        <w:rPr>
          <w:lang w:val="en-AU"/>
        </w:rPr>
        <w:fldChar w:fldCharType="begin"/>
      </w:r>
      <w:r w:rsidR="008F61DD" w:rsidRPr="00E641C4">
        <w:rPr>
          <w:lang w:val="en-AU"/>
        </w:rPr>
        <w:instrText xml:space="preserve"> SEQ Table \* ARABIC </w:instrText>
      </w:r>
      <w:r w:rsidR="003F4484" w:rsidRPr="00E641C4">
        <w:rPr>
          <w:lang w:val="en-AU"/>
        </w:rPr>
        <w:fldChar w:fldCharType="separate"/>
      </w:r>
      <w:r w:rsidR="00E47BE0">
        <w:rPr>
          <w:noProof/>
          <w:lang w:val="en-AU"/>
        </w:rPr>
        <w:t>1</w:t>
      </w:r>
      <w:r w:rsidR="003F4484" w:rsidRPr="00E641C4">
        <w:rPr>
          <w:lang w:val="en-AU"/>
        </w:rPr>
        <w:fldChar w:fldCharType="end"/>
      </w:r>
      <w:r w:rsidRPr="00E641C4">
        <w:rPr>
          <w:lang w:val="en-AU"/>
        </w:rPr>
        <w:t xml:space="preserve">: </w:t>
      </w:r>
      <w:r w:rsidRPr="00BA45FA">
        <w:rPr>
          <w:b w:val="0"/>
          <w:lang w:val="en-AU"/>
        </w:rPr>
        <w:t>Population projections</w:t>
      </w:r>
      <w:bookmarkEnd w:id="24"/>
      <w:bookmarkEnd w:id="25"/>
    </w:p>
    <w:p w:rsidR="007E794A" w:rsidRDefault="006418BD" w:rsidP="006418BD">
      <w:pPr>
        <w:pStyle w:val="bt"/>
        <w:rPr>
          <w:rStyle w:val="Strong"/>
          <w:lang w:val="en-AU"/>
        </w:rPr>
      </w:pPr>
      <w:r w:rsidRPr="00E641C4">
        <w:rPr>
          <w:rStyle w:val="Strong"/>
          <w:lang w:val="en-AU"/>
        </w:rPr>
        <w:t xml:space="preserve">Local </w:t>
      </w:r>
      <w:r w:rsidR="00AA10D1">
        <w:rPr>
          <w:rStyle w:val="Strong"/>
          <w:lang w:val="en-AU"/>
        </w:rPr>
        <w:t>g</w:t>
      </w:r>
      <w:r w:rsidR="00AA10D1" w:rsidRPr="00E641C4">
        <w:rPr>
          <w:rStyle w:val="Strong"/>
          <w:lang w:val="en-AU"/>
        </w:rPr>
        <w:t xml:space="preserve">overnment </w:t>
      </w:r>
      <w:r w:rsidRPr="00E641C4">
        <w:rPr>
          <w:rStyle w:val="Strong"/>
          <w:lang w:val="en-AU"/>
        </w:rPr>
        <w:t>area: Buloke</w:t>
      </w:r>
    </w:p>
    <w:p w:rsidR="006418BD" w:rsidRPr="00E641C4" w:rsidRDefault="006418BD" w:rsidP="006418BD">
      <w:pPr>
        <w:pStyle w:val="bt"/>
        <w:rPr>
          <w:lang w:val="en-AU"/>
        </w:rPr>
      </w:pPr>
      <w:r w:rsidRPr="00E641C4">
        <w:rPr>
          <w:lang w:val="en-AU"/>
        </w:rPr>
        <w:t>Total population:</w:t>
      </w:r>
    </w:p>
    <w:p w:rsidR="006418BD" w:rsidRPr="00673508" w:rsidRDefault="006418BD" w:rsidP="00673508">
      <w:pPr>
        <w:pStyle w:val="btbullet"/>
      </w:pPr>
      <w:r w:rsidRPr="00673508">
        <w:t>2011: 6925</w:t>
      </w:r>
    </w:p>
    <w:p w:rsidR="006418BD" w:rsidRPr="00673508" w:rsidRDefault="006418BD" w:rsidP="00673508">
      <w:pPr>
        <w:pStyle w:val="btbullet"/>
      </w:pPr>
      <w:r w:rsidRPr="00673508">
        <w:t>2021: 6779</w:t>
      </w:r>
    </w:p>
    <w:p w:rsidR="006418BD" w:rsidRPr="00673508" w:rsidRDefault="006418BD" w:rsidP="00673508">
      <w:pPr>
        <w:pStyle w:val="btbullet"/>
      </w:pPr>
      <w:r w:rsidRPr="00673508">
        <w:t>2031: 6519</w:t>
      </w:r>
    </w:p>
    <w:p w:rsidR="007E794A" w:rsidRDefault="006418BD" w:rsidP="006418BD">
      <w:pPr>
        <w:pStyle w:val="bt"/>
        <w:rPr>
          <w:rStyle w:val="Strong"/>
          <w:lang w:val="en-AU"/>
        </w:rPr>
      </w:pPr>
      <w:r w:rsidRPr="00E641C4">
        <w:rPr>
          <w:rStyle w:val="Strong"/>
          <w:lang w:val="en-AU"/>
        </w:rPr>
        <w:t xml:space="preserve">Local </w:t>
      </w:r>
      <w:r w:rsidR="00AA10D1">
        <w:rPr>
          <w:rStyle w:val="Strong"/>
          <w:lang w:val="en-AU"/>
        </w:rPr>
        <w:t>g</w:t>
      </w:r>
      <w:r w:rsidR="00AA10D1" w:rsidRPr="00E641C4">
        <w:rPr>
          <w:rStyle w:val="Strong"/>
          <w:lang w:val="en-AU"/>
        </w:rPr>
        <w:t xml:space="preserve">overnment </w:t>
      </w:r>
      <w:r w:rsidRPr="00E641C4">
        <w:rPr>
          <w:rStyle w:val="Strong"/>
          <w:lang w:val="en-AU"/>
        </w:rPr>
        <w:t>area: Campaspe</w:t>
      </w:r>
    </w:p>
    <w:p w:rsidR="006418BD" w:rsidRPr="00E641C4" w:rsidRDefault="006418BD" w:rsidP="006418BD">
      <w:pPr>
        <w:pStyle w:val="bt"/>
        <w:rPr>
          <w:lang w:val="en-AU"/>
        </w:rPr>
      </w:pPr>
      <w:r w:rsidRPr="00E641C4">
        <w:rPr>
          <w:lang w:val="en-AU"/>
        </w:rPr>
        <w:t>Total population:</w:t>
      </w:r>
    </w:p>
    <w:p w:rsidR="006418BD" w:rsidRPr="00E641C4" w:rsidRDefault="006418BD" w:rsidP="006418BD">
      <w:pPr>
        <w:pStyle w:val="btbullet"/>
        <w:rPr>
          <w:lang w:val="en-AU"/>
        </w:rPr>
      </w:pPr>
      <w:r w:rsidRPr="00E641C4">
        <w:rPr>
          <w:lang w:val="en-AU"/>
        </w:rPr>
        <w:t>2011: 38,981</w:t>
      </w:r>
    </w:p>
    <w:p w:rsidR="006418BD" w:rsidRPr="00E641C4" w:rsidRDefault="006418BD" w:rsidP="006418BD">
      <w:pPr>
        <w:pStyle w:val="btbullet"/>
        <w:rPr>
          <w:lang w:val="en-AU"/>
        </w:rPr>
      </w:pPr>
      <w:r w:rsidRPr="00E641C4">
        <w:rPr>
          <w:lang w:val="en-AU"/>
        </w:rPr>
        <w:t>2021: 40,305</w:t>
      </w:r>
    </w:p>
    <w:p w:rsidR="006418BD" w:rsidRPr="00E641C4" w:rsidRDefault="006418BD" w:rsidP="006418BD">
      <w:pPr>
        <w:pStyle w:val="btbullet"/>
        <w:rPr>
          <w:lang w:val="en-AU"/>
        </w:rPr>
      </w:pPr>
      <w:r w:rsidRPr="00E641C4">
        <w:rPr>
          <w:lang w:val="en-AU"/>
        </w:rPr>
        <w:t>2031: 45,541</w:t>
      </w:r>
    </w:p>
    <w:p w:rsidR="007E794A" w:rsidRDefault="006418BD" w:rsidP="006418BD">
      <w:pPr>
        <w:pStyle w:val="bt"/>
        <w:rPr>
          <w:rStyle w:val="Strong"/>
          <w:lang w:val="en-AU"/>
        </w:rPr>
      </w:pPr>
      <w:r w:rsidRPr="00E641C4">
        <w:rPr>
          <w:rStyle w:val="Strong"/>
          <w:lang w:val="en-AU"/>
        </w:rPr>
        <w:t xml:space="preserve">Local </w:t>
      </w:r>
      <w:r w:rsidR="00AA10D1">
        <w:rPr>
          <w:rStyle w:val="Strong"/>
          <w:lang w:val="en-AU"/>
        </w:rPr>
        <w:t>g</w:t>
      </w:r>
      <w:r w:rsidR="00AA10D1" w:rsidRPr="00E641C4">
        <w:rPr>
          <w:rStyle w:val="Strong"/>
          <w:lang w:val="en-AU"/>
        </w:rPr>
        <w:t xml:space="preserve">overnment </w:t>
      </w:r>
      <w:r w:rsidRPr="00E641C4">
        <w:rPr>
          <w:rStyle w:val="Strong"/>
          <w:lang w:val="en-AU"/>
        </w:rPr>
        <w:t>area: Gannawarra</w:t>
      </w:r>
    </w:p>
    <w:p w:rsidR="006418BD" w:rsidRPr="00E641C4" w:rsidRDefault="006418BD" w:rsidP="006418BD">
      <w:pPr>
        <w:pStyle w:val="bt"/>
        <w:rPr>
          <w:lang w:val="en-AU"/>
        </w:rPr>
      </w:pPr>
      <w:r w:rsidRPr="00E641C4">
        <w:rPr>
          <w:lang w:val="en-AU"/>
        </w:rPr>
        <w:t>Total population:</w:t>
      </w:r>
    </w:p>
    <w:p w:rsidR="006418BD" w:rsidRPr="00E641C4" w:rsidRDefault="006418BD" w:rsidP="006418BD">
      <w:pPr>
        <w:pStyle w:val="btbullet"/>
        <w:rPr>
          <w:lang w:val="en-AU"/>
        </w:rPr>
      </w:pPr>
      <w:r w:rsidRPr="00E641C4">
        <w:rPr>
          <w:lang w:val="en-AU"/>
        </w:rPr>
        <w:t>2011: 11,467</w:t>
      </w:r>
    </w:p>
    <w:p w:rsidR="006418BD" w:rsidRPr="00E641C4" w:rsidRDefault="006418BD" w:rsidP="006418BD">
      <w:pPr>
        <w:pStyle w:val="btbullet"/>
        <w:rPr>
          <w:lang w:val="en-AU"/>
        </w:rPr>
      </w:pPr>
      <w:r w:rsidRPr="00E641C4">
        <w:rPr>
          <w:lang w:val="en-AU"/>
        </w:rPr>
        <w:t>2021: 11,479</w:t>
      </w:r>
    </w:p>
    <w:p w:rsidR="006418BD" w:rsidRPr="00E641C4" w:rsidRDefault="009A7C24" w:rsidP="006418BD">
      <w:pPr>
        <w:pStyle w:val="btbullet"/>
        <w:rPr>
          <w:lang w:val="en-AU"/>
        </w:rPr>
      </w:pPr>
      <w:r>
        <w:rPr>
          <w:lang w:val="en-AU"/>
        </w:rPr>
        <w:t>2031: 11,288</w:t>
      </w:r>
    </w:p>
    <w:p w:rsidR="007E794A" w:rsidRDefault="006418BD" w:rsidP="006418BD">
      <w:pPr>
        <w:pStyle w:val="bt"/>
        <w:rPr>
          <w:rStyle w:val="Strong"/>
          <w:lang w:val="en-AU"/>
        </w:rPr>
      </w:pPr>
      <w:r w:rsidRPr="00E641C4">
        <w:rPr>
          <w:rStyle w:val="Strong"/>
          <w:lang w:val="en-AU"/>
        </w:rPr>
        <w:t xml:space="preserve">Local </w:t>
      </w:r>
      <w:r w:rsidR="00AA10D1">
        <w:rPr>
          <w:rStyle w:val="Strong"/>
          <w:lang w:val="en-AU"/>
        </w:rPr>
        <w:t>g</w:t>
      </w:r>
      <w:r w:rsidR="00AA10D1" w:rsidRPr="00E641C4">
        <w:rPr>
          <w:rStyle w:val="Strong"/>
          <w:lang w:val="en-AU"/>
        </w:rPr>
        <w:t xml:space="preserve">overnment </w:t>
      </w:r>
      <w:r w:rsidRPr="00E641C4">
        <w:rPr>
          <w:rStyle w:val="Strong"/>
          <w:lang w:val="en-AU"/>
        </w:rPr>
        <w:t>area: Mildura</w:t>
      </w:r>
      <w:r w:rsidR="004A6121">
        <w:rPr>
          <w:rStyle w:val="Strong"/>
          <w:lang w:val="en-AU"/>
        </w:rPr>
        <w:t xml:space="preserve"> </w:t>
      </w:r>
    </w:p>
    <w:p w:rsidR="006418BD" w:rsidRPr="00E641C4" w:rsidRDefault="006418BD" w:rsidP="006418BD">
      <w:pPr>
        <w:pStyle w:val="bt"/>
        <w:rPr>
          <w:lang w:val="en-AU"/>
        </w:rPr>
      </w:pPr>
      <w:r w:rsidRPr="00E641C4">
        <w:rPr>
          <w:lang w:val="en-AU"/>
        </w:rPr>
        <w:t>Total population:</w:t>
      </w:r>
    </w:p>
    <w:p w:rsidR="006418BD" w:rsidRPr="00E641C4" w:rsidRDefault="006418BD" w:rsidP="006418BD">
      <w:pPr>
        <w:pStyle w:val="btbullet"/>
        <w:rPr>
          <w:lang w:val="en-AU"/>
        </w:rPr>
      </w:pPr>
      <w:r w:rsidRPr="00E641C4">
        <w:rPr>
          <w:lang w:val="en-AU"/>
        </w:rPr>
        <w:t>2011: 54,666</w:t>
      </w:r>
    </w:p>
    <w:p w:rsidR="006418BD" w:rsidRPr="00E641C4" w:rsidRDefault="006418BD" w:rsidP="006418BD">
      <w:pPr>
        <w:pStyle w:val="btbullet"/>
        <w:rPr>
          <w:lang w:val="en-AU"/>
        </w:rPr>
      </w:pPr>
      <w:r w:rsidRPr="00E641C4">
        <w:rPr>
          <w:lang w:val="en-AU"/>
        </w:rPr>
        <w:lastRenderedPageBreak/>
        <w:t>2021: 60,325</w:t>
      </w:r>
    </w:p>
    <w:p w:rsidR="006418BD" w:rsidRPr="00E641C4" w:rsidRDefault="006418BD" w:rsidP="006418BD">
      <w:pPr>
        <w:pStyle w:val="btbullet"/>
        <w:rPr>
          <w:lang w:val="en-AU"/>
        </w:rPr>
      </w:pPr>
      <w:r w:rsidRPr="00E641C4">
        <w:rPr>
          <w:lang w:val="en-AU"/>
        </w:rPr>
        <w:t>2031: 64,288</w:t>
      </w:r>
    </w:p>
    <w:p w:rsidR="007E794A" w:rsidRDefault="006418BD" w:rsidP="006418BD">
      <w:pPr>
        <w:pStyle w:val="bt"/>
        <w:rPr>
          <w:rStyle w:val="Strong"/>
          <w:lang w:val="en-AU"/>
        </w:rPr>
      </w:pPr>
      <w:r w:rsidRPr="00E641C4">
        <w:rPr>
          <w:rStyle w:val="Strong"/>
          <w:lang w:val="en-AU"/>
        </w:rPr>
        <w:t xml:space="preserve">Local </w:t>
      </w:r>
      <w:r w:rsidR="00AA10D1">
        <w:rPr>
          <w:rStyle w:val="Strong"/>
          <w:lang w:val="en-AU"/>
        </w:rPr>
        <w:t>g</w:t>
      </w:r>
      <w:r w:rsidR="00AA10D1" w:rsidRPr="00E641C4">
        <w:rPr>
          <w:rStyle w:val="Strong"/>
          <w:lang w:val="en-AU"/>
        </w:rPr>
        <w:t xml:space="preserve">overnment </w:t>
      </w:r>
      <w:r w:rsidRPr="00E641C4">
        <w:rPr>
          <w:rStyle w:val="Strong"/>
          <w:lang w:val="en-AU"/>
        </w:rPr>
        <w:t>area:</w:t>
      </w:r>
      <w:r w:rsidR="00AA10D1">
        <w:rPr>
          <w:rStyle w:val="Strong"/>
          <w:lang w:val="en-AU"/>
        </w:rPr>
        <w:t xml:space="preserve"> </w:t>
      </w:r>
      <w:r w:rsidRPr="00E641C4">
        <w:rPr>
          <w:rStyle w:val="Strong"/>
          <w:lang w:val="en-AU"/>
        </w:rPr>
        <w:t>Swan Hill</w:t>
      </w:r>
    </w:p>
    <w:p w:rsidR="006418BD" w:rsidRPr="00E641C4" w:rsidRDefault="006418BD" w:rsidP="006418BD">
      <w:pPr>
        <w:pStyle w:val="bt"/>
        <w:rPr>
          <w:lang w:val="en-AU"/>
        </w:rPr>
      </w:pPr>
      <w:r w:rsidRPr="00E641C4">
        <w:rPr>
          <w:lang w:val="en-AU"/>
        </w:rPr>
        <w:t>Total population:</w:t>
      </w:r>
    </w:p>
    <w:p w:rsidR="006418BD" w:rsidRPr="00E641C4" w:rsidRDefault="006418BD" w:rsidP="006418BD">
      <w:pPr>
        <w:pStyle w:val="btbullet"/>
        <w:rPr>
          <w:lang w:val="en-AU"/>
        </w:rPr>
      </w:pPr>
      <w:r w:rsidRPr="00E641C4">
        <w:rPr>
          <w:lang w:val="en-AU"/>
        </w:rPr>
        <w:t>2011: 22,275</w:t>
      </w:r>
    </w:p>
    <w:p w:rsidR="006418BD" w:rsidRPr="00E641C4" w:rsidRDefault="006418BD" w:rsidP="006418BD">
      <w:pPr>
        <w:pStyle w:val="btbullet"/>
        <w:rPr>
          <w:lang w:val="en-AU"/>
        </w:rPr>
      </w:pPr>
      <w:r w:rsidRPr="00E641C4">
        <w:rPr>
          <w:lang w:val="en-AU"/>
        </w:rPr>
        <w:t>2021: 23,524</w:t>
      </w:r>
    </w:p>
    <w:p w:rsidR="006418BD" w:rsidRPr="00E641C4" w:rsidRDefault="006418BD" w:rsidP="006418BD">
      <w:pPr>
        <w:pStyle w:val="btbullet"/>
        <w:rPr>
          <w:lang w:val="en-AU"/>
        </w:rPr>
      </w:pPr>
      <w:r w:rsidRPr="00E641C4">
        <w:rPr>
          <w:lang w:val="en-AU"/>
        </w:rPr>
        <w:t>2031: 24,448</w:t>
      </w:r>
    </w:p>
    <w:p w:rsidR="006418BD" w:rsidRDefault="00353455" w:rsidP="006418BD">
      <w:pPr>
        <w:pStyle w:val="bt"/>
        <w:rPr>
          <w:rStyle w:val="Strong"/>
          <w:lang w:val="en-AU"/>
        </w:rPr>
      </w:pPr>
      <w:r>
        <w:rPr>
          <w:rStyle w:val="Strong"/>
          <w:lang w:val="en-AU"/>
        </w:rPr>
        <w:t>Loddon Mallee Nor</w:t>
      </w:r>
      <w:r w:rsidR="00907679">
        <w:rPr>
          <w:rStyle w:val="Strong"/>
          <w:lang w:val="en-AU"/>
        </w:rPr>
        <w:t>th region</w:t>
      </w:r>
    </w:p>
    <w:p w:rsidR="00907679" w:rsidRPr="00E641C4" w:rsidRDefault="00907679" w:rsidP="00907679">
      <w:pPr>
        <w:pStyle w:val="bt"/>
        <w:rPr>
          <w:lang w:val="en-AU"/>
        </w:rPr>
      </w:pPr>
      <w:r w:rsidRPr="00E641C4">
        <w:rPr>
          <w:lang w:val="en-AU"/>
        </w:rPr>
        <w:t>Total population:</w:t>
      </w:r>
    </w:p>
    <w:p w:rsidR="006418BD" w:rsidRPr="00E641C4" w:rsidRDefault="006418BD" w:rsidP="006418BD">
      <w:pPr>
        <w:pStyle w:val="btbullet"/>
        <w:rPr>
          <w:lang w:val="en-AU"/>
        </w:rPr>
      </w:pPr>
      <w:r w:rsidRPr="00E641C4">
        <w:rPr>
          <w:lang w:val="en-AU"/>
        </w:rPr>
        <w:t>2011: 134,314</w:t>
      </w:r>
    </w:p>
    <w:p w:rsidR="006418BD" w:rsidRPr="00E641C4" w:rsidRDefault="006418BD" w:rsidP="006418BD">
      <w:pPr>
        <w:pStyle w:val="btbullet"/>
        <w:rPr>
          <w:lang w:val="en-AU"/>
        </w:rPr>
      </w:pPr>
      <w:r w:rsidRPr="00E641C4">
        <w:rPr>
          <w:lang w:val="en-AU"/>
        </w:rPr>
        <w:t>2021: 143,997</w:t>
      </w:r>
    </w:p>
    <w:p w:rsidR="006418BD" w:rsidRPr="00E641C4" w:rsidRDefault="006418BD" w:rsidP="006418BD">
      <w:pPr>
        <w:pStyle w:val="btbullet"/>
        <w:rPr>
          <w:lang w:val="en-AU"/>
        </w:rPr>
      </w:pPr>
      <w:r w:rsidRPr="00E641C4">
        <w:rPr>
          <w:lang w:val="en-AU"/>
        </w:rPr>
        <w:t>2031: 152,085</w:t>
      </w:r>
    </w:p>
    <w:p w:rsidR="00A637AA" w:rsidRPr="00E641C4" w:rsidRDefault="005C75C0" w:rsidP="004B3BA5">
      <w:pPr>
        <w:pStyle w:val="source"/>
        <w:rPr>
          <w:lang w:val="en-AU"/>
        </w:rPr>
      </w:pPr>
      <w:r w:rsidRPr="00E641C4">
        <w:rPr>
          <w:lang w:val="en-AU"/>
        </w:rPr>
        <w:t xml:space="preserve">Source: </w:t>
      </w:r>
      <w:r w:rsidR="00D24130" w:rsidRPr="00E641C4">
        <w:rPr>
          <w:lang w:val="en-AU"/>
        </w:rPr>
        <w:t>D</w:t>
      </w:r>
      <w:r w:rsidR="003C393E" w:rsidRPr="00E641C4">
        <w:rPr>
          <w:lang w:val="en-AU"/>
        </w:rPr>
        <w:t>epartment of Planning and Community Development,</w:t>
      </w:r>
      <w:r w:rsidRPr="00E641C4">
        <w:rPr>
          <w:lang w:val="en-AU"/>
        </w:rPr>
        <w:t xml:space="preserve"> </w:t>
      </w:r>
      <w:bookmarkStart w:id="26" w:name="_GoBack"/>
      <w:r w:rsidRPr="00E641C4">
        <w:rPr>
          <w:lang w:val="en-AU"/>
        </w:rPr>
        <w:t>Victoria in Future</w:t>
      </w:r>
      <w:bookmarkEnd w:id="26"/>
      <w:r w:rsidRPr="00E641C4">
        <w:rPr>
          <w:lang w:val="en-AU"/>
        </w:rPr>
        <w:t xml:space="preserve"> 2012</w:t>
      </w:r>
    </w:p>
    <w:p w:rsidR="00AD6D6A" w:rsidRPr="00E641C4" w:rsidRDefault="004B3A6F" w:rsidP="00261B25">
      <w:pPr>
        <w:pStyle w:val="bt"/>
        <w:rPr>
          <w:lang w:val="en-AU"/>
        </w:rPr>
      </w:pPr>
      <w:r w:rsidRPr="00E641C4">
        <w:rPr>
          <w:lang w:val="en-AU"/>
        </w:rPr>
        <w:t>Outside the r</w:t>
      </w:r>
      <w:r w:rsidR="00AD6D6A" w:rsidRPr="00E641C4">
        <w:rPr>
          <w:lang w:val="en-AU"/>
        </w:rPr>
        <w:t>egion’s main urban centres, the average age of the population is increasing at a fas</w:t>
      </w:r>
      <w:r w:rsidR="003A0E47" w:rsidRPr="00E641C4">
        <w:rPr>
          <w:lang w:val="en-AU"/>
        </w:rPr>
        <w:t xml:space="preserve">ter rate than the </w:t>
      </w:r>
      <w:r w:rsidR="00E45FF3" w:rsidRPr="00E641C4">
        <w:rPr>
          <w:lang w:val="en-AU"/>
        </w:rPr>
        <w:t>s</w:t>
      </w:r>
      <w:r w:rsidR="003A0E47" w:rsidRPr="00E641C4">
        <w:rPr>
          <w:lang w:val="en-AU"/>
        </w:rPr>
        <w:t>tate average</w:t>
      </w:r>
      <w:bookmarkStart w:id="27" w:name="_Ref229802106"/>
      <w:r w:rsidR="002E1A52" w:rsidRPr="00E641C4">
        <w:rPr>
          <w:rStyle w:val="FootnoteReference"/>
          <w:lang w:val="en-AU"/>
        </w:rPr>
        <w:footnoteReference w:id="3"/>
      </w:r>
      <w:bookmarkEnd w:id="27"/>
      <w:r w:rsidR="003A0E47" w:rsidRPr="00E641C4">
        <w:rPr>
          <w:lang w:val="en-AU"/>
        </w:rPr>
        <w:t>.</w:t>
      </w:r>
      <w:r w:rsidR="00AD6D6A" w:rsidRPr="00E641C4">
        <w:rPr>
          <w:lang w:val="en-AU"/>
        </w:rPr>
        <w:t xml:space="preserve"> </w:t>
      </w:r>
    </w:p>
    <w:p w:rsidR="004A456E" w:rsidRPr="00E641C4" w:rsidRDefault="004B3A6F" w:rsidP="00261B25">
      <w:pPr>
        <w:pStyle w:val="bt"/>
        <w:rPr>
          <w:lang w:val="en-AU"/>
        </w:rPr>
      </w:pPr>
      <w:r w:rsidRPr="00E641C4">
        <w:rPr>
          <w:lang w:val="en-AU"/>
        </w:rPr>
        <w:t>The r</w:t>
      </w:r>
      <w:r w:rsidR="00AD6D6A" w:rsidRPr="00E641C4">
        <w:rPr>
          <w:lang w:val="en-AU"/>
        </w:rPr>
        <w:t xml:space="preserve">egion has a relatively diverse </w:t>
      </w:r>
      <w:r w:rsidR="009D7690" w:rsidRPr="00E641C4">
        <w:rPr>
          <w:lang w:val="en-AU"/>
        </w:rPr>
        <w:t>community profile</w:t>
      </w:r>
      <w:r w:rsidR="00AD6D6A" w:rsidRPr="00E641C4">
        <w:rPr>
          <w:lang w:val="en-AU"/>
        </w:rPr>
        <w:t xml:space="preserve">. </w:t>
      </w:r>
      <w:r w:rsidR="009D7690" w:rsidRPr="00E641C4">
        <w:rPr>
          <w:lang w:val="en-AU"/>
        </w:rPr>
        <w:t>T</w:t>
      </w:r>
      <w:r w:rsidR="00411139" w:rsidRPr="00E641C4">
        <w:rPr>
          <w:lang w:val="en-AU"/>
        </w:rPr>
        <w:t>here is</w:t>
      </w:r>
      <w:r w:rsidR="00AD6D6A" w:rsidRPr="00E641C4">
        <w:rPr>
          <w:lang w:val="en-AU"/>
        </w:rPr>
        <w:t xml:space="preserve"> a strong </w:t>
      </w:r>
      <w:r w:rsidR="00AA58E5" w:rsidRPr="00E641C4">
        <w:rPr>
          <w:lang w:val="en-AU"/>
        </w:rPr>
        <w:t>Aboriginal</w:t>
      </w:r>
      <w:r w:rsidR="009D7690" w:rsidRPr="00E641C4">
        <w:rPr>
          <w:rStyle w:val="FootnoteReference"/>
          <w:lang w:val="en-AU"/>
        </w:rPr>
        <w:footnoteReference w:id="4"/>
      </w:r>
      <w:r w:rsidR="00AA58E5" w:rsidRPr="00E641C4">
        <w:rPr>
          <w:lang w:val="en-AU"/>
        </w:rPr>
        <w:t xml:space="preserve"> </w:t>
      </w:r>
      <w:r w:rsidR="004460A3" w:rsidRPr="00E641C4">
        <w:rPr>
          <w:lang w:val="en-AU"/>
        </w:rPr>
        <w:t>community</w:t>
      </w:r>
      <w:r w:rsidR="00AD6D6A" w:rsidRPr="00E641C4">
        <w:rPr>
          <w:lang w:val="en-AU"/>
        </w:rPr>
        <w:t>, especially in and around Robinvale</w:t>
      </w:r>
      <w:r w:rsidR="00DC076D" w:rsidRPr="00E641C4">
        <w:rPr>
          <w:lang w:val="en-AU"/>
        </w:rPr>
        <w:t>. There are also many people from</w:t>
      </w:r>
      <w:r w:rsidR="00AD6D6A" w:rsidRPr="00E641C4">
        <w:rPr>
          <w:lang w:val="en-AU"/>
        </w:rPr>
        <w:t xml:space="preserve"> Mediterranean </w:t>
      </w:r>
      <w:r w:rsidR="00DC076D" w:rsidRPr="00E641C4">
        <w:rPr>
          <w:lang w:val="en-AU"/>
        </w:rPr>
        <w:t xml:space="preserve">backgrounds who </w:t>
      </w:r>
      <w:r w:rsidR="009D7690" w:rsidRPr="00E641C4">
        <w:rPr>
          <w:lang w:val="en-AU"/>
        </w:rPr>
        <w:t>migrated</w:t>
      </w:r>
      <w:r w:rsidR="00DC076D" w:rsidRPr="00E641C4">
        <w:rPr>
          <w:lang w:val="en-AU"/>
        </w:rPr>
        <w:t xml:space="preserve"> to the region as a result of</w:t>
      </w:r>
      <w:r w:rsidR="009D7690" w:rsidRPr="00E641C4">
        <w:rPr>
          <w:lang w:val="en-AU"/>
        </w:rPr>
        <w:t xml:space="preserve"> the expansion of</w:t>
      </w:r>
      <w:r w:rsidR="00DC076D" w:rsidRPr="00E641C4">
        <w:rPr>
          <w:lang w:val="en-AU"/>
        </w:rPr>
        <w:t xml:space="preserve"> </w:t>
      </w:r>
      <w:r w:rsidR="00AD6D6A" w:rsidRPr="00E641C4">
        <w:rPr>
          <w:lang w:val="en-AU"/>
        </w:rPr>
        <w:t xml:space="preserve">irrigation and fruit growing in the 20th </w:t>
      </w:r>
      <w:r w:rsidR="00E45FF3" w:rsidRPr="00E641C4">
        <w:rPr>
          <w:lang w:val="en-AU"/>
        </w:rPr>
        <w:t>c</w:t>
      </w:r>
      <w:r w:rsidR="00AD6D6A" w:rsidRPr="00E641C4">
        <w:rPr>
          <w:lang w:val="en-AU"/>
        </w:rPr>
        <w:t>entury</w:t>
      </w:r>
      <w:r w:rsidR="00DC076D" w:rsidRPr="00E641C4">
        <w:rPr>
          <w:lang w:val="en-AU"/>
        </w:rPr>
        <w:t>. More recently</w:t>
      </w:r>
      <w:r w:rsidR="009D7690" w:rsidRPr="00E641C4">
        <w:rPr>
          <w:lang w:val="en-AU"/>
        </w:rPr>
        <w:t>,</w:t>
      </w:r>
      <w:r w:rsidR="00DC076D" w:rsidRPr="00E641C4">
        <w:rPr>
          <w:lang w:val="en-AU"/>
        </w:rPr>
        <w:t xml:space="preserve"> </w:t>
      </w:r>
      <w:r w:rsidR="00AD6D6A" w:rsidRPr="00E641C4">
        <w:rPr>
          <w:lang w:val="en-AU"/>
        </w:rPr>
        <w:t>Polynesian and Middle</w:t>
      </w:r>
      <w:r w:rsidR="009D7690" w:rsidRPr="00E641C4">
        <w:rPr>
          <w:lang w:val="en-AU"/>
        </w:rPr>
        <w:t xml:space="preserve"> </w:t>
      </w:r>
      <w:r w:rsidR="00DC076D" w:rsidRPr="00E641C4">
        <w:rPr>
          <w:lang w:val="en-AU"/>
        </w:rPr>
        <w:t>E</w:t>
      </w:r>
      <w:r w:rsidR="00AD6D6A" w:rsidRPr="00E641C4">
        <w:rPr>
          <w:lang w:val="en-AU"/>
        </w:rPr>
        <w:t>astern</w:t>
      </w:r>
      <w:r w:rsidRPr="00E641C4">
        <w:rPr>
          <w:lang w:val="en-AU"/>
        </w:rPr>
        <w:t xml:space="preserve"> populations</w:t>
      </w:r>
      <w:r w:rsidR="009D7690" w:rsidRPr="00E641C4">
        <w:rPr>
          <w:lang w:val="en-AU"/>
        </w:rPr>
        <w:t xml:space="preserve"> have established</w:t>
      </w:r>
      <w:r w:rsidRPr="00E641C4">
        <w:rPr>
          <w:lang w:val="en-AU"/>
        </w:rPr>
        <w:t xml:space="preserve"> in Swan Hill. </w:t>
      </w:r>
    </w:p>
    <w:p w:rsidR="00AD6D6A" w:rsidRPr="00E641C4" w:rsidRDefault="004B3A6F" w:rsidP="00261B25">
      <w:pPr>
        <w:pStyle w:val="bt"/>
        <w:rPr>
          <w:lang w:val="en-AU"/>
        </w:rPr>
      </w:pPr>
      <w:r w:rsidRPr="00E641C4">
        <w:rPr>
          <w:lang w:val="en-AU"/>
        </w:rPr>
        <w:t>The r</w:t>
      </w:r>
      <w:r w:rsidR="00AD6D6A" w:rsidRPr="00E641C4">
        <w:rPr>
          <w:lang w:val="en-AU"/>
        </w:rPr>
        <w:t xml:space="preserve">egion features clusters of highly mobile groups associated with seasonal and transient workforces in the fruit growing and mining industries, as well as movement within the </w:t>
      </w:r>
      <w:r w:rsidR="0045346C" w:rsidRPr="00E641C4">
        <w:rPr>
          <w:lang w:val="en-AU"/>
        </w:rPr>
        <w:t xml:space="preserve">Aboriginal </w:t>
      </w:r>
      <w:r w:rsidR="00AD6D6A" w:rsidRPr="00E641C4">
        <w:rPr>
          <w:lang w:val="en-AU"/>
        </w:rPr>
        <w:t>population, particularly along the Murray</w:t>
      </w:r>
      <w:r w:rsidR="004460A3" w:rsidRPr="00E641C4">
        <w:rPr>
          <w:lang w:val="en-AU"/>
        </w:rPr>
        <w:t xml:space="preserve"> River</w:t>
      </w:r>
      <w:r w:rsidR="00AD6D6A" w:rsidRPr="00E641C4">
        <w:rPr>
          <w:lang w:val="en-AU"/>
        </w:rPr>
        <w:t xml:space="preserve">. These groups are not necessarily accurately reflected in Census data, but </w:t>
      </w:r>
      <w:r w:rsidR="00411139" w:rsidRPr="00E641C4">
        <w:rPr>
          <w:lang w:val="en-AU"/>
        </w:rPr>
        <w:t xml:space="preserve">are </w:t>
      </w:r>
      <w:r w:rsidR="00AD6D6A" w:rsidRPr="00E641C4">
        <w:rPr>
          <w:lang w:val="en-AU"/>
        </w:rPr>
        <w:t xml:space="preserve">considered in this </w:t>
      </w:r>
      <w:r w:rsidR="00E45FF3" w:rsidRPr="00E641C4">
        <w:rPr>
          <w:lang w:val="en-AU"/>
        </w:rPr>
        <w:t>p</w:t>
      </w:r>
      <w:r w:rsidR="00AD6D6A" w:rsidRPr="00E641C4">
        <w:rPr>
          <w:lang w:val="en-AU"/>
        </w:rPr>
        <w:t>lan</w:t>
      </w:r>
      <w:r w:rsidR="00411139" w:rsidRPr="00E641C4">
        <w:rPr>
          <w:lang w:val="en-AU"/>
        </w:rPr>
        <w:t xml:space="preserve"> nonetheless</w:t>
      </w:r>
      <w:r w:rsidR="00AD6D6A" w:rsidRPr="00E641C4">
        <w:rPr>
          <w:lang w:val="en-AU"/>
        </w:rPr>
        <w:t>.</w:t>
      </w:r>
    </w:p>
    <w:p w:rsidR="00AD6D6A" w:rsidRPr="00E641C4" w:rsidRDefault="00AD6D6A" w:rsidP="00261B25">
      <w:pPr>
        <w:pStyle w:val="bt"/>
        <w:rPr>
          <w:lang w:val="en-AU"/>
        </w:rPr>
      </w:pPr>
      <w:r w:rsidRPr="00E641C4">
        <w:rPr>
          <w:lang w:val="en-AU"/>
        </w:rPr>
        <w:t>There are areas of significant social disad</w:t>
      </w:r>
      <w:r w:rsidR="003A0E47" w:rsidRPr="00E641C4">
        <w:rPr>
          <w:lang w:val="en-AU"/>
        </w:rPr>
        <w:t>vantage in Loddon Mallee North</w:t>
      </w:r>
      <w:r w:rsidR="00443894" w:rsidRPr="00E641C4">
        <w:rPr>
          <w:lang w:val="en-AU"/>
        </w:rPr>
        <w:t xml:space="preserve"> </w:t>
      </w:r>
      <w:r w:rsidRPr="00E641C4">
        <w:rPr>
          <w:lang w:val="en-AU"/>
        </w:rPr>
        <w:t>when compared to the Victorian average and other regions. Disadvantage includes lower school completion rates, lower rates of tertiary education and lower</w:t>
      </w:r>
      <w:r w:rsidR="00DC076D" w:rsidRPr="00E641C4">
        <w:rPr>
          <w:lang w:val="en-AU"/>
        </w:rPr>
        <w:t xml:space="preserve"> average</w:t>
      </w:r>
      <w:r w:rsidRPr="00E641C4">
        <w:rPr>
          <w:lang w:val="en-AU"/>
        </w:rPr>
        <w:t xml:space="preserve"> income. Disadvantage is further compounded by relative isolation and the </w:t>
      </w:r>
      <w:r w:rsidR="00411139" w:rsidRPr="00E641C4">
        <w:rPr>
          <w:lang w:val="en-AU"/>
        </w:rPr>
        <w:t xml:space="preserve">challenges prompted by </w:t>
      </w:r>
      <w:r w:rsidRPr="00E641C4">
        <w:rPr>
          <w:lang w:val="en-AU"/>
        </w:rPr>
        <w:t>population change and uneven growth</w:t>
      </w:r>
      <w:r w:rsidR="00443894" w:rsidRPr="00E641C4">
        <w:rPr>
          <w:rStyle w:val="FootnoteReference"/>
          <w:lang w:val="en-AU"/>
        </w:rPr>
        <w:footnoteReference w:id="5"/>
      </w:r>
      <w:r w:rsidR="000F715A" w:rsidRPr="000F715A">
        <w:rPr>
          <w:lang w:val="en-AU"/>
        </w:rPr>
        <w:t xml:space="preserve"> </w:t>
      </w:r>
      <w:r w:rsidR="000F715A" w:rsidRPr="00E641C4">
        <w:rPr>
          <w:lang w:val="en-AU"/>
        </w:rPr>
        <w:t>.</w:t>
      </w:r>
    </w:p>
    <w:p w:rsidR="00AD6D6A" w:rsidRPr="00E641C4" w:rsidRDefault="00731D63" w:rsidP="007E5014">
      <w:pPr>
        <w:pStyle w:val="Heading3"/>
        <w:rPr>
          <w:lang w:val="en-AU"/>
        </w:rPr>
      </w:pPr>
      <w:r w:rsidRPr="00E641C4">
        <w:rPr>
          <w:lang w:val="en-AU"/>
        </w:rPr>
        <w:t>Growth in Loddon Mallee North</w:t>
      </w:r>
    </w:p>
    <w:p w:rsidR="00AD6D6A" w:rsidRPr="00E641C4" w:rsidRDefault="00AD6D6A" w:rsidP="00261B25">
      <w:pPr>
        <w:pStyle w:val="bt"/>
        <w:rPr>
          <w:lang w:val="en-AU"/>
        </w:rPr>
      </w:pPr>
      <w:r w:rsidRPr="00E641C4">
        <w:rPr>
          <w:lang w:val="en-AU"/>
        </w:rPr>
        <w:t>With modest projected population growth, regional growth planning in Loddon Mallee North is focusing on providing a land use framework to underpin sustained economic growth</w:t>
      </w:r>
      <w:r w:rsidR="00F511BB" w:rsidRPr="00E641C4">
        <w:rPr>
          <w:lang w:val="en-AU"/>
        </w:rPr>
        <w:t>,</w:t>
      </w:r>
      <w:r w:rsidRPr="00E641C4">
        <w:rPr>
          <w:lang w:val="en-AU"/>
        </w:rPr>
        <w:t xml:space="preserve"> as well as addressing challenges arising from population change. To enable a more prosperous and liveable future for the Loddon Mallee North community, this </w:t>
      </w:r>
      <w:r w:rsidR="00E45FF3" w:rsidRPr="00E641C4">
        <w:rPr>
          <w:lang w:val="en-AU"/>
        </w:rPr>
        <w:t>p</w:t>
      </w:r>
      <w:r w:rsidRPr="00E641C4">
        <w:rPr>
          <w:lang w:val="en-AU"/>
        </w:rPr>
        <w:t>lan addresses growth in terms of:</w:t>
      </w:r>
    </w:p>
    <w:p w:rsidR="00AD6D6A" w:rsidRPr="00E641C4" w:rsidRDefault="00DC076D" w:rsidP="00261B25">
      <w:pPr>
        <w:pStyle w:val="btbullet"/>
        <w:rPr>
          <w:lang w:val="en-AU"/>
        </w:rPr>
      </w:pPr>
      <w:r w:rsidRPr="00E641C4">
        <w:rPr>
          <w:lang w:val="en-AU"/>
        </w:rPr>
        <w:t>m</w:t>
      </w:r>
      <w:r w:rsidR="00AD6D6A" w:rsidRPr="00E641C4">
        <w:rPr>
          <w:lang w:val="en-AU"/>
        </w:rPr>
        <w:t>anaging population growth and change</w:t>
      </w:r>
    </w:p>
    <w:p w:rsidR="00AD6D6A" w:rsidRPr="00E641C4" w:rsidRDefault="00DC076D" w:rsidP="00261B25">
      <w:pPr>
        <w:pStyle w:val="btbullet"/>
        <w:rPr>
          <w:lang w:val="en-AU"/>
        </w:rPr>
      </w:pPr>
      <w:r w:rsidRPr="00E641C4">
        <w:rPr>
          <w:lang w:val="en-AU"/>
        </w:rPr>
        <w:t>a</w:t>
      </w:r>
      <w:r w:rsidR="00AD6D6A" w:rsidRPr="00E641C4">
        <w:rPr>
          <w:lang w:val="en-AU"/>
        </w:rPr>
        <w:t>ttracting sustainable investment, industry growth and facilitating long-term job creation</w:t>
      </w:r>
    </w:p>
    <w:p w:rsidR="001970CD" w:rsidRDefault="00DC076D" w:rsidP="00261B25">
      <w:pPr>
        <w:pStyle w:val="btbullet"/>
        <w:rPr>
          <w:lang w:val="en-AU"/>
        </w:rPr>
      </w:pPr>
      <w:proofErr w:type="gramStart"/>
      <w:r w:rsidRPr="00E641C4">
        <w:rPr>
          <w:lang w:val="en-AU"/>
        </w:rPr>
        <w:t>e</w:t>
      </w:r>
      <w:r w:rsidR="00AD6D6A" w:rsidRPr="00E641C4">
        <w:rPr>
          <w:lang w:val="en-AU"/>
        </w:rPr>
        <w:t>nabling</w:t>
      </w:r>
      <w:proofErr w:type="gramEnd"/>
      <w:r w:rsidR="00AD6D6A" w:rsidRPr="00E641C4">
        <w:rPr>
          <w:lang w:val="en-AU"/>
        </w:rPr>
        <w:t xml:space="preserve"> access to services to support local people into the future. </w:t>
      </w:r>
    </w:p>
    <w:p w:rsidR="00AD6D6A" w:rsidRPr="00E641C4" w:rsidRDefault="00AD6D6A" w:rsidP="007E5014">
      <w:pPr>
        <w:pStyle w:val="Heading3"/>
        <w:rPr>
          <w:lang w:val="en-AU"/>
        </w:rPr>
      </w:pPr>
      <w:r w:rsidRPr="00E641C4">
        <w:rPr>
          <w:lang w:val="en-AU"/>
        </w:rPr>
        <w:lastRenderedPageBreak/>
        <w:t xml:space="preserve">Communities of </w:t>
      </w:r>
      <w:r w:rsidR="00E45FF3" w:rsidRPr="00E641C4">
        <w:rPr>
          <w:lang w:val="en-AU"/>
        </w:rPr>
        <w:t>i</w:t>
      </w:r>
      <w:r w:rsidR="00731D63" w:rsidRPr="00E641C4">
        <w:rPr>
          <w:lang w:val="en-AU"/>
        </w:rPr>
        <w:t>nterest</w:t>
      </w:r>
    </w:p>
    <w:p w:rsidR="00AD6D6A" w:rsidRPr="00E641C4" w:rsidRDefault="00AD6D6A" w:rsidP="00261B25">
      <w:pPr>
        <w:pStyle w:val="bt"/>
        <w:rPr>
          <w:lang w:val="en-AU"/>
        </w:rPr>
      </w:pPr>
      <w:r w:rsidRPr="00E641C4">
        <w:rPr>
          <w:lang w:val="en-AU"/>
        </w:rPr>
        <w:t xml:space="preserve">A fundamental feature of the existing settlement pattern in Loddon Mallee North </w:t>
      </w:r>
      <w:r w:rsidR="00DC076D" w:rsidRPr="00E641C4">
        <w:rPr>
          <w:lang w:val="en-AU"/>
        </w:rPr>
        <w:t xml:space="preserve">region </w:t>
      </w:r>
      <w:r w:rsidRPr="00E641C4">
        <w:rPr>
          <w:lang w:val="en-AU"/>
        </w:rPr>
        <w:t>is five distinct communities of interest: Mallee, Eastern Malle</w:t>
      </w:r>
      <w:r w:rsidR="000122A8" w:rsidRPr="00E641C4">
        <w:rPr>
          <w:lang w:val="en-AU"/>
        </w:rPr>
        <w:t>e, Gannawarra, Campaspe and Buloke (</w:t>
      </w:r>
      <w:r w:rsidR="00F511BB" w:rsidRPr="00E641C4">
        <w:rPr>
          <w:lang w:val="en-AU"/>
        </w:rPr>
        <w:t>see</w:t>
      </w:r>
      <w:r w:rsidR="00E17B80">
        <w:rPr>
          <w:lang w:val="en-AU"/>
        </w:rPr>
        <w:t xml:space="preserve"> </w:t>
      </w:r>
      <w:r w:rsidR="004B391F">
        <w:rPr>
          <w:lang w:val="en-AU"/>
        </w:rPr>
        <w:t>Map 7</w:t>
      </w:r>
      <w:r w:rsidRPr="00E641C4">
        <w:rPr>
          <w:lang w:val="en-AU"/>
        </w:rPr>
        <w:t>). Planning for growth in Loddon Mallee North needs to acknowledge and respond to variations throughout the region arising from its sc</w:t>
      </w:r>
      <w:r w:rsidR="003A0E47" w:rsidRPr="00E641C4">
        <w:rPr>
          <w:lang w:val="en-AU"/>
        </w:rPr>
        <w:t>ale and communities of interest</w:t>
      </w:r>
      <w:r w:rsidRPr="00E641C4">
        <w:rPr>
          <w:lang w:val="en-AU"/>
        </w:rPr>
        <w:t xml:space="preserve">. </w:t>
      </w:r>
    </w:p>
    <w:p w:rsidR="009D7690" w:rsidRPr="00E641C4" w:rsidRDefault="007D60A1" w:rsidP="00261B25">
      <w:pPr>
        <w:pStyle w:val="bt"/>
        <w:rPr>
          <w:lang w:val="en-AU"/>
        </w:rPr>
      </w:pPr>
      <w:r w:rsidRPr="00E641C4">
        <w:rPr>
          <w:lang w:val="en-AU"/>
        </w:rPr>
        <w:t xml:space="preserve">The regional city of Mildura supports and services </w:t>
      </w:r>
      <w:r w:rsidR="00AD6D6A" w:rsidRPr="00E641C4">
        <w:rPr>
          <w:lang w:val="en-AU"/>
        </w:rPr>
        <w:t>a large catchment that crosses two state b</w:t>
      </w:r>
      <w:r w:rsidR="00411139" w:rsidRPr="00E641C4">
        <w:rPr>
          <w:lang w:val="en-AU"/>
        </w:rPr>
        <w:t xml:space="preserve">oundaries. </w:t>
      </w:r>
      <w:r w:rsidR="00AD6D6A" w:rsidRPr="00E641C4">
        <w:rPr>
          <w:lang w:val="en-AU"/>
        </w:rPr>
        <w:t xml:space="preserve">In the southern parts of </w:t>
      </w:r>
      <w:r w:rsidR="00E45FF3" w:rsidRPr="00E641C4">
        <w:rPr>
          <w:lang w:val="en-AU"/>
        </w:rPr>
        <w:t>the region</w:t>
      </w:r>
      <w:r w:rsidR="00AD6D6A" w:rsidRPr="00E641C4">
        <w:rPr>
          <w:lang w:val="en-AU"/>
        </w:rPr>
        <w:t>, settlement patterns are more complex and the regional centres of Swan Hill and Echuca provide higher order functions w</w:t>
      </w:r>
      <w:r w:rsidR="00411139" w:rsidRPr="00E641C4">
        <w:rPr>
          <w:lang w:val="en-AU"/>
        </w:rPr>
        <w:t xml:space="preserve">ithin a </w:t>
      </w:r>
      <w:r w:rsidR="00DC076D" w:rsidRPr="00E641C4">
        <w:rPr>
          <w:lang w:val="en-AU"/>
        </w:rPr>
        <w:t>network</w:t>
      </w:r>
      <w:r w:rsidR="00AB59BA" w:rsidRPr="00E641C4">
        <w:rPr>
          <w:lang w:val="en-AU"/>
        </w:rPr>
        <w:t xml:space="preserve"> </w:t>
      </w:r>
      <w:r w:rsidR="00411139" w:rsidRPr="00E641C4">
        <w:rPr>
          <w:lang w:val="en-AU"/>
        </w:rPr>
        <w:t>of smaller towns</w:t>
      </w:r>
      <w:r w:rsidR="00AD6D6A" w:rsidRPr="00E641C4">
        <w:rPr>
          <w:lang w:val="en-AU"/>
        </w:rPr>
        <w:t xml:space="preserve"> and more dispersed rural settlements</w:t>
      </w:r>
      <w:r w:rsidR="00F511BB" w:rsidRPr="00E641C4">
        <w:rPr>
          <w:lang w:val="en-AU"/>
        </w:rPr>
        <w:t>,</w:t>
      </w:r>
      <w:r w:rsidR="00AD6D6A" w:rsidRPr="00E641C4">
        <w:rPr>
          <w:lang w:val="en-AU"/>
        </w:rPr>
        <w:t xml:space="preserve"> including Kerang, Cohuna, Rochester and Wycheproof. </w:t>
      </w:r>
    </w:p>
    <w:p w:rsidR="00AD6D6A" w:rsidRPr="00E641C4" w:rsidRDefault="00AD6D6A" w:rsidP="00261B25">
      <w:pPr>
        <w:pStyle w:val="bt"/>
        <w:rPr>
          <w:lang w:val="en-AU"/>
        </w:rPr>
      </w:pPr>
      <w:r w:rsidRPr="00E641C4">
        <w:rPr>
          <w:lang w:val="en-AU"/>
        </w:rPr>
        <w:t xml:space="preserve">Beyond these regional centres, the regional cities </w:t>
      </w:r>
      <w:r w:rsidR="00DC076D" w:rsidRPr="00E641C4">
        <w:rPr>
          <w:lang w:val="en-AU"/>
        </w:rPr>
        <w:t>of</w:t>
      </w:r>
      <w:r w:rsidR="00AB59BA" w:rsidRPr="00E641C4">
        <w:rPr>
          <w:lang w:val="en-AU"/>
        </w:rPr>
        <w:t xml:space="preserve"> </w:t>
      </w:r>
      <w:r w:rsidRPr="00E641C4">
        <w:rPr>
          <w:lang w:val="en-AU"/>
        </w:rPr>
        <w:t>other regions, such as Bendigo, Shepparton</w:t>
      </w:r>
      <w:r w:rsidR="009D7690" w:rsidRPr="00E641C4">
        <w:rPr>
          <w:lang w:val="en-AU"/>
        </w:rPr>
        <w:t>, Ballarat</w:t>
      </w:r>
      <w:r w:rsidRPr="00E641C4">
        <w:rPr>
          <w:lang w:val="en-AU"/>
        </w:rPr>
        <w:t xml:space="preserve"> and Horsham, </w:t>
      </w:r>
      <w:r w:rsidR="00411139" w:rsidRPr="00E641C4">
        <w:rPr>
          <w:lang w:val="en-AU"/>
        </w:rPr>
        <w:t>provide higher order services</w:t>
      </w:r>
      <w:r w:rsidRPr="00E641C4">
        <w:rPr>
          <w:lang w:val="en-AU"/>
        </w:rPr>
        <w:t>. In addition, some settlements in</w:t>
      </w:r>
      <w:r w:rsidR="009D7690" w:rsidRPr="00E641C4">
        <w:rPr>
          <w:lang w:val="en-AU"/>
        </w:rPr>
        <w:t xml:space="preserve"> Campaspe Shire</w:t>
      </w:r>
      <w:r w:rsidRPr="00E641C4">
        <w:rPr>
          <w:lang w:val="en-AU"/>
        </w:rPr>
        <w:t xml:space="preserve"> function as dormitory towns to regional cities and centres</w:t>
      </w:r>
      <w:r w:rsidR="009D7690" w:rsidRPr="00E641C4">
        <w:rPr>
          <w:lang w:val="en-AU"/>
        </w:rPr>
        <w:t xml:space="preserve"> including Echuca, Shepparton and Bendigo</w:t>
      </w:r>
      <w:r w:rsidRPr="00E641C4">
        <w:rPr>
          <w:lang w:val="en-AU"/>
        </w:rPr>
        <w:t xml:space="preserve">. Planning for Loddon Mallee North needs to consider the influence of </w:t>
      </w:r>
      <w:r w:rsidR="009D7690" w:rsidRPr="00E641C4">
        <w:rPr>
          <w:lang w:val="en-AU"/>
        </w:rPr>
        <w:t xml:space="preserve">external </w:t>
      </w:r>
      <w:r w:rsidRPr="00E641C4">
        <w:rPr>
          <w:lang w:val="en-AU"/>
        </w:rPr>
        <w:t xml:space="preserve">centres on the growth </w:t>
      </w:r>
      <w:r w:rsidR="00F511BB" w:rsidRPr="00E641C4">
        <w:rPr>
          <w:lang w:val="en-AU"/>
        </w:rPr>
        <w:t xml:space="preserve">and </w:t>
      </w:r>
      <w:r w:rsidRPr="00E641C4">
        <w:rPr>
          <w:lang w:val="en-AU"/>
        </w:rPr>
        <w:t>services and housing choice of settlements within the region.</w:t>
      </w:r>
    </w:p>
    <w:p w:rsidR="00F511BB" w:rsidRPr="00E641C4" w:rsidRDefault="00AD6D6A" w:rsidP="00261B25">
      <w:pPr>
        <w:pStyle w:val="bt"/>
        <w:rPr>
          <w:lang w:val="en-AU"/>
        </w:rPr>
      </w:pPr>
      <w:r w:rsidRPr="00E641C4">
        <w:rPr>
          <w:lang w:val="en-AU"/>
        </w:rPr>
        <w:t>Parts of the region along the Murray River are influenced by settlements on the N</w:t>
      </w:r>
      <w:r w:rsidR="00E45FF3" w:rsidRPr="00E641C4">
        <w:rPr>
          <w:lang w:val="en-AU"/>
        </w:rPr>
        <w:t xml:space="preserve">ew </w:t>
      </w:r>
      <w:r w:rsidRPr="00E641C4">
        <w:rPr>
          <w:lang w:val="en-AU"/>
        </w:rPr>
        <w:t>S</w:t>
      </w:r>
      <w:r w:rsidR="00E45FF3" w:rsidRPr="00E641C4">
        <w:rPr>
          <w:lang w:val="en-AU"/>
        </w:rPr>
        <w:t xml:space="preserve">outh </w:t>
      </w:r>
      <w:r w:rsidRPr="00E641C4">
        <w:rPr>
          <w:lang w:val="en-AU"/>
        </w:rPr>
        <w:t>W</w:t>
      </w:r>
      <w:r w:rsidR="00E45FF3" w:rsidRPr="00E641C4">
        <w:rPr>
          <w:lang w:val="en-AU"/>
        </w:rPr>
        <w:t>ales</w:t>
      </w:r>
      <w:r w:rsidRPr="00E641C4">
        <w:rPr>
          <w:lang w:val="en-AU"/>
        </w:rPr>
        <w:t xml:space="preserve"> side of the river and in some instances these settlements are part of cross</w:t>
      </w:r>
      <w:r w:rsidR="00DC076D" w:rsidRPr="00E641C4">
        <w:rPr>
          <w:lang w:val="en-AU"/>
        </w:rPr>
        <w:t>-</w:t>
      </w:r>
      <w:r w:rsidRPr="00E641C4">
        <w:rPr>
          <w:lang w:val="en-AU"/>
        </w:rPr>
        <w:t xml:space="preserve">border twin town settlements such as Echuca-Moama, Robinvale-Euston, Koondrook-Barham, </w:t>
      </w:r>
      <w:proofErr w:type="gramStart"/>
      <w:r w:rsidRPr="00E641C4">
        <w:rPr>
          <w:lang w:val="en-AU"/>
        </w:rPr>
        <w:t>Mildura</w:t>
      </w:r>
      <w:proofErr w:type="gramEnd"/>
      <w:r w:rsidRPr="00E641C4">
        <w:rPr>
          <w:lang w:val="en-AU"/>
        </w:rPr>
        <w:t>-Wentworth-</w:t>
      </w:r>
      <w:proofErr w:type="spellStart"/>
      <w:r w:rsidRPr="00E641C4">
        <w:rPr>
          <w:lang w:val="en-AU"/>
        </w:rPr>
        <w:t>Gol</w:t>
      </w:r>
      <w:proofErr w:type="spellEnd"/>
      <w:r w:rsidRPr="00E641C4">
        <w:rPr>
          <w:lang w:val="en-AU"/>
        </w:rPr>
        <w:t xml:space="preserve"> </w:t>
      </w:r>
      <w:proofErr w:type="spellStart"/>
      <w:r w:rsidRPr="00E641C4">
        <w:rPr>
          <w:lang w:val="en-AU"/>
        </w:rPr>
        <w:t>Gol</w:t>
      </w:r>
      <w:proofErr w:type="spellEnd"/>
      <w:r w:rsidRPr="00E641C4">
        <w:rPr>
          <w:lang w:val="en-AU"/>
        </w:rPr>
        <w:t>-Buronga-Dareton. These settlements do not function in isolation from each other</w:t>
      </w:r>
      <w:r w:rsidR="00DC076D" w:rsidRPr="00E641C4">
        <w:rPr>
          <w:lang w:val="en-AU"/>
        </w:rPr>
        <w:t>. T</w:t>
      </w:r>
      <w:r w:rsidRPr="00E641C4">
        <w:rPr>
          <w:lang w:val="en-AU"/>
        </w:rPr>
        <w:t xml:space="preserve">hey provide services and facilities to communities on both sides of the river. </w:t>
      </w:r>
    </w:p>
    <w:p w:rsidR="00AD01B3" w:rsidRPr="00E641C4" w:rsidRDefault="00AD6D6A" w:rsidP="00A738FF">
      <w:pPr>
        <w:pStyle w:val="bt"/>
        <w:rPr>
          <w:lang w:val="en-AU"/>
        </w:rPr>
      </w:pPr>
      <w:r w:rsidRPr="00E641C4">
        <w:rPr>
          <w:lang w:val="en-AU"/>
        </w:rPr>
        <w:t xml:space="preserve">Both New South Wales and Victoria are undertaking settlement planning to address challenges and opportunities relevant to settlements along the Murray River </w:t>
      </w:r>
      <w:r w:rsidR="00DC076D" w:rsidRPr="00E641C4">
        <w:rPr>
          <w:lang w:val="en-AU"/>
        </w:rPr>
        <w:t>c</w:t>
      </w:r>
      <w:r w:rsidRPr="00E641C4">
        <w:rPr>
          <w:lang w:val="en-AU"/>
        </w:rPr>
        <w:t>orridor. Proposed strategic directions and preliminary strategies, including Victoria’s draft Murray River Settlement Strategy (</w:t>
      </w:r>
      <w:r w:rsidR="00D24130" w:rsidRPr="00E641C4">
        <w:rPr>
          <w:lang w:val="en-AU"/>
        </w:rPr>
        <w:t>D</w:t>
      </w:r>
      <w:r w:rsidR="00754528" w:rsidRPr="00E641C4">
        <w:rPr>
          <w:lang w:val="en-AU"/>
        </w:rPr>
        <w:t>epartment of Planning and Community Development</w:t>
      </w:r>
      <w:r w:rsidRPr="00E641C4">
        <w:rPr>
          <w:lang w:val="en-AU"/>
        </w:rPr>
        <w:t xml:space="preserve"> 2012) have been considered in the development of this </w:t>
      </w:r>
      <w:r w:rsidR="00E45FF3" w:rsidRPr="00E641C4">
        <w:rPr>
          <w:lang w:val="en-AU"/>
        </w:rPr>
        <w:t>p</w:t>
      </w:r>
      <w:r w:rsidR="00731D63" w:rsidRPr="00E641C4">
        <w:rPr>
          <w:lang w:val="en-AU"/>
        </w:rPr>
        <w:t>lan.</w:t>
      </w:r>
    </w:p>
    <w:p w:rsidR="00261B25" w:rsidRPr="00E641C4" w:rsidRDefault="00261B25" w:rsidP="007E5014">
      <w:pPr>
        <w:pStyle w:val="Heading3"/>
        <w:rPr>
          <w:lang w:val="en-AU"/>
        </w:rPr>
      </w:pPr>
      <w:r w:rsidRPr="00E641C4">
        <w:rPr>
          <w:lang w:val="en-AU"/>
        </w:rPr>
        <w:t>Economic growth</w:t>
      </w:r>
    </w:p>
    <w:p w:rsidR="004A456E" w:rsidRPr="00E641C4" w:rsidRDefault="00261B25" w:rsidP="00261B25">
      <w:pPr>
        <w:pStyle w:val="bt"/>
        <w:rPr>
          <w:lang w:val="en-AU"/>
        </w:rPr>
      </w:pPr>
      <w:r w:rsidRPr="00E641C4">
        <w:rPr>
          <w:lang w:val="en-AU"/>
        </w:rPr>
        <w:t xml:space="preserve">Loddon Mallee North </w:t>
      </w:r>
      <w:r w:rsidR="00DC076D" w:rsidRPr="00E641C4">
        <w:rPr>
          <w:lang w:val="en-AU"/>
        </w:rPr>
        <w:t xml:space="preserve">forms </w:t>
      </w:r>
      <w:r w:rsidRPr="00E641C4">
        <w:rPr>
          <w:lang w:val="en-AU"/>
        </w:rPr>
        <w:t xml:space="preserve">part of </w:t>
      </w:r>
      <w:r w:rsidR="00DC076D" w:rsidRPr="00E641C4">
        <w:rPr>
          <w:lang w:val="en-AU"/>
        </w:rPr>
        <w:t>a</w:t>
      </w:r>
      <w:r w:rsidRPr="00E641C4">
        <w:rPr>
          <w:lang w:val="en-AU"/>
        </w:rPr>
        <w:t xml:space="preserve"> nationally acknowledged</w:t>
      </w:r>
      <w:r w:rsidR="003A0E47" w:rsidRPr="00E641C4">
        <w:rPr>
          <w:lang w:val="en-AU"/>
        </w:rPr>
        <w:t xml:space="preserve"> food bowl region a</w:t>
      </w:r>
      <w:r w:rsidRPr="00E641C4">
        <w:rPr>
          <w:lang w:val="en-AU"/>
        </w:rPr>
        <w:t xml:space="preserve">nd </w:t>
      </w:r>
      <w:r w:rsidR="00DC076D" w:rsidRPr="00E641C4">
        <w:rPr>
          <w:lang w:val="en-AU"/>
        </w:rPr>
        <w:t xml:space="preserve">is </w:t>
      </w:r>
      <w:r w:rsidRPr="00E641C4">
        <w:rPr>
          <w:lang w:val="en-AU"/>
        </w:rPr>
        <w:t>a major producer of fruit, wine, nuts, vegetables, dairy products, cereals, meat and wool. After farming, the main industry sectors are manufacturing</w:t>
      </w:r>
      <w:r w:rsidR="00F511BB" w:rsidRPr="00E641C4">
        <w:rPr>
          <w:lang w:val="en-AU"/>
        </w:rPr>
        <w:t>,</w:t>
      </w:r>
      <w:r w:rsidRPr="00E641C4">
        <w:rPr>
          <w:lang w:val="en-AU"/>
        </w:rPr>
        <w:t xml:space="preserve"> </w:t>
      </w:r>
      <w:r w:rsidR="00DC076D" w:rsidRPr="00E641C4">
        <w:rPr>
          <w:lang w:val="en-AU"/>
        </w:rPr>
        <w:t xml:space="preserve">such as </w:t>
      </w:r>
      <w:r w:rsidRPr="00E641C4">
        <w:rPr>
          <w:lang w:val="en-AU"/>
        </w:rPr>
        <w:t>food processing, con</w:t>
      </w:r>
      <w:r w:rsidR="003A0E47" w:rsidRPr="00E641C4">
        <w:rPr>
          <w:lang w:val="en-AU"/>
        </w:rPr>
        <w:t>struction and service provision</w:t>
      </w:r>
      <w:r w:rsidR="00FB718E" w:rsidRPr="00E641C4">
        <w:rPr>
          <w:rStyle w:val="FootnoteReference"/>
          <w:lang w:val="en-AU"/>
        </w:rPr>
        <w:footnoteReference w:id="6"/>
      </w:r>
      <w:r w:rsidRPr="00E641C4">
        <w:rPr>
          <w:lang w:val="en-AU"/>
        </w:rPr>
        <w:t xml:space="preserve">. </w:t>
      </w:r>
    </w:p>
    <w:p w:rsidR="00165548" w:rsidRPr="009906A7" w:rsidRDefault="00261B25" w:rsidP="00261B25">
      <w:pPr>
        <w:pStyle w:val="bt"/>
        <w:rPr>
          <w:lang w:val="en-AU"/>
        </w:rPr>
      </w:pPr>
      <w:r w:rsidRPr="00E641C4">
        <w:rPr>
          <w:lang w:val="en-AU"/>
        </w:rPr>
        <w:t>Mineral sand</w:t>
      </w:r>
      <w:r w:rsidR="00AF7928" w:rsidRPr="00E641C4">
        <w:rPr>
          <w:lang w:val="en-AU"/>
        </w:rPr>
        <w:t>s and other extractive mining</w:t>
      </w:r>
      <w:r w:rsidRPr="00E641C4">
        <w:rPr>
          <w:lang w:val="en-AU"/>
        </w:rPr>
        <w:t xml:space="preserve"> </w:t>
      </w:r>
      <w:r w:rsidR="00535DDD" w:rsidRPr="00535DDD">
        <w:rPr>
          <w:lang w:val="en-AU"/>
        </w:rPr>
        <w:t>have</w:t>
      </w:r>
      <w:r w:rsidRPr="009906A7">
        <w:rPr>
          <w:lang w:val="en-AU"/>
        </w:rPr>
        <w:t xml:space="preserve"> also developed throughout the region and </w:t>
      </w:r>
      <w:proofErr w:type="gramStart"/>
      <w:r w:rsidR="00DB3DD4">
        <w:rPr>
          <w:lang w:val="en-AU"/>
        </w:rPr>
        <w:t>have</w:t>
      </w:r>
      <w:proofErr w:type="gramEnd"/>
      <w:r w:rsidR="00DB3DD4" w:rsidRPr="009906A7">
        <w:rPr>
          <w:lang w:val="en-AU"/>
        </w:rPr>
        <w:t xml:space="preserve"> </w:t>
      </w:r>
      <w:r w:rsidRPr="009906A7">
        <w:rPr>
          <w:lang w:val="en-AU"/>
        </w:rPr>
        <w:t>become a driver of new freight rail investment and infrastructure.</w:t>
      </w:r>
      <w:r w:rsidR="000530C7" w:rsidRPr="009906A7">
        <w:rPr>
          <w:lang w:val="en-AU"/>
        </w:rPr>
        <w:t xml:space="preserve"> Industry output totalled $13.8</w:t>
      </w:r>
      <w:r w:rsidR="00366BE5" w:rsidRPr="009906A7">
        <w:rPr>
          <w:lang w:val="en-AU"/>
        </w:rPr>
        <w:t xml:space="preserve"> </w:t>
      </w:r>
      <w:r w:rsidR="000122A8" w:rsidRPr="009906A7">
        <w:rPr>
          <w:lang w:val="en-AU"/>
        </w:rPr>
        <w:t>billion in 2011. Manufacturing</w:t>
      </w:r>
      <w:r w:rsidR="000122A8" w:rsidRPr="009906A7">
        <w:rPr>
          <w:color w:val="FF0000"/>
          <w:lang w:val="en-AU"/>
        </w:rPr>
        <w:t xml:space="preserve"> </w:t>
      </w:r>
      <w:r w:rsidR="000122A8" w:rsidRPr="009906A7">
        <w:rPr>
          <w:lang w:val="en-AU"/>
        </w:rPr>
        <w:t>accounts for the largest share of t</w:t>
      </w:r>
      <w:r w:rsidR="00366BE5" w:rsidRPr="009906A7">
        <w:rPr>
          <w:lang w:val="en-AU"/>
        </w:rPr>
        <w:t>otal economic output with $4</w:t>
      </w:r>
      <w:r w:rsidR="000122A8" w:rsidRPr="009906A7">
        <w:rPr>
          <w:lang w:val="en-AU"/>
        </w:rPr>
        <w:t xml:space="preserve"> billion, followed by </w:t>
      </w:r>
      <w:r w:rsidR="004028DF" w:rsidRPr="009906A7">
        <w:rPr>
          <w:lang w:val="en-AU"/>
        </w:rPr>
        <w:t xml:space="preserve">the </w:t>
      </w:r>
      <w:r w:rsidR="000122A8" w:rsidRPr="009906A7">
        <w:rPr>
          <w:lang w:val="en-AU"/>
        </w:rPr>
        <w:t>Agricul</w:t>
      </w:r>
      <w:r w:rsidR="00366BE5" w:rsidRPr="009906A7">
        <w:rPr>
          <w:lang w:val="en-AU"/>
        </w:rPr>
        <w:t xml:space="preserve">ture, Forestry </w:t>
      </w:r>
      <w:r w:rsidR="00F81AF9" w:rsidRPr="009906A7">
        <w:rPr>
          <w:lang w:val="en-AU"/>
        </w:rPr>
        <w:t xml:space="preserve">and </w:t>
      </w:r>
      <w:r w:rsidR="00366BE5" w:rsidRPr="009906A7">
        <w:rPr>
          <w:lang w:val="en-AU"/>
        </w:rPr>
        <w:t>Fishing ($2</w:t>
      </w:r>
      <w:r w:rsidR="000122A8" w:rsidRPr="009906A7">
        <w:rPr>
          <w:lang w:val="en-AU"/>
        </w:rPr>
        <w:t xml:space="preserve"> billion) and Rental, Hiring </w:t>
      </w:r>
      <w:r w:rsidR="00F81AF9" w:rsidRPr="009906A7">
        <w:rPr>
          <w:lang w:val="en-AU"/>
        </w:rPr>
        <w:t xml:space="preserve">and </w:t>
      </w:r>
      <w:r w:rsidR="000122A8" w:rsidRPr="009906A7">
        <w:rPr>
          <w:lang w:val="en-AU"/>
        </w:rPr>
        <w:t>Re</w:t>
      </w:r>
      <w:r w:rsidR="00366BE5" w:rsidRPr="009906A7">
        <w:rPr>
          <w:lang w:val="en-AU"/>
        </w:rPr>
        <w:t>al Estate Services ($1</w:t>
      </w:r>
      <w:r w:rsidR="000122A8" w:rsidRPr="009906A7">
        <w:rPr>
          <w:lang w:val="en-AU"/>
        </w:rPr>
        <w:t xml:space="preserve"> billion)</w:t>
      </w:r>
      <w:r w:rsidR="004028DF" w:rsidRPr="009906A7">
        <w:rPr>
          <w:lang w:val="en-AU"/>
        </w:rPr>
        <w:t xml:space="preserve"> sectors</w:t>
      </w:r>
      <w:r w:rsidR="000122A8" w:rsidRPr="009906A7">
        <w:rPr>
          <w:lang w:val="en-AU"/>
        </w:rPr>
        <w:t>.</w:t>
      </w:r>
    </w:p>
    <w:p w:rsidR="000A74C9" w:rsidRPr="009906A7" w:rsidRDefault="000A74C9" w:rsidP="004069D5">
      <w:pPr>
        <w:pStyle w:val="bt"/>
        <w:rPr>
          <w:lang w:val="en-AU"/>
        </w:rPr>
      </w:pPr>
      <w:r w:rsidRPr="009906A7">
        <w:rPr>
          <w:lang w:val="en-AU"/>
        </w:rPr>
        <w:t xml:space="preserve">As the region’s economy is dependent on primary production, it is highly exposed to global economic forces such as fluctuations in export prices. For this reason, the </w:t>
      </w:r>
      <w:r w:rsidR="00DC076D" w:rsidRPr="009906A7">
        <w:rPr>
          <w:lang w:val="en-AU"/>
        </w:rPr>
        <w:t xml:space="preserve">Loddon Mallee North </w:t>
      </w:r>
      <w:r w:rsidR="00E45FF3" w:rsidRPr="009906A7">
        <w:rPr>
          <w:lang w:val="en-AU"/>
        </w:rPr>
        <w:t>region’s</w:t>
      </w:r>
      <w:r w:rsidRPr="009906A7">
        <w:rPr>
          <w:lang w:val="en-AU"/>
        </w:rPr>
        <w:t xml:space="preserve"> economy is </w:t>
      </w:r>
      <w:r w:rsidR="00B14DF7" w:rsidRPr="009906A7">
        <w:rPr>
          <w:lang w:val="en-AU"/>
        </w:rPr>
        <w:t>one of the</w:t>
      </w:r>
      <w:r w:rsidR="000122A8" w:rsidRPr="009906A7">
        <w:rPr>
          <w:lang w:val="en-AU"/>
        </w:rPr>
        <w:t xml:space="preserve"> most</w:t>
      </w:r>
      <w:r w:rsidR="00B14DF7" w:rsidRPr="009906A7">
        <w:rPr>
          <w:lang w:val="en-AU"/>
        </w:rPr>
        <w:t xml:space="preserve"> </w:t>
      </w:r>
      <w:r w:rsidRPr="009906A7">
        <w:rPr>
          <w:lang w:val="en-AU"/>
        </w:rPr>
        <w:t xml:space="preserve">globally linked and affected </w:t>
      </w:r>
      <w:r w:rsidR="004A5A83" w:rsidRPr="009906A7">
        <w:rPr>
          <w:lang w:val="en-AU"/>
        </w:rPr>
        <w:t>parts</w:t>
      </w:r>
      <w:r w:rsidRPr="009906A7">
        <w:rPr>
          <w:lang w:val="en-AU"/>
        </w:rPr>
        <w:t xml:space="preserve"> of Victoria.</w:t>
      </w:r>
    </w:p>
    <w:p w:rsidR="001970CD" w:rsidRDefault="00261B25" w:rsidP="00261B25">
      <w:pPr>
        <w:pStyle w:val="bt"/>
        <w:rPr>
          <w:lang w:val="en-AU"/>
        </w:rPr>
      </w:pPr>
      <w:r w:rsidRPr="009906A7">
        <w:rPr>
          <w:lang w:val="en-AU"/>
        </w:rPr>
        <w:t>While agriculture</w:t>
      </w:r>
      <w:r w:rsidR="00DC076D" w:rsidRPr="009906A7">
        <w:rPr>
          <w:lang w:val="en-AU"/>
        </w:rPr>
        <w:t xml:space="preserve"> as a </w:t>
      </w:r>
      <w:r w:rsidRPr="009906A7">
        <w:rPr>
          <w:lang w:val="en-AU"/>
        </w:rPr>
        <w:t>prop</w:t>
      </w:r>
      <w:r w:rsidR="004B3A6F" w:rsidRPr="009906A7">
        <w:rPr>
          <w:lang w:val="en-AU"/>
        </w:rPr>
        <w:t>ortional share of the r</w:t>
      </w:r>
      <w:r w:rsidRPr="009906A7">
        <w:rPr>
          <w:lang w:val="en-AU"/>
        </w:rPr>
        <w:t>egion’s economy is expected to decrease slightly over time, it will still remain dominant</w:t>
      </w:r>
      <w:r w:rsidR="00A32E8B" w:rsidRPr="009906A7">
        <w:rPr>
          <w:lang w:val="en-AU"/>
        </w:rPr>
        <w:t xml:space="preserve"> and require a more skilled and flexible workforce</w:t>
      </w:r>
      <w:r w:rsidRPr="009906A7">
        <w:rPr>
          <w:lang w:val="en-AU"/>
        </w:rPr>
        <w:t xml:space="preserve">. </w:t>
      </w:r>
      <w:r w:rsidR="00B14DF7" w:rsidRPr="009906A7">
        <w:rPr>
          <w:lang w:val="en-AU"/>
        </w:rPr>
        <w:t xml:space="preserve">Regional </w:t>
      </w:r>
      <w:r w:rsidRPr="009906A7">
        <w:rPr>
          <w:lang w:val="en-AU"/>
        </w:rPr>
        <w:t>job growth is expected to come from the development of other more labour</w:t>
      </w:r>
      <w:r w:rsidR="00DC25A7">
        <w:rPr>
          <w:lang w:val="en-AU"/>
        </w:rPr>
        <w:t>-</w:t>
      </w:r>
      <w:r w:rsidRPr="009906A7">
        <w:rPr>
          <w:lang w:val="en-AU"/>
        </w:rPr>
        <w:t>intensive economic sectors</w:t>
      </w:r>
      <w:r w:rsidR="003949C4" w:rsidRPr="009906A7">
        <w:rPr>
          <w:lang w:val="en-AU"/>
        </w:rPr>
        <w:t>,</w:t>
      </w:r>
      <w:r w:rsidRPr="009906A7">
        <w:rPr>
          <w:lang w:val="en-AU"/>
        </w:rPr>
        <w:t xml:space="preserve"> such as retail, health, education, manufacturing and construction</w:t>
      </w:r>
      <w:r w:rsidR="00FB718E" w:rsidRPr="009906A7">
        <w:rPr>
          <w:rStyle w:val="FootnoteReference"/>
          <w:lang w:val="en-AU"/>
        </w:rPr>
        <w:footnoteReference w:id="7"/>
      </w:r>
      <w:r w:rsidRPr="009906A7">
        <w:rPr>
          <w:lang w:val="en-AU"/>
        </w:rPr>
        <w:t>. This will require a shift in regional labou</w:t>
      </w:r>
      <w:r w:rsidR="00B14DF7" w:rsidRPr="009906A7">
        <w:rPr>
          <w:lang w:val="en-AU"/>
        </w:rPr>
        <w:t>r skills to enable</w:t>
      </w:r>
      <w:r w:rsidRPr="009906A7">
        <w:rPr>
          <w:lang w:val="en-AU"/>
        </w:rPr>
        <w:t xml:space="preserve"> people to capitalise on these new opportunities.</w:t>
      </w:r>
    </w:p>
    <w:p w:rsidR="00261B25" w:rsidRPr="009906A7" w:rsidRDefault="00261B25" w:rsidP="007E5014">
      <w:pPr>
        <w:pStyle w:val="Heading3"/>
        <w:rPr>
          <w:lang w:val="en-AU"/>
        </w:rPr>
      </w:pPr>
      <w:r w:rsidRPr="009906A7">
        <w:rPr>
          <w:lang w:val="en-AU"/>
        </w:rPr>
        <w:t xml:space="preserve">Environmental and </w:t>
      </w:r>
      <w:r w:rsidR="00AA58E5" w:rsidRPr="009906A7">
        <w:rPr>
          <w:lang w:val="en-AU"/>
        </w:rPr>
        <w:t xml:space="preserve">cultural </w:t>
      </w:r>
      <w:r w:rsidRPr="009906A7">
        <w:rPr>
          <w:lang w:val="en-AU"/>
        </w:rPr>
        <w:t>heritage assets</w:t>
      </w:r>
    </w:p>
    <w:p w:rsidR="00AB59BA" w:rsidRPr="009906A7" w:rsidRDefault="00261B25" w:rsidP="00261B25">
      <w:pPr>
        <w:pStyle w:val="bt"/>
        <w:rPr>
          <w:lang w:val="en-AU"/>
        </w:rPr>
      </w:pPr>
      <w:r w:rsidRPr="009906A7">
        <w:rPr>
          <w:lang w:val="en-AU"/>
        </w:rPr>
        <w:lastRenderedPageBreak/>
        <w:t>The Loddon Mallee North region is host to significant environmental and cultural heritage assets, including areas of public land</w:t>
      </w:r>
      <w:r w:rsidR="00053655" w:rsidRPr="009906A7">
        <w:rPr>
          <w:lang w:val="en-AU"/>
        </w:rPr>
        <w:t>,</w:t>
      </w:r>
      <w:r w:rsidRPr="009906A7">
        <w:rPr>
          <w:lang w:val="en-AU"/>
        </w:rPr>
        <w:t xml:space="preserve"> as well as many assets on private land. </w:t>
      </w:r>
      <w:r w:rsidR="009A2C2F" w:rsidRPr="009906A7">
        <w:rPr>
          <w:lang w:val="en-AU"/>
        </w:rPr>
        <w:t>Environmental</w:t>
      </w:r>
      <w:r w:rsidRPr="009906A7">
        <w:rPr>
          <w:lang w:val="en-AU"/>
        </w:rPr>
        <w:t xml:space="preserve"> assets have multiple values beyond supporting natural systems and processes. They also provide high value amenity and liveability, underpin the region</w:t>
      </w:r>
      <w:r w:rsidR="00AA58E5" w:rsidRPr="009906A7">
        <w:rPr>
          <w:lang w:val="en-AU"/>
        </w:rPr>
        <w:t>’</w:t>
      </w:r>
      <w:r w:rsidRPr="009906A7">
        <w:rPr>
          <w:lang w:val="en-AU"/>
        </w:rPr>
        <w:t>s economy and continue to attract people to the region to live, work and visit.</w:t>
      </w:r>
      <w:r w:rsidR="009A2C2F" w:rsidRPr="009906A7">
        <w:rPr>
          <w:lang w:val="en-AU"/>
        </w:rPr>
        <w:t xml:space="preserve"> </w:t>
      </w:r>
    </w:p>
    <w:p w:rsidR="009A2C2F" w:rsidRPr="009906A7" w:rsidRDefault="00DF3D08" w:rsidP="00261B25">
      <w:pPr>
        <w:pStyle w:val="bt"/>
        <w:rPr>
          <w:lang w:val="en-AU"/>
        </w:rPr>
      </w:pPr>
      <w:r w:rsidRPr="009906A7">
        <w:rPr>
          <w:lang w:val="en-AU"/>
        </w:rPr>
        <w:t xml:space="preserve">The history of the region can be summarised </w:t>
      </w:r>
      <w:r w:rsidR="00590DDC" w:rsidRPr="009906A7">
        <w:rPr>
          <w:lang w:val="en-AU"/>
        </w:rPr>
        <w:t>by</w:t>
      </w:r>
      <w:r w:rsidR="00053655" w:rsidRPr="009906A7">
        <w:rPr>
          <w:lang w:val="en-AU"/>
        </w:rPr>
        <w:t xml:space="preserve"> </w:t>
      </w:r>
      <w:r w:rsidRPr="009906A7">
        <w:rPr>
          <w:lang w:val="en-AU"/>
        </w:rPr>
        <w:t>events and stories belonging to the continuing culture of Aboriginal people</w:t>
      </w:r>
      <w:r w:rsidR="00871577">
        <w:rPr>
          <w:lang w:val="en-AU"/>
        </w:rPr>
        <w:t>,</w:t>
      </w:r>
      <w:r w:rsidRPr="009906A7">
        <w:rPr>
          <w:lang w:val="en-AU"/>
        </w:rPr>
        <w:t xml:space="preserve"> nationally significant river trade</w:t>
      </w:r>
      <w:r w:rsidR="00590DDC" w:rsidRPr="009906A7">
        <w:rPr>
          <w:lang w:val="en-AU"/>
        </w:rPr>
        <w:t>,</w:t>
      </w:r>
      <w:r w:rsidRPr="009906A7">
        <w:rPr>
          <w:lang w:val="en-AU"/>
        </w:rPr>
        <w:t xml:space="preserve"> the evolution of massive irrigation schemes</w:t>
      </w:r>
      <w:r w:rsidR="00590DDC" w:rsidRPr="009906A7">
        <w:rPr>
          <w:lang w:val="en-AU"/>
        </w:rPr>
        <w:t>,</w:t>
      </w:r>
      <w:r w:rsidRPr="009906A7">
        <w:rPr>
          <w:lang w:val="en-AU"/>
        </w:rPr>
        <w:t xml:space="preserve"> and a </w:t>
      </w:r>
      <w:r w:rsidR="00590DDC" w:rsidRPr="009906A7">
        <w:rPr>
          <w:lang w:val="en-AU"/>
        </w:rPr>
        <w:t>highly</w:t>
      </w:r>
      <w:r w:rsidRPr="009906A7">
        <w:rPr>
          <w:lang w:val="en-AU"/>
        </w:rPr>
        <w:t xml:space="preserve"> transformed landscape.</w:t>
      </w:r>
      <w:r w:rsidR="009A2C2F" w:rsidRPr="009906A7">
        <w:rPr>
          <w:lang w:val="en-AU"/>
        </w:rPr>
        <w:t xml:space="preserve"> </w:t>
      </w:r>
      <w:r w:rsidR="002E32B2" w:rsidRPr="009906A7">
        <w:rPr>
          <w:lang w:val="en-AU"/>
        </w:rPr>
        <w:t xml:space="preserve">Woven </w:t>
      </w:r>
      <w:r w:rsidR="00590DDC" w:rsidRPr="009906A7">
        <w:rPr>
          <w:lang w:val="en-AU"/>
        </w:rPr>
        <w:t>into</w:t>
      </w:r>
      <w:r w:rsidR="002E32B2" w:rsidRPr="009906A7">
        <w:rPr>
          <w:lang w:val="en-AU"/>
        </w:rPr>
        <w:t xml:space="preserve"> the </w:t>
      </w:r>
      <w:r w:rsidR="00590DDC" w:rsidRPr="009906A7">
        <w:rPr>
          <w:lang w:val="en-AU"/>
        </w:rPr>
        <w:t xml:space="preserve">region’s </w:t>
      </w:r>
      <w:r w:rsidR="002E32B2" w:rsidRPr="009906A7">
        <w:rPr>
          <w:lang w:val="en-AU"/>
        </w:rPr>
        <w:t xml:space="preserve">irrigation story are the </w:t>
      </w:r>
      <w:r w:rsidR="00AA58E5" w:rsidRPr="009906A7">
        <w:rPr>
          <w:lang w:val="en-AU"/>
        </w:rPr>
        <w:t xml:space="preserve">influences </w:t>
      </w:r>
      <w:r w:rsidR="002E32B2" w:rsidRPr="009906A7">
        <w:rPr>
          <w:lang w:val="en-AU"/>
        </w:rPr>
        <w:t>of closer agricultural settlement and increasing agricultural productivity, combined with growing social and recreational attachment to the lakes and waterways that occur naturally</w:t>
      </w:r>
      <w:r w:rsidR="00AA58E5" w:rsidRPr="009906A7">
        <w:rPr>
          <w:lang w:val="en-AU"/>
        </w:rPr>
        <w:t xml:space="preserve">, but may be influenced </w:t>
      </w:r>
      <w:r w:rsidR="002E32B2" w:rsidRPr="009906A7">
        <w:rPr>
          <w:lang w:val="en-AU"/>
        </w:rPr>
        <w:t xml:space="preserve">by irrigation. </w:t>
      </w:r>
      <w:r w:rsidR="009A2C2F" w:rsidRPr="009906A7">
        <w:rPr>
          <w:lang w:val="en-AU"/>
        </w:rPr>
        <w:t>These assets need to be considered as part of any economic and settlement growth proposed for the region.</w:t>
      </w:r>
    </w:p>
    <w:p w:rsidR="00AA58E5" w:rsidRPr="009906A7" w:rsidRDefault="002E32B2" w:rsidP="00261B25">
      <w:pPr>
        <w:pStyle w:val="bt"/>
        <w:rPr>
          <w:lang w:val="en-AU"/>
        </w:rPr>
      </w:pPr>
      <w:r w:rsidRPr="009906A7">
        <w:rPr>
          <w:lang w:val="en-AU"/>
        </w:rPr>
        <w:t xml:space="preserve">The </w:t>
      </w:r>
      <w:r w:rsidR="00590DDC" w:rsidRPr="009906A7">
        <w:rPr>
          <w:lang w:val="en-AU"/>
        </w:rPr>
        <w:t xml:space="preserve">Loddon Mallee North </w:t>
      </w:r>
      <w:r w:rsidR="007E1FDA" w:rsidRPr="009906A7">
        <w:rPr>
          <w:lang w:val="en-AU"/>
        </w:rPr>
        <w:t xml:space="preserve">region’s cultural heritage is expressed </w:t>
      </w:r>
      <w:r w:rsidR="00590DDC" w:rsidRPr="009906A7">
        <w:rPr>
          <w:lang w:val="en-AU"/>
        </w:rPr>
        <w:t xml:space="preserve">in </w:t>
      </w:r>
      <w:r w:rsidR="00261B25" w:rsidRPr="009906A7">
        <w:rPr>
          <w:lang w:val="en-AU"/>
        </w:rPr>
        <w:t>two contrasting landscapes</w:t>
      </w:r>
      <w:r w:rsidR="009A2C2F" w:rsidRPr="009906A7">
        <w:rPr>
          <w:lang w:val="en-AU"/>
        </w:rPr>
        <w:t xml:space="preserve"> </w:t>
      </w:r>
      <w:r w:rsidR="007E1FDA" w:rsidRPr="009906A7">
        <w:rPr>
          <w:lang w:val="en-AU"/>
        </w:rPr>
        <w:t>that reflect</w:t>
      </w:r>
      <w:r w:rsidR="009A2C2F" w:rsidRPr="009906A7">
        <w:rPr>
          <w:lang w:val="en-AU"/>
        </w:rPr>
        <w:t xml:space="preserve"> land use and settlement patterns</w:t>
      </w:r>
      <w:r w:rsidR="00E45FF3" w:rsidRPr="009906A7">
        <w:rPr>
          <w:lang w:val="en-AU"/>
        </w:rPr>
        <w:t>:</w:t>
      </w:r>
    </w:p>
    <w:p w:rsidR="00990DE5" w:rsidRPr="009906A7" w:rsidRDefault="002477F5" w:rsidP="00731D63">
      <w:pPr>
        <w:pStyle w:val="btbullet"/>
        <w:rPr>
          <w:lang w:val="en-AU"/>
        </w:rPr>
      </w:pPr>
      <w:r w:rsidRPr="009906A7">
        <w:rPr>
          <w:lang w:val="en-AU"/>
        </w:rPr>
        <w:t>T</w:t>
      </w:r>
      <w:r w:rsidR="00261B25" w:rsidRPr="009906A7">
        <w:rPr>
          <w:lang w:val="en-AU"/>
        </w:rPr>
        <w:t>he Murray River and associated tributaries</w:t>
      </w:r>
      <w:r w:rsidR="00053655" w:rsidRPr="009906A7">
        <w:rPr>
          <w:lang w:val="en-AU"/>
        </w:rPr>
        <w:t>,</w:t>
      </w:r>
      <w:r w:rsidR="00261B25" w:rsidRPr="009906A7">
        <w:rPr>
          <w:lang w:val="en-AU"/>
        </w:rPr>
        <w:t xml:space="preserve"> the Campaspe, Loddon and Avoca </w:t>
      </w:r>
      <w:r w:rsidR="003B590C">
        <w:rPr>
          <w:lang w:val="en-AU"/>
        </w:rPr>
        <w:t>r</w:t>
      </w:r>
      <w:r w:rsidR="00261B25" w:rsidRPr="009906A7">
        <w:rPr>
          <w:lang w:val="en-AU"/>
        </w:rPr>
        <w:t>ivers</w:t>
      </w:r>
      <w:r w:rsidR="00E45FF3" w:rsidRPr="009906A7">
        <w:rPr>
          <w:lang w:val="en-AU"/>
        </w:rPr>
        <w:t>,</w:t>
      </w:r>
      <w:r w:rsidR="00261B25" w:rsidRPr="009906A7">
        <w:rPr>
          <w:lang w:val="en-AU"/>
        </w:rPr>
        <w:t xml:space="preserve"> floodplains and wetlands</w:t>
      </w:r>
      <w:r w:rsidR="00053655" w:rsidRPr="009906A7">
        <w:rPr>
          <w:lang w:val="en-AU"/>
        </w:rPr>
        <w:t>,</w:t>
      </w:r>
      <w:r w:rsidR="00261B25" w:rsidRPr="009906A7">
        <w:rPr>
          <w:lang w:val="en-AU"/>
        </w:rPr>
        <w:t xml:space="preserve"> support a diverse and distinctive network of settlements, a highly productive agricultura</w:t>
      </w:r>
      <w:r w:rsidR="00B14DF7" w:rsidRPr="009906A7">
        <w:rPr>
          <w:lang w:val="en-AU"/>
        </w:rPr>
        <w:t xml:space="preserve">l industry and a rich </w:t>
      </w:r>
      <w:r w:rsidR="00AA58E5" w:rsidRPr="009906A7">
        <w:rPr>
          <w:lang w:val="en-AU"/>
        </w:rPr>
        <w:t>Aboriginal</w:t>
      </w:r>
      <w:r w:rsidR="00053655" w:rsidRPr="009906A7">
        <w:rPr>
          <w:lang w:val="en-AU"/>
        </w:rPr>
        <w:t xml:space="preserve"> cultural herit</w:t>
      </w:r>
      <w:r w:rsidR="00755E8B" w:rsidRPr="009906A7">
        <w:rPr>
          <w:lang w:val="en-AU"/>
        </w:rPr>
        <w:t>a</w:t>
      </w:r>
      <w:r w:rsidR="00053655" w:rsidRPr="009906A7">
        <w:rPr>
          <w:lang w:val="en-AU"/>
        </w:rPr>
        <w:t>ge</w:t>
      </w:r>
      <w:r w:rsidR="00AA58E5" w:rsidRPr="009906A7">
        <w:rPr>
          <w:lang w:val="en-AU"/>
        </w:rPr>
        <w:t xml:space="preserve"> </w:t>
      </w:r>
      <w:r w:rsidR="00261B25" w:rsidRPr="009906A7">
        <w:rPr>
          <w:lang w:val="en-AU"/>
        </w:rPr>
        <w:t xml:space="preserve">and </w:t>
      </w:r>
      <w:r w:rsidR="00AA58E5" w:rsidRPr="009906A7">
        <w:rPr>
          <w:lang w:val="en-AU"/>
        </w:rPr>
        <w:t xml:space="preserve">historic </w:t>
      </w:r>
      <w:r w:rsidR="00261B25" w:rsidRPr="009906A7">
        <w:rPr>
          <w:lang w:val="en-AU"/>
        </w:rPr>
        <w:t>heritage</w:t>
      </w:r>
      <w:r w:rsidR="00053655" w:rsidRPr="009906A7">
        <w:rPr>
          <w:lang w:val="en-AU"/>
        </w:rPr>
        <w:t>,</w:t>
      </w:r>
      <w:r w:rsidR="00261B25" w:rsidRPr="009906A7">
        <w:rPr>
          <w:lang w:val="en-AU"/>
        </w:rPr>
        <w:t xml:space="preserve"> including river trade and irrigation development.</w:t>
      </w:r>
    </w:p>
    <w:p w:rsidR="00990DE5" w:rsidRPr="009906A7" w:rsidRDefault="002477F5" w:rsidP="00731D63">
      <w:pPr>
        <w:pStyle w:val="btbullet"/>
        <w:rPr>
          <w:lang w:val="en-AU"/>
        </w:rPr>
      </w:pPr>
      <w:r w:rsidRPr="009906A7">
        <w:rPr>
          <w:lang w:val="en-AU"/>
        </w:rPr>
        <w:t>T</w:t>
      </w:r>
      <w:r w:rsidR="00261B25" w:rsidRPr="009906A7">
        <w:rPr>
          <w:lang w:val="en-AU"/>
        </w:rPr>
        <w:t>he dispersed settlements and agriculture of the Mallee reflect the sandy dunes and swales of the ancient inland sea and climate. Within this lands</w:t>
      </w:r>
      <w:r w:rsidR="003A0E47" w:rsidRPr="009906A7">
        <w:rPr>
          <w:lang w:val="en-AU"/>
        </w:rPr>
        <w:t>cape, vast areas of public land</w:t>
      </w:r>
      <w:r w:rsidR="00261B25" w:rsidRPr="009906A7">
        <w:rPr>
          <w:lang w:val="en-AU"/>
        </w:rPr>
        <w:t xml:space="preserve"> contain important environmental </w:t>
      </w:r>
      <w:r w:rsidR="00CF1371" w:rsidRPr="009906A7">
        <w:rPr>
          <w:lang w:val="en-AU"/>
        </w:rPr>
        <w:t xml:space="preserve">and cultural heritage </w:t>
      </w:r>
      <w:r w:rsidR="00261B25" w:rsidRPr="009906A7">
        <w:rPr>
          <w:lang w:val="en-AU"/>
        </w:rPr>
        <w:t>assets and productive agriculture.</w:t>
      </w:r>
    </w:p>
    <w:p w:rsidR="00261B25" w:rsidRPr="009906A7" w:rsidRDefault="00261B25" w:rsidP="007E5014">
      <w:pPr>
        <w:pStyle w:val="Heading3"/>
        <w:rPr>
          <w:lang w:val="en-AU"/>
        </w:rPr>
      </w:pPr>
      <w:r w:rsidRPr="009906A7">
        <w:rPr>
          <w:lang w:val="en-AU"/>
        </w:rPr>
        <w:t>Transport access and infrastructure</w:t>
      </w:r>
    </w:p>
    <w:p w:rsidR="00261B25" w:rsidRPr="009906A7" w:rsidRDefault="00261B25" w:rsidP="00261B25">
      <w:pPr>
        <w:pStyle w:val="bt"/>
        <w:rPr>
          <w:lang w:val="en-AU"/>
        </w:rPr>
      </w:pPr>
      <w:r w:rsidRPr="009906A7">
        <w:rPr>
          <w:lang w:val="en-AU"/>
        </w:rPr>
        <w:t xml:space="preserve">Transport networks </w:t>
      </w:r>
      <w:r w:rsidR="00B14DF7" w:rsidRPr="009906A7">
        <w:rPr>
          <w:lang w:val="en-AU"/>
        </w:rPr>
        <w:t xml:space="preserve">are enablers of the </w:t>
      </w:r>
      <w:r w:rsidRPr="009906A7">
        <w:rPr>
          <w:lang w:val="en-AU"/>
        </w:rPr>
        <w:t xml:space="preserve">regional economy. These important networks enable </w:t>
      </w:r>
      <w:r w:rsidR="00590DDC" w:rsidRPr="009906A7">
        <w:rPr>
          <w:lang w:val="en-AU"/>
        </w:rPr>
        <w:t xml:space="preserve">transfer </w:t>
      </w:r>
      <w:r w:rsidRPr="009906A7">
        <w:rPr>
          <w:lang w:val="en-AU"/>
        </w:rPr>
        <w:t xml:space="preserve">of goods and commodities </w:t>
      </w:r>
      <w:r w:rsidR="00511329" w:rsidRPr="009906A7">
        <w:rPr>
          <w:lang w:val="en-AU"/>
        </w:rPr>
        <w:t xml:space="preserve">into, </w:t>
      </w:r>
      <w:r w:rsidRPr="009906A7">
        <w:rPr>
          <w:lang w:val="en-AU"/>
        </w:rPr>
        <w:t xml:space="preserve">from and through the region to domestic and international markets. Road, rail and air transport and Murray River crossings are not only important to the </w:t>
      </w:r>
      <w:r w:rsidR="00B14DF7" w:rsidRPr="009906A7">
        <w:rPr>
          <w:lang w:val="en-AU"/>
        </w:rPr>
        <w:t xml:space="preserve">regional </w:t>
      </w:r>
      <w:r w:rsidRPr="009906A7">
        <w:rPr>
          <w:lang w:val="en-AU"/>
        </w:rPr>
        <w:t>community</w:t>
      </w:r>
      <w:r w:rsidR="003B590C">
        <w:rPr>
          <w:lang w:val="en-AU"/>
        </w:rPr>
        <w:t>,</w:t>
      </w:r>
      <w:r w:rsidRPr="009906A7">
        <w:rPr>
          <w:lang w:val="en-AU"/>
        </w:rPr>
        <w:t xml:space="preserve"> but </w:t>
      </w:r>
      <w:r w:rsidR="003B590C">
        <w:rPr>
          <w:lang w:val="en-AU"/>
        </w:rPr>
        <w:t xml:space="preserve">also </w:t>
      </w:r>
      <w:r w:rsidRPr="009906A7">
        <w:rPr>
          <w:lang w:val="en-AU"/>
        </w:rPr>
        <w:t xml:space="preserve">across the broader Murray </w:t>
      </w:r>
      <w:r w:rsidR="00FC2E58" w:rsidRPr="009906A7">
        <w:rPr>
          <w:lang w:val="en-AU"/>
        </w:rPr>
        <w:t xml:space="preserve">Darling </w:t>
      </w:r>
      <w:r w:rsidRPr="009906A7">
        <w:rPr>
          <w:lang w:val="en-AU"/>
        </w:rPr>
        <w:t xml:space="preserve">Basin region. Key transport infrastructure includes the Calder, Mallee, Sunraysia, Northern, Murray Valley and Loddon Valley </w:t>
      </w:r>
      <w:r w:rsidR="00590DDC" w:rsidRPr="009906A7">
        <w:rPr>
          <w:lang w:val="en-AU"/>
        </w:rPr>
        <w:t>h</w:t>
      </w:r>
      <w:r w:rsidRPr="009906A7">
        <w:rPr>
          <w:lang w:val="en-AU"/>
        </w:rPr>
        <w:t xml:space="preserve">ighways, passenger and freight rail services and Mildura </w:t>
      </w:r>
      <w:r w:rsidR="00590DDC" w:rsidRPr="009906A7">
        <w:rPr>
          <w:lang w:val="en-AU"/>
        </w:rPr>
        <w:t>A</w:t>
      </w:r>
      <w:r w:rsidRPr="009906A7">
        <w:rPr>
          <w:lang w:val="en-AU"/>
        </w:rPr>
        <w:t>irport.</w:t>
      </w:r>
    </w:p>
    <w:p w:rsidR="00261B25" w:rsidRPr="009906A7" w:rsidRDefault="00590DDC" w:rsidP="00261B25">
      <w:pPr>
        <w:pStyle w:val="bt"/>
        <w:rPr>
          <w:lang w:val="en-AU"/>
        </w:rPr>
      </w:pPr>
      <w:r w:rsidRPr="009906A7">
        <w:rPr>
          <w:lang w:val="en-AU"/>
        </w:rPr>
        <w:t>P</w:t>
      </w:r>
      <w:r w:rsidR="00165548" w:rsidRPr="009906A7">
        <w:rPr>
          <w:lang w:val="en-AU"/>
        </w:rPr>
        <w:t>rovi</w:t>
      </w:r>
      <w:r w:rsidRPr="009906A7">
        <w:rPr>
          <w:lang w:val="en-AU"/>
        </w:rPr>
        <w:t>ding</w:t>
      </w:r>
      <w:r w:rsidR="00165548" w:rsidRPr="009906A7">
        <w:rPr>
          <w:lang w:val="en-AU"/>
        </w:rPr>
        <w:t xml:space="preserve"> </w:t>
      </w:r>
      <w:r w:rsidR="00F96863" w:rsidRPr="009906A7">
        <w:rPr>
          <w:lang w:val="en-AU"/>
        </w:rPr>
        <w:t xml:space="preserve">water for irrigation and for </w:t>
      </w:r>
      <w:r w:rsidRPr="009906A7">
        <w:rPr>
          <w:lang w:val="en-AU"/>
        </w:rPr>
        <w:t xml:space="preserve">human </w:t>
      </w:r>
      <w:r w:rsidR="00F96863" w:rsidRPr="009906A7">
        <w:rPr>
          <w:lang w:val="en-AU"/>
        </w:rPr>
        <w:t xml:space="preserve">consumption </w:t>
      </w:r>
      <w:r w:rsidR="00165548" w:rsidRPr="009906A7">
        <w:rPr>
          <w:lang w:val="en-AU"/>
        </w:rPr>
        <w:t>is essential</w:t>
      </w:r>
      <w:r w:rsidRPr="009906A7">
        <w:rPr>
          <w:lang w:val="en-AU"/>
        </w:rPr>
        <w:t>. T</w:t>
      </w:r>
      <w:r w:rsidR="00165548" w:rsidRPr="009906A7">
        <w:rPr>
          <w:lang w:val="en-AU"/>
        </w:rPr>
        <w:t>he quality of water resources has a major impact on human health and the production of food. Therefore, the</w:t>
      </w:r>
      <w:r w:rsidR="00261B25" w:rsidRPr="009906A7">
        <w:rPr>
          <w:lang w:val="en-AU"/>
        </w:rPr>
        <w:t xml:space="preserve"> provision of infrastructure </w:t>
      </w:r>
      <w:r w:rsidRPr="009906A7">
        <w:rPr>
          <w:lang w:val="en-AU"/>
        </w:rPr>
        <w:t xml:space="preserve">in Loddon Mallee North </w:t>
      </w:r>
      <w:r w:rsidR="00261B25" w:rsidRPr="009906A7">
        <w:rPr>
          <w:lang w:val="en-AU"/>
        </w:rPr>
        <w:t xml:space="preserve">and the protection of assets </w:t>
      </w:r>
      <w:r w:rsidR="00A6167A" w:rsidRPr="009906A7">
        <w:rPr>
          <w:lang w:val="en-AU"/>
        </w:rPr>
        <w:t>are</w:t>
      </w:r>
      <w:r w:rsidRPr="009906A7">
        <w:rPr>
          <w:lang w:val="en-AU"/>
        </w:rPr>
        <w:t xml:space="preserve"> </w:t>
      </w:r>
      <w:r w:rsidR="00261B25" w:rsidRPr="009906A7">
        <w:rPr>
          <w:lang w:val="en-AU"/>
        </w:rPr>
        <w:t>critical to ma</w:t>
      </w:r>
      <w:r w:rsidR="00B14DF7" w:rsidRPr="009906A7">
        <w:rPr>
          <w:lang w:val="en-AU"/>
        </w:rPr>
        <w:t>ximis</w:t>
      </w:r>
      <w:r w:rsidRPr="009906A7">
        <w:rPr>
          <w:lang w:val="en-AU"/>
        </w:rPr>
        <w:t>e</w:t>
      </w:r>
      <w:r w:rsidR="00261B25" w:rsidRPr="009906A7">
        <w:rPr>
          <w:lang w:val="en-AU"/>
        </w:rPr>
        <w:t xml:space="preserve"> growth. </w:t>
      </w:r>
    </w:p>
    <w:p w:rsidR="00261B25" w:rsidRPr="009906A7" w:rsidRDefault="00261B25" w:rsidP="008B0903">
      <w:pPr>
        <w:pStyle w:val="Heading3"/>
        <w:rPr>
          <w:lang w:val="en-AU"/>
        </w:rPr>
      </w:pPr>
      <w:r w:rsidRPr="009906A7">
        <w:rPr>
          <w:lang w:val="en-AU"/>
        </w:rPr>
        <w:t>Relationship with other regions</w:t>
      </w:r>
    </w:p>
    <w:p w:rsidR="002477F5" w:rsidRPr="009906A7" w:rsidRDefault="00261B25" w:rsidP="00261B25">
      <w:pPr>
        <w:pStyle w:val="bt"/>
        <w:rPr>
          <w:lang w:val="en-AU"/>
        </w:rPr>
      </w:pPr>
      <w:r w:rsidRPr="009906A7">
        <w:rPr>
          <w:lang w:val="en-AU"/>
        </w:rPr>
        <w:t xml:space="preserve">The </w:t>
      </w:r>
      <w:r w:rsidR="00590DDC" w:rsidRPr="009906A7">
        <w:rPr>
          <w:lang w:val="en-AU"/>
        </w:rPr>
        <w:t xml:space="preserve">Loddon Mallee North </w:t>
      </w:r>
      <w:r w:rsidRPr="009906A7">
        <w:rPr>
          <w:lang w:val="en-AU"/>
        </w:rPr>
        <w:t xml:space="preserve">region has strong links with its neighbouring </w:t>
      </w:r>
      <w:r w:rsidR="00841817">
        <w:rPr>
          <w:lang w:val="en-AU"/>
        </w:rPr>
        <w:t xml:space="preserve">Victorian </w:t>
      </w:r>
      <w:r w:rsidRPr="009906A7">
        <w:rPr>
          <w:lang w:val="en-AU"/>
        </w:rPr>
        <w:t>regions, particularly Loddon Mallee South</w:t>
      </w:r>
      <w:r w:rsidR="00F96863" w:rsidRPr="009906A7">
        <w:rPr>
          <w:lang w:val="en-AU"/>
        </w:rPr>
        <w:t>, Wimmera Southern Mallee</w:t>
      </w:r>
      <w:r w:rsidRPr="009906A7">
        <w:rPr>
          <w:lang w:val="en-AU"/>
        </w:rPr>
        <w:t xml:space="preserve"> and Hume</w:t>
      </w:r>
      <w:r w:rsidR="00590DDC" w:rsidRPr="009906A7">
        <w:rPr>
          <w:lang w:val="en-AU"/>
        </w:rPr>
        <w:t>. There are shared</w:t>
      </w:r>
      <w:r w:rsidRPr="009906A7">
        <w:rPr>
          <w:lang w:val="en-AU"/>
        </w:rPr>
        <w:t xml:space="preserve"> communities of interest, agricultural landscapes and production</w:t>
      </w:r>
      <w:r w:rsidR="00590DDC" w:rsidRPr="009906A7">
        <w:rPr>
          <w:lang w:val="en-AU"/>
        </w:rPr>
        <w:t xml:space="preserve"> between these regions,</w:t>
      </w:r>
      <w:r w:rsidRPr="009906A7">
        <w:rPr>
          <w:lang w:val="en-AU"/>
        </w:rPr>
        <w:t xml:space="preserve"> as well as </w:t>
      </w:r>
      <w:r w:rsidR="00590DDC" w:rsidRPr="009906A7">
        <w:rPr>
          <w:lang w:val="en-AU"/>
        </w:rPr>
        <w:t xml:space="preserve">shared </w:t>
      </w:r>
      <w:r w:rsidRPr="009906A7">
        <w:rPr>
          <w:lang w:val="en-AU"/>
        </w:rPr>
        <w:t xml:space="preserve">movement of people and goods. </w:t>
      </w:r>
      <w:r w:rsidR="00590DDC" w:rsidRPr="009906A7">
        <w:rPr>
          <w:lang w:val="en-AU"/>
        </w:rPr>
        <w:t xml:space="preserve"> </w:t>
      </w:r>
    </w:p>
    <w:p w:rsidR="00261B25" w:rsidRPr="009906A7" w:rsidRDefault="00590DDC" w:rsidP="00261B25">
      <w:pPr>
        <w:pStyle w:val="bt"/>
        <w:rPr>
          <w:lang w:val="en-AU"/>
        </w:rPr>
      </w:pPr>
      <w:r w:rsidRPr="009906A7">
        <w:rPr>
          <w:lang w:val="en-AU"/>
        </w:rPr>
        <w:t>L</w:t>
      </w:r>
      <w:r w:rsidR="00261B25" w:rsidRPr="009906A7">
        <w:rPr>
          <w:lang w:val="en-AU"/>
        </w:rPr>
        <w:t xml:space="preserve">inks to </w:t>
      </w:r>
      <w:r w:rsidR="00502313" w:rsidRPr="009906A7">
        <w:rPr>
          <w:lang w:val="en-AU"/>
        </w:rPr>
        <w:t xml:space="preserve">the </w:t>
      </w:r>
      <w:r w:rsidR="00261B25" w:rsidRPr="009906A7">
        <w:rPr>
          <w:lang w:val="en-AU"/>
        </w:rPr>
        <w:t>Loddon Mallee South</w:t>
      </w:r>
      <w:r w:rsidR="00502313" w:rsidRPr="009906A7">
        <w:rPr>
          <w:lang w:val="en-AU"/>
        </w:rPr>
        <w:t xml:space="preserve"> region</w:t>
      </w:r>
      <w:r w:rsidR="00261B25" w:rsidRPr="009906A7">
        <w:rPr>
          <w:lang w:val="en-AU"/>
        </w:rPr>
        <w:t xml:space="preserve"> are through existing rail transport connections from Bendigo to Echuca and Swan Hill</w:t>
      </w:r>
      <w:r w:rsidRPr="009906A7">
        <w:rPr>
          <w:lang w:val="en-AU"/>
        </w:rPr>
        <w:t>. There are also</w:t>
      </w:r>
      <w:r w:rsidR="00261B25" w:rsidRPr="009906A7">
        <w:rPr>
          <w:lang w:val="en-AU"/>
        </w:rPr>
        <w:t xml:space="preserve"> road and freight corridors </w:t>
      </w:r>
      <w:r w:rsidR="002477F5" w:rsidRPr="009906A7">
        <w:rPr>
          <w:lang w:val="en-AU"/>
        </w:rPr>
        <w:t xml:space="preserve">linking </w:t>
      </w:r>
      <w:r w:rsidR="00261B25" w:rsidRPr="009906A7">
        <w:rPr>
          <w:lang w:val="en-AU"/>
        </w:rPr>
        <w:t>the three regions. Loddon Mallee North settlements have strong relationship</w:t>
      </w:r>
      <w:r w:rsidR="000122A8" w:rsidRPr="009906A7">
        <w:rPr>
          <w:lang w:val="en-AU"/>
        </w:rPr>
        <w:t>s</w:t>
      </w:r>
      <w:r w:rsidR="00261B25" w:rsidRPr="009906A7">
        <w:rPr>
          <w:lang w:val="en-AU"/>
        </w:rPr>
        <w:t xml:space="preserve"> with larger centres outside the region</w:t>
      </w:r>
      <w:r w:rsidR="00502313" w:rsidRPr="009906A7">
        <w:rPr>
          <w:lang w:val="en-AU"/>
        </w:rPr>
        <w:t>,</w:t>
      </w:r>
      <w:r w:rsidR="00261B25" w:rsidRPr="009906A7">
        <w:rPr>
          <w:lang w:val="en-AU"/>
        </w:rPr>
        <w:t xml:space="preserve"> including Bendigo, Horsham and Shepparton</w:t>
      </w:r>
      <w:r w:rsidR="00502313" w:rsidRPr="009906A7">
        <w:rPr>
          <w:lang w:val="en-AU"/>
        </w:rPr>
        <w:t>,</w:t>
      </w:r>
      <w:r w:rsidR="00261B25" w:rsidRPr="009906A7">
        <w:rPr>
          <w:lang w:val="en-AU"/>
        </w:rPr>
        <w:t xml:space="preserve"> </w:t>
      </w:r>
      <w:r w:rsidRPr="009906A7">
        <w:rPr>
          <w:lang w:val="en-AU"/>
        </w:rPr>
        <w:t xml:space="preserve">which </w:t>
      </w:r>
      <w:r w:rsidR="00261B25" w:rsidRPr="009906A7">
        <w:rPr>
          <w:lang w:val="en-AU"/>
        </w:rPr>
        <w:t>provid</w:t>
      </w:r>
      <w:r w:rsidRPr="009906A7">
        <w:rPr>
          <w:lang w:val="en-AU"/>
        </w:rPr>
        <w:t>e</w:t>
      </w:r>
      <w:r w:rsidR="00261B25" w:rsidRPr="009906A7">
        <w:rPr>
          <w:lang w:val="en-AU"/>
        </w:rPr>
        <w:t xml:space="preserve"> employment and services to settlements in </w:t>
      </w:r>
      <w:r w:rsidR="002477F5" w:rsidRPr="009906A7">
        <w:rPr>
          <w:lang w:val="en-AU"/>
        </w:rPr>
        <w:t>the region</w:t>
      </w:r>
      <w:r w:rsidR="00261B25" w:rsidRPr="009906A7">
        <w:rPr>
          <w:lang w:val="en-AU"/>
        </w:rPr>
        <w:t xml:space="preserve">. </w:t>
      </w:r>
    </w:p>
    <w:p w:rsidR="00261B25" w:rsidRPr="009906A7" w:rsidRDefault="00261B25" w:rsidP="00261B25">
      <w:pPr>
        <w:pStyle w:val="bt"/>
        <w:rPr>
          <w:lang w:val="en-AU"/>
        </w:rPr>
      </w:pPr>
      <w:r w:rsidRPr="009906A7">
        <w:rPr>
          <w:lang w:val="en-AU"/>
        </w:rPr>
        <w:t>Loddon Mallee North’s communities of interest also have strong relationships with settlements and communities in New South Wales and South Australia. The econom</w:t>
      </w:r>
      <w:r w:rsidR="00590DDC" w:rsidRPr="009906A7">
        <w:rPr>
          <w:lang w:val="en-AU"/>
        </w:rPr>
        <w:t>ies</w:t>
      </w:r>
      <w:r w:rsidRPr="009906A7">
        <w:rPr>
          <w:lang w:val="en-AU"/>
        </w:rPr>
        <w:t xml:space="preserve"> and </w:t>
      </w:r>
      <w:r w:rsidR="00590DDC" w:rsidRPr="009906A7">
        <w:rPr>
          <w:lang w:val="en-AU"/>
        </w:rPr>
        <w:t>communities</w:t>
      </w:r>
      <w:r w:rsidRPr="009906A7">
        <w:rPr>
          <w:lang w:val="en-AU"/>
        </w:rPr>
        <w:t xml:space="preserve"> of twin towns </w:t>
      </w:r>
      <w:r w:rsidR="00590DDC" w:rsidRPr="009906A7">
        <w:rPr>
          <w:lang w:val="en-AU"/>
        </w:rPr>
        <w:t xml:space="preserve">are interlinked, with many shared services and facilities on both sides of the </w:t>
      </w:r>
      <w:r w:rsidRPr="009906A7">
        <w:rPr>
          <w:lang w:val="en-AU"/>
        </w:rPr>
        <w:t>Murray River.</w:t>
      </w:r>
    </w:p>
    <w:p w:rsidR="00515D9C" w:rsidRPr="009906A7" w:rsidRDefault="00515D9C" w:rsidP="00E83E37">
      <w:pPr>
        <w:pStyle w:val="bt"/>
        <w:rPr>
          <w:lang w:val="en-AU"/>
        </w:rPr>
      </w:pPr>
      <w:r w:rsidRPr="009906A7">
        <w:rPr>
          <w:lang w:val="en-AU"/>
        </w:rPr>
        <w:t xml:space="preserve">Mildura </w:t>
      </w:r>
      <w:r w:rsidR="00590DDC" w:rsidRPr="009906A7">
        <w:rPr>
          <w:lang w:val="en-AU"/>
        </w:rPr>
        <w:t>A</w:t>
      </w:r>
      <w:r w:rsidRPr="009906A7">
        <w:rPr>
          <w:lang w:val="en-AU"/>
        </w:rPr>
        <w:t xml:space="preserve">irport is an important entry point and connection </w:t>
      </w:r>
      <w:r w:rsidR="000122A8" w:rsidRPr="009906A7">
        <w:rPr>
          <w:lang w:val="en-AU"/>
        </w:rPr>
        <w:t>from capital cities through</w:t>
      </w:r>
      <w:r w:rsidR="00590DDC" w:rsidRPr="009906A7">
        <w:rPr>
          <w:lang w:val="en-AU"/>
        </w:rPr>
        <w:t>out</w:t>
      </w:r>
      <w:r w:rsidR="000122A8" w:rsidRPr="009906A7">
        <w:rPr>
          <w:lang w:val="en-AU"/>
        </w:rPr>
        <w:t xml:space="preserve"> south</w:t>
      </w:r>
      <w:r w:rsidR="00590DDC" w:rsidRPr="009906A7">
        <w:rPr>
          <w:lang w:val="en-AU"/>
        </w:rPr>
        <w:t>-</w:t>
      </w:r>
      <w:r w:rsidR="000122A8" w:rsidRPr="009906A7">
        <w:rPr>
          <w:lang w:val="en-AU"/>
        </w:rPr>
        <w:t xml:space="preserve">eastern Australia </w:t>
      </w:r>
      <w:r w:rsidRPr="009906A7">
        <w:rPr>
          <w:lang w:val="en-AU"/>
        </w:rPr>
        <w:t>to north</w:t>
      </w:r>
      <w:r w:rsidR="00590DDC" w:rsidRPr="009906A7">
        <w:rPr>
          <w:lang w:val="en-AU"/>
        </w:rPr>
        <w:t>-</w:t>
      </w:r>
      <w:r w:rsidRPr="009906A7">
        <w:rPr>
          <w:lang w:val="en-AU"/>
        </w:rPr>
        <w:t>west Victoria, south</w:t>
      </w:r>
      <w:r w:rsidR="00590DDC" w:rsidRPr="009906A7">
        <w:rPr>
          <w:lang w:val="en-AU"/>
        </w:rPr>
        <w:t>-</w:t>
      </w:r>
      <w:r w:rsidRPr="009906A7">
        <w:rPr>
          <w:lang w:val="en-AU"/>
        </w:rPr>
        <w:t>west New South Wales and north</w:t>
      </w:r>
      <w:r w:rsidR="00590DDC" w:rsidRPr="009906A7">
        <w:rPr>
          <w:lang w:val="en-AU"/>
        </w:rPr>
        <w:t>-</w:t>
      </w:r>
      <w:r w:rsidRPr="009906A7">
        <w:rPr>
          <w:lang w:val="en-AU"/>
        </w:rPr>
        <w:t xml:space="preserve">east South Australia. The accessibility </w:t>
      </w:r>
      <w:r w:rsidR="00590DDC" w:rsidRPr="009906A7">
        <w:rPr>
          <w:lang w:val="en-AU"/>
        </w:rPr>
        <w:t>offered</w:t>
      </w:r>
      <w:r w:rsidRPr="009906A7">
        <w:rPr>
          <w:lang w:val="en-AU"/>
        </w:rPr>
        <w:t xml:space="preserve"> by the airport provides </w:t>
      </w:r>
      <w:r w:rsidR="00590DDC" w:rsidRPr="009906A7">
        <w:rPr>
          <w:lang w:val="en-AU"/>
        </w:rPr>
        <w:t xml:space="preserve">greater </w:t>
      </w:r>
      <w:r w:rsidRPr="009906A7">
        <w:rPr>
          <w:lang w:val="en-AU"/>
        </w:rPr>
        <w:t xml:space="preserve">opportunities </w:t>
      </w:r>
      <w:r w:rsidR="00590DDC" w:rsidRPr="009906A7">
        <w:rPr>
          <w:lang w:val="en-AU"/>
        </w:rPr>
        <w:t xml:space="preserve">to link </w:t>
      </w:r>
      <w:r w:rsidR="00D55F21" w:rsidRPr="009906A7">
        <w:rPr>
          <w:lang w:val="en-AU"/>
        </w:rPr>
        <w:t xml:space="preserve">the </w:t>
      </w:r>
      <w:r w:rsidR="00590DDC" w:rsidRPr="009906A7">
        <w:rPr>
          <w:lang w:val="en-AU"/>
        </w:rPr>
        <w:t xml:space="preserve">region’s economy </w:t>
      </w:r>
      <w:r w:rsidRPr="009906A7">
        <w:rPr>
          <w:lang w:val="en-AU"/>
        </w:rPr>
        <w:t>and employment with that of capital cities.</w:t>
      </w:r>
    </w:p>
    <w:p w:rsidR="00515D9C" w:rsidRPr="009906A7" w:rsidRDefault="00515D9C" w:rsidP="00E83E37">
      <w:pPr>
        <w:pStyle w:val="Heading2"/>
        <w:rPr>
          <w:lang w:val="en-AU"/>
        </w:rPr>
      </w:pPr>
      <w:bookmarkStart w:id="28" w:name="_Toc359166787"/>
      <w:bookmarkStart w:id="29" w:name="_Toc371584544"/>
      <w:bookmarkStart w:id="30" w:name="_Toc373237041"/>
      <w:bookmarkStart w:id="31" w:name="_Toc373241022"/>
      <w:bookmarkStart w:id="32" w:name="_Toc373487217"/>
      <w:bookmarkStart w:id="33" w:name="_Toc373927441"/>
      <w:bookmarkStart w:id="34" w:name="_Toc375052060"/>
      <w:bookmarkStart w:id="35" w:name="_Toc375052281"/>
      <w:bookmarkStart w:id="36" w:name="_Toc377031447"/>
      <w:r w:rsidRPr="009906A7">
        <w:rPr>
          <w:lang w:val="en-AU"/>
        </w:rPr>
        <w:lastRenderedPageBreak/>
        <w:t xml:space="preserve">Strategic </w:t>
      </w:r>
      <w:r w:rsidR="00B11877" w:rsidRPr="009906A7">
        <w:rPr>
          <w:lang w:val="en-AU"/>
        </w:rPr>
        <w:t>a</w:t>
      </w:r>
      <w:r w:rsidRPr="009906A7">
        <w:rPr>
          <w:lang w:val="en-AU"/>
        </w:rPr>
        <w:t>ssets</w:t>
      </w:r>
      <w:bookmarkEnd w:id="28"/>
      <w:bookmarkEnd w:id="29"/>
      <w:bookmarkEnd w:id="30"/>
      <w:bookmarkEnd w:id="31"/>
      <w:bookmarkEnd w:id="32"/>
      <w:bookmarkEnd w:id="33"/>
      <w:bookmarkEnd w:id="34"/>
      <w:bookmarkEnd w:id="35"/>
      <w:bookmarkEnd w:id="36"/>
    </w:p>
    <w:p w:rsidR="004B391F" w:rsidRDefault="004B3A6F" w:rsidP="000D494F">
      <w:pPr>
        <w:pStyle w:val="bt"/>
        <w:rPr>
          <w:lang w:val="en-AU"/>
        </w:rPr>
      </w:pPr>
      <w:r w:rsidRPr="009906A7">
        <w:rPr>
          <w:lang w:val="en-AU"/>
        </w:rPr>
        <w:t xml:space="preserve">This </w:t>
      </w:r>
      <w:r w:rsidR="00B11877" w:rsidRPr="009906A7">
        <w:rPr>
          <w:lang w:val="en-AU"/>
        </w:rPr>
        <w:t>p</w:t>
      </w:r>
      <w:r w:rsidRPr="009906A7">
        <w:rPr>
          <w:lang w:val="en-AU"/>
        </w:rPr>
        <w:t xml:space="preserve">lan builds on the </w:t>
      </w:r>
      <w:r w:rsidR="00590DDC" w:rsidRPr="009906A7">
        <w:rPr>
          <w:lang w:val="en-AU"/>
        </w:rPr>
        <w:t xml:space="preserve">Loddon Mallee North </w:t>
      </w:r>
      <w:r w:rsidRPr="009906A7">
        <w:rPr>
          <w:lang w:val="en-AU"/>
        </w:rPr>
        <w:t>r</w:t>
      </w:r>
      <w:r w:rsidR="00515D9C" w:rsidRPr="009906A7">
        <w:rPr>
          <w:lang w:val="en-AU"/>
        </w:rPr>
        <w:t>egion’s strategic assets</w:t>
      </w:r>
      <w:r w:rsidR="00417F2F" w:rsidRPr="009906A7">
        <w:rPr>
          <w:lang w:val="en-AU"/>
        </w:rPr>
        <w:t xml:space="preserve">, namely </w:t>
      </w:r>
      <w:r w:rsidR="000E09D4" w:rsidRPr="009906A7">
        <w:rPr>
          <w:lang w:val="en-AU"/>
        </w:rPr>
        <w:t>environmental</w:t>
      </w:r>
      <w:r w:rsidR="00515D9C" w:rsidRPr="009906A7">
        <w:rPr>
          <w:lang w:val="en-AU"/>
        </w:rPr>
        <w:t xml:space="preserve">, </w:t>
      </w:r>
      <w:r w:rsidR="000E09D4" w:rsidRPr="009906A7">
        <w:rPr>
          <w:lang w:val="en-AU"/>
        </w:rPr>
        <w:t xml:space="preserve">natural </w:t>
      </w:r>
      <w:r w:rsidR="00515D9C" w:rsidRPr="009906A7">
        <w:rPr>
          <w:lang w:val="en-AU"/>
        </w:rPr>
        <w:t>resources, cultural, social, infrastructure and economic</w:t>
      </w:r>
      <w:r w:rsidR="00417F2F" w:rsidRPr="009906A7">
        <w:rPr>
          <w:lang w:val="en-AU"/>
        </w:rPr>
        <w:t>,</w:t>
      </w:r>
      <w:r w:rsidR="00515D9C" w:rsidRPr="009906A7">
        <w:rPr>
          <w:lang w:val="en-AU"/>
        </w:rPr>
        <w:t xml:space="preserve"> to support a</w:t>
      </w:r>
      <w:r w:rsidR="000122A8" w:rsidRPr="009906A7">
        <w:rPr>
          <w:lang w:val="en-AU"/>
        </w:rPr>
        <w:t xml:space="preserve">nd manage future growth. </w:t>
      </w:r>
    </w:p>
    <w:p w:rsidR="00515D9C" w:rsidRPr="009906A7" w:rsidRDefault="004B391F" w:rsidP="00B278C0">
      <w:pPr>
        <w:pStyle w:val="bt"/>
        <w:rPr>
          <w:lang w:val="en-AU"/>
        </w:rPr>
      </w:pPr>
      <w:r>
        <w:rPr>
          <w:lang w:val="en-AU"/>
        </w:rPr>
        <w:t xml:space="preserve">Map 4 </w:t>
      </w:r>
      <w:r w:rsidR="00515D9C" w:rsidRPr="009906A7">
        <w:rPr>
          <w:lang w:val="en-AU"/>
        </w:rPr>
        <w:t>shows the key strategic assets including</w:t>
      </w:r>
      <w:r w:rsidR="00B11877" w:rsidRPr="009906A7">
        <w:rPr>
          <w:lang w:val="en-AU"/>
        </w:rPr>
        <w:t>:</w:t>
      </w:r>
    </w:p>
    <w:p w:rsidR="00515D9C" w:rsidRPr="009906A7" w:rsidRDefault="00590DDC" w:rsidP="00E83E37">
      <w:pPr>
        <w:pStyle w:val="btbullet"/>
        <w:rPr>
          <w:lang w:val="en-AU"/>
        </w:rPr>
      </w:pPr>
      <w:r w:rsidRPr="009906A7">
        <w:rPr>
          <w:lang w:val="en-AU"/>
        </w:rPr>
        <w:t>t</w:t>
      </w:r>
      <w:r w:rsidR="00515D9C" w:rsidRPr="009906A7">
        <w:rPr>
          <w:lang w:val="en-AU"/>
        </w:rPr>
        <w:t xml:space="preserve">he Murray River corridor, for its </w:t>
      </w:r>
      <w:r w:rsidR="005B5721" w:rsidRPr="009906A7">
        <w:rPr>
          <w:lang w:val="en-AU"/>
        </w:rPr>
        <w:t>Aboriginal</w:t>
      </w:r>
      <w:r w:rsidR="00237BEB" w:rsidRPr="009906A7">
        <w:rPr>
          <w:lang w:val="en-AU"/>
        </w:rPr>
        <w:t xml:space="preserve"> cultural heritage</w:t>
      </w:r>
      <w:r w:rsidR="005B5721" w:rsidRPr="009906A7">
        <w:rPr>
          <w:lang w:val="en-AU"/>
        </w:rPr>
        <w:t xml:space="preserve"> and </w:t>
      </w:r>
      <w:r w:rsidR="00F96863" w:rsidRPr="009906A7">
        <w:rPr>
          <w:lang w:val="en-AU"/>
        </w:rPr>
        <w:t>historic</w:t>
      </w:r>
      <w:r w:rsidR="00515D9C" w:rsidRPr="009906A7">
        <w:rPr>
          <w:lang w:val="en-AU"/>
        </w:rPr>
        <w:t xml:space="preserve"> heritage</w:t>
      </w:r>
      <w:r w:rsidR="005B5721" w:rsidRPr="009906A7">
        <w:rPr>
          <w:lang w:val="en-AU"/>
        </w:rPr>
        <w:t xml:space="preserve"> </w:t>
      </w:r>
      <w:r w:rsidR="00515D9C" w:rsidRPr="009906A7">
        <w:rPr>
          <w:lang w:val="en-AU"/>
        </w:rPr>
        <w:t xml:space="preserve">and environmental </w:t>
      </w:r>
      <w:r w:rsidR="00F96863" w:rsidRPr="009906A7">
        <w:rPr>
          <w:lang w:val="en-AU"/>
        </w:rPr>
        <w:t>assets</w:t>
      </w:r>
      <w:r w:rsidR="001137BF">
        <w:rPr>
          <w:lang w:val="en-AU"/>
        </w:rPr>
        <w:t xml:space="preserve"> and</w:t>
      </w:r>
      <w:r w:rsidR="00515D9C" w:rsidRPr="009906A7">
        <w:rPr>
          <w:lang w:val="en-AU"/>
        </w:rPr>
        <w:t xml:space="preserve"> importance to the agricultural industry and communities that it supports</w:t>
      </w:r>
    </w:p>
    <w:p w:rsidR="00515D9C" w:rsidRPr="009906A7" w:rsidRDefault="00590DDC" w:rsidP="00E83E37">
      <w:pPr>
        <w:pStyle w:val="btbullet"/>
        <w:rPr>
          <w:lang w:val="en-AU"/>
        </w:rPr>
      </w:pPr>
      <w:r w:rsidRPr="009906A7">
        <w:rPr>
          <w:lang w:val="en-AU"/>
        </w:rPr>
        <w:t>t</w:t>
      </w:r>
      <w:r w:rsidR="00515D9C" w:rsidRPr="009906A7">
        <w:rPr>
          <w:lang w:val="en-AU"/>
        </w:rPr>
        <w:t xml:space="preserve">he regional city of Mildura located at the </w:t>
      </w:r>
      <w:r w:rsidR="00237BEB" w:rsidRPr="009906A7">
        <w:rPr>
          <w:lang w:val="en-AU"/>
        </w:rPr>
        <w:t>border</w:t>
      </w:r>
      <w:r w:rsidR="00515D9C" w:rsidRPr="009906A7">
        <w:rPr>
          <w:lang w:val="en-AU"/>
        </w:rPr>
        <w:t xml:space="preserve"> of Victoria</w:t>
      </w:r>
      <w:r w:rsidR="00417F2F" w:rsidRPr="009906A7">
        <w:rPr>
          <w:lang w:val="en-AU"/>
        </w:rPr>
        <w:t xml:space="preserve"> and</w:t>
      </w:r>
      <w:r w:rsidR="00515D9C" w:rsidRPr="009906A7">
        <w:rPr>
          <w:lang w:val="en-AU"/>
        </w:rPr>
        <w:t xml:space="preserve"> New South Wales and</w:t>
      </w:r>
      <w:r w:rsidR="00237BEB" w:rsidRPr="009906A7">
        <w:rPr>
          <w:lang w:val="en-AU"/>
        </w:rPr>
        <w:t xml:space="preserve"> the intersection of</w:t>
      </w:r>
      <w:r w:rsidR="00515D9C" w:rsidRPr="009906A7">
        <w:rPr>
          <w:lang w:val="en-AU"/>
        </w:rPr>
        <w:t xml:space="preserve"> major transport routes</w:t>
      </w:r>
      <w:r w:rsidR="00417F2F" w:rsidRPr="009906A7">
        <w:rPr>
          <w:lang w:val="en-AU"/>
        </w:rPr>
        <w:t>,</w:t>
      </w:r>
      <w:r w:rsidR="00515D9C" w:rsidRPr="009906A7">
        <w:rPr>
          <w:lang w:val="en-AU"/>
        </w:rPr>
        <w:t xml:space="preserve"> making it a strategic location for business</w:t>
      </w:r>
    </w:p>
    <w:p w:rsidR="00515D9C" w:rsidRPr="009906A7" w:rsidRDefault="00590DDC" w:rsidP="00E83E37">
      <w:pPr>
        <w:pStyle w:val="btbullet"/>
        <w:rPr>
          <w:lang w:val="en-AU"/>
        </w:rPr>
      </w:pPr>
      <w:r w:rsidRPr="009906A7">
        <w:rPr>
          <w:lang w:val="en-AU"/>
        </w:rPr>
        <w:t>t</w:t>
      </w:r>
      <w:r w:rsidR="00515D9C" w:rsidRPr="009906A7">
        <w:rPr>
          <w:lang w:val="en-AU"/>
        </w:rPr>
        <w:t>he agricultural industry, including significant irrigation infrastructure, food processing industry and natural resources</w:t>
      </w:r>
      <w:r w:rsidR="00417F2F" w:rsidRPr="009906A7">
        <w:rPr>
          <w:lang w:val="en-AU"/>
        </w:rPr>
        <w:t xml:space="preserve">, such as </w:t>
      </w:r>
      <w:r w:rsidR="00515D9C" w:rsidRPr="009906A7">
        <w:rPr>
          <w:lang w:val="en-AU"/>
        </w:rPr>
        <w:t>mineral sands deposits, salt deposits, solar reliability and geothermal resources</w:t>
      </w:r>
    </w:p>
    <w:p w:rsidR="00134771" w:rsidRDefault="00A6167A" w:rsidP="00FF2713">
      <w:pPr>
        <w:pStyle w:val="btbullet"/>
        <w:rPr>
          <w:lang w:val="en-AU"/>
        </w:rPr>
      </w:pPr>
      <w:proofErr w:type="gramStart"/>
      <w:r w:rsidRPr="00134771">
        <w:rPr>
          <w:lang w:val="en-AU"/>
        </w:rPr>
        <w:t>significant</w:t>
      </w:r>
      <w:proofErr w:type="gramEnd"/>
      <w:r w:rsidRPr="00134771">
        <w:rPr>
          <w:lang w:val="en-AU"/>
        </w:rPr>
        <w:t xml:space="preserve"> national parks, including the Murray</w:t>
      </w:r>
      <w:r w:rsidR="00C94A63" w:rsidRPr="00134771">
        <w:rPr>
          <w:lang w:val="en-AU"/>
        </w:rPr>
        <w:t>-</w:t>
      </w:r>
      <w:r w:rsidRPr="00134771">
        <w:rPr>
          <w:lang w:val="en-AU"/>
        </w:rPr>
        <w:t>Sunset, Hattah-Kulkyne, Wyperfeld and Gunbower.</w:t>
      </w:r>
      <w:bookmarkStart w:id="37" w:name="_Ref373922896"/>
      <w:bookmarkStart w:id="38" w:name="_Ref229921285"/>
      <w:bookmarkStart w:id="39" w:name="_Toc358365464"/>
      <w:bookmarkStart w:id="40" w:name="_Toc375052098"/>
    </w:p>
    <w:p w:rsidR="00823833" w:rsidRPr="00134771" w:rsidRDefault="00D81C28" w:rsidP="00134771">
      <w:pPr>
        <w:pStyle w:val="bt"/>
      </w:pPr>
      <w:r w:rsidRPr="00134771">
        <w:t>Map</w:t>
      </w:r>
      <w:bookmarkEnd w:id="37"/>
      <w:bookmarkEnd w:id="38"/>
      <w:r w:rsidR="003652DE">
        <w:t xml:space="preserve"> 4</w:t>
      </w:r>
      <w:r w:rsidR="00134771" w:rsidRPr="00134771">
        <w:t xml:space="preserve"> </w:t>
      </w:r>
      <w:r w:rsidR="00134771">
        <w:t>is located here in the document and it shows -</w:t>
      </w:r>
      <w:r w:rsidRPr="00134771">
        <w:t xml:space="preserve"> </w:t>
      </w:r>
      <w:r w:rsidR="00C9083C">
        <w:t>S</w:t>
      </w:r>
      <w:r w:rsidR="00823833" w:rsidRPr="00134771">
        <w:t>t</w:t>
      </w:r>
      <w:r w:rsidR="00C9083C">
        <w:t>rat</w:t>
      </w:r>
      <w:r w:rsidR="00823833" w:rsidRPr="00134771">
        <w:t>egic assets</w:t>
      </w:r>
      <w:bookmarkEnd w:id="39"/>
      <w:bookmarkEnd w:id="40"/>
    </w:p>
    <w:p w:rsidR="00515D9C" w:rsidRPr="009906A7" w:rsidRDefault="00515D9C" w:rsidP="00FF2BCB">
      <w:pPr>
        <w:pStyle w:val="Heading11"/>
      </w:pPr>
      <w:bookmarkStart w:id="41" w:name="_Toc377031448"/>
      <w:r w:rsidRPr="009906A7">
        <w:t xml:space="preserve">Drivers of </w:t>
      </w:r>
      <w:r w:rsidR="00B11877" w:rsidRPr="009906A7">
        <w:t>c</w:t>
      </w:r>
      <w:r w:rsidRPr="009906A7">
        <w:t>hange</w:t>
      </w:r>
      <w:bookmarkEnd w:id="41"/>
    </w:p>
    <w:p w:rsidR="00515D9C" w:rsidRPr="009906A7" w:rsidRDefault="00515D9C" w:rsidP="00515D9C">
      <w:pPr>
        <w:pStyle w:val="bt"/>
        <w:rPr>
          <w:lang w:val="en-AU"/>
        </w:rPr>
      </w:pPr>
      <w:r w:rsidRPr="009906A7">
        <w:rPr>
          <w:lang w:val="en-AU"/>
        </w:rPr>
        <w:t xml:space="preserve">Loddon Mallee North </w:t>
      </w:r>
      <w:r w:rsidR="00381AA1" w:rsidRPr="009906A7">
        <w:rPr>
          <w:lang w:val="en-AU"/>
        </w:rPr>
        <w:t xml:space="preserve">region </w:t>
      </w:r>
      <w:r w:rsidRPr="009906A7">
        <w:rPr>
          <w:lang w:val="en-AU"/>
        </w:rPr>
        <w:t xml:space="preserve">is facing a number </w:t>
      </w:r>
      <w:r w:rsidR="00B11877" w:rsidRPr="009906A7">
        <w:rPr>
          <w:lang w:val="en-AU"/>
        </w:rPr>
        <w:t xml:space="preserve">of </w:t>
      </w:r>
      <w:r w:rsidRPr="009906A7">
        <w:rPr>
          <w:lang w:val="en-AU"/>
        </w:rPr>
        <w:t xml:space="preserve">challenges and opportunities that will affect the future economy, environment, communities and opportunities for growth. These drivers of change have been identified </w:t>
      </w:r>
      <w:r w:rsidR="00381AA1" w:rsidRPr="009906A7">
        <w:rPr>
          <w:lang w:val="en-AU"/>
        </w:rPr>
        <w:t>by</w:t>
      </w:r>
      <w:r w:rsidRPr="009906A7">
        <w:rPr>
          <w:lang w:val="en-AU"/>
        </w:rPr>
        <w:t xml:space="preserve"> research and input from the </w:t>
      </w:r>
      <w:r w:rsidR="00417F2F" w:rsidRPr="009906A7">
        <w:rPr>
          <w:lang w:val="en-AU"/>
        </w:rPr>
        <w:t>Loddon Mallee</w:t>
      </w:r>
      <w:r w:rsidR="00764F21" w:rsidRPr="009906A7">
        <w:rPr>
          <w:lang w:val="en-AU"/>
        </w:rPr>
        <w:t xml:space="preserve"> North</w:t>
      </w:r>
      <w:r w:rsidR="00417F2F" w:rsidRPr="009906A7">
        <w:rPr>
          <w:lang w:val="en-AU"/>
        </w:rPr>
        <w:t xml:space="preserve"> Regional Growth Plan </w:t>
      </w:r>
      <w:r w:rsidRPr="009906A7">
        <w:rPr>
          <w:lang w:val="en-AU"/>
        </w:rPr>
        <w:t>Technical Working Group and Project Steering Committee</w:t>
      </w:r>
      <w:r w:rsidR="00381AA1" w:rsidRPr="009906A7">
        <w:rPr>
          <w:lang w:val="en-AU"/>
        </w:rPr>
        <w:t>, and</w:t>
      </w:r>
      <w:r w:rsidRPr="009906A7">
        <w:rPr>
          <w:lang w:val="en-AU"/>
        </w:rPr>
        <w:t xml:space="preserve"> often hav</w:t>
      </w:r>
      <w:r w:rsidR="00381AA1" w:rsidRPr="009906A7">
        <w:rPr>
          <w:lang w:val="en-AU"/>
        </w:rPr>
        <w:t>e</w:t>
      </w:r>
      <w:r w:rsidRPr="009906A7">
        <w:rPr>
          <w:lang w:val="en-AU"/>
        </w:rPr>
        <w:t xml:space="preserve"> crossover or multiplier effects </w:t>
      </w:r>
      <w:r w:rsidR="004B3A6F" w:rsidRPr="009906A7">
        <w:rPr>
          <w:lang w:val="en-AU"/>
        </w:rPr>
        <w:t>throughout the r</w:t>
      </w:r>
      <w:r w:rsidRPr="009906A7">
        <w:rPr>
          <w:lang w:val="en-AU"/>
        </w:rPr>
        <w:t>egion.</w:t>
      </w:r>
    </w:p>
    <w:p w:rsidR="00515D9C" w:rsidRPr="009906A7" w:rsidRDefault="00515D9C" w:rsidP="00515D9C">
      <w:pPr>
        <w:pStyle w:val="bt"/>
        <w:rPr>
          <w:lang w:val="en-AU"/>
        </w:rPr>
      </w:pPr>
      <w:r w:rsidRPr="009906A7">
        <w:rPr>
          <w:lang w:val="en-AU"/>
        </w:rPr>
        <w:t xml:space="preserve">Drivers of change range from global economic trends and impacts to more </w:t>
      </w:r>
      <w:r w:rsidR="00B11877" w:rsidRPr="009906A7">
        <w:rPr>
          <w:lang w:val="en-AU"/>
        </w:rPr>
        <w:t xml:space="preserve">specific </w:t>
      </w:r>
      <w:r w:rsidRPr="009906A7">
        <w:rPr>
          <w:lang w:val="en-AU"/>
        </w:rPr>
        <w:t>state and regional considerations. In summary the key drivers of change in the region include:</w:t>
      </w:r>
    </w:p>
    <w:p w:rsidR="00515D9C" w:rsidRPr="009906A7" w:rsidRDefault="00E00764" w:rsidP="00515D9C">
      <w:pPr>
        <w:pStyle w:val="btbullet"/>
        <w:rPr>
          <w:lang w:val="en-AU"/>
        </w:rPr>
      </w:pPr>
      <w:r w:rsidRPr="009906A7">
        <w:rPr>
          <w:lang w:val="en-AU"/>
        </w:rPr>
        <w:t>expanding the</w:t>
      </w:r>
      <w:r w:rsidR="00764F21" w:rsidRPr="009906A7">
        <w:rPr>
          <w:lang w:val="en-AU"/>
        </w:rPr>
        <w:t xml:space="preserve"> role of the regional </w:t>
      </w:r>
      <w:r w:rsidR="001137BF">
        <w:rPr>
          <w:lang w:val="en-AU"/>
        </w:rPr>
        <w:t>c</w:t>
      </w:r>
      <w:r w:rsidR="00764F21" w:rsidRPr="009906A7">
        <w:rPr>
          <w:lang w:val="en-AU"/>
        </w:rPr>
        <w:t>ity of Mildura as a hub for higher order services and road, rail and air transport, connecting the region via state capital cities to national and international markets</w:t>
      </w:r>
    </w:p>
    <w:p w:rsidR="00515D9C" w:rsidRPr="009906A7" w:rsidRDefault="00764F21" w:rsidP="00515D9C">
      <w:pPr>
        <w:pStyle w:val="btbullet"/>
        <w:rPr>
          <w:lang w:val="en-AU"/>
        </w:rPr>
      </w:pPr>
      <w:r w:rsidRPr="009906A7">
        <w:rPr>
          <w:lang w:val="en-AU"/>
        </w:rPr>
        <w:t xml:space="preserve">the continuing trend towards the </w:t>
      </w:r>
      <w:r w:rsidR="00381AA1" w:rsidRPr="009906A7">
        <w:rPr>
          <w:lang w:val="en-AU"/>
        </w:rPr>
        <w:t>c</w:t>
      </w:r>
      <w:r w:rsidR="00515D9C" w:rsidRPr="009906A7">
        <w:rPr>
          <w:lang w:val="en-AU"/>
        </w:rPr>
        <w:t>oncentration of population, employment and services into a few larger urban centres that provide opportunities and access to education, health and transport</w:t>
      </w:r>
    </w:p>
    <w:p w:rsidR="00515D9C" w:rsidRPr="009906A7" w:rsidRDefault="00764F21" w:rsidP="00515D9C">
      <w:pPr>
        <w:pStyle w:val="btbullet"/>
        <w:rPr>
          <w:lang w:val="en-AU"/>
        </w:rPr>
      </w:pPr>
      <w:r w:rsidRPr="009906A7">
        <w:rPr>
          <w:lang w:val="en-AU"/>
        </w:rPr>
        <w:t xml:space="preserve">the region becoming an attractive alternative given </w:t>
      </w:r>
      <w:r w:rsidR="00381AA1" w:rsidRPr="009906A7">
        <w:rPr>
          <w:lang w:val="en-AU"/>
        </w:rPr>
        <w:t>t</w:t>
      </w:r>
      <w:r w:rsidR="00515D9C" w:rsidRPr="009906A7">
        <w:rPr>
          <w:lang w:val="en-AU"/>
        </w:rPr>
        <w:t>he relative affordability of housing compared to Melbourne and larger regional centres, combined with the regional lifestyle, amenity and culture</w:t>
      </w:r>
    </w:p>
    <w:p w:rsidR="00515D9C" w:rsidRPr="009906A7" w:rsidRDefault="00381AA1" w:rsidP="00515D9C">
      <w:pPr>
        <w:pStyle w:val="btbullet"/>
        <w:rPr>
          <w:lang w:val="en-AU"/>
        </w:rPr>
      </w:pPr>
      <w:r w:rsidRPr="009906A7">
        <w:rPr>
          <w:lang w:val="en-AU"/>
        </w:rPr>
        <w:t>c</w:t>
      </w:r>
      <w:r w:rsidR="00515D9C" w:rsidRPr="009906A7">
        <w:rPr>
          <w:lang w:val="en-AU"/>
        </w:rPr>
        <w:t>hanges in economic sectors, particularly agriculture and mining, which influence employment and population movement within the region</w:t>
      </w:r>
    </w:p>
    <w:p w:rsidR="00515D9C" w:rsidRPr="009906A7" w:rsidRDefault="00764F21" w:rsidP="00515D9C">
      <w:pPr>
        <w:pStyle w:val="btbullet"/>
        <w:rPr>
          <w:lang w:val="en-AU"/>
        </w:rPr>
      </w:pPr>
      <w:r w:rsidRPr="009906A7">
        <w:rPr>
          <w:lang w:val="en-AU"/>
        </w:rPr>
        <w:t>the potential impacts of climate change on settlements, including flood and bushfire, in a naturally hazardous landscape</w:t>
      </w:r>
    </w:p>
    <w:p w:rsidR="00515D9C" w:rsidRPr="009906A7" w:rsidRDefault="002760B6" w:rsidP="00515D9C">
      <w:pPr>
        <w:pStyle w:val="btbullet"/>
        <w:rPr>
          <w:lang w:val="en-AU"/>
        </w:rPr>
      </w:pPr>
      <w:r w:rsidRPr="009906A7">
        <w:rPr>
          <w:lang w:val="en-AU"/>
        </w:rPr>
        <w:t>federal and state g</w:t>
      </w:r>
      <w:r w:rsidR="00515D9C" w:rsidRPr="009906A7">
        <w:rPr>
          <w:lang w:val="en-AU"/>
        </w:rPr>
        <w:t xml:space="preserve">overnment </w:t>
      </w:r>
      <w:r w:rsidRPr="009906A7">
        <w:rPr>
          <w:lang w:val="en-AU"/>
        </w:rPr>
        <w:t>p</w:t>
      </w:r>
      <w:r w:rsidR="00515D9C" w:rsidRPr="009906A7">
        <w:rPr>
          <w:lang w:val="en-AU"/>
        </w:rPr>
        <w:t>olic</w:t>
      </w:r>
      <w:r w:rsidR="00381AA1" w:rsidRPr="009906A7">
        <w:rPr>
          <w:lang w:val="en-AU"/>
        </w:rPr>
        <w:t>ies are</w:t>
      </w:r>
      <w:r w:rsidR="00515D9C" w:rsidRPr="009906A7">
        <w:rPr>
          <w:lang w:val="en-AU"/>
        </w:rPr>
        <w:t xml:space="preserve"> having a significant impact on growth, particularly water reform</w:t>
      </w:r>
      <w:r w:rsidR="00381AA1" w:rsidRPr="009906A7">
        <w:rPr>
          <w:lang w:val="en-AU"/>
        </w:rPr>
        <w:t>, with</w:t>
      </w:r>
      <w:r w:rsidR="002A4575" w:rsidRPr="009906A7">
        <w:rPr>
          <w:lang w:val="en-AU"/>
        </w:rPr>
        <w:t xml:space="preserve"> investment in significant infrastructure projects such as </w:t>
      </w:r>
      <w:r w:rsidR="00841817">
        <w:rPr>
          <w:lang w:val="en-AU"/>
        </w:rPr>
        <w:t xml:space="preserve">the </w:t>
      </w:r>
      <w:r w:rsidR="002A4575" w:rsidRPr="009906A7">
        <w:rPr>
          <w:lang w:val="en-AU"/>
        </w:rPr>
        <w:t xml:space="preserve">Upper Gunbower </w:t>
      </w:r>
      <w:r w:rsidR="0058158B">
        <w:rPr>
          <w:lang w:val="en-AU"/>
        </w:rPr>
        <w:t>F</w:t>
      </w:r>
      <w:r w:rsidR="002A4575" w:rsidRPr="009906A7">
        <w:rPr>
          <w:lang w:val="en-AU"/>
        </w:rPr>
        <w:t>loodplain and Lindsay Island projects</w:t>
      </w:r>
    </w:p>
    <w:p w:rsidR="00B11877" w:rsidRPr="009906A7" w:rsidRDefault="00764F21" w:rsidP="00B11877">
      <w:pPr>
        <w:pStyle w:val="btbullet"/>
        <w:rPr>
          <w:lang w:val="en-AU"/>
        </w:rPr>
      </w:pPr>
      <w:proofErr w:type="gramStart"/>
      <w:r w:rsidRPr="009906A7">
        <w:rPr>
          <w:lang w:val="en-AU"/>
        </w:rPr>
        <w:t>economic</w:t>
      </w:r>
      <w:proofErr w:type="gramEnd"/>
      <w:r w:rsidRPr="009906A7">
        <w:rPr>
          <w:lang w:val="en-AU"/>
        </w:rPr>
        <w:t xml:space="preserve"> opportunities arising from the </w:t>
      </w:r>
      <w:r w:rsidR="00381AA1" w:rsidRPr="009906A7">
        <w:rPr>
          <w:lang w:val="en-AU"/>
        </w:rPr>
        <w:t>i</w:t>
      </w:r>
      <w:r w:rsidR="00515D9C" w:rsidRPr="009906A7">
        <w:rPr>
          <w:lang w:val="en-AU"/>
        </w:rPr>
        <w:t>ncreasing viability of renewable and alternative energy including solar, geothermal and biofuels</w:t>
      </w:r>
      <w:r w:rsidR="00B11877" w:rsidRPr="009906A7">
        <w:rPr>
          <w:lang w:val="en-AU"/>
        </w:rPr>
        <w:t>.</w:t>
      </w:r>
    </w:p>
    <w:p w:rsidR="00515D9C" w:rsidRPr="009906A7" w:rsidRDefault="00515D9C" w:rsidP="00FF2BCB">
      <w:pPr>
        <w:pStyle w:val="Heading11"/>
      </w:pPr>
      <w:bookmarkStart w:id="42" w:name="_Toc377031449"/>
      <w:r w:rsidRPr="009906A7">
        <w:t xml:space="preserve">Challenges for </w:t>
      </w:r>
      <w:r w:rsidR="00B11877" w:rsidRPr="009906A7">
        <w:t>growth</w:t>
      </w:r>
      <w:bookmarkEnd w:id="42"/>
    </w:p>
    <w:p w:rsidR="00515D9C" w:rsidRPr="0057535D" w:rsidRDefault="00515D9C" w:rsidP="00515D9C">
      <w:pPr>
        <w:pStyle w:val="bt"/>
        <w:rPr>
          <w:lang w:val="en-AU"/>
        </w:rPr>
      </w:pPr>
      <w:r w:rsidRPr="009906A7">
        <w:rPr>
          <w:lang w:val="en-AU"/>
        </w:rPr>
        <w:t xml:space="preserve">There </w:t>
      </w:r>
      <w:r w:rsidR="00535DDD" w:rsidRPr="00535DDD">
        <w:rPr>
          <w:lang w:val="en-AU"/>
        </w:rPr>
        <w:t>is a range</w:t>
      </w:r>
      <w:r w:rsidRPr="0057535D">
        <w:rPr>
          <w:lang w:val="en-AU"/>
        </w:rPr>
        <w:t xml:space="preserve"> of challenges for growth in the </w:t>
      </w:r>
      <w:r w:rsidR="00535DDD" w:rsidRPr="00535DDD">
        <w:rPr>
          <w:lang w:val="en-AU"/>
        </w:rPr>
        <w:t>region that</w:t>
      </w:r>
      <w:r w:rsidRPr="0057535D">
        <w:rPr>
          <w:lang w:val="en-AU"/>
        </w:rPr>
        <w:t xml:space="preserve"> this </w:t>
      </w:r>
      <w:r w:rsidR="00B11877" w:rsidRPr="0057535D">
        <w:rPr>
          <w:lang w:val="en-AU"/>
        </w:rPr>
        <w:t>p</w:t>
      </w:r>
      <w:r w:rsidRPr="0057535D">
        <w:rPr>
          <w:lang w:val="en-AU"/>
        </w:rPr>
        <w:t>lan seeks to manage or address</w:t>
      </w:r>
      <w:r w:rsidR="00381AA1" w:rsidRPr="0057535D">
        <w:rPr>
          <w:lang w:val="en-AU"/>
        </w:rPr>
        <w:t xml:space="preserve"> in part</w:t>
      </w:r>
      <w:r w:rsidRPr="0057535D">
        <w:rPr>
          <w:lang w:val="en-AU"/>
        </w:rPr>
        <w:t>. These include</w:t>
      </w:r>
      <w:r w:rsidR="00B11877" w:rsidRPr="0057535D">
        <w:rPr>
          <w:lang w:val="en-AU"/>
        </w:rPr>
        <w:t>:</w:t>
      </w:r>
    </w:p>
    <w:p w:rsidR="00515D9C" w:rsidRPr="0057535D" w:rsidRDefault="00381AA1" w:rsidP="00515D9C">
      <w:pPr>
        <w:pStyle w:val="btbullet"/>
        <w:rPr>
          <w:lang w:val="en-AU"/>
        </w:rPr>
      </w:pPr>
      <w:r w:rsidRPr="0057535D">
        <w:rPr>
          <w:lang w:val="en-AU"/>
        </w:rPr>
        <w:t>t</w:t>
      </w:r>
      <w:r w:rsidR="00515D9C" w:rsidRPr="0057535D">
        <w:rPr>
          <w:lang w:val="en-AU"/>
        </w:rPr>
        <w:t>he uneven distribution of both population and economic growth across the region, and the need to support smaller communities</w:t>
      </w:r>
    </w:p>
    <w:p w:rsidR="00515D9C" w:rsidRPr="0057535D" w:rsidRDefault="00381AA1" w:rsidP="00515D9C">
      <w:pPr>
        <w:pStyle w:val="btbullet"/>
        <w:rPr>
          <w:lang w:val="en-AU"/>
        </w:rPr>
      </w:pPr>
      <w:r w:rsidRPr="0057535D">
        <w:rPr>
          <w:lang w:val="en-AU"/>
        </w:rPr>
        <w:lastRenderedPageBreak/>
        <w:t>e</w:t>
      </w:r>
      <w:r w:rsidR="00515D9C" w:rsidRPr="0057535D">
        <w:rPr>
          <w:lang w:val="en-AU"/>
        </w:rPr>
        <w:t>nsuring land supply for employment and housing in appropriate locations</w:t>
      </w:r>
    </w:p>
    <w:p w:rsidR="00515D9C" w:rsidRPr="0057535D" w:rsidRDefault="00381AA1" w:rsidP="00515D9C">
      <w:pPr>
        <w:pStyle w:val="btbullet"/>
        <w:rPr>
          <w:lang w:val="en-AU"/>
        </w:rPr>
      </w:pPr>
      <w:r w:rsidRPr="0057535D">
        <w:rPr>
          <w:lang w:val="en-AU"/>
        </w:rPr>
        <w:t>a</w:t>
      </w:r>
      <w:r w:rsidR="00515D9C" w:rsidRPr="0057535D">
        <w:rPr>
          <w:lang w:val="en-AU"/>
        </w:rPr>
        <w:t xml:space="preserve">dapting to the </w:t>
      </w:r>
      <w:r w:rsidR="001A0464" w:rsidRPr="0057535D">
        <w:rPr>
          <w:lang w:val="en-AU"/>
        </w:rPr>
        <w:t>potential risks and opportunities associated with</w:t>
      </w:r>
      <w:r w:rsidR="00515D9C" w:rsidRPr="0057535D">
        <w:rPr>
          <w:lang w:val="en-AU"/>
        </w:rPr>
        <w:t xml:space="preserve"> climate change</w:t>
      </w:r>
    </w:p>
    <w:p w:rsidR="00515D9C" w:rsidRPr="0057535D" w:rsidRDefault="00EB3D1A" w:rsidP="00515D9C">
      <w:pPr>
        <w:pStyle w:val="btbullet"/>
        <w:rPr>
          <w:lang w:val="en-AU"/>
        </w:rPr>
      </w:pPr>
      <w:r w:rsidRPr="0057535D">
        <w:rPr>
          <w:lang w:val="en-AU"/>
        </w:rPr>
        <w:t>protecting and enhancing</w:t>
      </w:r>
      <w:r w:rsidR="00515D9C" w:rsidRPr="0057535D">
        <w:rPr>
          <w:lang w:val="en-AU"/>
        </w:rPr>
        <w:t xml:space="preserve"> the environmental</w:t>
      </w:r>
      <w:r w:rsidR="001A0464" w:rsidRPr="0057535D">
        <w:rPr>
          <w:lang w:val="en-AU"/>
        </w:rPr>
        <w:t>, cultural heritage,</w:t>
      </w:r>
      <w:r w:rsidR="00515D9C" w:rsidRPr="0057535D">
        <w:rPr>
          <w:lang w:val="en-AU"/>
        </w:rPr>
        <w:t xml:space="preserve"> </w:t>
      </w:r>
      <w:r w:rsidR="004069D5" w:rsidRPr="0057535D">
        <w:rPr>
          <w:lang w:val="en-AU"/>
        </w:rPr>
        <w:t xml:space="preserve">social </w:t>
      </w:r>
      <w:r w:rsidR="00515D9C" w:rsidRPr="0057535D">
        <w:rPr>
          <w:lang w:val="en-AU"/>
        </w:rPr>
        <w:t>assets and natural resources of the region</w:t>
      </w:r>
      <w:r w:rsidRPr="0057535D">
        <w:rPr>
          <w:lang w:val="en-AU"/>
        </w:rPr>
        <w:t xml:space="preserve"> to grow the economy</w:t>
      </w:r>
    </w:p>
    <w:p w:rsidR="001A41E0" w:rsidRPr="00F71F7D" w:rsidRDefault="003E4202" w:rsidP="00515D9C">
      <w:pPr>
        <w:pStyle w:val="btbullet"/>
        <w:rPr>
          <w:lang w:val="en-AU"/>
        </w:rPr>
      </w:pPr>
      <w:r w:rsidRPr="003E4202">
        <w:rPr>
          <w:rFonts w:cs="Calibri"/>
          <w:bCs/>
          <w:lang w:val="en-AU"/>
        </w:rPr>
        <w:t>recognition and protection of the environmental values of Ramsar wetlands</w:t>
      </w:r>
    </w:p>
    <w:p w:rsidR="00515D9C" w:rsidRPr="0057535D" w:rsidRDefault="00381AA1" w:rsidP="00515D9C">
      <w:pPr>
        <w:pStyle w:val="btbullet"/>
        <w:rPr>
          <w:lang w:val="en-AU"/>
        </w:rPr>
      </w:pPr>
      <w:r w:rsidRPr="0057535D">
        <w:rPr>
          <w:lang w:val="en-AU"/>
        </w:rPr>
        <w:t>e</w:t>
      </w:r>
      <w:r w:rsidR="00D942A3" w:rsidRPr="0057535D">
        <w:rPr>
          <w:lang w:val="en-AU"/>
        </w:rPr>
        <w:t xml:space="preserve">nsuring </w:t>
      </w:r>
      <w:r w:rsidR="00515D9C" w:rsidRPr="0057535D">
        <w:rPr>
          <w:lang w:val="en-AU"/>
        </w:rPr>
        <w:t xml:space="preserve">growth is supported </w:t>
      </w:r>
      <w:r w:rsidR="00D942A3" w:rsidRPr="0057535D">
        <w:rPr>
          <w:lang w:val="en-AU"/>
        </w:rPr>
        <w:t xml:space="preserve">where appropriate </w:t>
      </w:r>
      <w:r w:rsidR="00515D9C" w:rsidRPr="0057535D">
        <w:rPr>
          <w:lang w:val="en-AU"/>
        </w:rPr>
        <w:t>by sustainable reticulated or independent infrastructure services</w:t>
      </w:r>
      <w:r w:rsidR="002760B6" w:rsidRPr="0057535D">
        <w:rPr>
          <w:lang w:val="en-AU"/>
        </w:rPr>
        <w:t>,</w:t>
      </w:r>
      <w:r w:rsidR="00515D9C" w:rsidRPr="0057535D">
        <w:rPr>
          <w:lang w:val="en-AU"/>
        </w:rPr>
        <w:t xml:space="preserve"> such as water, power and waste disposal </w:t>
      </w:r>
      <w:r w:rsidR="00314EAE">
        <w:rPr>
          <w:lang w:val="en-AU"/>
        </w:rPr>
        <w:t>–</w:t>
      </w:r>
      <w:r w:rsidR="00314EAE" w:rsidRPr="0057535D">
        <w:rPr>
          <w:lang w:val="en-AU"/>
        </w:rPr>
        <w:t xml:space="preserve"> </w:t>
      </w:r>
      <w:r w:rsidR="00515D9C" w:rsidRPr="0057535D">
        <w:rPr>
          <w:lang w:val="en-AU"/>
        </w:rPr>
        <w:t>recognising the historic diversity, transitioning of the economy and uneven growth distribution</w:t>
      </w:r>
    </w:p>
    <w:p w:rsidR="00515D9C" w:rsidRPr="0057535D" w:rsidRDefault="00381AA1" w:rsidP="00515D9C">
      <w:pPr>
        <w:pStyle w:val="btbullet"/>
        <w:rPr>
          <w:lang w:val="en-AU"/>
        </w:rPr>
      </w:pPr>
      <w:r w:rsidRPr="0057535D">
        <w:rPr>
          <w:lang w:val="en-AU"/>
        </w:rPr>
        <w:t>s</w:t>
      </w:r>
      <w:r w:rsidR="00515D9C" w:rsidRPr="0057535D">
        <w:rPr>
          <w:lang w:val="en-AU"/>
        </w:rPr>
        <w:t xml:space="preserve">upporting residential and commercial growth </w:t>
      </w:r>
      <w:r w:rsidR="00841817">
        <w:rPr>
          <w:lang w:val="en-AU"/>
        </w:rPr>
        <w:t>in</w:t>
      </w:r>
      <w:r w:rsidR="00841817" w:rsidRPr="0057535D">
        <w:rPr>
          <w:lang w:val="en-AU"/>
        </w:rPr>
        <w:t xml:space="preserve"> </w:t>
      </w:r>
      <w:r w:rsidR="00515D9C" w:rsidRPr="0057535D">
        <w:rPr>
          <w:lang w:val="en-AU"/>
        </w:rPr>
        <w:t xml:space="preserve">centres throughout the region </w:t>
      </w:r>
      <w:r w:rsidR="002760B6" w:rsidRPr="0057535D">
        <w:rPr>
          <w:lang w:val="en-AU"/>
        </w:rPr>
        <w:t>enabling</w:t>
      </w:r>
      <w:r w:rsidR="00B11877" w:rsidRPr="0057535D">
        <w:rPr>
          <w:lang w:val="en-AU"/>
        </w:rPr>
        <w:t xml:space="preserve"> residents to </w:t>
      </w:r>
      <w:r w:rsidR="00515D9C" w:rsidRPr="0057535D">
        <w:rPr>
          <w:lang w:val="en-AU"/>
        </w:rPr>
        <w:t>access employment, education and services</w:t>
      </w:r>
      <w:r w:rsidR="002760B6" w:rsidRPr="0057535D">
        <w:rPr>
          <w:lang w:val="en-AU"/>
        </w:rPr>
        <w:t>,</w:t>
      </w:r>
      <w:r w:rsidR="00515D9C" w:rsidRPr="0057535D">
        <w:rPr>
          <w:lang w:val="en-AU"/>
        </w:rPr>
        <w:t xml:space="preserve"> including from dispersed settlements</w:t>
      </w:r>
    </w:p>
    <w:p w:rsidR="00515D9C" w:rsidRPr="0057535D" w:rsidRDefault="00381AA1" w:rsidP="00515D9C">
      <w:pPr>
        <w:pStyle w:val="btbullet"/>
        <w:rPr>
          <w:lang w:val="en-AU"/>
        </w:rPr>
      </w:pPr>
      <w:r w:rsidRPr="0057535D">
        <w:rPr>
          <w:lang w:val="en-AU"/>
        </w:rPr>
        <w:t>e</w:t>
      </w:r>
      <w:r w:rsidR="00515D9C" w:rsidRPr="0057535D">
        <w:rPr>
          <w:lang w:val="en-AU"/>
        </w:rPr>
        <w:t>ncouraging and supporting diversification of the economy, including agriculture</w:t>
      </w:r>
      <w:r w:rsidR="00551652" w:rsidRPr="0057535D">
        <w:rPr>
          <w:lang w:val="en-AU"/>
        </w:rPr>
        <w:t xml:space="preserve"> and overcoming skills shortages</w:t>
      </w:r>
    </w:p>
    <w:p w:rsidR="00515D9C" w:rsidRPr="0057535D" w:rsidRDefault="00381AA1" w:rsidP="00515D9C">
      <w:pPr>
        <w:pStyle w:val="btbullet"/>
        <w:rPr>
          <w:lang w:val="en-AU"/>
        </w:rPr>
      </w:pPr>
      <w:r w:rsidRPr="0057535D">
        <w:rPr>
          <w:lang w:val="en-AU"/>
        </w:rPr>
        <w:t>s</w:t>
      </w:r>
      <w:r w:rsidR="004069D5" w:rsidRPr="0057535D">
        <w:rPr>
          <w:lang w:val="en-AU"/>
        </w:rPr>
        <w:t>upporting the renewal of</w:t>
      </w:r>
      <w:r w:rsidR="00515D9C" w:rsidRPr="0057535D">
        <w:rPr>
          <w:lang w:val="en-AU"/>
        </w:rPr>
        <w:t xml:space="preserve"> irrigation infrastructure and responding to the associated restructure and social changes </w:t>
      </w:r>
    </w:p>
    <w:p w:rsidR="00515D9C" w:rsidRPr="0057535D" w:rsidRDefault="00381AA1" w:rsidP="00515D9C">
      <w:pPr>
        <w:pStyle w:val="btbullet"/>
        <w:rPr>
          <w:lang w:val="en-AU"/>
        </w:rPr>
      </w:pPr>
      <w:r w:rsidRPr="0057535D">
        <w:rPr>
          <w:lang w:val="en-AU"/>
        </w:rPr>
        <w:t>s</w:t>
      </w:r>
      <w:r w:rsidR="00515D9C" w:rsidRPr="0057535D">
        <w:rPr>
          <w:lang w:val="en-AU"/>
        </w:rPr>
        <w:t>upporting cross</w:t>
      </w:r>
      <w:r w:rsidRPr="0057535D">
        <w:rPr>
          <w:lang w:val="en-AU"/>
        </w:rPr>
        <w:t>-</w:t>
      </w:r>
      <w:r w:rsidR="00515D9C" w:rsidRPr="0057535D">
        <w:rPr>
          <w:lang w:val="en-AU"/>
        </w:rPr>
        <w:t xml:space="preserve">border planning </w:t>
      </w:r>
      <w:r w:rsidR="00D942A3" w:rsidRPr="0057535D">
        <w:rPr>
          <w:lang w:val="en-AU"/>
        </w:rPr>
        <w:t xml:space="preserve">in relation to </w:t>
      </w:r>
      <w:r w:rsidR="00515D9C" w:rsidRPr="0057535D">
        <w:rPr>
          <w:lang w:val="en-AU"/>
        </w:rPr>
        <w:t xml:space="preserve">efficient provision of land and infrastructure for settlements and industry </w:t>
      </w:r>
    </w:p>
    <w:p w:rsidR="00515D9C" w:rsidRPr="0057535D" w:rsidRDefault="00F36970" w:rsidP="00515D9C">
      <w:pPr>
        <w:pStyle w:val="btbullet"/>
        <w:rPr>
          <w:lang w:val="en-AU"/>
        </w:rPr>
      </w:pPr>
      <w:r w:rsidRPr="0057535D">
        <w:rPr>
          <w:lang w:val="en-AU"/>
        </w:rPr>
        <w:t>safeguarding</w:t>
      </w:r>
      <w:r w:rsidR="00515D9C" w:rsidRPr="0057535D">
        <w:rPr>
          <w:lang w:val="en-AU"/>
        </w:rPr>
        <w:t xml:space="preserve"> transport routes to support efficient freight and people movement and economic diversification</w:t>
      </w:r>
    </w:p>
    <w:p w:rsidR="00515D9C" w:rsidRPr="0057535D" w:rsidRDefault="00515D9C" w:rsidP="00515D9C">
      <w:pPr>
        <w:pStyle w:val="btbullet"/>
        <w:rPr>
          <w:lang w:val="en-AU"/>
        </w:rPr>
      </w:pPr>
      <w:r w:rsidRPr="0057535D">
        <w:rPr>
          <w:lang w:val="en-AU"/>
        </w:rPr>
        <w:t>maintenance and replacement of ageing infrastructure</w:t>
      </w:r>
    </w:p>
    <w:p w:rsidR="00515D9C" w:rsidRPr="0057535D" w:rsidRDefault="00381AA1" w:rsidP="00515D9C">
      <w:pPr>
        <w:pStyle w:val="btbullet"/>
        <w:rPr>
          <w:lang w:val="en-AU"/>
        </w:rPr>
      </w:pPr>
      <w:r w:rsidRPr="0057535D">
        <w:rPr>
          <w:lang w:val="en-AU"/>
        </w:rPr>
        <w:t>m</w:t>
      </w:r>
      <w:r w:rsidR="00515D9C" w:rsidRPr="0057535D">
        <w:rPr>
          <w:lang w:val="en-AU"/>
        </w:rPr>
        <w:t xml:space="preserve">eeting the housing needs of </w:t>
      </w:r>
      <w:r w:rsidRPr="0057535D">
        <w:rPr>
          <w:lang w:val="en-AU"/>
        </w:rPr>
        <w:t>a</w:t>
      </w:r>
      <w:r w:rsidR="00515D9C" w:rsidRPr="0057535D">
        <w:rPr>
          <w:lang w:val="en-AU"/>
        </w:rPr>
        <w:t xml:space="preserve"> changing demographic profile in </w:t>
      </w:r>
      <w:r w:rsidRPr="0057535D">
        <w:rPr>
          <w:lang w:val="en-AU"/>
        </w:rPr>
        <w:t>the</w:t>
      </w:r>
      <w:r w:rsidR="00515D9C" w:rsidRPr="0057535D">
        <w:rPr>
          <w:lang w:val="en-AU"/>
        </w:rPr>
        <w:t xml:space="preserve"> context of low development demand and poor returns on housing investment</w:t>
      </w:r>
      <w:r w:rsidR="002760B6" w:rsidRPr="0057535D">
        <w:rPr>
          <w:lang w:val="en-AU"/>
        </w:rPr>
        <w:t>,</w:t>
      </w:r>
      <w:r w:rsidR="00515D9C" w:rsidRPr="0057535D">
        <w:rPr>
          <w:lang w:val="en-AU"/>
        </w:rPr>
        <w:t xml:space="preserve"> and the needs of a mobile and seasonal workforce</w:t>
      </w:r>
    </w:p>
    <w:p w:rsidR="00D81C28" w:rsidRPr="0057535D" w:rsidRDefault="00381AA1" w:rsidP="00731D63">
      <w:pPr>
        <w:pStyle w:val="btbullet"/>
        <w:rPr>
          <w:lang w:val="en-AU"/>
        </w:rPr>
      </w:pPr>
      <w:proofErr w:type="gramStart"/>
      <w:r w:rsidRPr="0057535D">
        <w:rPr>
          <w:lang w:val="en-AU"/>
        </w:rPr>
        <w:t>m</w:t>
      </w:r>
      <w:r w:rsidR="00515D9C" w:rsidRPr="0057535D">
        <w:rPr>
          <w:lang w:val="en-AU"/>
        </w:rPr>
        <w:t>anag</w:t>
      </w:r>
      <w:r w:rsidR="002A4575" w:rsidRPr="0057535D">
        <w:rPr>
          <w:lang w:val="en-AU"/>
        </w:rPr>
        <w:t>ing</w:t>
      </w:r>
      <w:proofErr w:type="gramEnd"/>
      <w:r w:rsidR="002A4575" w:rsidRPr="0057535D">
        <w:rPr>
          <w:lang w:val="en-AU"/>
        </w:rPr>
        <w:t xml:space="preserve"> the risks to settlements from</w:t>
      </w:r>
      <w:r w:rsidR="00515D9C" w:rsidRPr="0057535D">
        <w:rPr>
          <w:lang w:val="en-AU"/>
        </w:rPr>
        <w:t xml:space="preserve"> natural hazards such as flood</w:t>
      </w:r>
      <w:r w:rsidR="00D942A3" w:rsidRPr="0057535D">
        <w:rPr>
          <w:lang w:val="en-AU"/>
        </w:rPr>
        <w:t xml:space="preserve"> and </w:t>
      </w:r>
      <w:r w:rsidR="001A0464" w:rsidRPr="0057535D">
        <w:rPr>
          <w:lang w:val="en-AU"/>
        </w:rPr>
        <w:t>bush</w:t>
      </w:r>
      <w:r w:rsidR="00D942A3" w:rsidRPr="0057535D">
        <w:rPr>
          <w:lang w:val="en-AU"/>
        </w:rPr>
        <w:t>fire</w:t>
      </w:r>
      <w:r w:rsidR="001A0464" w:rsidRPr="0057535D">
        <w:rPr>
          <w:lang w:val="en-AU"/>
        </w:rPr>
        <w:t>.</w:t>
      </w:r>
    </w:p>
    <w:p w:rsidR="00515D9C" w:rsidRPr="0057535D" w:rsidRDefault="00515D9C" w:rsidP="00FF2BCB">
      <w:pPr>
        <w:pStyle w:val="Heading11"/>
      </w:pPr>
      <w:bookmarkStart w:id="43" w:name="_Toc377031450"/>
      <w:r w:rsidRPr="0057535D">
        <w:t xml:space="preserve">Vision for the </w:t>
      </w:r>
      <w:r w:rsidR="00B11877" w:rsidRPr="0057535D">
        <w:t>r</w:t>
      </w:r>
      <w:r w:rsidRPr="0057535D">
        <w:t>egion</w:t>
      </w:r>
      <w:bookmarkEnd w:id="43"/>
    </w:p>
    <w:p w:rsidR="00515D9C" w:rsidRPr="0057535D" w:rsidRDefault="00515D9C" w:rsidP="00515D9C">
      <w:pPr>
        <w:pStyle w:val="bt"/>
        <w:rPr>
          <w:lang w:val="en-AU"/>
        </w:rPr>
      </w:pPr>
      <w:r w:rsidRPr="0057535D">
        <w:rPr>
          <w:lang w:val="en-AU"/>
        </w:rPr>
        <w:t xml:space="preserve">To respond to the drivers of change and challenges for growth, and to build on the region’s strengths and strategic assets, a vision for future land use in the </w:t>
      </w:r>
      <w:r w:rsidR="00AB5FCC" w:rsidRPr="0057535D">
        <w:rPr>
          <w:lang w:val="en-AU"/>
        </w:rPr>
        <w:t xml:space="preserve">Loddon Mallee North </w:t>
      </w:r>
      <w:r w:rsidRPr="0057535D">
        <w:rPr>
          <w:lang w:val="en-AU"/>
        </w:rPr>
        <w:t xml:space="preserve">region has been </w:t>
      </w:r>
      <w:r w:rsidR="00AB5FCC" w:rsidRPr="0057535D">
        <w:rPr>
          <w:lang w:val="en-AU"/>
        </w:rPr>
        <w:t>established</w:t>
      </w:r>
      <w:r w:rsidRPr="0057535D">
        <w:rPr>
          <w:lang w:val="en-AU"/>
        </w:rPr>
        <w:t>:</w:t>
      </w:r>
    </w:p>
    <w:p w:rsidR="006256FA" w:rsidRDefault="00515D9C" w:rsidP="006256FA">
      <w:pPr>
        <w:pStyle w:val="bt"/>
        <w:rPr>
          <w:rStyle w:val="Emphasis"/>
          <w:lang w:val="en-AU"/>
        </w:rPr>
      </w:pPr>
      <w:r w:rsidRPr="0057535D">
        <w:rPr>
          <w:rStyle w:val="Emphasis"/>
          <w:lang w:val="en-AU"/>
        </w:rPr>
        <w:t xml:space="preserve">In 2041, Loddon Mallee </w:t>
      </w:r>
      <w:proofErr w:type="gramStart"/>
      <w:r w:rsidRPr="0057535D">
        <w:rPr>
          <w:rStyle w:val="Emphasis"/>
          <w:lang w:val="en-AU"/>
        </w:rPr>
        <w:t>North</w:t>
      </w:r>
      <w:proofErr w:type="gramEnd"/>
      <w:r w:rsidRPr="0057535D">
        <w:rPr>
          <w:rStyle w:val="Emphasis"/>
          <w:lang w:val="en-AU"/>
        </w:rPr>
        <w:t xml:space="preserve"> has built on its strengths to become a thriving Australian region. It has cultivated its environmental credentials to emerge as a prosperous place of choice for people to live, work, visit and invest.</w:t>
      </w:r>
      <w:r w:rsidR="007441E7" w:rsidRPr="0057535D">
        <w:rPr>
          <w:rStyle w:val="Emphasis"/>
          <w:lang w:val="en-AU"/>
        </w:rPr>
        <w:t xml:space="preserve"> </w:t>
      </w:r>
      <w:r w:rsidRPr="0057535D">
        <w:rPr>
          <w:rStyle w:val="Emphasis"/>
          <w:lang w:val="en-AU"/>
        </w:rPr>
        <w:t>It has become renowned</w:t>
      </w:r>
      <w:r w:rsidR="00AB5FCC" w:rsidRPr="0057535D">
        <w:rPr>
          <w:rStyle w:val="Emphasis"/>
          <w:lang w:val="en-AU"/>
        </w:rPr>
        <w:t xml:space="preserve"> for</w:t>
      </w:r>
      <w:r w:rsidRPr="0057535D">
        <w:rPr>
          <w:rStyle w:val="Emphasis"/>
          <w:lang w:val="en-AU"/>
        </w:rPr>
        <w:t>:</w:t>
      </w:r>
    </w:p>
    <w:p w:rsidR="00515D9C" w:rsidRPr="0057535D" w:rsidRDefault="00350361" w:rsidP="006256FA">
      <w:pPr>
        <w:pStyle w:val="btbullet"/>
        <w:rPr>
          <w:rStyle w:val="Emphasis"/>
          <w:lang w:val="en-AU"/>
        </w:rPr>
      </w:pPr>
      <w:r w:rsidRPr="0057535D">
        <w:rPr>
          <w:rStyle w:val="Emphasis"/>
          <w:lang w:val="en-AU"/>
        </w:rPr>
        <w:t>its produce and innovation</w:t>
      </w:r>
      <w:r w:rsidR="00243C23" w:rsidRPr="0057535D">
        <w:rPr>
          <w:rStyle w:val="Emphasis"/>
          <w:lang w:val="en-AU"/>
        </w:rPr>
        <w:t xml:space="preserve"> in areas such as renewable energy</w:t>
      </w:r>
    </w:p>
    <w:p w:rsidR="00515D9C" w:rsidRPr="0057535D" w:rsidRDefault="00350361" w:rsidP="00731D63">
      <w:pPr>
        <w:pStyle w:val="btbullet"/>
        <w:rPr>
          <w:rStyle w:val="Emphasis"/>
          <w:lang w:val="en-AU"/>
        </w:rPr>
      </w:pPr>
      <w:r w:rsidRPr="0057535D">
        <w:rPr>
          <w:rStyle w:val="Emphasis"/>
          <w:lang w:val="en-AU"/>
        </w:rPr>
        <w:t xml:space="preserve">custodianship of distinctive </w:t>
      </w:r>
      <w:r w:rsidR="001A0464" w:rsidRPr="0057535D">
        <w:rPr>
          <w:rStyle w:val="Emphasis"/>
          <w:lang w:val="en-AU"/>
        </w:rPr>
        <w:t>environmental</w:t>
      </w:r>
      <w:r w:rsidRPr="0057535D">
        <w:rPr>
          <w:rStyle w:val="Emphasis"/>
          <w:lang w:val="en-AU"/>
        </w:rPr>
        <w:t xml:space="preserve"> and cultural heritage assets</w:t>
      </w:r>
    </w:p>
    <w:p w:rsidR="00D156F9" w:rsidRPr="00B5716C" w:rsidRDefault="00243C23" w:rsidP="00B5716C">
      <w:pPr>
        <w:pStyle w:val="btbullet"/>
        <w:rPr>
          <w:rStyle w:val="Emphasis"/>
          <w:lang w:val="en-AU"/>
        </w:rPr>
      </w:pPr>
      <w:proofErr w:type="gramStart"/>
      <w:r w:rsidRPr="0057535D">
        <w:rPr>
          <w:rStyle w:val="Emphasis"/>
          <w:lang w:val="en-AU"/>
        </w:rPr>
        <w:t>being</w:t>
      </w:r>
      <w:proofErr w:type="gramEnd"/>
      <w:r w:rsidR="00350361" w:rsidRPr="0057535D">
        <w:rPr>
          <w:rStyle w:val="Emphasis"/>
          <w:lang w:val="en-AU"/>
        </w:rPr>
        <w:t xml:space="preserve"> a key contributor to national pride in a healthy, iconic and celebrated Murray River.</w:t>
      </w:r>
    </w:p>
    <w:p w:rsidR="00C507C7" w:rsidRPr="0057535D" w:rsidRDefault="00C507C7" w:rsidP="00FF2BCB">
      <w:pPr>
        <w:pStyle w:val="Heading11"/>
      </w:pPr>
      <w:bookmarkStart w:id="44" w:name="_Toc358363393"/>
      <w:bookmarkStart w:id="45" w:name="_Toc358363673"/>
      <w:bookmarkStart w:id="46" w:name="_Toc358363394"/>
      <w:bookmarkStart w:id="47" w:name="_Toc358363674"/>
      <w:bookmarkStart w:id="48" w:name="_Toc358363395"/>
      <w:bookmarkStart w:id="49" w:name="_Toc358363675"/>
      <w:bookmarkStart w:id="50" w:name="_Toc336871218"/>
      <w:bookmarkStart w:id="51" w:name="_Toc377031451"/>
      <w:bookmarkEnd w:id="44"/>
      <w:bookmarkEnd w:id="45"/>
      <w:bookmarkEnd w:id="46"/>
      <w:bookmarkEnd w:id="47"/>
      <w:bookmarkEnd w:id="48"/>
      <w:bookmarkEnd w:id="49"/>
      <w:r w:rsidRPr="0057535D">
        <w:t xml:space="preserve">Principles to </w:t>
      </w:r>
      <w:r w:rsidR="00B11877" w:rsidRPr="0057535D">
        <w:t>a</w:t>
      </w:r>
      <w:r w:rsidRPr="0057535D">
        <w:t xml:space="preserve">chieve the </w:t>
      </w:r>
      <w:r w:rsidR="00D42042" w:rsidRPr="0057535D">
        <w:t>v</w:t>
      </w:r>
      <w:r w:rsidRPr="0057535D">
        <w:t>ision</w:t>
      </w:r>
      <w:bookmarkEnd w:id="50"/>
      <w:bookmarkEnd w:id="51"/>
    </w:p>
    <w:p w:rsidR="000C20CD" w:rsidRPr="0057535D" w:rsidRDefault="000C20CD" w:rsidP="006256FA">
      <w:pPr>
        <w:pStyle w:val="Heading5"/>
        <w:rPr>
          <w:rStyle w:val="Strong"/>
          <w:lang w:val="en-AU"/>
        </w:rPr>
      </w:pPr>
      <w:r w:rsidRPr="0057535D">
        <w:rPr>
          <w:rStyle w:val="Strong"/>
          <w:lang w:val="en-AU"/>
        </w:rPr>
        <w:t>Theme: Regional economy</w:t>
      </w:r>
    </w:p>
    <w:p w:rsidR="000C20CD" w:rsidRPr="0057535D" w:rsidRDefault="000C20CD" w:rsidP="00A738FF">
      <w:pPr>
        <w:pStyle w:val="bt"/>
        <w:spacing w:before="120" w:after="120"/>
        <w:rPr>
          <w:rStyle w:val="Strong"/>
          <w:lang w:val="en-AU"/>
        </w:rPr>
      </w:pPr>
      <w:r w:rsidRPr="0057535D">
        <w:rPr>
          <w:rStyle w:val="Strong"/>
          <w:lang w:val="en-AU"/>
        </w:rPr>
        <w:t xml:space="preserve">Principles for growth: </w:t>
      </w:r>
    </w:p>
    <w:p w:rsidR="000C20CD" w:rsidRPr="0057535D" w:rsidRDefault="000C20CD" w:rsidP="000C20CD">
      <w:pPr>
        <w:pStyle w:val="ListNumber"/>
        <w:numPr>
          <w:ilvl w:val="0"/>
          <w:numId w:val="35"/>
        </w:numPr>
        <w:rPr>
          <w:rStyle w:val="Strong"/>
          <w:lang w:val="en-AU"/>
        </w:rPr>
      </w:pPr>
      <w:r w:rsidRPr="0057535D">
        <w:rPr>
          <w:rStyle w:val="Strong"/>
          <w:lang w:val="en-AU"/>
        </w:rPr>
        <w:t>Align population and economic growth</w:t>
      </w:r>
    </w:p>
    <w:p w:rsidR="000C20CD" w:rsidRPr="0057535D" w:rsidRDefault="000C20CD" w:rsidP="000C20CD">
      <w:pPr>
        <w:pStyle w:val="btbullet"/>
        <w:rPr>
          <w:rStyle w:val="Strong"/>
          <w:lang w:val="en-AU"/>
        </w:rPr>
      </w:pPr>
      <w:r w:rsidRPr="0057535D">
        <w:rPr>
          <w:lang w:val="en-AU"/>
        </w:rPr>
        <w:t>Sustainable growth is encouraged to enhance the economic growth and development of the integrated network of settlements</w:t>
      </w:r>
    </w:p>
    <w:p w:rsidR="000C20CD" w:rsidRPr="0057535D" w:rsidRDefault="000C20CD" w:rsidP="00A738FF">
      <w:pPr>
        <w:pStyle w:val="bt"/>
        <w:spacing w:before="120" w:after="120"/>
        <w:rPr>
          <w:rStyle w:val="Strong"/>
          <w:lang w:val="en-AU"/>
        </w:rPr>
      </w:pPr>
      <w:r w:rsidRPr="0057535D">
        <w:rPr>
          <w:rStyle w:val="Strong"/>
          <w:lang w:val="en-AU"/>
        </w:rPr>
        <w:t>Future directions</w:t>
      </w:r>
      <w:r w:rsidR="008C57E1">
        <w:rPr>
          <w:rStyle w:val="Strong"/>
          <w:lang w:val="en-AU"/>
        </w:rPr>
        <w:t>:</w:t>
      </w:r>
    </w:p>
    <w:p w:rsidR="00F20841" w:rsidRPr="0057535D" w:rsidRDefault="00F20841" w:rsidP="00992FA7">
      <w:pPr>
        <w:pStyle w:val="btbullet"/>
        <w:rPr>
          <w:lang w:val="en-AU"/>
        </w:rPr>
      </w:pPr>
      <w:r w:rsidRPr="0057535D">
        <w:rPr>
          <w:lang w:val="en-AU"/>
        </w:rPr>
        <w:t>Facilitate vibrant and prosperous commercial centres and industrial hubs</w:t>
      </w:r>
    </w:p>
    <w:p w:rsidR="000C20CD" w:rsidRPr="0057535D" w:rsidRDefault="000C20CD" w:rsidP="000C20CD">
      <w:pPr>
        <w:pStyle w:val="bt"/>
        <w:spacing w:before="120" w:after="120"/>
        <w:rPr>
          <w:rStyle w:val="Strong"/>
          <w:lang w:val="en-AU"/>
        </w:rPr>
      </w:pPr>
      <w:r w:rsidRPr="0057535D">
        <w:rPr>
          <w:rStyle w:val="Strong"/>
          <w:lang w:val="en-AU"/>
        </w:rPr>
        <w:t xml:space="preserve">Principles for growth: </w:t>
      </w:r>
    </w:p>
    <w:p w:rsidR="004D3495" w:rsidRPr="0057535D" w:rsidRDefault="004D3495" w:rsidP="004D3495">
      <w:pPr>
        <w:pStyle w:val="ListNumber"/>
        <w:rPr>
          <w:rStyle w:val="Strong"/>
          <w:lang w:val="en-AU"/>
        </w:rPr>
      </w:pPr>
      <w:r w:rsidRPr="0057535D">
        <w:rPr>
          <w:rStyle w:val="Strong"/>
          <w:lang w:val="en-AU"/>
        </w:rPr>
        <w:lastRenderedPageBreak/>
        <w:t>Realise opportunities to strengthen and diversify the regional economy</w:t>
      </w:r>
    </w:p>
    <w:p w:rsidR="004D3495" w:rsidRPr="0057535D" w:rsidRDefault="004D3495" w:rsidP="004D3495">
      <w:pPr>
        <w:pStyle w:val="btbullet"/>
        <w:rPr>
          <w:rStyle w:val="Strong"/>
          <w:lang w:val="en-AU"/>
        </w:rPr>
      </w:pPr>
      <w:r w:rsidRPr="0057535D">
        <w:rPr>
          <w:lang w:val="en-AU"/>
        </w:rPr>
        <w:t>Facilitate strategic opportunities for the growth of the region’s economic base, including agricultural diversification, tourism and new industries</w:t>
      </w:r>
    </w:p>
    <w:p w:rsidR="000C20CD" w:rsidRPr="0057535D" w:rsidRDefault="000C20CD" w:rsidP="000C20CD">
      <w:pPr>
        <w:pStyle w:val="bt"/>
        <w:spacing w:before="120" w:after="120"/>
        <w:rPr>
          <w:rStyle w:val="Strong"/>
          <w:lang w:val="en-AU"/>
        </w:rPr>
      </w:pPr>
      <w:r w:rsidRPr="0057535D">
        <w:rPr>
          <w:rStyle w:val="Strong"/>
          <w:lang w:val="en-AU"/>
        </w:rPr>
        <w:t>Future directions</w:t>
      </w:r>
      <w:r w:rsidR="008C57E1">
        <w:rPr>
          <w:rStyle w:val="Strong"/>
          <w:lang w:val="en-AU"/>
        </w:rPr>
        <w:t>:</w:t>
      </w:r>
    </w:p>
    <w:p w:rsidR="00CF2FF9" w:rsidRPr="0057535D" w:rsidRDefault="00CF2FF9" w:rsidP="00CF2FF9">
      <w:pPr>
        <w:pStyle w:val="btbullet"/>
        <w:rPr>
          <w:lang w:val="en-AU"/>
        </w:rPr>
      </w:pPr>
      <w:r w:rsidRPr="0057535D">
        <w:rPr>
          <w:lang w:val="en-AU"/>
        </w:rPr>
        <w:t>Further diversify the primary production, service</w:t>
      </w:r>
      <w:r w:rsidR="00791004" w:rsidRPr="0057535D">
        <w:rPr>
          <w:lang w:val="en-AU"/>
        </w:rPr>
        <w:t>,</w:t>
      </w:r>
      <w:r w:rsidRPr="0057535D">
        <w:rPr>
          <w:lang w:val="en-AU"/>
        </w:rPr>
        <w:t xml:space="preserve"> manufacturing</w:t>
      </w:r>
      <w:r w:rsidR="00294339" w:rsidRPr="0057535D">
        <w:rPr>
          <w:lang w:val="en-AU"/>
        </w:rPr>
        <w:t xml:space="preserve"> and tourism</w:t>
      </w:r>
      <w:r w:rsidRPr="0057535D">
        <w:rPr>
          <w:lang w:val="en-AU"/>
        </w:rPr>
        <w:t xml:space="preserve"> industries</w:t>
      </w:r>
    </w:p>
    <w:p w:rsidR="000C20CD" w:rsidRPr="0057535D" w:rsidRDefault="000C20CD" w:rsidP="000C20CD">
      <w:pPr>
        <w:pStyle w:val="bt"/>
        <w:spacing w:before="120" w:after="120"/>
        <w:rPr>
          <w:rStyle w:val="Strong"/>
          <w:lang w:val="en-AU"/>
        </w:rPr>
      </w:pPr>
      <w:r w:rsidRPr="0057535D">
        <w:rPr>
          <w:rStyle w:val="Strong"/>
          <w:lang w:val="en-AU"/>
        </w:rPr>
        <w:t xml:space="preserve">Principles for growth: </w:t>
      </w:r>
    </w:p>
    <w:p w:rsidR="00A862A9" w:rsidRPr="0057535D" w:rsidRDefault="00A862A9" w:rsidP="00A862A9">
      <w:pPr>
        <w:pStyle w:val="ListNumber"/>
        <w:rPr>
          <w:rStyle w:val="Strong"/>
          <w:lang w:val="en-AU"/>
        </w:rPr>
      </w:pPr>
      <w:r w:rsidRPr="0057535D">
        <w:rPr>
          <w:rStyle w:val="Strong"/>
          <w:lang w:val="en-AU"/>
        </w:rPr>
        <w:t>Support and manage our rural landscapes</w:t>
      </w:r>
    </w:p>
    <w:p w:rsidR="00A862A9" w:rsidRPr="0057535D" w:rsidRDefault="00A862A9" w:rsidP="00A862A9">
      <w:pPr>
        <w:pStyle w:val="btbullet"/>
        <w:rPr>
          <w:lang w:val="en-AU"/>
        </w:rPr>
      </w:pPr>
      <w:r w:rsidRPr="0057535D">
        <w:rPr>
          <w:lang w:val="en-AU"/>
        </w:rPr>
        <w:t>Strengthen farming and food production areas and optimise opportunities for economic growth and development of new industries</w:t>
      </w:r>
    </w:p>
    <w:p w:rsidR="00A862A9" w:rsidRPr="0057535D" w:rsidRDefault="00A862A9" w:rsidP="00A862A9">
      <w:pPr>
        <w:pStyle w:val="btbullet"/>
        <w:rPr>
          <w:rStyle w:val="Strong"/>
          <w:lang w:val="en-AU"/>
        </w:rPr>
      </w:pPr>
      <w:r w:rsidRPr="0057535D">
        <w:rPr>
          <w:lang w:val="en-AU"/>
        </w:rPr>
        <w:t>Protect water resources and irrigation infrastructure to sustain growth for urban and rural areas</w:t>
      </w:r>
    </w:p>
    <w:p w:rsidR="000C20CD" w:rsidRPr="0057535D" w:rsidRDefault="000C20CD" w:rsidP="000C20CD">
      <w:pPr>
        <w:pStyle w:val="bt"/>
        <w:spacing w:before="120" w:after="120"/>
        <w:rPr>
          <w:rStyle w:val="Strong"/>
          <w:lang w:val="en-AU"/>
        </w:rPr>
      </w:pPr>
      <w:r w:rsidRPr="0057535D">
        <w:rPr>
          <w:rStyle w:val="Strong"/>
          <w:lang w:val="en-AU"/>
        </w:rPr>
        <w:t>Future directions</w:t>
      </w:r>
      <w:r w:rsidR="008C57E1">
        <w:rPr>
          <w:rStyle w:val="Strong"/>
          <w:lang w:val="en-AU"/>
        </w:rPr>
        <w:t>:</w:t>
      </w:r>
    </w:p>
    <w:p w:rsidR="00717784" w:rsidRPr="0057535D" w:rsidRDefault="00717784" w:rsidP="00717784">
      <w:pPr>
        <w:pStyle w:val="btbullet"/>
        <w:rPr>
          <w:lang w:val="en-AU"/>
        </w:rPr>
      </w:pPr>
      <w:r w:rsidRPr="0057535D">
        <w:rPr>
          <w:lang w:val="en-AU"/>
        </w:rPr>
        <w:t>Protect key regional assets</w:t>
      </w:r>
    </w:p>
    <w:p w:rsidR="00717784" w:rsidRPr="0057535D" w:rsidRDefault="00717784" w:rsidP="00717784">
      <w:pPr>
        <w:pStyle w:val="btbullet"/>
        <w:rPr>
          <w:lang w:val="en-AU"/>
        </w:rPr>
      </w:pPr>
      <w:r w:rsidRPr="0057535D">
        <w:rPr>
          <w:lang w:val="en-AU"/>
        </w:rPr>
        <w:t xml:space="preserve">Maximise the local and regional benefits of emerging economic opportunities </w:t>
      </w:r>
    </w:p>
    <w:p w:rsidR="004B7F41" w:rsidRPr="0057535D" w:rsidRDefault="004B7F41" w:rsidP="006256FA">
      <w:pPr>
        <w:pStyle w:val="Heading5"/>
        <w:rPr>
          <w:rStyle w:val="Strong"/>
          <w:lang w:val="en-AU"/>
        </w:rPr>
      </w:pPr>
      <w:r w:rsidRPr="0057535D">
        <w:rPr>
          <w:rStyle w:val="Strong"/>
          <w:lang w:val="en-AU"/>
        </w:rPr>
        <w:t>Theme: Environment and heritage</w:t>
      </w:r>
    </w:p>
    <w:p w:rsidR="004B7F41" w:rsidRPr="0057535D" w:rsidRDefault="004B7F41" w:rsidP="004B7F41">
      <w:pPr>
        <w:pStyle w:val="bt"/>
        <w:spacing w:before="120" w:after="120"/>
        <w:rPr>
          <w:rStyle w:val="Strong"/>
          <w:lang w:val="en-AU"/>
        </w:rPr>
      </w:pPr>
      <w:r w:rsidRPr="0057535D">
        <w:rPr>
          <w:rStyle w:val="Strong"/>
          <w:lang w:val="en-AU"/>
        </w:rPr>
        <w:t xml:space="preserve">Principles for growth: </w:t>
      </w:r>
    </w:p>
    <w:p w:rsidR="00932A3A" w:rsidRPr="0057535D" w:rsidRDefault="00932A3A" w:rsidP="00932A3A">
      <w:pPr>
        <w:pStyle w:val="ListNumber"/>
        <w:rPr>
          <w:rStyle w:val="Strong"/>
          <w:lang w:val="en-AU"/>
        </w:rPr>
      </w:pPr>
      <w:r w:rsidRPr="0057535D">
        <w:rPr>
          <w:rStyle w:val="Strong"/>
          <w:lang w:val="en-AU"/>
        </w:rPr>
        <w:t xml:space="preserve">Be custodians of the region’s environmental and cultural heritage assets and minimise its exposure to natural hazards </w:t>
      </w:r>
    </w:p>
    <w:p w:rsidR="00932A3A" w:rsidRPr="0057535D" w:rsidRDefault="00932A3A" w:rsidP="00932A3A">
      <w:pPr>
        <w:pStyle w:val="btbullet"/>
        <w:rPr>
          <w:lang w:val="en-AU"/>
        </w:rPr>
      </w:pPr>
      <w:r w:rsidRPr="0057535D">
        <w:rPr>
          <w:lang w:val="en-AU"/>
        </w:rPr>
        <w:t>Settlement growth and development will occur in sympathy with environmental and cultural heritage assets</w:t>
      </w:r>
    </w:p>
    <w:p w:rsidR="00932A3A" w:rsidRPr="0057535D" w:rsidRDefault="00932A3A" w:rsidP="00932A3A">
      <w:pPr>
        <w:pStyle w:val="btbullet"/>
        <w:spacing w:before="120" w:after="120"/>
        <w:rPr>
          <w:b/>
          <w:bCs/>
          <w:lang w:val="en-AU"/>
        </w:rPr>
      </w:pPr>
      <w:r w:rsidRPr="0057535D">
        <w:rPr>
          <w:lang w:val="en-AU"/>
        </w:rPr>
        <w:t>Celebrate the contribution of the environmental assets to the regional economy, liveability and attraction for visitors</w:t>
      </w:r>
    </w:p>
    <w:p w:rsidR="00932A3A" w:rsidRPr="0057535D" w:rsidRDefault="00932A3A" w:rsidP="00932A3A">
      <w:pPr>
        <w:pStyle w:val="btbullet"/>
        <w:spacing w:before="120" w:after="120"/>
        <w:rPr>
          <w:rStyle w:val="Strong"/>
          <w:lang w:val="en-AU"/>
        </w:rPr>
      </w:pPr>
      <w:r w:rsidRPr="0057535D">
        <w:rPr>
          <w:lang w:val="en-AU"/>
        </w:rPr>
        <w:t>Minimise exposure of settlements to natural hazards</w:t>
      </w:r>
    </w:p>
    <w:p w:rsidR="004B7F41" w:rsidRPr="0057535D" w:rsidRDefault="004B7F41" w:rsidP="004B7F41">
      <w:pPr>
        <w:pStyle w:val="bt"/>
        <w:spacing w:before="120" w:after="120"/>
        <w:rPr>
          <w:rStyle w:val="Strong"/>
          <w:lang w:val="en-AU"/>
        </w:rPr>
      </w:pPr>
      <w:r w:rsidRPr="0057535D">
        <w:rPr>
          <w:rStyle w:val="Strong"/>
          <w:lang w:val="en-AU"/>
        </w:rPr>
        <w:t>Future directions</w:t>
      </w:r>
      <w:r w:rsidR="00BF2737">
        <w:rPr>
          <w:rStyle w:val="Strong"/>
          <w:lang w:val="en-AU"/>
        </w:rPr>
        <w:t>:</w:t>
      </w:r>
    </w:p>
    <w:p w:rsidR="00932A3A" w:rsidRPr="00992FA7" w:rsidRDefault="00932A3A" w:rsidP="00992FA7">
      <w:pPr>
        <w:pStyle w:val="btbullet"/>
        <w:rPr>
          <w:rStyle w:val="Strong"/>
          <w:b w:val="0"/>
          <w:bCs w:val="0"/>
        </w:rPr>
      </w:pPr>
      <w:r w:rsidRPr="00992FA7">
        <w:rPr>
          <w:rStyle w:val="Strong"/>
          <w:b w:val="0"/>
          <w:bCs w:val="0"/>
        </w:rPr>
        <w:t>Manage risks to growth from natural hazards</w:t>
      </w:r>
    </w:p>
    <w:p w:rsidR="00932A3A" w:rsidRPr="00992FA7" w:rsidRDefault="00932A3A" w:rsidP="00992FA7">
      <w:pPr>
        <w:pStyle w:val="btbullet"/>
        <w:rPr>
          <w:rStyle w:val="Strong"/>
          <w:b w:val="0"/>
          <w:bCs w:val="0"/>
        </w:rPr>
      </w:pPr>
      <w:r w:rsidRPr="00992FA7">
        <w:rPr>
          <w:rStyle w:val="Strong"/>
          <w:b w:val="0"/>
          <w:bCs w:val="0"/>
        </w:rPr>
        <w:t>Protect and improve the condition of environmental and cultural heritage assets</w:t>
      </w:r>
    </w:p>
    <w:p w:rsidR="00D156F9" w:rsidRDefault="00932A3A">
      <w:pPr>
        <w:pStyle w:val="btbullet"/>
        <w:numPr>
          <w:ilvl w:val="0"/>
          <w:numId w:val="44"/>
        </w:numPr>
        <w:spacing w:before="120" w:after="120"/>
        <w:rPr>
          <w:lang w:val="en-AU"/>
        </w:rPr>
      </w:pPr>
      <w:r w:rsidRPr="00992FA7">
        <w:t>Plan for and manage risks and opportunities arising from climate change and</w:t>
      </w:r>
      <w:r w:rsidR="002C1AC7" w:rsidRPr="00992FA7">
        <w:t xml:space="preserve"> initiatives that support</w:t>
      </w:r>
      <w:r w:rsidR="002C1AC7" w:rsidRPr="0057535D">
        <w:rPr>
          <w:lang w:val="en-AU"/>
        </w:rPr>
        <w:t xml:space="preserve"> national and global action to reduce greenhouse gas emissions</w:t>
      </w:r>
    </w:p>
    <w:p w:rsidR="004B7F41" w:rsidRPr="0057535D" w:rsidRDefault="00511F93" w:rsidP="006256FA">
      <w:pPr>
        <w:pStyle w:val="Heading5"/>
        <w:rPr>
          <w:rStyle w:val="Strong"/>
          <w:lang w:val="en-AU"/>
        </w:rPr>
      </w:pPr>
      <w:r w:rsidRPr="0057535D">
        <w:rPr>
          <w:rStyle w:val="Strong"/>
          <w:lang w:val="en-AU"/>
        </w:rPr>
        <w:t>Theme: Living in the region</w:t>
      </w:r>
    </w:p>
    <w:p w:rsidR="004B7F41" w:rsidRPr="0057535D" w:rsidRDefault="00511F93" w:rsidP="004B7F41">
      <w:pPr>
        <w:pStyle w:val="bt"/>
        <w:spacing w:before="120" w:after="120"/>
        <w:rPr>
          <w:rStyle w:val="Strong"/>
          <w:lang w:val="en-AU"/>
        </w:rPr>
      </w:pPr>
      <w:r w:rsidRPr="0057535D">
        <w:rPr>
          <w:rStyle w:val="Strong"/>
          <w:lang w:val="en-AU"/>
        </w:rPr>
        <w:t xml:space="preserve">Principles for growth: </w:t>
      </w:r>
    </w:p>
    <w:p w:rsidR="00932A3A" w:rsidRPr="006E79B3" w:rsidRDefault="00630587" w:rsidP="00932A3A">
      <w:pPr>
        <w:pStyle w:val="ListNumber"/>
        <w:rPr>
          <w:rStyle w:val="Strong"/>
          <w:lang w:val="en-AU"/>
        </w:rPr>
      </w:pPr>
      <w:r w:rsidRPr="006E79B3">
        <w:rPr>
          <w:rStyle w:val="Strong"/>
          <w:bCs w:val="0"/>
          <w:lang w:val="en-AU"/>
        </w:rPr>
        <w:t>Protect and provide loc</w:t>
      </w:r>
      <w:r w:rsidR="00932A3A" w:rsidRPr="006E79B3">
        <w:rPr>
          <w:rStyle w:val="Strong"/>
          <w:lang w:val="en-AU"/>
        </w:rPr>
        <w:t>al sense of place</w:t>
      </w:r>
    </w:p>
    <w:p w:rsidR="00932A3A" w:rsidRPr="0057535D" w:rsidRDefault="00932A3A" w:rsidP="00932A3A">
      <w:pPr>
        <w:pStyle w:val="btbullet"/>
        <w:rPr>
          <w:rStyle w:val="Strong"/>
          <w:b w:val="0"/>
          <w:bCs w:val="0"/>
          <w:lang w:val="en-AU"/>
        </w:rPr>
      </w:pPr>
      <w:r w:rsidRPr="0057535D">
        <w:rPr>
          <w:lang w:val="en-AU"/>
        </w:rPr>
        <w:t>Enhance localities by retaining distinct urban areas</w:t>
      </w:r>
    </w:p>
    <w:p w:rsidR="004B7F41" w:rsidRPr="0057535D" w:rsidRDefault="004B7F41" w:rsidP="004B7F41">
      <w:pPr>
        <w:pStyle w:val="bt"/>
        <w:spacing w:before="120" w:after="120"/>
        <w:rPr>
          <w:rStyle w:val="Strong"/>
          <w:lang w:val="en-AU"/>
        </w:rPr>
      </w:pPr>
      <w:r w:rsidRPr="0057535D">
        <w:rPr>
          <w:rStyle w:val="Strong"/>
          <w:lang w:val="en-AU"/>
        </w:rPr>
        <w:t>Future directions</w:t>
      </w:r>
      <w:r w:rsidR="00BF2737">
        <w:rPr>
          <w:rStyle w:val="Strong"/>
          <w:lang w:val="en-AU"/>
        </w:rPr>
        <w:t>:</w:t>
      </w:r>
    </w:p>
    <w:p w:rsidR="00932A3A" w:rsidRPr="0057535D" w:rsidRDefault="00932A3A" w:rsidP="00932A3A">
      <w:pPr>
        <w:pStyle w:val="btbullet"/>
        <w:rPr>
          <w:rStyle w:val="Strong"/>
          <w:b w:val="0"/>
          <w:bCs w:val="0"/>
          <w:lang w:val="en-AU"/>
        </w:rPr>
      </w:pPr>
      <w:r w:rsidRPr="0057535D">
        <w:rPr>
          <w:lang w:val="en-AU"/>
        </w:rPr>
        <w:t>Direct major population and housing growth to existing regional cities and centres</w:t>
      </w:r>
    </w:p>
    <w:p w:rsidR="00932A3A" w:rsidRPr="0057535D" w:rsidRDefault="00932A3A" w:rsidP="00932A3A">
      <w:pPr>
        <w:pStyle w:val="bt"/>
        <w:spacing w:before="120" w:after="120"/>
        <w:rPr>
          <w:rStyle w:val="Strong"/>
          <w:lang w:val="en-AU"/>
        </w:rPr>
      </w:pPr>
      <w:r w:rsidRPr="0057535D">
        <w:rPr>
          <w:rStyle w:val="Strong"/>
          <w:lang w:val="en-AU"/>
        </w:rPr>
        <w:t xml:space="preserve">Principles for growth: </w:t>
      </w:r>
    </w:p>
    <w:p w:rsidR="00932A3A" w:rsidRPr="0057535D" w:rsidRDefault="00932A3A" w:rsidP="00932A3A">
      <w:pPr>
        <w:pStyle w:val="ListNumber"/>
        <w:rPr>
          <w:rStyle w:val="Strong"/>
          <w:lang w:val="en-AU"/>
        </w:rPr>
      </w:pPr>
      <w:r w:rsidRPr="0057535D">
        <w:rPr>
          <w:rStyle w:val="Strong"/>
          <w:lang w:val="en-AU"/>
        </w:rPr>
        <w:t>Develop a living network of towns</w:t>
      </w:r>
    </w:p>
    <w:p w:rsidR="00932A3A" w:rsidRPr="0057535D" w:rsidRDefault="00932A3A" w:rsidP="00932A3A">
      <w:pPr>
        <w:pStyle w:val="btbullet"/>
        <w:rPr>
          <w:lang w:val="en-AU"/>
        </w:rPr>
      </w:pPr>
      <w:r w:rsidRPr="0057535D">
        <w:rPr>
          <w:lang w:val="en-AU"/>
        </w:rPr>
        <w:t>Strategically focus growth and development to maximise economic benefits and leverage Loddon Mallee North’s five communities of interest</w:t>
      </w:r>
    </w:p>
    <w:p w:rsidR="00932A3A" w:rsidRPr="0057535D" w:rsidRDefault="00932A3A" w:rsidP="00932A3A">
      <w:pPr>
        <w:pStyle w:val="btbullet"/>
        <w:rPr>
          <w:rStyle w:val="Strong"/>
          <w:lang w:val="en-AU"/>
        </w:rPr>
      </w:pPr>
      <w:r w:rsidRPr="0057535D">
        <w:rPr>
          <w:lang w:val="en-AU"/>
        </w:rPr>
        <w:t>Support coordinated planning with neighbouring regions and cross-border communities</w:t>
      </w:r>
    </w:p>
    <w:p w:rsidR="00932A3A" w:rsidRPr="0057535D" w:rsidRDefault="00932A3A" w:rsidP="00DE44C5">
      <w:pPr>
        <w:pStyle w:val="bt"/>
        <w:tabs>
          <w:tab w:val="right" w:pos="9026"/>
        </w:tabs>
        <w:spacing w:before="120" w:after="120"/>
        <w:rPr>
          <w:rStyle w:val="Strong"/>
          <w:lang w:val="en-AU"/>
        </w:rPr>
      </w:pPr>
      <w:r w:rsidRPr="0057535D">
        <w:rPr>
          <w:rStyle w:val="Strong"/>
          <w:lang w:val="en-AU"/>
        </w:rPr>
        <w:t>Future directions</w:t>
      </w:r>
      <w:r w:rsidR="006E79B3">
        <w:rPr>
          <w:rStyle w:val="Strong"/>
          <w:lang w:val="en-AU"/>
        </w:rPr>
        <w:t>:</w:t>
      </w:r>
    </w:p>
    <w:p w:rsidR="00932A3A" w:rsidRPr="0057535D" w:rsidRDefault="00932A3A" w:rsidP="00932A3A">
      <w:pPr>
        <w:pStyle w:val="btbullet"/>
        <w:rPr>
          <w:rStyle w:val="Strong"/>
          <w:b w:val="0"/>
          <w:bCs w:val="0"/>
          <w:lang w:val="en-AU"/>
        </w:rPr>
      </w:pPr>
      <w:r w:rsidRPr="0057535D">
        <w:rPr>
          <w:rStyle w:val="Strong"/>
          <w:b w:val="0"/>
          <w:bCs w:val="0"/>
          <w:lang w:val="en-AU"/>
        </w:rPr>
        <w:t>Improve linkages within and between Loddon Mallee North’s five communities of interest</w:t>
      </w:r>
    </w:p>
    <w:p w:rsidR="00932A3A" w:rsidRPr="0057535D" w:rsidRDefault="00932A3A" w:rsidP="00932A3A">
      <w:pPr>
        <w:pStyle w:val="btbullet"/>
        <w:rPr>
          <w:rStyle w:val="Strong"/>
          <w:b w:val="0"/>
          <w:bCs w:val="0"/>
          <w:lang w:val="en-AU"/>
        </w:rPr>
      </w:pPr>
      <w:r w:rsidRPr="0057535D">
        <w:rPr>
          <w:rStyle w:val="Strong"/>
          <w:b w:val="0"/>
          <w:bCs w:val="0"/>
          <w:lang w:val="en-AU"/>
        </w:rPr>
        <w:lastRenderedPageBreak/>
        <w:t>Anticipate and respond to changing community needs</w:t>
      </w:r>
    </w:p>
    <w:p w:rsidR="004B7F41" w:rsidRPr="0057535D" w:rsidRDefault="004B7F41" w:rsidP="006256FA">
      <w:pPr>
        <w:pStyle w:val="Heading5"/>
        <w:rPr>
          <w:rStyle w:val="Strong"/>
          <w:lang w:val="en-AU"/>
        </w:rPr>
      </w:pPr>
      <w:r w:rsidRPr="0057535D">
        <w:rPr>
          <w:rStyle w:val="Strong"/>
          <w:lang w:val="en-AU"/>
        </w:rPr>
        <w:t>Theme: Regional infrastructure</w:t>
      </w:r>
    </w:p>
    <w:p w:rsidR="004B7F41" w:rsidRPr="0057535D" w:rsidRDefault="004B7F41" w:rsidP="004B7F41">
      <w:pPr>
        <w:pStyle w:val="bt"/>
        <w:spacing w:before="120" w:after="120"/>
        <w:rPr>
          <w:rStyle w:val="Strong"/>
          <w:lang w:val="en-AU"/>
        </w:rPr>
      </w:pPr>
      <w:r w:rsidRPr="0057535D">
        <w:rPr>
          <w:rStyle w:val="Strong"/>
          <w:lang w:val="en-AU"/>
        </w:rPr>
        <w:t xml:space="preserve">Principles for growth: </w:t>
      </w:r>
    </w:p>
    <w:p w:rsidR="00076878" w:rsidRPr="0057535D" w:rsidRDefault="00076878" w:rsidP="00076878">
      <w:pPr>
        <w:pStyle w:val="ListNumber"/>
        <w:rPr>
          <w:rStyle w:val="Strong"/>
          <w:lang w:val="en-AU"/>
        </w:rPr>
      </w:pPr>
      <w:r w:rsidRPr="0057535D">
        <w:rPr>
          <w:rStyle w:val="Strong"/>
          <w:lang w:val="en-AU"/>
        </w:rPr>
        <w:t>Enable healthy lifestyles</w:t>
      </w:r>
    </w:p>
    <w:p w:rsidR="004B7F41" w:rsidRPr="0057535D" w:rsidRDefault="004B7F41" w:rsidP="004B7F41">
      <w:pPr>
        <w:pStyle w:val="bt"/>
        <w:spacing w:before="120" w:after="120"/>
        <w:rPr>
          <w:rStyle w:val="Strong"/>
          <w:lang w:val="en-AU"/>
        </w:rPr>
      </w:pPr>
      <w:r w:rsidRPr="0057535D">
        <w:rPr>
          <w:rStyle w:val="Strong"/>
          <w:lang w:val="en-AU"/>
        </w:rPr>
        <w:t>Future directions</w:t>
      </w:r>
      <w:r w:rsidR="008402CD">
        <w:rPr>
          <w:rStyle w:val="Strong"/>
          <w:lang w:val="en-AU"/>
        </w:rPr>
        <w:t>:</w:t>
      </w:r>
    </w:p>
    <w:p w:rsidR="00076878" w:rsidRPr="0057535D" w:rsidRDefault="00076878" w:rsidP="00076878">
      <w:pPr>
        <w:pStyle w:val="btbullet"/>
        <w:rPr>
          <w:rStyle w:val="Strong"/>
          <w:b w:val="0"/>
          <w:bCs w:val="0"/>
          <w:lang w:val="en-AU"/>
        </w:rPr>
      </w:pPr>
      <w:r w:rsidRPr="0057535D">
        <w:rPr>
          <w:lang w:val="en-AU"/>
        </w:rPr>
        <w:t>Support health, education, cultural and supporting facilities to meet local needs</w:t>
      </w:r>
    </w:p>
    <w:p w:rsidR="00076878" w:rsidRPr="0057535D" w:rsidRDefault="00076878" w:rsidP="00076878">
      <w:pPr>
        <w:pStyle w:val="bt"/>
        <w:spacing w:before="120" w:after="120"/>
        <w:rPr>
          <w:rStyle w:val="Strong"/>
          <w:lang w:val="en-AU"/>
        </w:rPr>
      </w:pPr>
      <w:r w:rsidRPr="0057535D">
        <w:rPr>
          <w:rStyle w:val="Strong"/>
          <w:lang w:val="en-AU"/>
        </w:rPr>
        <w:t xml:space="preserve">Principles for growth: </w:t>
      </w:r>
    </w:p>
    <w:p w:rsidR="00076878" w:rsidRPr="0057535D" w:rsidRDefault="00076878" w:rsidP="00076878">
      <w:pPr>
        <w:pStyle w:val="ListNumber"/>
        <w:rPr>
          <w:rStyle w:val="Strong"/>
          <w:lang w:val="en-AU"/>
        </w:rPr>
      </w:pPr>
      <w:r w:rsidRPr="0057535D">
        <w:rPr>
          <w:rStyle w:val="Strong"/>
          <w:lang w:val="en-AU"/>
        </w:rPr>
        <w:t>Strategically retain, renew and build infrastructure to support growth and enable healthy and supportive communities</w:t>
      </w:r>
    </w:p>
    <w:p w:rsidR="00076878" w:rsidRPr="0057535D" w:rsidRDefault="00076878" w:rsidP="00076878">
      <w:pPr>
        <w:pStyle w:val="btbullet"/>
        <w:rPr>
          <w:lang w:val="en-AU"/>
        </w:rPr>
      </w:pPr>
      <w:r w:rsidRPr="0057535D">
        <w:rPr>
          <w:lang w:val="en-AU"/>
        </w:rPr>
        <w:t>Planning for growth is undertaken alongside planning and development of infrastructure to enable economic and settlement growth in strategic locations</w:t>
      </w:r>
    </w:p>
    <w:p w:rsidR="00076878" w:rsidRPr="0057535D" w:rsidRDefault="00076878" w:rsidP="00076878">
      <w:pPr>
        <w:pStyle w:val="btbullet"/>
        <w:rPr>
          <w:rStyle w:val="Strong"/>
          <w:lang w:val="en-AU"/>
        </w:rPr>
      </w:pPr>
      <w:r w:rsidRPr="0057535D">
        <w:rPr>
          <w:lang w:val="en-AU"/>
        </w:rPr>
        <w:t>Plan for rural settlements to address local challenges and opportunities and be adaptable and resilient</w:t>
      </w:r>
    </w:p>
    <w:p w:rsidR="00076878" w:rsidRPr="0057535D" w:rsidRDefault="00076878" w:rsidP="00076878">
      <w:pPr>
        <w:pStyle w:val="bt"/>
        <w:spacing w:before="120" w:after="120"/>
        <w:rPr>
          <w:rStyle w:val="Strong"/>
          <w:lang w:val="en-AU"/>
        </w:rPr>
      </w:pPr>
      <w:r w:rsidRPr="0057535D">
        <w:rPr>
          <w:rStyle w:val="Strong"/>
          <w:lang w:val="en-AU"/>
        </w:rPr>
        <w:t>Future directions</w:t>
      </w:r>
      <w:r w:rsidR="008402CD">
        <w:rPr>
          <w:rStyle w:val="Strong"/>
          <w:lang w:val="en-AU"/>
        </w:rPr>
        <w:t>:</w:t>
      </w:r>
    </w:p>
    <w:p w:rsidR="00076878" w:rsidRPr="008E7F52" w:rsidRDefault="00076878" w:rsidP="008E7F52">
      <w:pPr>
        <w:pStyle w:val="btbullet"/>
        <w:rPr>
          <w:rStyle w:val="Strong"/>
          <w:b w:val="0"/>
          <w:bCs w:val="0"/>
        </w:rPr>
      </w:pPr>
      <w:r w:rsidRPr="008E7F52">
        <w:rPr>
          <w:rStyle w:val="Strong"/>
          <w:b w:val="0"/>
          <w:bCs w:val="0"/>
        </w:rPr>
        <w:t>Provide access to gas, electricity, drainage, water, waste, sewerage and telecommunications infrastructure</w:t>
      </w:r>
    </w:p>
    <w:p w:rsidR="008B12C6" w:rsidRPr="008E7F52" w:rsidRDefault="00076878" w:rsidP="008E7F52">
      <w:pPr>
        <w:pStyle w:val="btbullet"/>
        <w:rPr>
          <w:rStyle w:val="Strong"/>
          <w:b w:val="0"/>
          <w:bCs w:val="0"/>
        </w:rPr>
      </w:pPr>
      <w:r w:rsidRPr="008E7F52">
        <w:rPr>
          <w:rStyle w:val="Strong"/>
          <w:b w:val="0"/>
          <w:bCs w:val="0"/>
        </w:rPr>
        <w:t>Support road and rail improvements</w:t>
      </w:r>
    </w:p>
    <w:p w:rsidR="009F0010" w:rsidRPr="0057535D" w:rsidRDefault="009F0010" w:rsidP="004C5EB4">
      <w:pPr>
        <w:pStyle w:val="btbullet"/>
        <w:numPr>
          <w:ilvl w:val="0"/>
          <w:numId w:val="0"/>
        </w:numPr>
        <w:ind w:left="720"/>
        <w:rPr>
          <w:rStyle w:val="Strong"/>
          <w:b w:val="0"/>
          <w:bCs w:val="0"/>
          <w:lang w:val="en-AU"/>
        </w:rPr>
        <w:sectPr w:rsidR="009F0010" w:rsidRPr="0057535D" w:rsidSect="00DE44C5">
          <w:headerReference w:type="default" r:id="rId24"/>
          <w:pgSz w:w="11906" w:h="16838"/>
          <w:pgMar w:top="1440" w:right="1440" w:bottom="993" w:left="1440" w:header="708" w:footer="708" w:gutter="0"/>
          <w:cols w:space="708"/>
          <w:docGrid w:linePitch="360"/>
        </w:sectPr>
      </w:pPr>
    </w:p>
    <w:p w:rsidR="00A00E44" w:rsidRPr="00FF6F18" w:rsidRDefault="00A00E44" w:rsidP="00347423">
      <w:pPr>
        <w:pStyle w:val="Heading1"/>
      </w:pPr>
      <w:bookmarkStart w:id="52" w:name="_Toc336871219"/>
      <w:bookmarkStart w:id="53" w:name="_Toc377031452"/>
      <w:r w:rsidRPr="00FF6F18">
        <w:lastRenderedPageBreak/>
        <w:t>PART C</w:t>
      </w:r>
      <w:r w:rsidR="00A61BAF">
        <w:t>:</w:t>
      </w:r>
      <w:r w:rsidRPr="00FF6F18">
        <w:tab/>
        <w:t>T</w:t>
      </w:r>
      <w:r w:rsidR="009B6188" w:rsidRPr="00FF6F18">
        <w:t>OWARDS</w:t>
      </w:r>
      <w:r w:rsidRPr="00FF6F18">
        <w:t xml:space="preserve"> </w:t>
      </w:r>
      <w:r w:rsidR="009B6188" w:rsidRPr="00FF6F18">
        <w:t>THE</w:t>
      </w:r>
      <w:r w:rsidRPr="00FF6F18">
        <w:t xml:space="preserve"> R</w:t>
      </w:r>
      <w:r w:rsidR="009B6188" w:rsidRPr="00FF6F18">
        <w:t>EGIONAL</w:t>
      </w:r>
      <w:r w:rsidRPr="00FF6F18">
        <w:t xml:space="preserve"> G</w:t>
      </w:r>
      <w:r w:rsidR="009B6188" w:rsidRPr="00FF6F18">
        <w:t>ROWTH</w:t>
      </w:r>
      <w:r w:rsidRPr="00FF6F18">
        <w:t xml:space="preserve"> P</w:t>
      </w:r>
      <w:r w:rsidR="009B6188" w:rsidRPr="00FF6F18">
        <w:t>LAN</w:t>
      </w:r>
      <w:r w:rsidRPr="00FF6F18">
        <w:t xml:space="preserve"> –R</w:t>
      </w:r>
      <w:r w:rsidR="009B6188" w:rsidRPr="00FF6F18">
        <w:t>EGIONAL</w:t>
      </w:r>
      <w:r w:rsidRPr="00FF6F18">
        <w:t xml:space="preserve"> L</w:t>
      </w:r>
      <w:r w:rsidR="009B6188" w:rsidRPr="00FF6F18">
        <w:t>AND</w:t>
      </w:r>
      <w:r w:rsidRPr="00FF6F18">
        <w:t xml:space="preserve"> U</w:t>
      </w:r>
      <w:r w:rsidR="009B6188" w:rsidRPr="00FF6F18">
        <w:t>SE</w:t>
      </w:r>
      <w:r w:rsidRPr="00FF6F18">
        <w:t xml:space="preserve"> F</w:t>
      </w:r>
      <w:bookmarkEnd w:id="52"/>
      <w:r w:rsidR="009B6188" w:rsidRPr="00FF6F18">
        <w:t>RAMEWORK</w:t>
      </w:r>
      <w:bookmarkEnd w:id="53"/>
    </w:p>
    <w:p w:rsidR="00A00E44" w:rsidRPr="0057535D" w:rsidRDefault="00A00E44" w:rsidP="00FF2BCB">
      <w:pPr>
        <w:pStyle w:val="Heading11"/>
      </w:pPr>
      <w:bookmarkStart w:id="54" w:name="_Toc336871220"/>
      <w:bookmarkStart w:id="55" w:name="_Toc377031453"/>
      <w:r w:rsidRPr="0057535D">
        <w:t xml:space="preserve">Regional </w:t>
      </w:r>
      <w:r w:rsidR="00B11877" w:rsidRPr="0057535D">
        <w:t>e</w:t>
      </w:r>
      <w:r w:rsidRPr="0057535D">
        <w:t>conomy</w:t>
      </w:r>
      <w:bookmarkEnd w:id="54"/>
      <w:bookmarkEnd w:id="55"/>
    </w:p>
    <w:p w:rsidR="00482505" w:rsidRPr="0057535D" w:rsidRDefault="00482505" w:rsidP="00187E04">
      <w:pPr>
        <w:pStyle w:val="Heading3"/>
        <w:rPr>
          <w:lang w:val="en-AU"/>
        </w:rPr>
      </w:pPr>
      <w:r w:rsidRPr="0057535D">
        <w:rPr>
          <w:lang w:val="en-AU"/>
        </w:rPr>
        <w:t>Future directions</w:t>
      </w:r>
    </w:p>
    <w:p w:rsidR="00482505" w:rsidRPr="0057535D" w:rsidRDefault="00482505" w:rsidP="00482505">
      <w:pPr>
        <w:pStyle w:val="btbullet"/>
        <w:rPr>
          <w:lang w:val="en-AU"/>
        </w:rPr>
      </w:pPr>
      <w:r w:rsidRPr="0057535D">
        <w:rPr>
          <w:lang w:val="en-AU"/>
        </w:rPr>
        <w:t>Facilitate vibrant and prosperous commercial centres and industrial hubs in the region’s major ur</w:t>
      </w:r>
      <w:r w:rsidR="006206CA" w:rsidRPr="0057535D">
        <w:rPr>
          <w:lang w:val="en-AU"/>
        </w:rPr>
        <w:t xml:space="preserve">ban centres that respond to </w:t>
      </w:r>
      <w:r w:rsidRPr="0057535D">
        <w:rPr>
          <w:lang w:val="en-AU"/>
        </w:rPr>
        <w:t>changing population and markets</w:t>
      </w:r>
    </w:p>
    <w:p w:rsidR="00DC59E5" w:rsidRPr="0057535D" w:rsidRDefault="00DC59E5" w:rsidP="00DC59E5">
      <w:pPr>
        <w:pStyle w:val="btbullet"/>
        <w:rPr>
          <w:lang w:val="en-AU"/>
        </w:rPr>
      </w:pPr>
      <w:r w:rsidRPr="0057535D">
        <w:rPr>
          <w:lang w:val="en-AU"/>
        </w:rPr>
        <w:t>Further diversify the primary production, service</w:t>
      </w:r>
      <w:r w:rsidR="00791004" w:rsidRPr="0057535D">
        <w:rPr>
          <w:lang w:val="en-AU"/>
        </w:rPr>
        <w:t>,</w:t>
      </w:r>
      <w:r w:rsidRPr="0057535D">
        <w:rPr>
          <w:lang w:val="en-AU"/>
        </w:rPr>
        <w:t xml:space="preserve"> manufacturing </w:t>
      </w:r>
      <w:r w:rsidR="00791004" w:rsidRPr="0057535D">
        <w:rPr>
          <w:lang w:val="en-AU"/>
        </w:rPr>
        <w:t xml:space="preserve">and tourism </w:t>
      </w:r>
      <w:r w:rsidRPr="0057535D">
        <w:rPr>
          <w:lang w:val="en-AU"/>
        </w:rPr>
        <w:t>industries to support job creation and investment and value add to local products</w:t>
      </w:r>
    </w:p>
    <w:p w:rsidR="00DC59E5" w:rsidRPr="0057535D" w:rsidRDefault="00DC59E5" w:rsidP="00DC59E5">
      <w:pPr>
        <w:pStyle w:val="btbullet"/>
        <w:rPr>
          <w:lang w:val="en-AU"/>
        </w:rPr>
      </w:pPr>
      <w:r w:rsidRPr="0057535D">
        <w:rPr>
          <w:lang w:val="en-AU"/>
        </w:rPr>
        <w:t>Protect key regional assets to ensure future prosperity, including that arising from strategically important rural land uses</w:t>
      </w:r>
    </w:p>
    <w:p w:rsidR="00786A56" w:rsidRPr="0057535D" w:rsidRDefault="00786A56" w:rsidP="00482505">
      <w:pPr>
        <w:pStyle w:val="btbullet"/>
        <w:rPr>
          <w:lang w:val="en-AU"/>
        </w:rPr>
      </w:pPr>
      <w:r w:rsidRPr="0057535D">
        <w:rPr>
          <w:lang w:val="en-AU"/>
        </w:rPr>
        <w:t xml:space="preserve">Maximise the local and regional benefits of </w:t>
      </w:r>
      <w:r w:rsidR="00F36970" w:rsidRPr="0057535D">
        <w:rPr>
          <w:lang w:val="en-AU"/>
        </w:rPr>
        <w:t xml:space="preserve">emerging </w:t>
      </w:r>
      <w:r w:rsidRPr="0057535D">
        <w:rPr>
          <w:lang w:val="en-AU"/>
        </w:rPr>
        <w:t xml:space="preserve">economic opportunities </w:t>
      </w:r>
      <w:r w:rsidR="00B514E0" w:rsidRPr="0057535D">
        <w:rPr>
          <w:lang w:val="en-AU"/>
        </w:rPr>
        <w:t>associated with future growth in mining, food production</w:t>
      </w:r>
      <w:r w:rsidR="00BA5567" w:rsidRPr="0057535D">
        <w:rPr>
          <w:lang w:val="en-AU"/>
        </w:rPr>
        <w:t>,</w:t>
      </w:r>
      <w:r w:rsidR="00B514E0" w:rsidRPr="0057535D">
        <w:rPr>
          <w:lang w:val="en-AU"/>
        </w:rPr>
        <w:t xml:space="preserve"> energy</w:t>
      </w:r>
      <w:r w:rsidR="00BA5567" w:rsidRPr="0057535D">
        <w:rPr>
          <w:lang w:val="en-AU"/>
        </w:rPr>
        <w:t xml:space="preserve"> and tourism</w:t>
      </w:r>
    </w:p>
    <w:p w:rsidR="00482505" w:rsidRPr="0057535D" w:rsidRDefault="00482505" w:rsidP="00187E04">
      <w:pPr>
        <w:pStyle w:val="Heading3"/>
        <w:rPr>
          <w:lang w:val="en-AU"/>
        </w:rPr>
      </w:pPr>
      <w:r w:rsidRPr="0057535D">
        <w:rPr>
          <w:lang w:val="en-AU"/>
        </w:rPr>
        <w:t>Overview</w:t>
      </w:r>
    </w:p>
    <w:p w:rsidR="00482505" w:rsidRPr="0057535D" w:rsidRDefault="00482505" w:rsidP="00482505">
      <w:pPr>
        <w:pStyle w:val="bt"/>
        <w:rPr>
          <w:lang w:val="en-AU"/>
        </w:rPr>
      </w:pPr>
      <w:r w:rsidRPr="0057535D">
        <w:rPr>
          <w:lang w:val="en-AU"/>
        </w:rPr>
        <w:t xml:space="preserve">The Loddon Mallee North region’s economy is driven by its competitive advantage in agriculture, </w:t>
      </w:r>
      <w:r w:rsidR="000B0031" w:rsidRPr="0057535D">
        <w:rPr>
          <w:lang w:val="en-AU"/>
        </w:rPr>
        <w:t xml:space="preserve">the needs of a changing population and its </w:t>
      </w:r>
      <w:r w:rsidRPr="0057535D">
        <w:rPr>
          <w:lang w:val="en-AU"/>
        </w:rPr>
        <w:t>strategic location on the Adelaide-Melbourne-Canberra-Sydney-Brisbane national freight routes</w:t>
      </w:r>
      <w:r w:rsidR="000B0031" w:rsidRPr="0057535D">
        <w:rPr>
          <w:lang w:val="en-AU"/>
        </w:rPr>
        <w:t xml:space="preserve">, which </w:t>
      </w:r>
      <w:r w:rsidRPr="0057535D">
        <w:rPr>
          <w:lang w:val="en-AU"/>
        </w:rPr>
        <w:t>link the capital cities of south</w:t>
      </w:r>
      <w:r w:rsidR="000B0031" w:rsidRPr="0057535D">
        <w:rPr>
          <w:lang w:val="en-AU"/>
        </w:rPr>
        <w:t>-</w:t>
      </w:r>
      <w:r w:rsidRPr="0057535D">
        <w:rPr>
          <w:lang w:val="en-AU"/>
        </w:rPr>
        <w:t>eastern Australia.</w:t>
      </w:r>
    </w:p>
    <w:p w:rsidR="00482505" w:rsidRPr="0057535D" w:rsidRDefault="00482505" w:rsidP="00482505">
      <w:pPr>
        <w:pStyle w:val="bt"/>
        <w:rPr>
          <w:lang w:val="en-AU"/>
        </w:rPr>
      </w:pPr>
      <w:r w:rsidRPr="0057535D">
        <w:rPr>
          <w:lang w:val="en-AU"/>
        </w:rPr>
        <w:t>The agricultural industry has demonstrated resilience and capacity to adapt in the face of significant climat</w:t>
      </w:r>
      <w:r w:rsidR="00F3735F" w:rsidRPr="0057535D">
        <w:rPr>
          <w:lang w:val="en-AU"/>
        </w:rPr>
        <w:t>ic</w:t>
      </w:r>
      <w:r w:rsidRPr="0057535D">
        <w:rPr>
          <w:lang w:val="en-AU"/>
        </w:rPr>
        <w:t xml:space="preserve">, economic and policy challenges. </w:t>
      </w:r>
      <w:r w:rsidR="004D68F7" w:rsidRPr="0057535D">
        <w:rPr>
          <w:lang w:val="en-AU"/>
        </w:rPr>
        <w:t>These include c</w:t>
      </w:r>
      <w:r w:rsidRPr="0057535D">
        <w:rPr>
          <w:lang w:val="en-AU"/>
        </w:rPr>
        <w:t>ompletion of irrigation infrastructure renewal and modernisation, increasing productivity, maintaining and enhancing environmental sustainability, adapting to future climat</w:t>
      </w:r>
      <w:r w:rsidR="00F3735F" w:rsidRPr="0057535D">
        <w:rPr>
          <w:lang w:val="en-AU"/>
        </w:rPr>
        <w:t>ic</w:t>
      </w:r>
      <w:r w:rsidRPr="0057535D">
        <w:rPr>
          <w:lang w:val="en-AU"/>
        </w:rPr>
        <w:t xml:space="preserve"> conditions, responding to the implementation of the Murray</w:t>
      </w:r>
      <w:r w:rsidR="000B0031" w:rsidRPr="0057535D">
        <w:rPr>
          <w:lang w:val="en-AU"/>
        </w:rPr>
        <w:t>-</w:t>
      </w:r>
      <w:r w:rsidRPr="0057535D">
        <w:rPr>
          <w:lang w:val="en-AU"/>
        </w:rPr>
        <w:t xml:space="preserve">Darling Basin Plan and remaining competitive in a global market. </w:t>
      </w:r>
    </w:p>
    <w:p w:rsidR="00482505" w:rsidRPr="0057535D" w:rsidRDefault="00482505" w:rsidP="00482505">
      <w:pPr>
        <w:pStyle w:val="bt"/>
        <w:rPr>
          <w:lang w:val="en-AU"/>
        </w:rPr>
      </w:pPr>
      <w:r w:rsidRPr="0057535D">
        <w:rPr>
          <w:lang w:val="en-AU"/>
        </w:rPr>
        <w:t xml:space="preserve">As noted </w:t>
      </w:r>
      <w:r w:rsidR="00584051" w:rsidRPr="0057535D">
        <w:rPr>
          <w:lang w:val="en-AU"/>
        </w:rPr>
        <w:t>with</w:t>
      </w:r>
      <w:r w:rsidRPr="0057535D">
        <w:rPr>
          <w:lang w:val="en-AU"/>
        </w:rPr>
        <w:t xml:space="preserve">in </w:t>
      </w:r>
      <w:r w:rsidR="00F71F7D">
        <w:rPr>
          <w:lang w:val="en-AU"/>
        </w:rPr>
        <w:t>Section</w:t>
      </w:r>
      <w:r w:rsidR="00F71F7D" w:rsidRPr="0057535D">
        <w:rPr>
          <w:lang w:val="en-AU"/>
        </w:rPr>
        <w:t xml:space="preserve"> </w:t>
      </w:r>
      <w:r w:rsidR="00584051" w:rsidRPr="0057535D">
        <w:rPr>
          <w:lang w:val="en-AU"/>
        </w:rPr>
        <w:t>8</w:t>
      </w:r>
      <w:r w:rsidR="000B0031" w:rsidRPr="0057535D">
        <w:rPr>
          <w:lang w:val="en-AU"/>
        </w:rPr>
        <w:t xml:space="preserve"> </w:t>
      </w:r>
      <w:r w:rsidR="00584051" w:rsidRPr="0057535D">
        <w:rPr>
          <w:lang w:val="en-AU"/>
        </w:rPr>
        <w:t>of this plan</w:t>
      </w:r>
      <w:r w:rsidR="00340629" w:rsidRPr="0057535D">
        <w:rPr>
          <w:lang w:val="en-AU"/>
        </w:rPr>
        <w:t xml:space="preserve"> (Challenges for growth)</w:t>
      </w:r>
      <w:r w:rsidRPr="0057535D">
        <w:rPr>
          <w:lang w:val="en-AU"/>
        </w:rPr>
        <w:t xml:space="preserve">, while agriculture continues to be the backbone of the region’s economy, labour needs in the sector are </w:t>
      </w:r>
      <w:r w:rsidR="00183592" w:rsidRPr="0057535D">
        <w:rPr>
          <w:lang w:val="en-AU"/>
        </w:rPr>
        <w:t>decreasing</w:t>
      </w:r>
      <w:r w:rsidRPr="0057535D">
        <w:rPr>
          <w:lang w:val="en-AU"/>
        </w:rPr>
        <w:t xml:space="preserve">. Local jobs need to come from </w:t>
      </w:r>
      <w:r w:rsidR="000B0031" w:rsidRPr="0057535D">
        <w:rPr>
          <w:lang w:val="en-AU"/>
        </w:rPr>
        <w:t xml:space="preserve">the </w:t>
      </w:r>
      <w:r w:rsidRPr="0057535D">
        <w:rPr>
          <w:lang w:val="en-AU"/>
        </w:rPr>
        <w:t>growth of more labour</w:t>
      </w:r>
      <w:r w:rsidR="000B0031" w:rsidRPr="0057535D">
        <w:rPr>
          <w:lang w:val="en-AU"/>
        </w:rPr>
        <w:t>-</w:t>
      </w:r>
      <w:r w:rsidRPr="0057535D">
        <w:rPr>
          <w:lang w:val="en-AU"/>
        </w:rPr>
        <w:t>intensive sectors of the regional economy</w:t>
      </w:r>
      <w:r w:rsidR="000B0031" w:rsidRPr="0057535D">
        <w:rPr>
          <w:lang w:val="en-AU"/>
        </w:rPr>
        <w:t>, and</w:t>
      </w:r>
      <w:r w:rsidR="00584051" w:rsidRPr="0057535D">
        <w:rPr>
          <w:lang w:val="en-AU"/>
        </w:rPr>
        <w:t xml:space="preserve"> </w:t>
      </w:r>
      <w:r w:rsidRPr="0057535D">
        <w:rPr>
          <w:lang w:val="en-AU"/>
        </w:rPr>
        <w:t>economic diversification is needed for this.</w:t>
      </w:r>
      <w:r w:rsidR="00743E10" w:rsidRPr="0057535D">
        <w:rPr>
          <w:lang w:val="en-AU"/>
        </w:rPr>
        <w:t xml:space="preserve"> It will be important for the region to ensure skills are developed in line with economic diversification of the econom</w:t>
      </w:r>
      <w:r w:rsidR="00754528" w:rsidRPr="0057535D">
        <w:rPr>
          <w:lang w:val="en-AU"/>
        </w:rPr>
        <w:t>y</w:t>
      </w:r>
      <w:r w:rsidR="00743E10" w:rsidRPr="0057535D">
        <w:rPr>
          <w:lang w:val="en-AU"/>
        </w:rPr>
        <w:t xml:space="preserve"> to support job</w:t>
      </w:r>
      <w:r w:rsidR="00754528" w:rsidRPr="0057535D">
        <w:rPr>
          <w:lang w:val="en-AU"/>
        </w:rPr>
        <w:t xml:space="preserve"> creation</w:t>
      </w:r>
      <w:r w:rsidR="00743E10" w:rsidRPr="0057535D">
        <w:rPr>
          <w:lang w:val="en-AU"/>
        </w:rPr>
        <w:t xml:space="preserve"> into the future.</w:t>
      </w:r>
    </w:p>
    <w:p w:rsidR="00482505" w:rsidRPr="0057535D" w:rsidRDefault="00482505" w:rsidP="00482505">
      <w:pPr>
        <w:pStyle w:val="bt"/>
        <w:rPr>
          <w:lang w:val="en-AU"/>
        </w:rPr>
      </w:pPr>
      <w:r w:rsidRPr="0057535D">
        <w:rPr>
          <w:lang w:val="en-AU"/>
        </w:rPr>
        <w:t>Manufacturing and food processing will continue to be an important contributor to the region’s economy. Training or attracting skilled workers and reducing energy costs will be important for retaining and growing the manufacturing sector. Transport logistics, warehousing and an efficient freight transport network are important for agriculture, manufacturing and for freight movement through and within the region</w:t>
      </w:r>
      <w:r w:rsidR="000B0031" w:rsidRPr="0057535D">
        <w:rPr>
          <w:lang w:val="en-AU"/>
        </w:rPr>
        <w:t>. O</w:t>
      </w:r>
      <w:r w:rsidRPr="0057535D">
        <w:rPr>
          <w:lang w:val="en-AU"/>
        </w:rPr>
        <w:t xml:space="preserve">pportunities </w:t>
      </w:r>
      <w:r w:rsidR="000B0031" w:rsidRPr="0057535D">
        <w:rPr>
          <w:lang w:val="en-AU"/>
        </w:rPr>
        <w:t xml:space="preserve">in transport logistics and freight are </w:t>
      </w:r>
      <w:r w:rsidRPr="0057535D">
        <w:rPr>
          <w:lang w:val="en-AU"/>
        </w:rPr>
        <w:t>associated with the major Calder, Mallee</w:t>
      </w:r>
      <w:r w:rsidR="00511329" w:rsidRPr="0057535D">
        <w:rPr>
          <w:lang w:val="en-AU"/>
        </w:rPr>
        <w:t>, Murray Valley</w:t>
      </w:r>
      <w:r w:rsidR="000B0031" w:rsidRPr="0057535D">
        <w:rPr>
          <w:lang w:val="en-AU"/>
        </w:rPr>
        <w:t xml:space="preserve"> and</w:t>
      </w:r>
      <w:r w:rsidRPr="0057535D">
        <w:rPr>
          <w:lang w:val="en-AU"/>
        </w:rPr>
        <w:t xml:space="preserve"> Sturt</w:t>
      </w:r>
      <w:r w:rsidR="000B0031" w:rsidRPr="0057535D">
        <w:rPr>
          <w:lang w:val="en-AU"/>
        </w:rPr>
        <w:t xml:space="preserve"> </w:t>
      </w:r>
      <w:r w:rsidR="00584051" w:rsidRPr="0057535D">
        <w:rPr>
          <w:lang w:val="en-AU"/>
        </w:rPr>
        <w:t>transport corridors</w:t>
      </w:r>
      <w:r w:rsidRPr="0057535D">
        <w:rPr>
          <w:lang w:val="en-AU"/>
        </w:rPr>
        <w:t>. There are opportunities to align and upgrade freight and transport infrastructure to support and enhance primary production, including agriculture and mining in the region.</w:t>
      </w:r>
    </w:p>
    <w:p w:rsidR="00482505" w:rsidRPr="0057535D" w:rsidRDefault="00482505" w:rsidP="00482505">
      <w:pPr>
        <w:pStyle w:val="bt"/>
        <w:rPr>
          <w:lang w:val="en-AU"/>
        </w:rPr>
      </w:pPr>
      <w:r w:rsidRPr="0057535D">
        <w:rPr>
          <w:lang w:val="en-AU"/>
        </w:rPr>
        <w:t>The region currently has skills shortages in the health, education, manufacturing</w:t>
      </w:r>
      <w:r w:rsidR="00A32E8B" w:rsidRPr="0057535D">
        <w:rPr>
          <w:lang w:val="en-AU"/>
        </w:rPr>
        <w:t>, agriculture</w:t>
      </w:r>
      <w:r w:rsidRPr="0057535D">
        <w:rPr>
          <w:lang w:val="en-AU"/>
        </w:rPr>
        <w:t xml:space="preserve"> and construction sectors. An ageing population will see continued and growing demand for health professionals. Access to quality services in attractive settlements that offer a range of housing and lifestyle choices will be important for attracting professionals to the region and reducing outward youth migration.</w:t>
      </w:r>
    </w:p>
    <w:p w:rsidR="00190DDE" w:rsidRDefault="00482505" w:rsidP="00134771">
      <w:pPr>
        <w:pStyle w:val="bt"/>
        <w:rPr>
          <w:lang w:val="en-AU"/>
        </w:rPr>
      </w:pPr>
      <w:r w:rsidRPr="0057535D">
        <w:rPr>
          <w:lang w:val="en-AU"/>
        </w:rPr>
        <w:t>Key challenges for the region are overcoming skills shortages, increasing economic diversity and developing new employment opportunities.</w:t>
      </w:r>
      <w:r w:rsidR="001732B1" w:rsidRPr="0057535D">
        <w:rPr>
          <w:lang w:val="en-AU"/>
        </w:rPr>
        <w:t xml:space="preserve"> </w:t>
      </w:r>
      <w:bookmarkStart w:id="56" w:name="_Ref373922911"/>
      <w:bookmarkStart w:id="57" w:name="_Toc358365465"/>
      <w:bookmarkStart w:id="58" w:name="_Toc375052099"/>
    </w:p>
    <w:p w:rsidR="006206CA" w:rsidRPr="00134771" w:rsidRDefault="00D81C28" w:rsidP="00134771">
      <w:pPr>
        <w:pStyle w:val="bt"/>
      </w:pPr>
      <w:r w:rsidRPr="00134771">
        <w:t>Map</w:t>
      </w:r>
      <w:bookmarkEnd w:id="56"/>
      <w:r w:rsidR="003652DE">
        <w:t xml:space="preserve"> 5</w:t>
      </w:r>
      <w:r w:rsidR="00134771" w:rsidRPr="00134771">
        <w:t xml:space="preserve"> </w:t>
      </w:r>
      <w:r w:rsidR="00134771">
        <w:t>is located here in the document and it shows -</w:t>
      </w:r>
      <w:r w:rsidR="00134771" w:rsidRPr="006E6684">
        <w:t xml:space="preserve"> </w:t>
      </w:r>
      <w:r w:rsidR="003F3C49" w:rsidRPr="00134771">
        <w:t>Future</w:t>
      </w:r>
      <w:r w:rsidR="00823833" w:rsidRPr="00134771">
        <w:t xml:space="preserve"> directions</w:t>
      </w:r>
      <w:bookmarkEnd w:id="57"/>
      <w:r w:rsidR="003F3C49" w:rsidRPr="00134771">
        <w:t xml:space="preserve"> for the economy</w:t>
      </w:r>
      <w:bookmarkEnd w:id="58"/>
    </w:p>
    <w:p w:rsidR="00482505" w:rsidRPr="0057535D" w:rsidRDefault="00482505" w:rsidP="00482505">
      <w:pPr>
        <w:pStyle w:val="Heading2"/>
        <w:rPr>
          <w:lang w:val="en-AU"/>
        </w:rPr>
      </w:pPr>
      <w:bookmarkStart w:id="59" w:name="_Toc377031454"/>
      <w:r w:rsidRPr="0057535D">
        <w:rPr>
          <w:lang w:val="en-AU"/>
        </w:rPr>
        <w:lastRenderedPageBreak/>
        <w:t>Building on economic strengths</w:t>
      </w:r>
      <w:bookmarkEnd w:id="59"/>
    </w:p>
    <w:p w:rsidR="00D156F9" w:rsidRDefault="00482505">
      <w:pPr>
        <w:pStyle w:val="Heading4"/>
      </w:pPr>
      <w:r w:rsidRPr="0057535D">
        <w:t xml:space="preserve">Working in the Loddon Mallee North </w:t>
      </w:r>
      <w:r w:rsidR="000B0031" w:rsidRPr="0057535D">
        <w:t>r</w:t>
      </w:r>
      <w:r w:rsidRPr="0057535D">
        <w:t>egion</w:t>
      </w:r>
    </w:p>
    <w:p w:rsidR="00D156F9" w:rsidRDefault="00482505">
      <w:pPr>
        <w:pStyle w:val="Heading3"/>
        <w:rPr>
          <w:lang w:val="en-AU"/>
        </w:rPr>
      </w:pPr>
      <w:r w:rsidRPr="0057535D">
        <w:rPr>
          <w:lang w:val="en-AU"/>
        </w:rPr>
        <w:t xml:space="preserve">Business, </w:t>
      </w:r>
      <w:r w:rsidR="00B11877" w:rsidRPr="0057535D">
        <w:rPr>
          <w:lang w:val="en-AU"/>
        </w:rPr>
        <w:t>i</w:t>
      </w:r>
      <w:r w:rsidRPr="0057535D">
        <w:rPr>
          <w:lang w:val="en-AU"/>
        </w:rPr>
        <w:t xml:space="preserve">ndustry and </w:t>
      </w:r>
      <w:r w:rsidR="00B11877" w:rsidRPr="0057535D">
        <w:rPr>
          <w:lang w:val="en-AU"/>
        </w:rPr>
        <w:t>s</w:t>
      </w:r>
      <w:r w:rsidRPr="0057535D">
        <w:rPr>
          <w:lang w:val="en-AU"/>
        </w:rPr>
        <w:t>ervices</w:t>
      </w:r>
    </w:p>
    <w:p w:rsidR="00500722" w:rsidRPr="0057535D" w:rsidRDefault="00482505" w:rsidP="00482505">
      <w:pPr>
        <w:pStyle w:val="bt"/>
        <w:rPr>
          <w:lang w:val="en-AU"/>
        </w:rPr>
      </w:pPr>
      <w:r w:rsidRPr="0057535D">
        <w:rPr>
          <w:lang w:val="en-AU"/>
        </w:rPr>
        <w:t xml:space="preserve">Loddon Mallee North’s regional city </w:t>
      </w:r>
      <w:r w:rsidR="00500722" w:rsidRPr="0057535D">
        <w:rPr>
          <w:lang w:val="en-AU"/>
        </w:rPr>
        <w:t>of Mildura</w:t>
      </w:r>
      <w:r w:rsidR="004C7565" w:rsidRPr="0057535D">
        <w:rPr>
          <w:lang w:val="en-AU"/>
        </w:rPr>
        <w:t>,</w:t>
      </w:r>
      <w:r w:rsidR="00500722" w:rsidRPr="0057535D">
        <w:rPr>
          <w:lang w:val="en-AU"/>
        </w:rPr>
        <w:t xml:space="preserve"> </w:t>
      </w:r>
      <w:r w:rsidRPr="0057535D">
        <w:rPr>
          <w:lang w:val="en-AU"/>
        </w:rPr>
        <w:t xml:space="preserve">and </w:t>
      </w:r>
      <w:r w:rsidR="000B0031" w:rsidRPr="0057535D">
        <w:rPr>
          <w:lang w:val="en-AU"/>
        </w:rPr>
        <w:t xml:space="preserve">its </w:t>
      </w:r>
      <w:r w:rsidR="00500722" w:rsidRPr="0057535D">
        <w:rPr>
          <w:lang w:val="en-AU"/>
        </w:rPr>
        <w:t xml:space="preserve">regional </w:t>
      </w:r>
      <w:r w:rsidRPr="0057535D">
        <w:rPr>
          <w:lang w:val="en-AU"/>
        </w:rPr>
        <w:t>centres</w:t>
      </w:r>
      <w:r w:rsidR="00500722" w:rsidRPr="0057535D">
        <w:rPr>
          <w:lang w:val="en-AU"/>
        </w:rPr>
        <w:t xml:space="preserve"> of</w:t>
      </w:r>
      <w:r w:rsidR="00E63E60" w:rsidRPr="0057535D">
        <w:rPr>
          <w:lang w:val="en-AU"/>
        </w:rPr>
        <w:t xml:space="preserve"> </w:t>
      </w:r>
      <w:r w:rsidRPr="0057535D">
        <w:rPr>
          <w:lang w:val="en-AU"/>
        </w:rPr>
        <w:t>Swan Hi</w:t>
      </w:r>
      <w:r w:rsidR="00500722" w:rsidRPr="0057535D">
        <w:rPr>
          <w:lang w:val="en-AU"/>
        </w:rPr>
        <w:t>ll</w:t>
      </w:r>
      <w:r w:rsidR="000B0031" w:rsidRPr="0057535D">
        <w:rPr>
          <w:lang w:val="en-AU"/>
        </w:rPr>
        <w:t xml:space="preserve"> and</w:t>
      </w:r>
      <w:r w:rsidR="00500722" w:rsidRPr="0057535D">
        <w:rPr>
          <w:lang w:val="en-AU"/>
        </w:rPr>
        <w:t xml:space="preserve"> Echuca</w:t>
      </w:r>
      <w:r w:rsidR="004C7565" w:rsidRPr="0057535D">
        <w:rPr>
          <w:lang w:val="en-AU"/>
        </w:rPr>
        <w:t>,</w:t>
      </w:r>
      <w:r w:rsidR="00500722" w:rsidRPr="0057535D">
        <w:rPr>
          <w:lang w:val="en-AU"/>
        </w:rPr>
        <w:t xml:space="preserve"> will continue to provide higher order services</w:t>
      </w:r>
      <w:r w:rsidR="00E63E60" w:rsidRPr="0057535D">
        <w:rPr>
          <w:lang w:val="en-AU"/>
        </w:rPr>
        <w:t>.</w:t>
      </w:r>
      <w:r w:rsidR="00500722" w:rsidRPr="0057535D">
        <w:rPr>
          <w:lang w:val="en-AU"/>
        </w:rPr>
        <w:t xml:space="preserve"> </w:t>
      </w:r>
      <w:r w:rsidR="00E63E60" w:rsidRPr="0057535D">
        <w:rPr>
          <w:lang w:val="en-AU"/>
        </w:rPr>
        <w:t xml:space="preserve">For some settlements within </w:t>
      </w:r>
      <w:r w:rsidR="00183592" w:rsidRPr="0057535D">
        <w:rPr>
          <w:lang w:val="en-AU"/>
        </w:rPr>
        <w:t>the region</w:t>
      </w:r>
      <w:r w:rsidR="00E63E60" w:rsidRPr="0057535D">
        <w:rPr>
          <w:lang w:val="en-AU"/>
        </w:rPr>
        <w:t>, higher order services will also be accessed from the</w:t>
      </w:r>
      <w:r w:rsidR="00500722" w:rsidRPr="0057535D">
        <w:rPr>
          <w:lang w:val="en-AU"/>
        </w:rPr>
        <w:t xml:space="preserve"> regional cities</w:t>
      </w:r>
      <w:r w:rsidRPr="0057535D">
        <w:rPr>
          <w:lang w:val="en-AU"/>
        </w:rPr>
        <w:t xml:space="preserve"> of Bendigo</w:t>
      </w:r>
      <w:r w:rsidR="004C7565" w:rsidRPr="0057535D">
        <w:rPr>
          <w:lang w:val="en-AU"/>
        </w:rPr>
        <w:t>,</w:t>
      </w:r>
      <w:r w:rsidR="00500722" w:rsidRPr="0057535D">
        <w:rPr>
          <w:lang w:val="en-AU"/>
        </w:rPr>
        <w:t xml:space="preserve"> in </w:t>
      </w:r>
      <w:r w:rsidR="004C7565" w:rsidRPr="0057535D">
        <w:rPr>
          <w:lang w:val="en-AU"/>
        </w:rPr>
        <w:t xml:space="preserve">the </w:t>
      </w:r>
      <w:r w:rsidR="00500722" w:rsidRPr="0057535D">
        <w:rPr>
          <w:lang w:val="en-AU"/>
        </w:rPr>
        <w:t>Loddon Mallee South</w:t>
      </w:r>
      <w:r w:rsidR="004C7565" w:rsidRPr="0057535D">
        <w:rPr>
          <w:lang w:val="en-AU"/>
        </w:rPr>
        <w:t xml:space="preserve"> region,</w:t>
      </w:r>
      <w:r w:rsidR="00500722" w:rsidRPr="0057535D">
        <w:rPr>
          <w:lang w:val="en-AU"/>
        </w:rPr>
        <w:t xml:space="preserve"> and Shepparton in </w:t>
      </w:r>
      <w:r w:rsidR="00480722">
        <w:rPr>
          <w:lang w:val="en-AU"/>
        </w:rPr>
        <w:t xml:space="preserve">the </w:t>
      </w:r>
      <w:r w:rsidR="00500722" w:rsidRPr="0057535D">
        <w:rPr>
          <w:lang w:val="en-AU"/>
        </w:rPr>
        <w:t>Hume region</w:t>
      </w:r>
      <w:r w:rsidR="00B11877" w:rsidRPr="0057535D">
        <w:rPr>
          <w:lang w:val="en-AU"/>
        </w:rPr>
        <w:t>.</w:t>
      </w:r>
    </w:p>
    <w:p w:rsidR="00545851" w:rsidRPr="0057535D" w:rsidRDefault="00545851" w:rsidP="00545851">
      <w:pPr>
        <w:pStyle w:val="bt"/>
        <w:rPr>
          <w:lang w:val="en-AU"/>
        </w:rPr>
      </w:pPr>
      <w:r w:rsidRPr="0057535D">
        <w:rPr>
          <w:lang w:val="en-AU"/>
        </w:rPr>
        <w:t>Alignment of economic and population growth with the provision of education, health, housing and community facilities will be important for attracting and retaining workers, providing employment opportunities and attracting public and private investment in the region.</w:t>
      </w:r>
    </w:p>
    <w:p w:rsidR="00482505" w:rsidRPr="0057535D" w:rsidRDefault="00482505" w:rsidP="00482505">
      <w:pPr>
        <w:pStyle w:val="bt"/>
        <w:rPr>
          <w:lang w:val="en-AU"/>
        </w:rPr>
      </w:pPr>
      <w:r w:rsidRPr="0057535D">
        <w:rPr>
          <w:lang w:val="en-AU"/>
        </w:rPr>
        <w:t>Some smaller settlements, due to their relative isolation and long distances to major centres, will continue to provide a wider range of services, such as health and education, than would normally be expected in towns of their population.</w:t>
      </w:r>
    </w:p>
    <w:p w:rsidR="00482505" w:rsidRPr="0057535D" w:rsidRDefault="00482505" w:rsidP="00482505">
      <w:pPr>
        <w:pStyle w:val="bt"/>
        <w:rPr>
          <w:lang w:val="en-AU"/>
        </w:rPr>
      </w:pPr>
      <w:r w:rsidRPr="0057535D">
        <w:rPr>
          <w:lang w:val="en-AU"/>
        </w:rPr>
        <w:t xml:space="preserve">To </w:t>
      </w:r>
      <w:r w:rsidR="000B0031" w:rsidRPr="0057535D">
        <w:rPr>
          <w:lang w:val="en-AU"/>
        </w:rPr>
        <w:t>support</w:t>
      </w:r>
      <w:r w:rsidRPr="0057535D">
        <w:rPr>
          <w:lang w:val="en-AU"/>
        </w:rPr>
        <w:t xml:space="preserve"> existing industry </w:t>
      </w:r>
      <w:r w:rsidR="004127B0" w:rsidRPr="0057535D">
        <w:rPr>
          <w:lang w:val="en-AU"/>
        </w:rPr>
        <w:t>and diversify</w:t>
      </w:r>
      <w:r w:rsidRPr="0057535D">
        <w:rPr>
          <w:lang w:val="en-AU"/>
        </w:rPr>
        <w:t xml:space="preserve"> the economy, it will be important to have ‘market ready’ industrial and commercial land available with access to the necessary infrastructure in the key urban growth areas of Mildura, Swan Hill and Echuca and in other locations consiste</w:t>
      </w:r>
      <w:r w:rsidR="00E63E60" w:rsidRPr="0057535D">
        <w:rPr>
          <w:lang w:val="en-AU"/>
        </w:rPr>
        <w:t>nt with their role and function.</w:t>
      </w:r>
    </w:p>
    <w:p w:rsidR="00482505" w:rsidRPr="0057535D" w:rsidRDefault="00482505" w:rsidP="00482505">
      <w:pPr>
        <w:pStyle w:val="bt"/>
        <w:rPr>
          <w:lang w:val="en-AU"/>
        </w:rPr>
      </w:pPr>
      <w:r w:rsidRPr="0057535D">
        <w:rPr>
          <w:lang w:val="en-AU"/>
        </w:rPr>
        <w:t xml:space="preserve">The region will position itself to respond efficiently to new opportunities. </w:t>
      </w:r>
      <w:r w:rsidR="00545851" w:rsidRPr="0057535D">
        <w:rPr>
          <w:lang w:val="en-AU"/>
        </w:rPr>
        <w:t>Regional towns</w:t>
      </w:r>
      <w:r w:rsidRPr="0057535D">
        <w:rPr>
          <w:lang w:val="en-AU"/>
        </w:rPr>
        <w:t xml:space="preserve"> can be attractive propositions for new industry with access to affordable land, buffering from sensitive uses</w:t>
      </w:r>
      <w:r w:rsidR="000B0031" w:rsidRPr="0057535D">
        <w:rPr>
          <w:lang w:val="en-AU"/>
        </w:rPr>
        <w:t>, such as</w:t>
      </w:r>
      <w:r w:rsidRPr="0057535D">
        <w:rPr>
          <w:lang w:val="en-AU"/>
        </w:rPr>
        <w:t xml:space="preserve"> housing, schools or hospitals</w:t>
      </w:r>
      <w:r w:rsidR="005F30D6">
        <w:rPr>
          <w:lang w:val="en-AU"/>
        </w:rPr>
        <w:t>,</w:t>
      </w:r>
      <w:r w:rsidRPr="0057535D">
        <w:rPr>
          <w:lang w:val="en-AU"/>
        </w:rPr>
        <w:t xml:space="preserve"> and access to infrastructure. For example, Buloke</w:t>
      </w:r>
      <w:r w:rsidR="00475D7A" w:rsidRPr="0057535D">
        <w:rPr>
          <w:lang w:val="en-AU"/>
        </w:rPr>
        <w:t xml:space="preserve"> Shire Council</w:t>
      </w:r>
      <w:r w:rsidRPr="0057535D">
        <w:rPr>
          <w:lang w:val="en-AU"/>
        </w:rPr>
        <w:t xml:space="preserve"> has undertaken a land capability study to identify strategic locations for appropriate industrial development associated with the Wimmera Mallee Pipeline. This </w:t>
      </w:r>
      <w:r w:rsidR="000B0031" w:rsidRPr="0057535D">
        <w:rPr>
          <w:lang w:val="en-AU"/>
        </w:rPr>
        <w:t xml:space="preserve">kind of </w:t>
      </w:r>
      <w:r w:rsidRPr="0057535D">
        <w:rPr>
          <w:lang w:val="en-AU"/>
        </w:rPr>
        <w:t xml:space="preserve">strategic work will be important </w:t>
      </w:r>
      <w:r w:rsidR="00045C2B" w:rsidRPr="0057535D">
        <w:rPr>
          <w:lang w:val="en-AU"/>
        </w:rPr>
        <w:t>to</w:t>
      </w:r>
      <w:r w:rsidRPr="0057535D">
        <w:rPr>
          <w:lang w:val="en-AU"/>
        </w:rPr>
        <w:t xml:space="preserve"> facilitat</w:t>
      </w:r>
      <w:r w:rsidR="00045C2B" w:rsidRPr="0057535D">
        <w:rPr>
          <w:lang w:val="en-AU"/>
        </w:rPr>
        <w:t>e</w:t>
      </w:r>
      <w:r w:rsidRPr="0057535D">
        <w:rPr>
          <w:lang w:val="en-AU"/>
        </w:rPr>
        <w:t xml:space="preserve"> new industrial development outside major centres.</w:t>
      </w:r>
    </w:p>
    <w:p w:rsidR="00482505" w:rsidRPr="0057535D" w:rsidRDefault="00482505" w:rsidP="00482505">
      <w:pPr>
        <w:pStyle w:val="bt"/>
        <w:rPr>
          <w:lang w:val="en-AU"/>
        </w:rPr>
      </w:pPr>
      <w:r w:rsidRPr="0057535D">
        <w:rPr>
          <w:lang w:val="en-AU"/>
        </w:rPr>
        <w:t>Emerging opportunities for economic diversification include renewable energy generation, aquaculture and ecotourism. Sustainable electricity generation has the potential to provide cheaper electricity for existing industry, business and households within and outside the region and attract new industry and business.</w:t>
      </w:r>
      <w:r w:rsidR="00AF7928" w:rsidRPr="0057535D">
        <w:rPr>
          <w:lang w:val="en-AU"/>
        </w:rPr>
        <w:t xml:space="preserve"> Extractive industries such as </w:t>
      </w:r>
      <w:r w:rsidR="00340629" w:rsidRPr="0057535D">
        <w:rPr>
          <w:lang w:val="en-AU"/>
        </w:rPr>
        <w:t>g</w:t>
      </w:r>
      <w:r w:rsidR="00AF7928" w:rsidRPr="0057535D">
        <w:rPr>
          <w:lang w:val="en-AU"/>
        </w:rPr>
        <w:t>ypsum</w:t>
      </w:r>
      <w:r w:rsidR="00340629" w:rsidRPr="0057535D">
        <w:rPr>
          <w:lang w:val="en-AU"/>
        </w:rPr>
        <w:t xml:space="preserve"> mining</w:t>
      </w:r>
      <w:r w:rsidR="00AF7928" w:rsidRPr="0057535D">
        <w:rPr>
          <w:lang w:val="en-AU"/>
        </w:rPr>
        <w:t xml:space="preserve"> also offer future economic </w:t>
      </w:r>
      <w:r w:rsidR="00793DF3" w:rsidRPr="0057535D">
        <w:rPr>
          <w:lang w:val="en-AU"/>
        </w:rPr>
        <w:t>diversity</w:t>
      </w:r>
      <w:r w:rsidR="00AF7928" w:rsidRPr="0057535D">
        <w:rPr>
          <w:lang w:val="en-AU"/>
        </w:rPr>
        <w:t>.</w:t>
      </w:r>
    </w:p>
    <w:p w:rsidR="00482505" w:rsidRPr="0057535D" w:rsidRDefault="00482505" w:rsidP="00187E04">
      <w:pPr>
        <w:pStyle w:val="Heading3"/>
        <w:rPr>
          <w:lang w:val="en-AU"/>
        </w:rPr>
      </w:pPr>
      <w:r w:rsidRPr="0057535D">
        <w:rPr>
          <w:lang w:val="en-AU"/>
        </w:rPr>
        <w:t>Health and education</w:t>
      </w:r>
    </w:p>
    <w:p w:rsidR="00CC024E" w:rsidRPr="0057535D" w:rsidRDefault="00475D7A" w:rsidP="00482505">
      <w:pPr>
        <w:pStyle w:val="bt"/>
        <w:rPr>
          <w:lang w:val="en-AU"/>
        </w:rPr>
      </w:pPr>
      <w:r w:rsidRPr="0057535D">
        <w:rPr>
          <w:lang w:val="en-AU"/>
        </w:rPr>
        <w:t>In 2012, t</w:t>
      </w:r>
      <w:r w:rsidR="00482505" w:rsidRPr="0057535D">
        <w:rPr>
          <w:lang w:val="en-AU"/>
        </w:rPr>
        <w:t>he economic drivers of population growth in Loddon Mallee North include</w:t>
      </w:r>
      <w:r w:rsidRPr="0057535D">
        <w:rPr>
          <w:lang w:val="en-AU"/>
        </w:rPr>
        <w:t>d</w:t>
      </w:r>
      <w:r w:rsidR="00482505" w:rsidRPr="0057535D">
        <w:rPr>
          <w:lang w:val="en-AU"/>
        </w:rPr>
        <w:t xml:space="preserve"> health and community services</w:t>
      </w:r>
      <w:r w:rsidR="008B0877" w:rsidRPr="0057535D">
        <w:rPr>
          <w:lang w:val="en-AU"/>
        </w:rPr>
        <w:t xml:space="preserve"> ($538 million)</w:t>
      </w:r>
      <w:r w:rsidR="00482505" w:rsidRPr="0057535D">
        <w:rPr>
          <w:lang w:val="en-AU"/>
        </w:rPr>
        <w:t>, higher</w:t>
      </w:r>
      <w:r w:rsidR="008B0877" w:rsidRPr="0057535D">
        <w:rPr>
          <w:lang w:val="en-AU"/>
        </w:rPr>
        <w:t xml:space="preserve"> education, secondary education and</w:t>
      </w:r>
      <w:r w:rsidR="00482505" w:rsidRPr="0057535D">
        <w:rPr>
          <w:lang w:val="en-AU"/>
        </w:rPr>
        <w:t xml:space="preserve"> vocational training</w:t>
      </w:r>
      <w:r w:rsidR="008B0877" w:rsidRPr="0057535D">
        <w:rPr>
          <w:lang w:val="en-AU"/>
        </w:rPr>
        <w:t xml:space="preserve"> ($414 million)</w:t>
      </w:r>
      <w:r w:rsidR="00482505" w:rsidRPr="0057535D">
        <w:rPr>
          <w:lang w:val="en-AU"/>
        </w:rPr>
        <w:t>, specific government services and businesses services</w:t>
      </w:r>
      <w:r w:rsidR="008B0877" w:rsidRPr="0057535D">
        <w:rPr>
          <w:lang w:val="en-AU"/>
        </w:rPr>
        <w:t xml:space="preserve"> ($410 million) totalling $1,362 million ou</w:t>
      </w:r>
      <w:r w:rsidR="00423AAD" w:rsidRPr="0057535D">
        <w:rPr>
          <w:lang w:val="en-AU"/>
        </w:rPr>
        <w:t>t</w:t>
      </w:r>
      <w:r w:rsidR="008B0877" w:rsidRPr="0057535D">
        <w:rPr>
          <w:lang w:val="en-AU"/>
        </w:rPr>
        <w:t>put</w:t>
      </w:r>
      <w:r w:rsidR="00423AAD" w:rsidRPr="0057535D">
        <w:rPr>
          <w:rStyle w:val="FootnoteReference"/>
          <w:lang w:val="en-AU"/>
        </w:rPr>
        <w:footnoteReference w:id="8"/>
      </w:r>
      <w:r w:rsidR="00482505" w:rsidRPr="0057535D">
        <w:rPr>
          <w:lang w:val="en-AU"/>
        </w:rPr>
        <w:t xml:space="preserve">. </w:t>
      </w:r>
    </w:p>
    <w:p w:rsidR="00731D63" w:rsidRPr="0057535D" w:rsidRDefault="00482505" w:rsidP="00482505">
      <w:pPr>
        <w:pStyle w:val="bt"/>
        <w:rPr>
          <w:lang w:val="en-AU"/>
        </w:rPr>
      </w:pPr>
      <w:r w:rsidRPr="0057535D">
        <w:rPr>
          <w:lang w:val="en-AU"/>
        </w:rPr>
        <w:t xml:space="preserve">Infrastructure investment in the education and health sectors is required to reverse population migration out of the region and promote the sustainability of towns. Alignment of education and health services with road and rail networks, particularly public transport, will </w:t>
      </w:r>
      <w:r w:rsidR="00045C2B" w:rsidRPr="0057535D">
        <w:rPr>
          <w:lang w:val="en-AU"/>
        </w:rPr>
        <w:t>help</w:t>
      </w:r>
      <w:r w:rsidR="00CC024E" w:rsidRPr="0057535D">
        <w:rPr>
          <w:lang w:val="en-AU"/>
        </w:rPr>
        <w:t xml:space="preserve"> </w:t>
      </w:r>
      <w:r w:rsidRPr="0057535D">
        <w:rPr>
          <w:lang w:val="en-AU"/>
        </w:rPr>
        <w:t>address regional disadvantage.</w:t>
      </w:r>
    </w:p>
    <w:p w:rsidR="00482505" w:rsidRPr="0057535D" w:rsidRDefault="00482505" w:rsidP="00187E04">
      <w:pPr>
        <w:pStyle w:val="Heading3"/>
        <w:rPr>
          <w:lang w:val="en-AU"/>
        </w:rPr>
      </w:pPr>
      <w:r w:rsidRPr="0057535D">
        <w:rPr>
          <w:lang w:val="en-AU"/>
        </w:rPr>
        <w:t>Manufacturing</w:t>
      </w:r>
    </w:p>
    <w:p w:rsidR="00482505" w:rsidRPr="0057535D" w:rsidRDefault="00482505" w:rsidP="00482505">
      <w:pPr>
        <w:pStyle w:val="bt"/>
        <w:rPr>
          <w:lang w:val="en-AU"/>
        </w:rPr>
      </w:pPr>
      <w:r w:rsidRPr="0057535D">
        <w:rPr>
          <w:lang w:val="en-AU"/>
        </w:rPr>
        <w:t>The region has a history of agriculture</w:t>
      </w:r>
      <w:r w:rsidR="00475D7A" w:rsidRPr="0057535D">
        <w:rPr>
          <w:lang w:val="en-AU"/>
        </w:rPr>
        <w:t>-</w:t>
      </w:r>
      <w:r w:rsidRPr="0057535D">
        <w:rPr>
          <w:lang w:val="en-AU"/>
        </w:rPr>
        <w:t xml:space="preserve">related manufacturing including </w:t>
      </w:r>
      <w:r w:rsidR="00475D7A" w:rsidRPr="0057535D">
        <w:rPr>
          <w:lang w:val="en-AU"/>
        </w:rPr>
        <w:t>fruit and vegetables</w:t>
      </w:r>
      <w:r w:rsidRPr="0057535D">
        <w:rPr>
          <w:lang w:val="en-AU"/>
        </w:rPr>
        <w:t xml:space="preserve">, </w:t>
      </w:r>
      <w:r w:rsidR="00475D7A" w:rsidRPr="0057535D">
        <w:rPr>
          <w:lang w:val="en-AU"/>
        </w:rPr>
        <w:t>dairy</w:t>
      </w:r>
      <w:r w:rsidRPr="0057535D">
        <w:rPr>
          <w:lang w:val="en-AU"/>
        </w:rPr>
        <w:t xml:space="preserve">, meat and grain processing and irrigation development. The manufacturing sector is </w:t>
      </w:r>
      <w:r w:rsidR="00423AAD" w:rsidRPr="0057535D">
        <w:rPr>
          <w:lang w:val="en-AU"/>
        </w:rPr>
        <w:t xml:space="preserve">a significant </w:t>
      </w:r>
      <w:r w:rsidRPr="0057535D">
        <w:rPr>
          <w:lang w:val="en-AU"/>
        </w:rPr>
        <w:t xml:space="preserve">economic contributor in Campaspe Shire and Mildura Rural City, while agriculture dominates in Buloke Shire, Gannawarra Shire and </w:t>
      </w:r>
      <w:r w:rsidRPr="0057535D">
        <w:rPr>
          <w:lang w:val="en-AU"/>
        </w:rPr>
        <w:lastRenderedPageBreak/>
        <w:t xml:space="preserve">Swan Hill Rural City. </w:t>
      </w:r>
      <w:r w:rsidR="008B0877" w:rsidRPr="0057535D">
        <w:rPr>
          <w:lang w:val="en-AU"/>
        </w:rPr>
        <w:t>Manufacturing had total output of $4</w:t>
      </w:r>
      <w:r w:rsidR="00423AAD" w:rsidRPr="0057535D">
        <w:rPr>
          <w:lang w:val="en-AU"/>
        </w:rPr>
        <w:t xml:space="preserve"> </w:t>
      </w:r>
      <w:r w:rsidR="008B0877" w:rsidRPr="0057535D">
        <w:rPr>
          <w:lang w:val="en-AU"/>
        </w:rPr>
        <w:t>billion in 2011, with 65</w:t>
      </w:r>
      <w:r w:rsidR="002031F9" w:rsidRPr="0057535D">
        <w:rPr>
          <w:lang w:val="en-AU"/>
        </w:rPr>
        <w:t xml:space="preserve"> per cent </w:t>
      </w:r>
      <w:r w:rsidR="008B0877" w:rsidRPr="0057535D">
        <w:rPr>
          <w:lang w:val="en-AU"/>
        </w:rPr>
        <w:t>of this coming from food processing</w:t>
      </w:r>
      <w:r w:rsidR="00423AAD" w:rsidRPr="0057535D">
        <w:rPr>
          <w:rStyle w:val="FootnoteReference"/>
          <w:lang w:val="en-AU"/>
        </w:rPr>
        <w:footnoteReference w:id="9"/>
      </w:r>
      <w:r w:rsidR="008B0877" w:rsidRPr="0057535D">
        <w:rPr>
          <w:lang w:val="en-AU"/>
        </w:rPr>
        <w:t>.</w:t>
      </w:r>
    </w:p>
    <w:p w:rsidR="00482505" w:rsidRPr="0057535D" w:rsidRDefault="00482505" w:rsidP="00482505">
      <w:pPr>
        <w:pStyle w:val="bt"/>
        <w:rPr>
          <w:lang w:val="en-AU"/>
        </w:rPr>
      </w:pPr>
      <w:r w:rsidRPr="0057535D">
        <w:rPr>
          <w:lang w:val="en-AU"/>
        </w:rPr>
        <w:t>There are opportunities to further support</w:t>
      </w:r>
      <w:r w:rsidR="00045C2B" w:rsidRPr="0057535D">
        <w:rPr>
          <w:lang w:val="en-AU"/>
        </w:rPr>
        <w:t xml:space="preserve"> </w:t>
      </w:r>
      <w:r w:rsidRPr="0057535D">
        <w:rPr>
          <w:lang w:val="en-AU"/>
        </w:rPr>
        <w:t>the manufacturing sector</w:t>
      </w:r>
      <w:r w:rsidR="00045C2B" w:rsidRPr="0057535D">
        <w:rPr>
          <w:lang w:val="en-AU"/>
        </w:rPr>
        <w:t xml:space="preserve"> by</w:t>
      </w:r>
      <w:r w:rsidRPr="0057535D">
        <w:rPr>
          <w:lang w:val="en-AU"/>
        </w:rPr>
        <w:t xml:space="preserve"> developing supply chain linkages</w:t>
      </w:r>
      <w:r w:rsidR="00045C2B" w:rsidRPr="0057535D">
        <w:rPr>
          <w:lang w:val="en-AU"/>
        </w:rPr>
        <w:t xml:space="preserve"> and</w:t>
      </w:r>
      <w:r w:rsidRPr="0057535D">
        <w:rPr>
          <w:lang w:val="en-AU"/>
        </w:rPr>
        <w:t xml:space="preserve"> processing products from neighbouring regions and across </w:t>
      </w:r>
      <w:r w:rsidR="00045C2B" w:rsidRPr="0057535D">
        <w:rPr>
          <w:lang w:val="en-AU"/>
        </w:rPr>
        <w:t>state</w:t>
      </w:r>
      <w:r w:rsidRPr="0057535D">
        <w:rPr>
          <w:lang w:val="en-AU"/>
        </w:rPr>
        <w:t xml:space="preserve"> border</w:t>
      </w:r>
      <w:r w:rsidR="00045C2B" w:rsidRPr="0057535D">
        <w:rPr>
          <w:lang w:val="en-AU"/>
        </w:rPr>
        <w:t>s</w:t>
      </w:r>
      <w:r w:rsidRPr="0057535D">
        <w:rPr>
          <w:lang w:val="en-AU"/>
        </w:rPr>
        <w:t>. Attracting significant investment in high value agricultural production, processing and manufacturing is important to growing this sector.</w:t>
      </w:r>
    </w:p>
    <w:p w:rsidR="00482505" w:rsidRPr="0057535D" w:rsidRDefault="00482505" w:rsidP="00482505">
      <w:pPr>
        <w:pStyle w:val="bt"/>
        <w:rPr>
          <w:lang w:val="en-AU"/>
        </w:rPr>
      </w:pPr>
      <w:r w:rsidRPr="0057535D">
        <w:rPr>
          <w:lang w:val="en-AU"/>
        </w:rPr>
        <w:t>Ensuring efficient infrastructure, particularly freight transport networks and logistics</w:t>
      </w:r>
      <w:r w:rsidR="006B1E9D">
        <w:rPr>
          <w:lang w:val="en-AU"/>
        </w:rPr>
        <w:t>,</w:t>
      </w:r>
      <w:r w:rsidRPr="0057535D">
        <w:rPr>
          <w:lang w:val="en-AU"/>
        </w:rPr>
        <w:t xml:space="preserve"> and adequate industrial zoned land is critical to attracting and maintain</w:t>
      </w:r>
      <w:r w:rsidR="00045C2B" w:rsidRPr="0057535D">
        <w:rPr>
          <w:lang w:val="en-AU"/>
        </w:rPr>
        <w:t>ing</w:t>
      </w:r>
      <w:r w:rsidRPr="0057535D">
        <w:rPr>
          <w:lang w:val="en-AU"/>
        </w:rPr>
        <w:t xml:space="preserve"> manufacturing businesses and industry in the region. Opportunities exist for strategic location of new manufacturing to align with alternative energy generation and secure supplies of high quality water available in modern water delivery infrastructure.</w:t>
      </w:r>
    </w:p>
    <w:p w:rsidR="00482505" w:rsidRPr="0057535D" w:rsidRDefault="00482505" w:rsidP="00187E04">
      <w:pPr>
        <w:pStyle w:val="Heading3"/>
        <w:rPr>
          <w:lang w:val="en-AU"/>
        </w:rPr>
      </w:pPr>
      <w:r w:rsidRPr="0057535D">
        <w:rPr>
          <w:lang w:val="en-AU"/>
        </w:rPr>
        <w:t>Tourism and ecotourism</w:t>
      </w:r>
    </w:p>
    <w:p w:rsidR="00482505" w:rsidRPr="0057535D" w:rsidRDefault="00482505" w:rsidP="00482505">
      <w:pPr>
        <w:pStyle w:val="bt"/>
        <w:rPr>
          <w:lang w:val="en-AU"/>
        </w:rPr>
      </w:pPr>
      <w:r w:rsidRPr="0057535D">
        <w:rPr>
          <w:lang w:val="en-AU"/>
        </w:rPr>
        <w:t xml:space="preserve">The Loddon Mallee North region is an attractive tourism destination known for its </w:t>
      </w:r>
      <w:r w:rsidR="00F3735F" w:rsidRPr="0057535D">
        <w:rPr>
          <w:lang w:val="en-AU"/>
        </w:rPr>
        <w:t xml:space="preserve">environmental </w:t>
      </w:r>
      <w:r w:rsidRPr="0057535D">
        <w:rPr>
          <w:lang w:val="en-AU"/>
        </w:rPr>
        <w:t>assets and landscapes</w:t>
      </w:r>
      <w:r w:rsidR="002031F9" w:rsidRPr="0057535D">
        <w:rPr>
          <w:lang w:val="en-AU"/>
        </w:rPr>
        <w:t>,</w:t>
      </w:r>
      <w:r w:rsidRPr="0057535D">
        <w:rPr>
          <w:lang w:val="en-AU"/>
        </w:rPr>
        <w:t xml:space="preserve"> including the Murray River a</w:t>
      </w:r>
      <w:r w:rsidR="00D87FBA" w:rsidRPr="0057535D">
        <w:rPr>
          <w:lang w:val="en-AU"/>
        </w:rPr>
        <w:t>nd national parks</w:t>
      </w:r>
      <w:r w:rsidR="002031F9" w:rsidRPr="0057535D">
        <w:rPr>
          <w:lang w:val="en-AU"/>
        </w:rPr>
        <w:t>,</w:t>
      </w:r>
      <w:r w:rsidR="00D87FBA" w:rsidRPr="0057535D">
        <w:rPr>
          <w:lang w:val="en-AU"/>
        </w:rPr>
        <w:t xml:space="preserve"> as well as</w:t>
      </w:r>
      <w:r w:rsidRPr="0057535D">
        <w:rPr>
          <w:lang w:val="en-AU"/>
        </w:rPr>
        <w:t xml:space="preserve"> </w:t>
      </w:r>
      <w:r w:rsidR="00625EED" w:rsidRPr="0057535D">
        <w:rPr>
          <w:lang w:val="en-AU"/>
        </w:rPr>
        <w:t xml:space="preserve">Mildura, the </w:t>
      </w:r>
      <w:r w:rsidRPr="0057535D">
        <w:rPr>
          <w:lang w:val="en-AU"/>
        </w:rPr>
        <w:t>Port of Echuca and Swan Hill Pioneer Settlement. Popular activities include camping, boating, recreational fishing and bushwalking. Visitors are drawn to the region fo</w:t>
      </w:r>
      <w:r w:rsidR="00887ED1" w:rsidRPr="0057535D">
        <w:rPr>
          <w:lang w:val="en-AU"/>
        </w:rPr>
        <w:t xml:space="preserve">r its rich environmental assets, </w:t>
      </w:r>
      <w:r w:rsidRPr="0057535D">
        <w:rPr>
          <w:lang w:val="en-AU"/>
        </w:rPr>
        <w:t xml:space="preserve">cultural heritage </w:t>
      </w:r>
      <w:r w:rsidR="00887ED1" w:rsidRPr="0057535D">
        <w:rPr>
          <w:lang w:val="en-AU"/>
        </w:rPr>
        <w:t xml:space="preserve">and </w:t>
      </w:r>
      <w:r w:rsidRPr="0057535D">
        <w:rPr>
          <w:lang w:val="en-AU"/>
        </w:rPr>
        <w:t xml:space="preserve">attractive towns. </w:t>
      </w:r>
      <w:r w:rsidR="004B3A6F" w:rsidRPr="0057535D">
        <w:rPr>
          <w:lang w:val="en-AU"/>
        </w:rPr>
        <w:t>The r</w:t>
      </w:r>
      <w:r w:rsidR="00545851" w:rsidRPr="0057535D">
        <w:rPr>
          <w:lang w:val="en-AU"/>
        </w:rPr>
        <w:t>egion hosts major events</w:t>
      </w:r>
      <w:r w:rsidR="002031F9" w:rsidRPr="0057535D">
        <w:rPr>
          <w:lang w:val="en-AU"/>
        </w:rPr>
        <w:t>,</w:t>
      </w:r>
      <w:r w:rsidR="00545851" w:rsidRPr="0057535D">
        <w:rPr>
          <w:lang w:val="en-AU"/>
        </w:rPr>
        <w:t xml:space="preserve"> such as the Mildura Jazz </w:t>
      </w:r>
      <w:r w:rsidR="00E34AE7">
        <w:rPr>
          <w:lang w:val="en-AU"/>
        </w:rPr>
        <w:t xml:space="preserve">Food and Wine </w:t>
      </w:r>
      <w:r w:rsidR="00545851" w:rsidRPr="0057535D">
        <w:rPr>
          <w:lang w:val="en-AU"/>
        </w:rPr>
        <w:t xml:space="preserve">Festival, Opera </w:t>
      </w:r>
      <w:r w:rsidR="002D0991" w:rsidRPr="0057535D">
        <w:rPr>
          <w:lang w:val="en-AU"/>
        </w:rPr>
        <w:t>by</w:t>
      </w:r>
      <w:r w:rsidR="00545851" w:rsidRPr="0057535D">
        <w:rPr>
          <w:lang w:val="en-AU"/>
        </w:rPr>
        <w:t xml:space="preserve"> the Loc</w:t>
      </w:r>
      <w:r w:rsidR="002D0991" w:rsidRPr="0057535D">
        <w:rPr>
          <w:lang w:val="en-AU"/>
        </w:rPr>
        <w:t>k</w:t>
      </w:r>
      <w:r w:rsidR="00545851" w:rsidRPr="0057535D">
        <w:rPr>
          <w:lang w:val="en-AU"/>
        </w:rPr>
        <w:t xml:space="preserve">, Southern 80 </w:t>
      </w:r>
      <w:r w:rsidR="006B1E9D">
        <w:rPr>
          <w:lang w:val="en-AU"/>
        </w:rPr>
        <w:t>S</w:t>
      </w:r>
      <w:r w:rsidR="00545851" w:rsidRPr="0057535D">
        <w:rPr>
          <w:lang w:val="en-AU"/>
        </w:rPr>
        <w:t xml:space="preserve">ki </w:t>
      </w:r>
      <w:r w:rsidR="006B1E9D">
        <w:rPr>
          <w:lang w:val="en-AU"/>
        </w:rPr>
        <w:t>R</w:t>
      </w:r>
      <w:r w:rsidR="006B1E9D" w:rsidRPr="0057535D">
        <w:rPr>
          <w:lang w:val="en-AU"/>
        </w:rPr>
        <w:t>ace</w:t>
      </w:r>
      <w:r w:rsidR="00545851" w:rsidRPr="0057535D">
        <w:rPr>
          <w:lang w:val="en-AU"/>
        </w:rPr>
        <w:t xml:space="preserve">, </w:t>
      </w:r>
      <w:r w:rsidR="00833FCD" w:rsidRPr="0057535D">
        <w:rPr>
          <w:lang w:val="en-AU"/>
        </w:rPr>
        <w:t>Riverboats Mus</w:t>
      </w:r>
      <w:r w:rsidR="00887ED1" w:rsidRPr="0057535D">
        <w:rPr>
          <w:lang w:val="en-AU"/>
        </w:rPr>
        <w:t>ic Festival, Echuca Steam Rally and</w:t>
      </w:r>
      <w:r w:rsidR="00833FCD" w:rsidRPr="0057535D">
        <w:rPr>
          <w:lang w:val="en-AU"/>
        </w:rPr>
        <w:t xml:space="preserve"> </w:t>
      </w:r>
      <w:r w:rsidR="00045C2B" w:rsidRPr="0057535D">
        <w:rPr>
          <w:lang w:val="en-AU"/>
        </w:rPr>
        <w:t xml:space="preserve">the </w:t>
      </w:r>
      <w:r w:rsidR="00833FCD" w:rsidRPr="0057535D">
        <w:rPr>
          <w:lang w:val="en-AU"/>
        </w:rPr>
        <w:t>Murray Marathon.</w:t>
      </w:r>
      <w:r w:rsidR="00887ED1" w:rsidRPr="0057535D">
        <w:rPr>
          <w:lang w:val="en-AU"/>
        </w:rPr>
        <w:t xml:space="preserve"> V</w:t>
      </w:r>
      <w:r w:rsidRPr="0057535D">
        <w:rPr>
          <w:lang w:val="en-AU"/>
        </w:rPr>
        <w:t xml:space="preserve">isitors support art and recreation, tourism </w:t>
      </w:r>
      <w:r w:rsidR="00DF05C4">
        <w:rPr>
          <w:lang w:val="en-AU"/>
        </w:rPr>
        <w:t>and hospitality services.</w:t>
      </w:r>
    </w:p>
    <w:p w:rsidR="00482505" w:rsidRPr="0057535D" w:rsidRDefault="00482505" w:rsidP="00482505">
      <w:pPr>
        <w:pStyle w:val="bt"/>
        <w:rPr>
          <w:lang w:val="en-AU"/>
        </w:rPr>
      </w:pPr>
      <w:r w:rsidRPr="0057535D">
        <w:rPr>
          <w:lang w:val="en-AU"/>
        </w:rPr>
        <w:t xml:space="preserve">Further tourism </w:t>
      </w:r>
      <w:r w:rsidR="00045C2B" w:rsidRPr="0057535D">
        <w:rPr>
          <w:lang w:val="en-AU"/>
        </w:rPr>
        <w:t xml:space="preserve">growth </w:t>
      </w:r>
      <w:r w:rsidRPr="0057535D">
        <w:rPr>
          <w:lang w:val="en-AU"/>
        </w:rPr>
        <w:t>across the region will require promotion and continued investment in existing tourism attractions, as well as strategically located accommodation and facilities to access new attractions. There may be opportunities to attract private investment for appropriate touris</w:t>
      </w:r>
      <w:r w:rsidR="00D942A3" w:rsidRPr="0057535D">
        <w:rPr>
          <w:lang w:val="en-AU"/>
        </w:rPr>
        <w:t xml:space="preserve">m infrastructure on public land, </w:t>
      </w:r>
      <w:r w:rsidR="00F3735F" w:rsidRPr="0057535D">
        <w:rPr>
          <w:lang w:val="en-AU"/>
        </w:rPr>
        <w:t>including</w:t>
      </w:r>
      <w:r w:rsidR="00D942A3" w:rsidRPr="0057535D">
        <w:rPr>
          <w:lang w:val="en-AU"/>
        </w:rPr>
        <w:t xml:space="preserve"> </w:t>
      </w:r>
      <w:r w:rsidR="00B11877" w:rsidRPr="0057535D">
        <w:rPr>
          <w:lang w:val="en-AU"/>
        </w:rPr>
        <w:t>n</w:t>
      </w:r>
      <w:r w:rsidR="00D942A3" w:rsidRPr="0057535D">
        <w:rPr>
          <w:lang w:val="en-AU"/>
        </w:rPr>
        <w:t xml:space="preserve">ational </w:t>
      </w:r>
      <w:r w:rsidR="00B11877" w:rsidRPr="0057535D">
        <w:rPr>
          <w:lang w:val="en-AU"/>
        </w:rPr>
        <w:t>p</w:t>
      </w:r>
      <w:r w:rsidR="00D942A3" w:rsidRPr="0057535D">
        <w:rPr>
          <w:lang w:val="en-AU"/>
        </w:rPr>
        <w:t xml:space="preserve">arks, </w:t>
      </w:r>
      <w:r w:rsidRPr="0057535D">
        <w:rPr>
          <w:lang w:val="en-AU"/>
        </w:rPr>
        <w:t xml:space="preserve">to benefit regional tourism. Flexibility </w:t>
      </w:r>
      <w:r w:rsidR="00340629" w:rsidRPr="0057535D">
        <w:rPr>
          <w:lang w:val="en-AU"/>
        </w:rPr>
        <w:t xml:space="preserve">is supported </w:t>
      </w:r>
      <w:r w:rsidRPr="0057535D">
        <w:rPr>
          <w:lang w:val="en-AU"/>
        </w:rPr>
        <w:t>for the development of agritourism opportunities, in conjunction with agricultural use.</w:t>
      </w:r>
    </w:p>
    <w:p w:rsidR="00D156F9" w:rsidRDefault="00482505">
      <w:pPr>
        <w:pStyle w:val="Heading4"/>
      </w:pPr>
      <w:r w:rsidRPr="0057535D">
        <w:t>Natural resources</w:t>
      </w:r>
    </w:p>
    <w:p w:rsidR="00D156F9" w:rsidRDefault="00482505">
      <w:pPr>
        <w:pStyle w:val="Heading3"/>
        <w:rPr>
          <w:lang w:val="en-AU"/>
        </w:rPr>
      </w:pPr>
      <w:r w:rsidRPr="0057535D">
        <w:rPr>
          <w:lang w:val="en-AU"/>
        </w:rPr>
        <w:t>Energy generation</w:t>
      </w:r>
    </w:p>
    <w:p w:rsidR="00482505" w:rsidRPr="0057535D" w:rsidRDefault="00482505" w:rsidP="00482505">
      <w:pPr>
        <w:pStyle w:val="bt"/>
        <w:rPr>
          <w:lang w:val="en-AU"/>
        </w:rPr>
      </w:pPr>
      <w:r w:rsidRPr="0057535D">
        <w:rPr>
          <w:lang w:val="en-AU"/>
        </w:rPr>
        <w:t xml:space="preserve">Innovation in new technologies, farming practices and renewable </w:t>
      </w:r>
      <w:r w:rsidR="00881739" w:rsidRPr="0057535D">
        <w:rPr>
          <w:lang w:val="en-AU"/>
        </w:rPr>
        <w:t>energy</w:t>
      </w:r>
      <w:r w:rsidRPr="0057535D">
        <w:rPr>
          <w:lang w:val="en-AU"/>
        </w:rPr>
        <w:t xml:space="preserve"> will foster opportunities for carbon sequestration</w:t>
      </w:r>
      <w:r w:rsidR="00881739" w:rsidRPr="0057535D">
        <w:rPr>
          <w:lang w:val="en-AU"/>
        </w:rPr>
        <w:t xml:space="preserve"> and</w:t>
      </w:r>
      <w:r w:rsidRPr="0057535D">
        <w:rPr>
          <w:lang w:val="en-AU"/>
        </w:rPr>
        <w:t xml:space="preserve"> biomass production. On-farm options for new energy generation include bioenergy/biofuels produced from agricultur</w:t>
      </w:r>
      <w:r w:rsidR="00045C2B" w:rsidRPr="0057535D">
        <w:rPr>
          <w:lang w:val="en-AU"/>
        </w:rPr>
        <w:t>al</w:t>
      </w:r>
      <w:r w:rsidRPr="0057535D">
        <w:rPr>
          <w:lang w:val="en-AU"/>
        </w:rPr>
        <w:t xml:space="preserve"> wastes through </w:t>
      </w:r>
      <w:r w:rsidR="00045C2B" w:rsidRPr="0057535D">
        <w:rPr>
          <w:lang w:val="en-AU"/>
        </w:rPr>
        <w:t xml:space="preserve">to </w:t>
      </w:r>
      <w:r w:rsidRPr="0057535D">
        <w:rPr>
          <w:lang w:val="en-AU"/>
        </w:rPr>
        <w:t>various future biotechnologies</w:t>
      </w:r>
      <w:r w:rsidR="00F3735F" w:rsidRPr="0057535D">
        <w:rPr>
          <w:lang w:val="en-AU"/>
        </w:rPr>
        <w:t>.</w:t>
      </w:r>
      <w:r w:rsidRPr="0057535D">
        <w:rPr>
          <w:lang w:val="en-AU"/>
        </w:rPr>
        <w:t xml:space="preserve"> Many technologies can occur concurrently with the primary agricultural use of the land</w:t>
      </w:r>
      <w:r w:rsidR="00F3735F" w:rsidRPr="0057535D">
        <w:rPr>
          <w:lang w:val="en-AU"/>
        </w:rPr>
        <w:t>.</w:t>
      </w:r>
      <w:r w:rsidRPr="0057535D">
        <w:rPr>
          <w:lang w:val="en-AU"/>
        </w:rPr>
        <w:t xml:space="preserve"> Programs and land use controls </w:t>
      </w:r>
      <w:r w:rsidR="00F3735F" w:rsidRPr="0057535D">
        <w:rPr>
          <w:lang w:val="en-AU"/>
        </w:rPr>
        <w:t xml:space="preserve">to </w:t>
      </w:r>
      <w:r w:rsidRPr="0057535D">
        <w:rPr>
          <w:lang w:val="en-AU"/>
        </w:rPr>
        <w:t>allow for such uses are required to facilitate these activities on farms.</w:t>
      </w:r>
    </w:p>
    <w:p w:rsidR="00482505" w:rsidRPr="0057535D" w:rsidRDefault="00482505" w:rsidP="00482505">
      <w:pPr>
        <w:pStyle w:val="bt"/>
        <w:rPr>
          <w:lang w:val="en-AU"/>
        </w:rPr>
      </w:pPr>
      <w:r w:rsidRPr="0057535D">
        <w:rPr>
          <w:lang w:val="en-AU"/>
        </w:rPr>
        <w:t>Carbon market initiatives and energy generation activities, and their potential effect on</w:t>
      </w:r>
      <w:r w:rsidR="00F3735F" w:rsidRPr="0057535D">
        <w:rPr>
          <w:lang w:val="en-AU"/>
        </w:rPr>
        <w:t xml:space="preserve"> the</w:t>
      </w:r>
      <w:r w:rsidRPr="0057535D">
        <w:rPr>
          <w:lang w:val="en-AU"/>
        </w:rPr>
        <w:t xml:space="preserve"> long-term agricultural </w:t>
      </w:r>
      <w:r w:rsidR="00F3735F" w:rsidRPr="0057535D">
        <w:rPr>
          <w:lang w:val="en-AU"/>
        </w:rPr>
        <w:t xml:space="preserve">productivity </w:t>
      </w:r>
      <w:r w:rsidRPr="0057535D">
        <w:rPr>
          <w:lang w:val="en-AU"/>
        </w:rPr>
        <w:t xml:space="preserve">of high value agricultural land, need to be carefully considered in land use policy. These same carbon initiatives and energy generation activities can coexist and </w:t>
      </w:r>
      <w:r w:rsidR="007E5732" w:rsidRPr="0057535D">
        <w:rPr>
          <w:lang w:val="en-AU"/>
        </w:rPr>
        <w:t xml:space="preserve">complement </w:t>
      </w:r>
      <w:r w:rsidRPr="0057535D">
        <w:rPr>
          <w:lang w:val="en-AU"/>
        </w:rPr>
        <w:t xml:space="preserve">agricultural land uses, supporting diversification and growth opportunities for the agricultural sector. </w:t>
      </w:r>
    </w:p>
    <w:p w:rsidR="00CA40A5" w:rsidRDefault="00482505" w:rsidP="00482505">
      <w:pPr>
        <w:pStyle w:val="bt"/>
        <w:rPr>
          <w:lang w:val="en-AU"/>
        </w:rPr>
      </w:pPr>
      <w:r w:rsidRPr="0057535D">
        <w:rPr>
          <w:lang w:val="en-AU"/>
        </w:rPr>
        <w:t xml:space="preserve">The </w:t>
      </w:r>
      <w:r w:rsidR="0052071E" w:rsidRPr="0057535D">
        <w:rPr>
          <w:lang w:val="en-AU"/>
        </w:rPr>
        <w:t>Loddon Mallee North Utilities Infrastructure Study (2013)</w:t>
      </w:r>
      <w:r w:rsidRPr="0057535D">
        <w:rPr>
          <w:lang w:val="en-AU"/>
        </w:rPr>
        <w:t xml:space="preserve"> considered the viability of </w:t>
      </w:r>
      <w:r w:rsidR="00C67190" w:rsidRPr="0057535D">
        <w:rPr>
          <w:lang w:val="en-AU"/>
        </w:rPr>
        <w:t xml:space="preserve">alternative </w:t>
      </w:r>
      <w:r w:rsidRPr="0057535D">
        <w:rPr>
          <w:lang w:val="en-AU"/>
        </w:rPr>
        <w:t>energy generation in the region. The study found there were a number of towns with capacity for energy input to the national grid</w:t>
      </w:r>
      <w:r w:rsidR="007E5732" w:rsidRPr="0057535D">
        <w:rPr>
          <w:lang w:val="en-AU"/>
        </w:rPr>
        <w:t>,</w:t>
      </w:r>
      <w:r w:rsidRPr="0057535D">
        <w:rPr>
          <w:lang w:val="en-AU"/>
        </w:rPr>
        <w:t xml:space="preserve"> including Cohuna, Echuca, </w:t>
      </w:r>
      <w:r w:rsidR="00BA5567" w:rsidRPr="0057535D">
        <w:rPr>
          <w:lang w:val="en-AU"/>
        </w:rPr>
        <w:t xml:space="preserve">Kerang, </w:t>
      </w:r>
      <w:r w:rsidRPr="0057535D">
        <w:rPr>
          <w:lang w:val="en-AU"/>
        </w:rPr>
        <w:t xml:space="preserve">Kyabram, Merbein, Mildura, Ouyen, Red Cliffs, Robinvale and Swan Hill. </w:t>
      </w:r>
      <w:r w:rsidR="00BA3CC8" w:rsidRPr="0057535D">
        <w:rPr>
          <w:lang w:val="en-AU"/>
        </w:rPr>
        <w:t>Swan Hill and Gannawarra</w:t>
      </w:r>
      <w:r w:rsidR="007E5732" w:rsidRPr="0057535D">
        <w:rPr>
          <w:lang w:val="en-AU"/>
        </w:rPr>
        <w:t xml:space="preserve"> municipalities</w:t>
      </w:r>
      <w:r w:rsidR="00BA3CC8" w:rsidRPr="0057535D">
        <w:rPr>
          <w:lang w:val="en-AU"/>
        </w:rPr>
        <w:t xml:space="preserve"> have jointly prepared a prospectus to attract investment in solar energy generation.</w:t>
      </w:r>
    </w:p>
    <w:p w:rsidR="00D156F9" w:rsidRDefault="00482505">
      <w:pPr>
        <w:pStyle w:val="Heading3"/>
        <w:rPr>
          <w:lang w:val="en-AU"/>
        </w:rPr>
      </w:pPr>
      <w:r w:rsidRPr="0057535D">
        <w:rPr>
          <w:lang w:val="en-AU"/>
        </w:rPr>
        <w:t>Earth resources and mining</w:t>
      </w:r>
    </w:p>
    <w:p w:rsidR="00C67190" w:rsidRPr="0057535D" w:rsidRDefault="00335056" w:rsidP="00482505">
      <w:pPr>
        <w:pStyle w:val="bt"/>
        <w:rPr>
          <w:lang w:val="en-AU"/>
        </w:rPr>
      </w:pPr>
      <w:r w:rsidRPr="0057535D">
        <w:rPr>
          <w:lang w:val="en-AU"/>
        </w:rPr>
        <w:lastRenderedPageBreak/>
        <w:t>The mining of m</w:t>
      </w:r>
      <w:r w:rsidR="00482505" w:rsidRPr="0057535D">
        <w:rPr>
          <w:lang w:val="en-AU"/>
        </w:rPr>
        <w:t>ineral sand</w:t>
      </w:r>
      <w:r w:rsidRPr="0057535D">
        <w:rPr>
          <w:lang w:val="en-AU"/>
        </w:rPr>
        <w:t>s</w:t>
      </w:r>
      <w:r w:rsidR="00AF7928" w:rsidRPr="0057535D">
        <w:rPr>
          <w:lang w:val="en-AU"/>
        </w:rPr>
        <w:t>, gypsum</w:t>
      </w:r>
      <w:r w:rsidR="00511329" w:rsidRPr="0057535D">
        <w:rPr>
          <w:lang w:val="en-AU"/>
        </w:rPr>
        <w:t>, sand and stone</w:t>
      </w:r>
      <w:r w:rsidRPr="0057535D">
        <w:rPr>
          <w:lang w:val="en-AU"/>
        </w:rPr>
        <w:t xml:space="preserve"> and</w:t>
      </w:r>
      <w:r w:rsidR="00AF7928" w:rsidRPr="0057535D">
        <w:rPr>
          <w:lang w:val="en-AU"/>
        </w:rPr>
        <w:t xml:space="preserve"> gold</w:t>
      </w:r>
      <w:r w:rsidRPr="0057535D">
        <w:rPr>
          <w:lang w:val="en-AU"/>
        </w:rPr>
        <w:t>,</w:t>
      </w:r>
      <w:r w:rsidR="00482505" w:rsidRPr="0057535D">
        <w:rPr>
          <w:lang w:val="en-AU"/>
        </w:rPr>
        <w:t xml:space="preserve"> and salt extraction </w:t>
      </w:r>
      <w:r w:rsidRPr="0057535D">
        <w:rPr>
          <w:lang w:val="en-AU"/>
        </w:rPr>
        <w:t xml:space="preserve">are </w:t>
      </w:r>
      <w:r w:rsidR="00482505" w:rsidRPr="0057535D">
        <w:rPr>
          <w:lang w:val="en-AU"/>
        </w:rPr>
        <w:t xml:space="preserve">establishing a stronger presence in </w:t>
      </w:r>
      <w:r w:rsidR="00D53054" w:rsidRPr="0057535D">
        <w:rPr>
          <w:lang w:val="en-AU"/>
        </w:rPr>
        <w:t xml:space="preserve">the </w:t>
      </w:r>
      <w:r w:rsidR="00482505" w:rsidRPr="0057535D">
        <w:rPr>
          <w:lang w:val="en-AU"/>
        </w:rPr>
        <w:t xml:space="preserve">Loddon Mallee North </w:t>
      </w:r>
      <w:r w:rsidR="00D53054" w:rsidRPr="0057535D">
        <w:rPr>
          <w:lang w:val="en-AU"/>
        </w:rPr>
        <w:t xml:space="preserve">region </w:t>
      </w:r>
      <w:r w:rsidR="00482505" w:rsidRPr="0057535D">
        <w:rPr>
          <w:lang w:val="en-AU"/>
        </w:rPr>
        <w:t xml:space="preserve">and are bringing economic benefits to the local economy. Further development of these industries will require suitable road and rail infrastructure linking production with processors and ports for export. Consideration is required to provide suitable accommodation </w:t>
      </w:r>
      <w:r w:rsidR="00D53054" w:rsidRPr="0057535D">
        <w:rPr>
          <w:lang w:val="en-AU"/>
        </w:rPr>
        <w:t>for</w:t>
      </w:r>
      <w:r w:rsidR="00482505" w:rsidRPr="0057535D">
        <w:rPr>
          <w:lang w:val="en-AU"/>
        </w:rPr>
        <w:t xml:space="preserve"> a mobile workforce </w:t>
      </w:r>
      <w:r w:rsidR="00D53054" w:rsidRPr="0057535D">
        <w:rPr>
          <w:lang w:val="en-AU"/>
        </w:rPr>
        <w:t>that exhibits</w:t>
      </w:r>
      <w:r w:rsidR="00482505" w:rsidRPr="0057535D">
        <w:rPr>
          <w:lang w:val="en-AU"/>
        </w:rPr>
        <w:t xml:space="preserve"> cyclical ho</w:t>
      </w:r>
      <w:r w:rsidR="00625EED" w:rsidRPr="0057535D">
        <w:rPr>
          <w:lang w:val="en-AU"/>
        </w:rPr>
        <w:t>u</w:t>
      </w:r>
      <w:r w:rsidR="00482505" w:rsidRPr="0057535D">
        <w:rPr>
          <w:lang w:val="en-AU"/>
        </w:rPr>
        <w:t>sing demand</w:t>
      </w:r>
      <w:r w:rsidR="00D53054" w:rsidRPr="0057535D">
        <w:rPr>
          <w:lang w:val="en-AU"/>
        </w:rPr>
        <w:t>. It will also be important to</w:t>
      </w:r>
      <w:r w:rsidR="00826845" w:rsidRPr="0057535D">
        <w:rPr>
          <w:lang w:val="en-AU"/>
        </w:rPr>
        <w:t xml:space="preserve"> </w:t>
      </w:r>
      <w:r w:rsidR="00D379A1" w:rsidRPr="0057535D">
        <w:rPr>
          <w:lang w:val="en-AU"/>
        </w:rPr>
        <w:t xml:space="preserve">capture the benefits </w:t>
      </w:r>
      <w:r w:rsidR="00887ED1" w:rsidRPr="0057535D">
        <w:rPr>
          <w:lang w:val="en-AU"/>
        </w:rPr>
        <w:t xml:space="preserve">that </w:t>
      </w:r>
      <w:r w:rsidR="00D53054" w:rsidRPr="0057535D">
        <w:rPr>
          <w:lang w:val="en-AU"/>
        </w:rPr>
        <w:t>mineral sand mining and salt extraction industries can bring in terms of population change and growth.</w:t>
      </w:r>
      <w:r w:rsidR="00482505" w:rsidRPr="0057535D">
        <w:rPr>
          <w:lang w:val="en-AU"/>
        </w:rPr>
        <w:t xml:space="preserve"> </w:t>
      </w:r>
    </w:p>
    <w:p w:rsidR="00482505" w:rsidRPr="0057535D" w:rsidRDefault="00C67190" w:rsidP="00482505">
      <w:pPr>
        <w:pStyle w:val="bt"/>
        <w:rPr>
          <w:lang w:val="en-AU"/>
        </w:rPr>
      </w:pPr>
      <w:r w:rsidRPr="0057535D">
        <w:rPr>
          <w:lang w:val="en-AU"/>
        </w:rPr>
        <w:t>M</w:t>
      </w:r>
      <w:r w:rsidR="00482505" w:rsidRPr="0057535D">
        <w:rPr>
          <w:lang w:val="en-AU"/>
        </w:rPr>
        <w:t>ineral</w:t>
      </w:r>
      <w:r w:rsidR="00511329" w:rsidRPr="0057535D">
        <w:rPr>
          <w:lang w:val="en-AU"/>
        </w:rPr>
        <w:t xml:space="preserve"> sands and sand and stone</w:t>
      </w:r>
      <w:r w:rsidR="00482505" w:rsidRPr="0057535D">
        <w:rPr>
          <w:lang w:val="en-AU"/>
        </w:rPr>
        <w:t xml:space="preserve"> </w:t>
      </w:r>
      <w:r w:rsidRPr="0057535D">
        <w:rPr>
          <w:lang w:val="en-AU"/>
        </w:rPr>
        <w:t xml:space="preserve">deposits </w:t>
      </w:r>
      <w:r w:rsidR="00482505" w:rsidRPr="0057535D">
        <w:rPr>
          <w:lang w:val="en-AU"/>
        </w:rPr>
        <w:t xml:space="preserve">have significant economic potential and it is recognised </w:t>
      </w:r>
      <w:r w:rsidR="00511329" w:rsidRPr="0057535D">
        <w:rPr>
          <w:lang w:val="en-AU"/>
        </w:rPr>
        <w:t xml:space="preserve">that incompatible development and land uses such as residential and industrial developments </w:t>
      </w:r>
      <w:r w:rsidR="00482505" w:rsidRPr="0057535D">
        <w:rPr>
          <w:lang w:val="en-AU"/>
        </w:rPr>
        <w:t>in proximity to these resources can lead to constraints on ext</w:t>
      </w:r>
      <w:r w:rsidR="00625EED" w:rsidRPr="0057535D">
        <w:rPr>
          <w:lang w:val="en-AU"/>
        </w:rPr>
        <w:t>raction. Appropriate buffers to</w:t>
      </w:r>
      <w:r w:rsidR="00482505" w:rsidRPr="0057535D">
        <w:rPr>
          <w:lang w:val="en-AU"/>
        </w:rPr>
        <w:t xml:space="preserve"> protect existing and new activities need to be recognised.</w:t>
      </w:r>
    </w:p>
    <w:p w:rsidR="00BA7A69" w:rsidRPr="0057535D" w:rsidRDefault="00BA7A69" w:rsidP="00482505">
      <w:pPr>
        <w:pStyle w:val="bt"/>
        <w:rPr>
          <w:lang w:val="en-AU"/>
        </w:rPr>
      </w:pPr>
      <w:r w:rsidRPr="0057535D">
        <w:rPr>
          <w:rFonts w:cs="Calibri"/>
          <w:color w:val="000000"/>
          <w:szCs w:val="20"/>
          <w:lang w:val="en-AU"/>
        </w:rPr>
        <w:t>Extractive industry interest areas occur within the region, which contain areas of known future interest to the extractive minerals industry</w:t>
      </w:r>
      <w:r w:rsidR="00735418" w:rsidRPr="0057535D">
        <w:rPr>
          <w:rFonts w:cs="Calibri"/>
          <w:color w:val="000000"/>
          <w:szCs w:val="20"/>
          <w:lang w:val="en-AU"/>
        </w:rPr>
        <w:t>, for example,</w:t>
      </w:r>
      <w:r w:rsidRPr="0057535D">
        <w:rPr>
          <w:rFonts w:cs="Calibri"/>
          <w:color w:val="000000"/>
          <w:szCs w:val="20"/>
          <w:lang w:val="en-AU"/>
        </w:rPr>
        <w:t xml:space="preserve"> sand and stone. Areas are based on suitable geological occurrence and also take into account existing local government planning schemes. They are intended to provide a guide to local government in developing future planning policy. In response to </w:t>
      </w:r>
      <w:r w:rsidR="00D956A8">
        <w:rPr>
          <w:rFonts w:cs="Calibri"/>
          <w:color w:val="000000"/>
          <w:szCs w:val="20"/>
          <w:lang w:val="en-AU"/>
        </w:rPr>
        <w:t xml:space="preserve">the Economic Development and Infrastructure Committee’s </w:t>
      </w:r>
      <w:r w:rsidR="00D956A8">
        <w:rPr>
          <w:rFonts w:cs="Calibri"/>
          <w:i/>
          <w:color w:val="000000"/>
          <w:szCs w:val="20"/>
          <w:lang w:val="en-AU"/>
        </w:rPr>
        <w:t>Inquiry into greenfields mineral exploration and project development in Victoria</w:t>
      </w:r>
      <w:r w:rsidRPr="0057535D">
        <w:rPr>
          <w:rFonts w:cs="Calibri"/>
          <w:color w:val="000000"/>
          <w:szCs w:val="20"/>
          <w:lang w:val="en-AU"/>
        </w:rPr>
        <w:t xml:space="preserve">, the Victorian Government has committed to various activities that will undertake further data gathering and planning to better protect the </w:t>
      </w:r>
      <w:r w:rsidR="0047080F">
        <w:rPr>
          <w:rFonts w:cs="Calibri"/>
          <w:color w:val="000000"/>
          <w:szCs w:val="20"/>
          <w:lang w:val="en-AU"/>
        </w:rPr>
        <w:t>s</w:t>
      </w:r>
      <w:r w:rsidR="0047080F" w:rsidRPr="0057535D">
        <w:rPr>
          <w:rFonts w:cs="Calibri"/>
          <w:color w:val="000000"/>
          <w:szCs w:val="20"/>
          <w:lang w:val="en-AU"/>
        </w:rPr>
        <w:t>tate</w:t>
      </w:r>
      <w:r w:rsidR="0047080F">
        <w:rPr>
          <w:rFonts w:cs="Calibri"/>
          <w:color w:val="000000"/>
          <w:szCs w:val="20"/>
          <w:lang w:val="en-AU"/>
        </w:rPr>
        <w:t>’</w:t>
      </w:r>
      <w:r w:rsidR="0047080F" w:rsidRPr="0057535D">
        <w:rPr>
          <w:rFonts w:cs="Calibri"/>
          <w:color w:val="000000"/>
          <w:szCs w:val="20"/>
          <w:lang w:val="en-AU"/>
        </w:rPr>
        <w:t xml:space="preserve">s </w:t>
      </w:r>
      <w:r w:rsidRPr="0057535D">
        <w:rPr>
          <w:rFonts w:cs="Calibri"/>
          <w:color w:val="000000"/>
          <w:szCs w:val="20"/>
          <w:lang w:val="en-AU"/>
        </w:rPr>
        <w:t>extractive resources for future development. The outcomes of these activities may have implications for future planning provisions.</w:t>
      </w:r>
      <w:r w:rsidR="00841817">
        <w:rPr>
          <w:rFonts w:cs="Calibri"/>
          <w:color w:val="000000"/>
          <w:szCs w:val="20"/>
          <w:lang w:val="en-AU"/>
        </w:rPr>
        <w:t xml:space="preserve"> Extractive industry interest areas located in the region are shown in Figure 8 of the Loddon Mallee North Regional Growth Plan Background Report.</w:t>
      </w:r>
    </w:p>
    <w:p w:rsidR="00482505" w:rsidRPr="0057535D" w:rsidRDefault="00482505" w:rsidP="00187E04">
      <w:pPr>
        <w:pStyle w:val="Heading4"/>
      </w:pPr>
      <w:r w:rsidRPr="0057535D">
        <w:t xml:space="preserve">Future economic land use </w:t>
      </w:r>
      <w:r w:rsidR="00B74250" w:rsidRPr="0057535D">
        <w:t>strategies</w:t>
      </w:r>
      <w:r w:rsidRPr="0057535D">
        <w:t xml:space="preserve"> and actions</w:t>
      </w:r>
    </w:p>
    <w:p w:rsidR="00482505" w:rsidRPr="0057535D" w:rsidRDefault="00482505" w:rsidP="00482505">
      <w:pPr>
        <w:pStyle w:val="btbullet"/>
        <w:rPr>
          <w:lang w:val="en-AU"/>
        </w:rPr>
      </w:pPr>
      <w:r w:rsidRPr="0057535D">
        <w:rPr>
          <w:lang w:val="en-AU"/>
        </w:rPr>
        <w:t>Recognise in planning schemes the importance of aligning economic and population growth with urban settlement, industry, services and infrastructure</w:t>
      </w:r>
    </w:p>
    <w:p w:rsidR="00482505" w:rsidRPr="0057535D" w:rsidRDefault="00482505" w:rsidP="00482505">
      <w:pPr>
        <w:pStyle w:val="btbullet"/>
        <w:rPr>
          <w:lang w:val="en-AU"/>
        </w:rPr>
      </w:pPr>
      <w:r w:rsidRPr="0057535D">
        <w:rPr>
          <w:lang w:val="en-AU"/>
        </w:rPr>
        <w:t xml:space="preserve">Ensure there is adequate </w:t>
      </w:r>
      <w:r w:rsidR="00743E10" w:rsidRPr="0057535D">
        <w:rPr>
          <w:lang w:val="en-AU"/>
        </w:rPr>
        <w:t>supply of</w:t>
      </w:r>
      <w:r w:rsidRPr="0057535D">
        <w:rPr>
          <w:lang w:val="en-AU"/>
        </w:rPr>
        <w:t xml:space="preserve"> commercial and industrial land for employment </w:t>
      </w:r>
      <w:r w:rsidR="00BA5567" w:rsidRPr="0057535D">
        <w:rPr>
          <w:lang w:val="en-AU"/>
        </w:rPr>
        <w:t>a</w:t>
      </w:r>
      <w:r w:rsidR="00511329" w:rsidRPr="0057535D">
        <w:rPr>
          <w:lang w:val="en-AU"/>
        </w:rPr>
        <w:t>c</w:t>
      </w:r>
      <w:r w:rsidR="00BA5567" w:rsidRPr="0057535D">
        <w:rPr>
          <w:lang w:val="en-AU"/>
        </w:rPr>
        <w:t>ross the region</w:t>
      </w:r>
    </w:p>
    <w:p w:rsidR="00482505" w:rsidRPr="0057535D" w:rsidRDefault="00482505" w:rsidP="00482505">
      <w:pPr>
        <w:pStyle w:val="btbullet"/>
        <w:rPr>
          <w:lang w:val="en-AU"/>
        </w:rPr>
      </w:pPr>
      <w:r w:rsidRPr="0057535D">
        <w:rPr>
          <w:lang w:val="en-AU"/>
        </w:rPr>
        <w:t xml:space="preserve">Promote and support </w:t>
      </w:r>
      <w:r w:rsidR="00743E10" w:rsidRPr="0057535D">
        <w:rPr>
          <w:lang w:val="en-AU"/>
        </w:rPr>
        <w:t xml:space="preserve">the regional city, </w:t>
      </w:r>
      <w:r w:rsidRPr="0057535D">
        <w:rPr>
          <w:lang w:val="en-AU"/>
        </w:rPr>
        <w:t xml:space="preserve">regional centres </w:t>
      </w:r>
      <w:r w:rsidR="00743E10" w:rsidRPr="0057535D">
        <w:rPr>
          <w:lang w:val="en-AU"/>
        </w:rPr>
        <w:t xml:space="preserve">and towns </w:t>
      </w:r>
      <w:r w:rsidRPr="0057535D">
        <w:rPr>
          <w:lang w:val="en-AU"/>
        </w:rPr>
        <w:t xml:space="preserve">to provide </w:t>
      </w:r>
      <w:r w:rsidR="00743E10" w:rsidRPr="0057535D">
        <w:rPr>
          <w:lang w:val="en-AU"/>
        </w:rPr>
        <w:t xml:space="preserve">a suitable range </w:t>
      </w:r>
      <w:r w:rsidRPr="0057535D">
        <w:rPr>
          <w:lang w:val="en-AU"/>
        </w:rPr>
        <w:t xml:space="preserve">of retail and commercial activities consistent with their role </w:t>
      </w:r>
      <w:r w:rsidR="00743E10" w:rsidRPr="0057535D">
        <w:rPr>
          <w:lang w:val="en-AU"/>
        </w:rPr>
        <w:t>in their community of interest, including cross-border and inter</w:t>
      </w:r>
      <w:r w:rsidR="00E34AE7">
        <w:rPr>
          <w:lang w:val="en-AU"/>
        </w:rPr>
        <w:t>-</w:t>
      </w:r>
      <w:r w:rsidR="00743E10" w:rsidRPr="0057535D">
        <w:rPr>
          <w:lang w:val="en-AU"/>
        </w:rPr>
        <w:t>regional access for economic development</w:t>
      </w:r>
    </w:p>
    <w:p w:rsidR="002A2AB8" w:rsidRPr="0057535D" w:rsidRDefault="002A2AB8" w:rsidP="00482505">
      <w:pPr>
        <w:pStyle w:val="btbullet"/>
        <w:rPr>
          <w:lang w:val="en-AU"/>
        </w:rPr>
      </w:pPr>
      <w:r w:rsidRPr="0057535D">
        <w:rPr>
          <w:lang w:val="en-AU"/>
        </w:rPr>
        <w:t>Support appropriate initiatives, such as investment in infrastructure, freight and logistics and increased availability of natural gas</w:t>
      </w:r>
    </w:p>
    <w:p w:rsidR="00482505" w:rsidRPr="0057535D" w:rsidRDefault="00743E10" w:rsidP="00482505">
      <w:pPr>
        <w:pStyle w:val="btbullet"/>
        <w:rPr>
          <w:lang w:val="en-AU"/>
        </w:rPr>
      </w:pPr>
      <w:r w:rsidRPr="0057535D">
        <w:rPr>
          <w:lang w:val="en-AU"/>
        </w:rPr>
        <w:t>P</w:t>
      </w:r>
      <w:r w:rsidR="00482505" w:rsidRPr="0057535D">
        <w:rPr>
          <w:lang w:val="en-AU"/>
        </w:rPr>
        <w:t>rotect major infrastructure, industrial land and mining activities from encroachment by incompatible uses</w:t>
      </w:r>
    </w:p>
    <w:p w:rsidR="002A2AB8" w:rsidRPr="0057535D" w:rsidRDefault="00EE2B24" w:rsidP="002A2AB8">
      <w:pPr>
        <w:pStyle w:val="btbullet"/>
        <w:rPr>
          <w:lang w:val="en-AU"/>
        </w:rPr>
      </w:pPr>
      <w:r w:rsidRPr="0057535D">
        <w:rPr>
          <w:rFonts w:asciiTheme="minorHAnsi" w:hAnsiTheme="minorHAnsi" w:cstheme="minorHAnsi"/>
          <w:color w:val="000000"/>
          <w:szCs w:val="20"/>
          <w:lang w:val="en-AU"/>
        </w:rPr>
        <w:t>Facilitate flexible and streamlined regulatory approval processes for land use to enable economic growth opportunities</w:t>
      </w:r>
      <w:r w:rsidR="002A2AB8" w:rsidRPr="0057535D">
        <w:rPr>
          <w:lang w:val="en-AU"/>
        </w:rPr>
        <w:t xml:space="preserve"> </w:t>
      </w:r>
    </w:p>
    <w:p w:rsidR="002A2AB8" w:rsidRPr="0057535D" w:rsidRDefault="002A2AB8" w:rsidP="002A2AB8">
      <w:pPr>
        <w:pStyle w:val="btbullet"/>
        <w:rPr>
          <w:lang w:val="en-AU"/>
        </w:rPr>
      </w:pPr>
      <w:r w:rsidRPr="0057535D">
        <w:rPr>
          <w:lang w:val="en-AU"/>
        </w:rPr>
        <w:t>Support and develop emerging and potential growth sectors, such as nature-based tourism, mining and renewable energy generation and protect these activities from urban encroachment</w:t>
      </w:r>
    </w:p>
    <w:p w:rsidR="00B74250" w:rsidRPr="0057535D" w:rsidRDefault="00B74250" w:rsidP="00482505">
      <w:pPr>
        <w:pStyle w:val="btbullet"/>
        <w:rPr>
          <w:lang w:val="en-AU"/>
        </w:rPr>
      </w:pPr>
      <w:r w:rsidRPr="0057535D">
        <w:rPr>
          <w:lang w:val="en-AU"/>
        </w:rPr>
        <w:t>Identify, manage and facilitate access to locally sourced natural resources where appropriate, including sand and stone, minerals, timber and renewable energy</w:t>
      </w:r>
    </w:p>
    <w:p w:rsidR="00482505" w:rsidRPr="0057535D" w:rsidRDefault="00482505" w:rsidP="00482505">
      <w:pPr>
        <w:pStyle w:val="Heading2"/>
        <w:rPr>
          <w:lang w:val="en-AU"/>
        </w:rPr>
      </w:pPr>
      <w:bookmarkStart w:id="60" w:name="_Toc377031455"/>
      <w:r w:rsidRPr="0057535D">
        <w:rPr>
          <w:lang w:val="en-AU"/>
        </w:rPr>
        <w:t>Agriculture</w:t>
      </w:r>
      <w:bookmarkEnd w:id="60"/>
    </w:p>
    <w:p w:rsidR="00D156F9" w:rsidRDefault="00482505">
      <w:pPr>
        <w:pStyle w:val="Heading4"/>
      </w:pPr>
      <w:r w:rsidRPr="0057535D">
        <w:t>Overview</w:t>
      </w:r>
    </w:p>
    <w:p w:rsidR="00482505" w:rsidRPr="0057535D" w:rsidRDefault="00482505" w:rsidP="00482505">
      <w:pPr>
        <w:pStyle w:val="bt"/>
        <w:rPr>
          <w:lang w:val="en-AU"/>
        </w:rPr>
      </w:pPr>
      <w:r w:rsidRPr="0057535D">
        <w:rPr>
          <w:lang w:val="en-AU"/>
        </w:rPr>
        <w:t xml:space="preserve">Agriculture and associated manufacturing and processing are the key economic drivers for </w:t>
      </w:r>
      <w:r w:rsidR="004621EC">
        <w:rPr>
          <w:lang w:val="en-AU"/>
        </w:rPr>
        <w:t xml:space="preserve">the </w:t>
      </w:r>
      <w:r w:rsidRPr="0057535D">
        <w:rPr>
          <w:lang w:val="en-AU"/>
        </w:rPr>
        <w:t xml:space="preserve">Loddon Mallee </w:t>
      </w:r>
      <w:r w:rsidR="00CF1AD2" w:rsidRPr="0057535D">
        <w:rPr>
          <w:lang w:val="en-AU"/>
        </w:rPr>
        <w:t>N</w:t>
      </w:r>
      <w:r w:rsidRPr="0057535D">
        <w:rPr>
          <w:lang w:val="en-AU"/>
        </w:rPr>
        <w:t>orth</w:t>
      </w:r>
      <w:r w:rsidR="00D53054" w:rsidRPr="0057535D">
        <w:rPr>
          <w:lang w:val="en-AU"/>
        </w:rPr>
        <w:t xml:space="preserve"> region</w:t>
      </w:r>
      <w:r w:rsidRPr="0057535D">
        <w:rPr>
          <w:lang w:val="en-AU"/>
        </w:rPr>
        <w:t xml:space="preserve"> and</w:t>
      </w:r>
      <w:r w:rsidR="00CF1AD2" w:rsidRPr="0057535D">
        <w:rPr>
          <w:lang w:val="en-AU"/>
        </w:rPr>
        <w:t xml:space="preserve"> are</w:t>
      </w:r>
      <w:r w:rsidRPr="0057535D">
        <w:rPr>
          <w:lang w:val="en-AU"/>
        </w:rPr>
        <w:t xml:space="preserve"> its most widespread land use. The region is agriculturally diverse, from irrigated dairy, horticulture and cropping along the Murray River</w:t>
      </w:r>
      <w:r w:rsidR="00D87FBA" w:rsidRPr="0057535D">
        <w:rPr>
          <w:lang w:val="en-AU"/>
        </w:rPr>
        <w:t>,</w:t>
      </w:r>
      <w:r w:rsidRPr="0057535D">
        <w:rPr>
          <w:lang w:val="en-AU"/>
        </w:rPr>
        <w:t xml:space="preserve"> to large-scale </w:t>
      </w:r>
      <w:r w:rsidR="00A6167A" w:rsidRPr="0057535D">
        <w:rPr>
          <w:lang w:val="en-AU"/>
        </w:rPr>
        <w:t>dry land</w:t>
      </w:r>
      <w:r w:rsidRPr="0057535D">
        <w:rPr>
          <w:lang w:val="en-AU"/>
        </w:rPr>
        <w:t xml:space="preserve"> cropping and grazing in the</w:t>
      </w:r>
      <w:r w:rsidR="00CF1AD2" w:rsidRPr="0057535D">
        <w:rPr>
          <w:lang w:val="en-AU"/>
        </w:rPr>
        <w:t xml:space="preserve"> Mallee and</w:t>
      </w:r>
      <w:r w:rsidRPr="0057535D">
        <w:rPr>
          <w:lang w:val="en-AU"/>
        </w:rPr>
        <w:t xml:space="preserve"> </w:t>
      </w:r>
      <w:r w:rsidR="00D53054" w:rsidRPr="0057535D">
        <w:rPr>
          <w:lang w:val="en-AU"/>
        </w:rPr>
        <w:t xml:space="preserve">the </w:t>
      </w:r>
      <w:r w:rsidRPr="0057535D">
        <w:rPr>
          <w:lang w:val="en-AU"/>
        </w:rPr>
        <w:t xml:space="preserve">south. </w:t>
      </w:r>
    </w:p>
    <w:p w:rsidR="00482505" w:rsidRPr="0057535D" w:rsidRDefault="00482505" w:rsidP="00482505">
      <w:pPr>
        <w:pStyle w:val="bt"/>
        <w:rPr>
          <w:lang w:val="en-AU"/>
        </w:rPr>
      </w:pPr>
      <w:r w:rsidRPr="0057535D">
        <w:rPr>
          <w:lang w:val="en-AU"/>
        </w:rPr>
        <w:lastRenderedPageBreak/>
        <w:t xml:space="preserve">Agriculture provides employment and exports for the region. The continued viability of agriculture is critical to land and environmental management, social wellbeing for rural communities and </w:t>
      </w:r>
      <w:r w:rsidR="00153B1E" w:rsidRPr="0057535D">
        <w:rPr>
          <w:lang w:val="en-AU"/>
        </w:rPr>
        <w:t xml:space="preserve">is </w:t>
      </w:r>
      <w:r w:rsidRPr="0057535D">
        <w:rPr>
          <w:lang w:val="en-AU"/>
        </w:rPr>
        <w:t xml:space="preserve">an important aspect of the regional landscape. </w:t>
      </w:r>
      <w:r w:rsidR="00F164DB" w:rsidRPr="0057535D">
        <w:rPr>
          <w:lang w:val="en-AU"/>
        </w:rPr>
        <w:t>The social and economic impact of c</w:t>
      </w:r>
      <w:r w:rsidRPr="0057535D">
        <w:rPr>
          <w:lang w:val="en-AU"/>
        </w:rPr>
        <w:t xml:space="preserve">hanges in water policy, particularly the implementation of the Murray Darling Basin Plan, </w:t>
      </w:r>
      <w:r w:rsidR="00F164DB" w:rsidRPr="0057535D">
        <w:rPr>
          <w:lang w:val="en-AU"/>
        </w:rPr>
        <w:t xml:space="preserve">and </w:t>
      </w:r>
      <w:r w:rsidRPr="0057535D">
        <w:rPr>
          <w:lang w:val="en-AU"/>
        </w:rPr>
        <w:t xml:space="preserve">completion of irrigation infrastructure </w:t>
      </w:r>
      <w:r w:rsidR="00F164DB" w:rsidRPr="0057535D">
        <w:rPr>
          <w:lang w:val="en-AU"/>
        </w:rPr>
        <w:t>renewal will need to</w:t>
      </w:r>
      <w:r w:rsidR="00826845" w:rsidRPr="0057535D">
        <w:rPr>
          <w:lang w:val="en-AU"/>
        </w:rPr>
        <w:t xml:space="preserve"> be</w:t>
      </w:r>
      <w:r w:rsidR="00F164DB" w:rsidRPr="0057535D">
        <w:rPr>
          <w:lang w:val="en-AU"/>
        </w:rPr>
        <w:t xml:space="preserve"> monitored and considered into the future. T</w:t>
      </w:r>
      <w:r w:rsidRPr="0057535D">
        <w:rPr>
          <w:lang w:val="en-AU"/>
        </w:rPr>
        <w:t xml:space="preserve">he ability of the agricultural sector to adapt </w:t>
      </w:r>
      <w:r w:rsidR="00F164DB" w:rsidRPr="0057535D">
        <w:rPr>
          <w:lang w:val="en-AU"/>
        </w:rPr>
        <w:t xml:space="preserve">to changes to the climate and economy </w:t>
      </w:r>
      <w:r w:rsidRPr="0057535D">
        <w:rPr>
          <w:lang w:val="en-AU"/>
        </w:rPr>
        <w:t>will be critical to a sustainable future.</w:t>
      </w:r>
      <w:r w:rsidR="00F8399E" w:rsidRPr="0057535D">
        <w:rPr>
          <w:lang w:val="en-AU"/>
        </w:rPr>
        <w:t xml:space="preserve"> </w:t>
      </w:r>
    </w:p>
    <w:p w:rsidR="00482505" w:rsidRPr="0057535D" w:rsidRDefault="002C0944" w:rsidP="00482505">
      <w:pPr>
        <w:pStyle w:val="bt"/>
        <w:rPr>
          <w:lang w:val="en-AU"/>
        </w:rPr>
      </w:pPr>
      <w:r w:rsidRPr="0057535D">
        <w:rPr>
          <w:lang w:val="en-AU"/>
        </w:rPr>
        <w:t xml:space="preserve">Support is necessary for transitioning </w:t>
      </w:r>
      <w:r w:rsidR="00482505" w:rsidRPr="0057535D">
        <w:rPr>
          <w:lang w:val="en-AU"/>
        </w:rPr>
        <w:t>the agricultural landscape and associated communities</w:t>
      </w:r>
      <w:r w:rsidR="00826845" w:rsidRPr="0057535D">
        <w:rPr>
          <w:lang w:val="en-AU"/>
        </w:rPr>
        <w:t>,</w:t>
      </w:r>
      <w:r w:rsidR="00482505" w:rsidRPr="0057535D">
        <w:rPr>
          <w:lang w:val="en-AU"/>
        </w:rPr>
        <w:t xml:space="preserve"> as the irrigation </w:t>
      </w:r>
      <w:r w:rsidR="00AE65A3" w:rsidRPr="0057535D">
        <w:rPr>
          <w:lang w:val="en-AU"/>
        </w:rPr>
        <w:t>districts are</w:t>
      </w:r>
      <w:r w:rsidR="00482505" w:rsidRPr="0057535D">
        <w:rPr>
          <w:lang w:val="en-AU"/>
        </w:rPr>
        <w:t xml:space="preserve"> redefined by policy and infrastructure investment. This support may include diversification of agricult</w:t>
      </w:r>
      <w:r w:rsidR="005F2146" w:rsidRPr="0057535D">
        <w:rPr>
          <w:lang w:val="en-AU"/>
        </w:rPr>
        <w:t xml:space="preserve">ural practices and economies </w:t>
      </w:r>
      <w:r w:rsidR="00D53054" w:rsidRPr="0057535D">
        <w:rPr>
          <w:lang w:val="en-AU"/>
        </w:rPr>
        <w:t xml:space="preserve">as well as </w:t>
      </w:r>
      <w:r w:rsidR="00CB6ED6" w:rsidRPr="0057535D">
        <w:rPr>
          <w:lang w:val="en-AU"/>
        </w:rPr>
        <w:t>investment in new technologies</w:t>
      </w:r>
      <w:r w:rsidR="005F2146" w:rsidRPr="0057535D">
        <w:rPr>
          <w:lang w:val="en-AU"/>
        </w:rPr>
        <w:t xml:space="preserve">. This </w:t>
      </w:r>
      <w:r w:rsidR="00C1083B" w:rsidRPr="0057535D">
        <w:rPr>
          <w:lang w:val="en-AU"/>
        </w:rPr>
        <w:t>may</w:t>
      </w:r>
      <w:r w:rsidR="005F2146" w:rsidRPr="0057535D">
        <w:rPr>
          <w:lang w:val="en-AU"/>
        </w:rPr>
        <w:t xml:space="preserve"> also deliver opportunities for further investment to increase food production and att</w:t>
      </w:r>
      <w:r w:rsidR="00C7146D" w:rsidRPr="0057535D">
        <w:rPr>
          <w:lang w:val="en-AU"/>
        </w:rPr>
        <w:t>ract new processing industries.</w:t>
      </w:r>
    </w:p>
    <w:p w:rsidR="00E627E6" w:rsidRPr="0057535D" w:rsidRDefault="00E627E6" w:rsidP="00482505">
      <w:pPr>
        <w:pStyle w:val="bt"/>
        <w:rPr>
          <w:lang w:val="en-AU"/>
        </w:rPr>
      </w:pPr>
      <w:r w:rsidRPr="0057535D">
        <w:rPr>
          <w:lang w:val="en-AU"/>
        </w:rPr>
        <w:t>P</w:t>
      </w:r>
      <w:r w:rsidR="00482505" w:rsidRPr="0057535D">
        <w:rPr>
          <w:lang w:val="en-AU"/>
        </w:rPr>
        <w:t>roductive soils are essential for the continued economic success of this region, particularly for agricu</w:t>
      </w:r>
      <w:r w:rsidRPr="0057535D">
        <w:rPr>
          <w:lang w:val="en-AU"/>
        </w:rPr>
        <w:t>ltura</w:t>
      </w:r>
      <w:r w:rsidR="00A81B84" w:rsidRPr="0057535D">
        <w:rPr>
          <w:lang w:val="en-AU"/>
        </w:rPr>
        <w:t xml:space="preserve">l enterprises. If soils are mismanaged, threats such as soil structure decline and nutrient deficiency can impact </w:t>
      </w:r>
      <w:r w:rsidR="00D53054" w:rsidRPr="0057535D">
        <w:rPr>
          <w:lang w:val="en-AU"/>
        </w:rPr>
        <w:t xml:space="preserve">on </w:t>
      </w:r>
      <w:r w:rsidR="00A81B84" w:rsidRPr="0057535D">
        <w:rPr>
          <w:lang w:val="en-AU"/>
        </w:rPr>
        <w:t>th</w:t>
      </w:r>
      <w:r w:rsidR="00153B1E" w:rsidRPr="0057535D">
        <w:rPr>
          <w:lang w:val="en-AU"/>
        </w:rPr>
        <w:t>eir</w:t>
      </w:r>
      <w:r w:rsidR="00A81B84" w:rsidRPr="0057535D">
        <w:rPr>
          <w:lang w:val="en-AU"/>
        </w:rPr>
        <w:t xml:space="preserve"> productive value. Depleted soil health can also lead </w:t>
      </w:r>
      <w:r w:rsidR="004A5A83" w:rsidRPr="0057535D">
        <w:rPr>
          <w:lang w:val="en-AU"/>
        </w:rPr>
        <w:t xml:space="preserve">to </w:t>
      </w:r>
      <w:r w:rsidR="00A81B84" w:rsidRPr="0057535D">
        <w:rPr>
          <w:lang w:val="en-AU"/>
        </w:rPr>
        <w:t>threats that cause offsite impacts to public assets, such as sediments fro</w:t>
      </w:r>
      <w:r w:rsidR="002C0944" w:rsidRPr="0057535D">
        <w:rPr>
          <w:lang w:val="en-AU"/>
        </w:rPr>
        <w:t xml:space="preserve">m soil </w:t>
      </w:r>
      <w:r w:rsidR="004A5A83" w:rsidRPr="0057535D">
        <w:rPr>
          <w:lang w:val="en-AU"/>
        </w:rPr>
        <w:t>erosion threatening</w:t>
      </w:r>
      <w:r w:rsidR="00A81B84" w:rsidRPr="0057535D">
        <w:rPr>
          <w:lang w:val="en-AU"/>
        </w:rPr>
        <w:t xml:space="preserve"> the quality and environmental value of downstream waterway</w:t>
      </w:r>
      <w:r w:rsidR="00153B1E" w:rsidRPr="0057535D">
        <w:rPr>
          <w:lang w:val="en-AU"/>
        </w:rPr>
        <w:t>s</w:t>
      </w:r>
      <w:r w:rsidR="00A81B84" w:rsidRPr="0057535D">
        <w:rPr>
          <w:lang w:val="en-AU"/>
        </w:rPr>
        <w:t>.</w:t>
      </w:r>
    </w:p>
    <w:p w:rsidR="00482505" w:rsidRPr="0057535D" w:rsidRDefault="00A81B84" w:rsidP="00482505">
      <w:pPr>
        <w:pStyle w:val="bt"/>
        <w:rPr>
          <w:lang w:val="en-AU"/>
        </w:rPr>
      </w:pPr>
      <w:r w:rsidRPr="0057535D">
        <w:rPr>
          <w:lang w:val="en-AU"/>
        </w:rPr>
        <w:t>S</w:t>
      </w:r>
      <w:r w:rsidR="00482505" w:rsidRPr="0057535D">
        <w:rPr>
          <w:lang w:val="en-AU"/>
        </w:rPr>
        <w:t>trategically significant agricultural land that capitalises on factors</w:t>
      </w:r>
      <w:r w:rsidR="00B86F2F" w:rsidRPr="0057535D">
        <w:rPr>
          <w:lang w:val="en-AU"/>
        </w:rPr>
        <w:t>,</w:t>
      </w:r>
      <w:r w:rsidR="00482505" w:rsidRPr="0057535D">
        <w:rPr>
          <w:lang w:val="en-AU"/>
        </w:rPr>
        <w:t xml:space="preserve"> </w:t>
      </w:r>
      <w:r w:rsidRPr="0057535D">
        <w:rPr>
          <w:lang w:val="en-AU"/>
        </w:rPr>
        <w:t xml:space="preserve">such as </w:t>
      </w:r>
      <w:r w:rsidR="00D53054" w:rsidRPr="0057535D">
        <w:rPr>
          <w:lang w:val="en-AU"/>
        </w:rPr>
        <w:t xml:space="preserve">high quality </w:t>
      </w:r>
      <w:r w:rsidRPr="0057535D">
        <w:rPr>
          <w:lang w:val="en-AU"/>
        </w:rPr>
        <w:t>soil, industry cluster</w:t>
      </w:r>
      <w:r w:rsidR="00482505" w:rsidRPr="0057535D">
        <w:rPr>
          <w:lang w:val="en-AU"/>
        </w:rPr>
        <w:t xml:space="preserve"> links to infrastructure, water and transport is an important inpu</w:t>
      </w:r>
      <w:r w:rsidRPr="0057535D">
        <w:rPr>
          <w:lang w:val="en-AU"/>
        </w:rPr>
        <w:t xml:space="preserve">t to land use planning. </w:t>
      </w:r>
      <w:r w:rsidR="00970089" w:rsidRPr="0057535D">
        <w:rPr>
          <w:lang w:val="en-AU"/>
        </w:rPr>
        <w:t>T</w:t>
      </w:r>
      <w:r w:rsidR="00482505" w:rsidRPr="0057535D">
        <w:rPr>
          <w:lang w:val="en-AU"/>
        </w:rPr>
        <w:t>he region’s soil resource</w:t>
      </w:r>
      <w:r w:rsidR="00970089" w:rsidRPr="0057535D">
        <w:rPr>
          <w:lang w:val="en-AU"/>
        </w:rPr>
        <w:t xml:space="preserve"> can also be protected</w:t>
      </w:r>
      <w:r w:rsidR="00482505" w:rsidRPr="0057535D">
        <w:rPr>
          <w:lang w:val="en-AU"/>
        </w:rPr>
        <w:t xml:space="preserve"> by ensuring that land use change does not disturb soils to a level that could result in deterioration of the soil asset, or further contribute to the pollution of waterways</w:t>
      </w:r>
      <w:r w:rsidRPr="0057535D">
        <w:rPr>
          <w:lang w:val="en-AU"/>
        </w:rPr>
        <w:t>.</w:t>
      </w:r>
    </w:p>
    <w:p w:rsidR="00482505" w:rsidRPr="0057535D" w:rsidRDefault="00482505" w:rsidP="00482505">
      <w:pPr>
        <w:pStyle w:val="bt"/>
        <w:rPr>
          <w:lang w:val="en-AU"/>
        </w:rPr>
      </w:pPr>
      <w:r w:rsidRPr="0057535D">
        <w:rPr>
          <w:lang w:val="en-AU"/>
        </w:rPr>
        <w:t xml:space="preserve">A consistent regional approach to identifying </w:t>
      </w:r>
      <w:r w:rsidR="00D379A1" w:rsidRPr="0057535D">
        <w:rPr>
          <w:lang w:val="en-AU"/>
        </w:rPr>
        <w:t xml:space="preserve">and protecting </w:t>
      </w:r>
      <w:r w:rsidRPr="0057535D">
        <w:rPr>
          <w:lang w:val="en-AU"/>
        </w:rPr>
        <w:t xml:space="preserve">strategically important agricultural land is required. Any existing or new rural zones </w:t>
      </w:r>
      <w:r w:rsidR="00D53054" w:rsidRPr="0057535D">
        <w:rPr>
          <w:lang w:val="en-AU"/>
        </w:rPr>
        <w:t>should</w:t>
      </w:r>
      <w:r w:rsidRPr="0057535D">
        <w:rPr>
          <w:lang w:val="en-AU"/>
        </w:rPr>
        <w:t xml:space="preserve"> be applied to protect commercial</w:t>
      </w:r>
      <w:r w:rsidR="00B86F2F" w:rsidRPr="0057535D">
        <w:rPr>
          <w:lang w:val="en-AU"/>
        </w:rPr>
        <w:t xml:space="preserve"> </w:t>
      </w:r>
      <w:r w:rsidRPr="0057535D">
        <w:rPr>
          <w:lang w:val="en-AU"/>
        </w:rPr>
        <w:t>scale farmin</w:t>
      </w:r>
      <w:r w:rsidR="00D379A1" w:rsidRPr="0057535D">
        <w:rPr>
          <w:lang w:val="en-AU"/>
        </w:rPr>
        <w:t>g and irrigation infrastructure to avoid encroachment from incompatible uses</w:t>
      </w:r>
      <w:r w:rsidR="00B86F2F" w:rsidRPr="0057535D">
        <w:rPr>
          <w:lang w:val="en-AU"/>
        </w:rPr>
        <w:t>,</w:t>
      </w:r>
      <w:r w:rsidR="00D379A1" w:rsidRPr="0057535D">
        <w:rPr>
          <w:lang w:val="en-AU"/>
        </w:rPr>
        <w:t xml:space="preserve"> such as housing.</w:t>
      </w:r>
    </w:p>
    <w:p w:rsidR="00482505" w:rsidRPr="0057535D" w:rsidRDefault="00482505" w:rsidP="00E558BE">
      <w:pPr>
        <w:pStyle w:val="Heading3"/>
        <w:rPr>
          <w:lang w:val="en-AU"/>
        </w:rPr>
      </w:pPr>
      <w:r w:rsidRPr="0057535D">
        <w:rPr>
          <w:lang w:val="en-AU"/>
        </w:rPr>
        <w:t>Irrigated agriculture</w:t>
      </w:r>
    </w:p>
    <w:p w:rsidR="00482505" w:rsidRPr="0057535D" w:rsidRDefault="00482505" w:rsidP="00482505">
      <w:pPr>
        <w:pStyle w:val="bt"/>
        <w:rPr>
          <w:lang w:val="en-AU"/>
        </w:rPr>
      </w:pPr>
      <w:r w:rsidRPr="0057535D">
        <w:rPr>
          <w:lang w:val="en-AU"/>
        </w:rPr>
        <w:t>Irrigated agriculture includes dairy</w:t>
      </w:r>
      <w:r w:rsidR="00970089" w:rsidRPr="0057535D">
        <w:rPr>
          <w:lang w:val="en-AU"/>
        </w:rPr>
        <w:t>ing</w:t>
      </w:r>
      <w:r w:rsidRPr="0057535D">
        <w:rPr>
          <w:lang w:val="en-AU"/>
        </w:rPr>
        <w:t>, horticulture and mixed farming. Further development of these industries, particularly dairy</w:t>
      </w:r>
      <w:r w:rsidR="00970089" w:rsidRPr="0057535D">
        <w:rPr>
          <w:lang w:val="en-AU"/>
        </w:rPr>
        <w:t>ing</w:t>
      </w:r>
      <w:r w:rsidRPr="0057535D">
        <w:rPr>
          <w:lang w:val="en-AU"/>
        </w:rPr>
        <w:t xml:space="preserve"> and horticulture, is sought </w:t>
      </w:r>
      <w:r w:rsidR="00CE5305" w:rsidRPr="0057535D">
        <w:rPr>
          <w:lang w:val="en-AU"/>
        </w:rPr>
        <w:t xml:space="preserve">due to links </w:t>
      </w:r>
      <w:r w:rsidRPr="0057535D">
        <w:rPr>
          <w:lang w:val="en-AU"/>
        </w:rPr>
        <w:t xml:space="preserve">with </w:t>
      </w:r>
      <w:r w:rsidR="00CE5305" w:rsidRPr="0057535D">
        <w:rPr>
          <w:lang w:val="en-AU"/>
        </w:rPr>
        <w:t>other sectors in the</w:t>
      </w:r>
      <w:r w:rsidRPr="0057535D">
        <w:rPr>
          <w:lang w:val="en-AU"/>
        </w:rPr>
        <w:t xml:space="preserve"> </w:t>
      </w:r>
      <w:r w:rsidR="00CE5305" w:rsidRPr="0057535D">
        <w:rPr>
          <w:lang w:val="en-AU"/>
        </w:rPr>
        <w:t>economy</w:t>
      </w:r>
      <w:r w:rsidR="00BA231E" w:rsidRPr="0057535D">
        <w:rPr>
          <w:lang w:val="en-AU"/>
        </w:rPr>
        <w:t>,</w:t>
      </w:r>
      <w:r w:rsidR="00CE5305" w:rsidRPr="0057535D">
        <w:rPr>
          <w:lang w:val="en-AU"/>
        </w:rPr>
        <w:t xml:space="preserve"> such as</w:t>
      </w:r>
      <w:r w:rsidRPr="0057535D">
        <w:rPr>
          <w:lang w:val="en-AU"/>
        </w:rPr>
        <w:t xml:space="preserve"> food</w:t>
      </w:r>
      <w:r w:rsidR="00191561" w:rsidRPr="0057535D">
        <w:rPr>
          <w:lang w:val="en-AU"/>
        </w:rPr>
        <w:t xml:space="preserve"> processing, freight and logistics.</w:t>
      </w:r>
      <w:r w:rsidR="0059335D" w:rsidRPr="0057535D">
        <w:rPr>
          <w:lang w:val="en-AU"/>
        </w:rPr>
        <w:t xml:space="preserve"> </w:t>
      </w:r>
    </w:p>
    <w:p w:rsidR="00D17AEB" w:rsidRDefault="00D379A1" w:rsidP="00482505">
      <w:pPr>
        <w:pStyle w:val="bt"/>
        <w:rPr>
          <w:lang w:val="en-AU"/>
        </w:rPr>
      </w:pPr>
      <w:r w:rsidRPr="0057535D">
        <w:rPr>
          <w:lang w:val="en-AU"/>
        </w:rPr>
        <w:t xml:space="preserve">The </w:t>
      </w:r>
      <w:r w:rsidR="0052071E" w:rsidRPr="0057535D">
        <w:rPr>
          <w:lang w:val="en-AU"/>
        </w:rPr>
        <w:t>Goulburn-Murray Water Connections Program</w:t>
      </w:r>
      <w:r w:rsidR="00BA231E" w:rsidRPr="0057535D">
        <w:rPr>
          <w:lang w:val="en-AU"/>
        </w:rPr>
        <w:t>,</w:t>
      </w:r>
      <w:r w:rsidR="00585169" w:rsidRPr="0057535D">
        <w:rPr>
          <w:lang w:val="en-AU"/>
        </w:rPr>
        <w:t xml:space="preserve"> previously known as the Northern Victoria Irrigation Renewal Project</w:t>
      </w:r>
      <w:r w:rsidR="00BA231E" w:rsidRPr="0057535D">
        <w:rPr>
          <w:lang w:val="en-AU"/>
        </w:rPr>
        <w:t>,</w:t>
      </w:r>
      <w:r w:rsidRPr="0057535D">
        <w:rPr>
          <w:lang w:val="en-AU"/>
        </w:rPr>
        <w:t xml:space="preserve"> </w:t>
      </w:r>
      <w:r w:rsidR="00482505" w:rsidRPr="0057535D">
        <w:rPr>
          <w:lang w:val="en-AU"/>
        </w:rPr>
        <w:t>is being rolled out through</w:t>
      </w:r>
      <w:r w:rsidR="00EF1BC9" w:rsidRPr="0057535D">
        <w:rPr>
          <w:lang w:val="en-AU"/>
        </w:rPr>
        <w:t xml:space="preserve"> the Goulburn-Murray Irrigation District including within</w:t>
      </w:r>
      <w:r w:rsidR="00482505" w:rsidRPr="0057535D">
        <w:rPr>
          <w:lang w:val="en-AU"/>
        </w:rPr>
        <w:t xml:space="preserve"> Campaspe Shire, Gannawarra Shire and Swan Hill Rural City. A business case for the </w:t>
      </w:r>
      <w:r w:rsidR="0052071E" w:rsidRPr="0057535D">
        <w:rPr>
          <w:lang w:val="en-AU"/>
        </w:rPr>
        <w:t>Sunraysia Modernisation Project</w:t>
      </w:r>
      <w:r w:rsidR="00482505" w:rsidRPr="0057535D">
        <w:rPr>
          <w:lang w:val="en-AU"/>
        </w:rPr>
        <w:t xml:space="preserve"> </w:t>
      </w:r>
      <w:r w:rsidR="00EF1BC9" w:rsidRPr="0057535D">
        <w:rPr>
          <w:lang w:val="en-AU"/>
        </w:rPr>
        <w:t>is being</w:t>
      </w:r>
      <w:r w:rsidR="00482505" w:rsidRPr="0057535D">
        <w:rPr>
          <w:lang w:val="en-AU"/>
        </w:rPr>
        <w:t xml:space="preserve"> developed</w:t>
      </w:r>
      <w:r w:rsidR="00EF1BC9" w:rsidRPr="0057535D">
        <w:rPr>
          <w:lang w:val="en-AU"/>
        </w:rPr>
        <w:t xml:space="preserve"> to support investment in upgrading</w:t>
      </w:r>
      <w:r w:rsidR="00970089" w:rsidRPr="0057535D">
        <w:rPr>
          <w:lang w:val="en-AU"/>
        </w:rPr>
        <w:t xml:space="preserve"> of</w:t>
      </w:r>
      <w:r w:rsidR="00EF1BC9" w:rsidRPr="0057535D">
        <w:rPr>
          <w:lang w:val="en-AU"/>
        </w:rPr>
        <w:t xml:space="preserve"> infrastructure in the Sunraysia Irrigation District</w:t>
      </w:r>
      <w:r w:rsidR="00482505" w:rsidRPr="0057535D">
        <w:rPr>
          <w:lang w:val="en-AU"/>
        </w:rPr>
        <w:t xml:space="preserve">. </w:t>
      </w:r>
    </w:p>
    <w:p w:rsidR="00970089" w:rsidRPr="0057535D" w:rsidRDefault="00C96BB0" w:rsidP="00482505">
      <w:pPr>
        <w:pStyle w:val="bt"/>
        <w:rPr>
          <w:lang w:val="en-AU"/>
        </w:rPr>
      </w:pPr>
      <w:r w:rsidRPr="0057535D">
        <w:rPr>
          <w:lang w:val="en-AU"/>
        </w:rPr>
        <w:t xml:space="preserve">The catchment management authorities are leading the Innovative Farming Program that aims to assist communities to achieve a confident and prosperous region, </w:t>
      </w:r>
      <w:r w:rsidR="0023635C">
        <w:rPr>
          <w:lang w:val="en-AU"/>
        </w:rPr>
        <w:t xml:space="preserve">a </w:t>
      </w:r>
      <w:r w:rsidRPr="0057535D">
        <w:rPr>
          <w:lang w:val="en-AU"/>
        </w:rPr>
        <w:t>healthy</w:t>
      </w:r>
      <w:r w:rsidR="0023635C">
        <w:rPr>
          <w:lang w:val="en-AU"/>
        </w:rPr>
        <w:t>,</w:t>
      </w:r>
      <w:r w:rsidRPr="0057535D">
        <w:rPr>
          <w:lang w:val="en-AU"/>
        </w:rPr>
        <w:t xml:space="preserve"> resilient environment, sustainable</w:t>
      </w:r>
      <w:r w:rsidR="0023635C">
        <w:rPr>
          <w:lang w:val="en-AU"/>
        </w:rPr>
        <w:t>,</w:t>
      </w:r>
      <w:r w:rsidRPr="0057535D">
        <w:rPr>
          <w:lang w:val="en-AU"/>
        </w:rPr>
        <w:t xml:space="preserve"> profitable farming and regional growth.  </w:t>
      </w:r>
    </w:p>
    <w:p w:rsidR="003E6D9C" w:rsidRDefault="00482505" w:rsidP="00482505">
      <w:pPr>
        <w:pStyle w:val="bt"/>
        <w:rPr>
          <w:lang w:val="en-AU"/>
        </w:rPr>
      </w:pPr>
      <w:r w:rsidRPr="0057535D">
        <w:rPr>
          <w:lang w:val="en-AU"/>
        </w:rPr>
        <w:t>These projects will provide efficient</w:t>
      </w:r>
      <w:r w:rsidR="00191561" w:rsidRPr="0057535D">
        <w:rPr>
          <w:lang w:val="en-AU"/>
        </w:rPr>
        <w:t xml:space="preserve">, </w:t>
      </w:r>
      <w:r w:rsidR="00A2188C" w:rsidRPr="0057535D">
        <w:rPr>
          <w:lang w:val="en-AU"/>
        </w:rPr>
        <w:t>on</w:t>
      </w:r>
      <w:r w:rsidR="00A2188C">
        <w:rPr>
          <w:lang w:val="en-AU"/>
        </w:rPr>
        <w:t>-</w:t>
      </w:r>
      <w:r w:rsidR="00191561" w:rsidRPr="0057535D">
        <w:rPr>
          <w:lang w:val="en-AU"/>
        </w:rPr>
        <w:t>demand water services that</w:t>
      </w:r>
      <w:r w:rsidR="00970089" w:rsidRPr="0057535D">
        <w:rPr>
          <w:lang w:val="en-AU"/>
        </w:rPr>
        <w:t>,</w:t>
      </w:r>
      <w:r w:rsidR="0047028A" w:rsidRPr="0057535D">
        <w:rPr>
          <w:lang w:val="en-AU"/>
        </w:rPr>
        <w:t xml:space="preserve"> along with on-</w:t>
      </w:r>
      <w:r w:rsidRPr="0057535D">
        <w:rPr>
          <w:lang w:val="en-AU"/>
        </w:rPr>
        <w:t>farm modernisation, will enable farmers to implement more e</w:t>
      </w:r>
      <w:r w:rsidR="0059335D" w:rsidRPr="0057535D">
        <w:rPr>
          <w:lang w:val="en-AU"/>
        </w:rPr>
        <w:t>fficient irrigation management</w:t>
      </w:r>
      <w:r w:rsidR="0047028A" w:rsidRPr="0057535D">
        <w:rPr>
          <w:lang w:val="en-AU"/>
        </w:rPr>
        <w:t>.</w:t>
      </w:r>
      <w:r w:rsidR="0059335D" w:rsidRPr="0057535D">
        <w:rPr>
          <w:lang w:val="en-AU"/>
        </w:rPr>
        <w:t xml:space="preserve"> </w:t>
      </w:r>
      <w:r w:rsidRPr="0057535D">
        <w:rPr>
          <w:lang w:val="en-AU"/>
        </w:rPr>
        <w:t xml:space="preserve">Restructuring will result in </w:t>
      </w:r>
      <w:r w:rsidR="00585169" w:rsidRPr="0057535D">
        <w:rPr>
          <w:lang w:val="en-AU"/>
        </w:rPr>
        <w:t xml:space="preserve">some </w:t>
      </w:r>
      <w:r w:rsidRPr="0057535D">
        <w:rPr>
          <w:lang w:val="en-AU"/>
        </w:rPr>
        <w:t xml:space="preserve">land transitioning from irrigated to </w:t>
      </w:r>
      <w:r w:rsidR="0047028A" w:rsidRPr="0057535D">
        <w:rPr>
          <w:lang w:val="en-AU"/>
        </w:rPr>
        <w:t xml:space="preserve">mixed </w:t>
      </w:r>
      <w:r w:rsidR="00535DDD" w:rsidRPr="00535DDD">
        <w:rPr>
          <w:lang w:val="en-AU"/>
        </w:rPr>
        <w:t>agriculture, which</w:t>
      </w:r>
      <w:r w:rsidR="0047028A" w:rsidRPr="00995177">
        <w:rPr>
          <w:lang w:val="en-AU"/>
        </w:rPr>
        <w:t xml:space="preserve"> may still occasionally be irrigated. Planning needs to support transitional land uses to enable such innovative agricultural enterprises to develop throughout the irrigation region</w:t>
      </w:r>
      <w:r w:rsidR="006B22DF" w:rsidRPr="00995177">
        <w:rPr>
          <w:lang w:val="en-AU"/>
        </w:rPr>
        <w:t xml:space="preserve">. </w:t>
      </w:r>
    </w:p>
    <w:p w:rsidR="00482505" w:rsidRPr="00995177" w:rsidRDefault="00482505" w:rsidP="00E558BE">
      <w:pPr>
        <w:pStyle w:val="Heading3"/>
        <w:rPr>
          <w:lang w:val="en-AU"/>
        </w:rPr>
      </w:pPr>
      <w:r w:rsidRPr="00995177">
        <w:rPr>
          <w:lang w:val="en-AU"/>
        </w:rPr>
        <w:t>Intensive agriculture</w:t>
      </w:r>
    </w:p>
    <w:p w:rsidR="00D17AEB" w:rsidRDefault="00482505" w:rsidP="00482505">
      <w:pPr>
        <w:pStyle w:val="bt"/>
        <w:rPr>
          <w:lang w:val="en-AU"/>
        </w:rPr>
      </w:pPr>
      <w:r w:rsidRPr="00995177">
        <w:rPr>
          <w:lang w:val="en-AU"/>
        </w:rPr>
        <w:t>Intensive agriculture includes poultry, eggs</w:t>
      </w:r>
      <w:r w:rsidR="00CF1AD2" w:rsidRPr="00995177">
        <w:rPr>
          <w:lang w:val="en-AU"/>
        </w:rPr>
        <w:t>,</w:t>
      </w:r>
      <w:r w:rsidRPr="00995177">
        <w:rPr>
          <w:lang w:val="en-AU"/>
        </w:rPr>
        <w:t xml:space="preserve"> pork</w:t>
      </w:r>
      <w:r w:rsidR="00CF1AD2" w:rsidRPr="00995177">
        <w:rPr>
          <w:lang w:val="en-AU"/>
        </w:rPr>
        <w:t>,</w:t>
      </w:r>
      <w:r w:rsidRPr="00995177">
        <w:rPr>
          <w:lang w:val="en-AU"/>
        </w:rPr>
        <w:t xml:space="preserve"> feedlot beef and sheep production</w:t>
      </w:r>
      <w:r w:rsidR="00CF1AD2" w:rsidRPr="00995177">
        <w:rPr>
          <w:lang w:val="en-AU"/>
        </w:rPr>
        <w:t>,</w:t>
      </w:r>
      <w:r w:rsidRPr="00995177">
        <w:rPr>
          <w:lang w:val="en-AU"/>
        </w:rPr>
        <w:t xml:space="preserve"> </w:t>
      </w:r>
      <w:r w:rsidR="00CF1AD2" w:rsidRPr="00995177">
        <w:rPr>
          <w:lang w:val="en-AU"/>
        </w:rPr>
        <w:t xml:space="preserve">aquaculture, hydroponics and greenhouses </w:t>
      </w:r>
      <w:r w:rsidRPr="00995177">
        <w:rPr>
          <w:lang w:val="en-AU"/>
        </w:rPr>
        <w:t xml:space="preserve">and has high capital inputs in terms of buildings, storage and infrastructure. </w:t>
      </w:r>
    </w:p>
    <w:p w:rsidR="00482505" w:rsidRPr="00995177" w:rsidRDefault="00A6167A" w:rsidP="00482505">
      <w:pPr>
        <w:pStyle w:val="bt"/>
        <w:rPr>
          <w:lang w:val="en-AU"/>
        </w:rPr>
      </w:pPr>
      <w:r w:rsidRPr="00995177">
        <w:rPr>
          <w:lang w:val="en-AU"/>
        </w:rPr>
        <w:lastRenderedPageBreak/>
        <w:t xml:space="preserve">This kind of </w:t>
      </w:r>
      <w:r w:rsidR="004127B0" w:rsidRPr="00995177">
        <w:rPr>
          <w:lang w:val="en-AU"/>
        </w:rPr>
        <w:t>agriculture also</w:t>
      </w:r>
      <w:r w:rsidRPr="00995177">
        <w:rPr>
          <w:lang w:val="en-AU"/>
        </w:rPr>
        <w:t xml:space="preserve"> requires appropriate separation from sensitive uses for amenity protection and biosecurity. </w:t>
      </w:r>
      <w:r w:rsidR="008A20AF" w:rsidRPr="00995177">
        <w:rPr>
          <w:lang w:val="en-AU"/>
        </w:rPr>
        <w:t>Intensive animal husbandry is currently established through</w:t>
      </w:r>
      <w:r w:rsidR="008A0B41" w:rsidRPr="00995177">
        <w:rPr>
          <w:lang w:val="en-AU"/>
        </w:rPr>
        <w:t>out</w:t>
      </w:r>
      <w:r w:rsidR="008A20AF" w:rsidRPr="00995177">
        <w:rPr>
          <w:lang w:val="en-AU"/>
        </w:rPr>
        <w:t xml:space="preserve"> the Gannawarra</w:t>
      </w:r>
      <w:r w:rsidR="00FD47D3" w:rsidRPr="00995177">
        <w:rPr>
          <w:lang w:val="en-AU"/>
        </w:rPr>
        <w:t>, Buloke</w:t>
      </w:r>
      <w:r w:rsidR="008A20AF" w:rsidRPr="00995177">
        <w:rPr>
          <w:lang w:val="en-AU"/>
        </w:rPr>
        <w:t xml:space="preserve"> and Campaspe </w:t>
      </w:r>
      <w:r w:rsidR="00B11877" w:rsidRPr="00995177">
        <w:rPr>
          <w:lang w:val="en-AU"/>
        </w:rPr>
        <w:t>s</w:t>
      </w:r>
      <w:r w:rsidR="008A20AF" w:rsidRPr="00995177">
        <w:rPr>
          <w:lang w:val="en-AU"/>
        </w:rPr>
        <w:t xml:space="preserve">hires. </w:t>
      </w:r>
    </w:p>
    <w:p w:rsidR="00731D63" w:rsidRPr="00995177" w:rsidRDefault="00482505" w:rsidP="00482505">
      <w:pPr>
        <w:pStyle w:val="bt"/>
        <w:rPr>
          <w:lang w:val="en-AU"/>
        </w:rPr>
      </w:pPr>
      <w:r w:rsidRPr="00995177">
        <w:rPr>
          <w:lang w:val="en-AU"/>
        </w:rPr>
        <w:t>There are other areas within the region that are suited for further development of these industries with access to water and electricity infrastructure and proximity to processing facilities and markets</w:t>
      </w:r>
      <w:r w:rsidR="00585169" w:rsidRPr="00995177">
        <w:rPr>
          <w:lang w:val="en-AU"/>
        </w:rPr>
        <w:t>. For example</w:t>
      </w:r>
      <w:r w:rsidR="00E833EB" w:rsidRPr="00995177">
        <w:rPr>
          <w:lang w:val="en-AU"/>
        </w:rPr>
        <w:t>,</w:t>
      </w:r>
      <w:r w:rsidR="008A20AF" w:rsidRPr="00995177">
        <w:rPr>
          <w:lang w:val="en-AU"/>
        </w:rPr>
        <w:t xml:space="preserve"> Buloke </w:t>
      </w:r>
      <w:r w:rsidR="00585169" w:rsidRPr="00995177">
        <w:rPr>
          <w:lang w:val="en-AU"/>
        </w:rPr>
        <w:t xml:space="preserve">Shire has undertaken an assessment of sites suited to </w:t>
      </w:r>
      <w:r w:rsidR="00FC38B7" w:rsidRPr="00995177">
        <w:rPr>
          <w:lang w:val="en-AU"/>
        </w:rPr>
        <w:t xml:space="preserve">intensive land uses </w:t>
      </w:r>
      <w:r w:rsidR="008A20AF" w:rsidRPr="00995177">
        <w:rPr>
          <w:lang w:val="en-AU"/>
        </w:rPr>
        <w:t>associated with the Wimmera Mallee Pipeline</w:t>
      </w:r>
      <w:r w:rsidRPr="00995177">
        <w:rPr>
          <w:lang w:val="en-AU"/>
        </w:rPr>
        <w:t>. Planning for the establishment and expansion of these industries needs to occur in a manner consistent with proper planning and protection of the environment.</w:t>
      </w:r>
    </w:p>
    <w:p w:rsidR="00482505" w:rsidRPr="00995177" w:rsidRDefault="00482505" w:rsidP="00E558BE">
      <w:pPr>
        <w:pStyle w:val="Heading3"/>
        <w:rPr>
          <w:lang w:val="en-AU"/>
        </w:rPr>
      </w:pPr>
      <w:r w:rsidRPr="00995177">
        <w:rPr>
          <w:lang w:val="en-AU"/>
        </w:rPr>
        <w:t>Cropping and grazing</w:t>
      </w:r>
    </w:p>
    <w:p w:rsidR="00340629" w:rsidRPr="00995177" w:rsidRDefault="00A6167A" w:rsidP="00482505">
      <w:pPr>
        <w:pStyle w:val="bt"/>
        <w:rPr>
          <w:lang w:val="en-AU"/>
        </w:rPr>
      </w:pPr>
      <w:r w:rsidRPr="00995177">
        <w:rPr>
          <w:lang w:val="en-AU"/>
        </w:rPr>
        <w:t>Dry land</w:t>
      </w:r>
      <w:r w:rsidR="00482505" w:rsidRPr="00995177">
        <w:rPr>
          <w:lang w:val="en-AU"/>
        </w:rPr>
        <w:t xml:space="preserve"> cropping and grazing includes production of cereals, legumes, pulses and oilseeds</w:t>
      </w:r>
      <w:r w:rsidR="00E833EB" w:rsidRPr="00995177">
        <w:rPr>
          <w:lang w:val="en-AU"/>
        </w:rPr>
        <w:t>,</w:t>
      </w:r>
      <w:r w:rsidR="00482505" w:rsidRPr="00995177">
        <w:rPr>
          <w:lang w:val="en-AU"/>
        </w:rPr>
        <w:t xml:space="preserve"> along with sheep and cattle grazing. The size, scale and types of products vary across the region with soil types and climate. Farm sizes </w:t>
      </w:r>
      <w:r w:rsidR="000D64FF" w:rsidRPr="00995177">
        <w:rPr>
          <w:lang w:val="en-AU"/>
        </w:rPr>
        <w:t xml:space="preserve">over the next 30 years </w:t>
      </w:r>
      <w:r w:rsidR="00482505" w:rsidRPr="00995177">
        <w:rPr>
          <w:lang w:val="en-AU"/>
        </w:rPr>
        <w:t xml:space="preserve">are expected to continue to increase with the mix of commodities </w:t>
      </w:r>
      <w:r w:rsidR="008A0B41" w:rsidRPr="00995177">
        <w:rPr>
          <w:lang w:val="en-AU"/>
        </w:rPr>
        <w:t xml:space="preserve">expected </w:t>
      </w:r>
      <w:r w:rsidR="00482505" w:rsidRPr="00995177">
        <w:rPr>
          <w:lang w:val="en-AU"/>
        </w:rPr>
        <w:t>to remain similar in the face of climate change.</w:t>
      </w:r>
    </w:p>
    <w:p w:rsidR="00482505" w:rsidRPr="00995177" w:rsidRDefault="00BF2614" w:rsidP="00482505">
      <w:pPr>
        <w:pStyle w:val="bt"/>
        <w:rPr>
          <w:lang w:val="en-AU"/>
        </w:rPr>
      </w:pPr>
      <w:r w:rsidRPr="00995177">
        <w:rPr>
          <w:lang w:val="en-AU"/>
        </w:rPr>
        <w:t>Dry</w:t>
      </w:r>
      <w:r w:rsidR="00E833EB" w:rsidRPr="00995177">
        <w:rPr>
          <w:lang w:val="en-AU"/>
        </w:rPr>
        <w:t xml:space="preserve"> </w:t>
      </w:r>
      <w:r w:rsidRPr="00995177">
        <w:rPr>
          <w:lang w:val="en-AU"/>
        </w:rPr>
        <w:t xml:space="preserve">land farmers are making use of heavy freight vehicles </w:t>
      </w:r>
      <w:r w:rsidR="008A0B41" w:rsidRPr="00995177">
        <w:rPr>
          <w:lang w:val="en-AU"/>
        </w:rPr>
        <w:t>to</w:t>
      </w:r>
      <w:r w:rsidRPr="00995177">
        <w:rPr>
          <w:lang w:val="en-AU"/>
        </w:rPr>
        <w:t xml:space="preserve"> transport grain </w:t>
      </w:r>
      <w:r w:rsidR="008A0B41" w:rsidRPr="00995177">
        <w:rPr>
          <w:lang w:val="en-AU"/>
        </w:rPr>
        <w:t>as a result of the</w:t>
      </w:r>
      <w:r w:rsidRPr="00995177">
        <w:rPr>
          <w:lang w:val="en-AU"/>
        </w:rPr>
        <w:t xml:space="preserve"> i</w:t>
      </w:r>
      <w:r w:rsidR="00FC38B7" w:rsidRPr="00995177">
        <w:rPr>
          <w:lang w:val="en-AU"/>
        </w:rPr>
        <w:t>ncreasing scale of dry</w:t>
      </w:r>
      <w:r w:rsidR="00E833EB" w:rsidRPr="00995177">
        <w:rPr>
          <w:lang w:val="en-AU"/>
        </w:rPr>
        <w:t xml:space="preserve"> </w:t>
      </w:r>
      <w:r w:rsidR="00FC38B7" w:rsidRPr="00995177">
        <w:rPr>
          <w:lang w:val="en-AU"/>
        </w:rPr>
        <w:t xml:space="preserve">land farming and </w:t>
      </w:r>
      <w:r w:rsidRPr="00995177">
        <w:rPr>
          <w:lang w:val="en-AU"/>
        </w:rPr>
        <w:t>on-farm storage of grains. This has implications for the design and maintenance of local and arterial roads that connect to major road and rail transport routes.</w:t>
      </w:r>
    </w:p>
    <w:p w:rsidR="00D156F9" w:rsidRDefault="00482505">
      <w:pPr>
        <w:pStyle w:val="Heading4"/>
      </w:pPr>
      <w:r w:rsidRPr="00995177">
        <w:t xml:space="preserve">Future agricultural land use </w:t>
      </w:r>
      <w:r w:rsidR="00DC59E5" w:rsidRPr="00995177">
        <w:t xml:space="preserve">strategies and </w:t>
      </w:r>
      <w:r w:rsidRPr="00995177">
        <w:t>actions</w:t>
      </w:r>
    </w:p>
    <w:p w:rsidR="00A7501E" w:rsidRPr="00995177" w:rsidRDefault="00A7501E" w:rsidP="00A7501E">
      <w:pPr>
        <w:pStyle w:val="btbullet"/>
        <w:rPr>
          <w:lang w:val="en-AU"/>
        </w:rPr>
      </w:pPr>
      <w:r w:rsidRPr="00995177">
        <w:rPr>
          <w:lang w:val="en-AU"/>
        </w:rPr>
        <w:t>Encourage growth and adaptation of agriculture</w:t>
      </w:r>
    </w:p>
    <w:p w:rsidR="00A7501E" w:rsidRPr="00995177" w:rsidRDefault="00A7501E" w:rsidP="00A7501E">
      <w:pPr>
        <w:pStyle w:val="btbullet"/>
        <w:rPr>
          <w:lang w:val="en-AU"/>
        </w:rPr>
      </w:pPr>
      <w:r w:rsidRPr="00995177">
        <w:rPr>
          <w:lang w:val="en-AU"/>
        </w:rPr>
        <w:t>Encourage emerging agribusinesses and location clusters, including intensive animal industries</w:t>
      </w:r>
    </w:p>
    <w:p w:rsidR="00A7501E" w:rsidRPr="00995177" w:rsidRDefault="00A7501E" w:rsidP="00A7501E">
      <w:pPr>
        <w:pStyle w:val="btbullet"/>
        <w:rPr>
          <w:lang w:val="en-AU"/>
        </w:rPr>
      </w:pPr>
      <w:r w:rsidRPr="00995177">
        <w:rPr>
          <w:lang w:val="en-AU"/>
        </w:rPr>
        <w:t>Encourage production and processing that adds value to local agricultural and other primary production products</w:t>
      </w:r>
    </w:p>
    <w:p w:rsidR="00A7501E" w:rsidRPr="00995177" w:rsidRDefault="00A7501E" w:rsidP="00A7501E">
      <w:pPr>
        <w:pStyle w:val="btbullet"/>
        <w:rPr>
          <w:lang w:val="en-AU"/>
        </w:rPr>
      </w:pPr>
      <w:r w:rsidRPr="00995177">
        <w:rPr>
          <w:lang w:val="en-AU"/>
        </w:rPr>
        <w:t>Identify and protect areas of strategic significance for agriculture</w:t>
      </w:r>
    </w:p>
    <w:p w:rsidR="00A7501E" w:rsidRPr="00995177" w:rsidRDefault="00A7501E" w:rsidP="00A7501E">
      <w:pPr>
        <w:pStyle w:val="btbullet"/>
        <w:rPr>
          <w:lang w:val="en-AU"/>
        </w:rPr>
      </w:pPr>
      <w:r w:rsidRPr="00995177">
        <w:rPr>
          <w:lang w:val="en-AU"/>
        </w:rPr>
        <w:t>Encourage adaptation of the agricultural sector to embrace opportunities and respond to the potential risks arising from climate change</w:t>
      </w:r>
    </w:p>
    <w:p w:rsidR="00482505" w:rsidRPr="00995177" w:rsidRDefault="00482505" w:rsidP="00482505">
      <w:pPr>
        <w:pStyle w:val="btbullet"/>
        <w:rPr>
          <w:lang w:val="en-AU"/>
        </w:rPr>
      </w:pPr>
      <w:r w:rsidRPr="00995177">
        <w:rPr>
          <w:lang w:val="en-AU"/>
        </w:rPr>
        <w:t>Facilitate ongoing agricultural productivity and investment in high value agriculture by critically assessing proposal</w:t>
      </w:r>
      <w:r w:rsidR="008A0B41" w:rsidRPr="00995177">
        <w:rPr>
          <w:lang w:val="en-AU"/>
        </w:rPr>
        <w:t>s</w:t>
      </w:r>
      <w:r w:rsidRPr="00995177">
        <w:rPr>
          <w:lang w:val="en-AU"/>
        </w:rPr>
        <w:t xml:space="preserve"> for non</w:t>
      </w:r>
      <w:r w:rsidR="008A0B41" w:rsidRPr="00995177">
        <w:rPr>
          <w:lang w:val="en-AU"/>
        </w:rPr>
        <w:t>-</w:t>
      </w:r>
      <w:r w:rsidRPr="00995177">
        <w:rPr>
          <w:lang w:val="en-AU"/>
        </w:rPr>
        <w:t xml:space="preserve">agricultural uses within </w:t>
      </w:r>
      <w:r w:rsidR="00FE1435" w:rsidRPr="00995177">
        <w:rPr>
          <w:lang w:val="en-AU"/>
        </w:rPr>
        <w:t>a</w:t>
      </w:r>
      <w:r w:rsidRPr="00995177">
        <w:rPr>
          <w:lang w:val="en-AU"/>
        </w:rPr>
        <w:t xml:space="preserve">reas of </w:t>
      </w:r>
      <w:r w:rsidR="00FE1435" w:rsidRPr="00995177">
        <w:rPr>
          <w:lang w:val="en-AU"/>
        </w:rPr>
        <w:t>s</w:t>
      </w:r>
      <w:r w:rsidRPr="00995177">
        <w:rPr>
          <w:lang w:val="en-AU"/>
        </w:rPr>
        <w:t xml:space="preserve">trategic </w:t>
      </w:r>
      <w:r w:rsidR="00FE1435" w:rsidRPr="00995177">
        <w:rPr>
          <w:lang w:val="en-AU"/>
        </w:rPr>
        <w:t>agricultural s</w:t>
      </w:r>
      <w:r w:rsidRPr="00995177">
        <w:rPr>
          <w:lang w:val="en-AU"/>
        </w:rPr>
        <w:t xml:space="preserve">ignificance </w:t>
      </w:r>
      <w:r w:rsidR="00A7501E" w:rsidRPr="00995177">
        <w:rPr>
          <w:lang w:val="en-AU"/>
        </w:rPr>
        <w:t xml:space="preserve">and </w:t>
      </w:r>
      <w:r w:rsidRPr="00995177">
        <w:rPr>
          <w:lang w:val="en-AU"/>
        </w:rPr>
        <w:t>preventing encroachment of incompatible uses</w:t>
      </w:r>
    </w:p>
    <w:p w:rsidR="007330F2" w:rsidRPr="00E34AE7" w:rsidRDefault="00482505" w:rsidP="00482505">
      <w:pPr>
        <w:pStyle w:val="btbullet"/>
        <w:rPr>
          <w:lang w:val="en-AU"/>
        </w:rPr>
      </w:pPr>
      <w:r w:rsidRPr="00E34AE7">
        <w:rPr>
          <w:lang w:val="en-AU"/>
        </w:rPr>
        <w:t>Protect and maintain productive land and irrigation assets necessary to help grow Loddon Mallee North as an important food bowl for domestic and international exports</w:t>
      </w:r>
    </w:p>
    <w:p w:rsidR="00482505" w:rsidRPr="00FF2BCB" w:rsidRDefault="00482505" w:rsidP="00FF2BCB">
      <w:pPr>
        <w:pStyle w:val="Heading11"/>
      </w:pPr>
      <w:bookmarkStart w:id="61" w:name="_Toc377031456"/>
      <w:r w:rsidRPr="00FF2BCB">
        <w:t xml:space="preserve">Environment and </w:t>
      </w:r>
      <w:r w:rsidR="00B11877" w:rsidRPr="00FF2BCB">
        <w:t>h</w:t>
      </w:r>
      <w:r w:rsidRPr="00FF2BCB">
        <w:t>eritage</w:t>
      </w:r>
      <w:bookmarkEnd w:id="61"/>
    </w:p>
    <w:p w:rsidR="00D156F9" w:rsidRDefault="00482505">
      <w:pPr>
        <w:pStyle w:val="Heading4"/>
      </w:pPr>
      <w:r w:rsidRPr="00995177">
        <w:t>Future directions</w:t>
      </w:r>
    </w:p>
    <w:p w:rsidR="00482505" w:rsidRPr="00995177" w:rsidRDefault="00482505" w:rsidP="00482505">
      <w:pPr>
        <w:pStyle w:val="btbullet"/>
        <w:rPr>
          <w:lang w:val="en-AU"/>
        </w:rPr>
      </w:pPr>
      <w:r w:rsidRPr="00995177">
        <w:rPr>
          <w:lang w:val="en-AU"/>
        </w:rPr>
        <w:t>Manage risks to</w:t>
      </w:r>
      <w:r w:rsidR="00A576F6" w:rsidRPr="00995177">
        <w:rPr>
          <w:lang w:val="en-AU"/>
        </w:rPr>
        <w:t xml:space="preserve"> the</w:t>
      </w:r>
      <w:r w:rsidRPr="00995177">
        <w:rPr>
          <w:lang w:val="en-AU"/>
        </w:rPr>
        <w:t xml:space="preserve"> Loddon Mallee North</w:t>
      </w:r>
      <w:r w:rsidR="00A576F6" w:rsidRPr="00995177">
        <w:rPr>
          <w:lang w:val="en-AU"/>
        </w:rPr>
        <w:t xml:space="preserve"> region’s</w:t>
      </w:r>
      <w:r w:rsidRPr="00995177">
        <w:rPr>
          <w:lang w:val="en-AU"/>
        </w:rPr>
        <w:t xml:space="preserve"> community and economy from natural hazards</w:t>
      </w:r>
    </w:p>
    <w:p w:rsidR="00482505" w:rsidRPr="00995177" w:rsidRDefault="00482505" w:rsidP="00482505">
      <w:pPr>
        <w:pStyle w:val="btbullet"/>
        <w:rPr>
          <w:lang w:val="en-AU"/>
        </w:rPr>
      </w:pPr>
      <w:r w:rsidRPr="00995177">
        <w:rPr>
          <w:lang w:val="en-AU"/>
        </w:rPr>
        <w:t xml:space="preserve">Protect and improve the condition of </w:t>
      </w:r>
      <w:r w:rsidR="00A576F6" w:rsidRPr="00995177">
        <w:rPr>
          <w:lang w:val="en-AU"/>
        </w:rPr>
        <w:t>the region’s</w:t>
      </w:r>
      <w:r w:rsidRPr="00995177">
        <w:rPr>
          <w:lang w:val="en-AU"/>
        </w:rPr>
        <w:t xml:space="preserve"> environmental and cultural heritage assets to achieve the best outcome for the region’s environment, economy and community</w:t>
      </w:r>
    </w:p>
    <w:p w:rsidR="00482505" w:rsidRPr="008627A4" w:rsidRDefault="00482505" w:rsidP="00482505">
      <w:pPr>
        <w:pStyle w:val="btbullet"/>
        <w:rPr>
          <w:lang w:val="en-AU"/>
        </w:rPr>
      </w:pPr>
      <w:r w:rsidRPr="00995177">
        <w:rPr>
          <w:lang w:val="en-AU"/>
        </w:rPr>
        <w:t xml:space="preserve">Plan for </w:t>
      </w:r>
      <w:r w:rsidR="00105923" w:rsidRPr="00995177">
        <w:rPr>
          <w:lang w:val="en-AU"/>
        </w:rPr>
        <w:t xml:space="preserve">and manage </w:t>
      </w:r>
      <w:r w:rsidRPr="00995177">
        <w:rPr>
          <w:lang w:val="en-AU"/>
        </w:rPr>
        <w:t xml:space="preserve">potential </w:t>
      </w:r>
      <w:r w:rsidR="00105923" w:rsidRPr="00995177">
        <w:rPr>
          <w:lang w:val="en-AU"/>
        </w:rPr>
        <w:t xml:space="preserve">risks </w:t>
      </w:r>
      <w:r w:rsidRPr="00995177">
        <w:rPr>
          <w:lang w:val="en-AU"/>
        </w:rPr>
        <w:t>and opportunities arising from climate change and</w:t>
      </w:r>
      <w:r w:rsidR="002C1AC7" w:rsidRPr="00995177">
        <w:rPr>
          <w:lang w:val="en-AU"/>
        </w:rPr>
        <w:t xml:space="preserve"> initiatives </w:t>
      </w:r>
      <w:r w:rsidR="002C1AC7" w:rsidRPr="008627A4">
        <w:rPr>
          <w:lang w:val="en-AU"/>
        </w:rPr>
        <w:t>that support national and global action to reduce greenhouse gas emissions</w:t>
      </w:r>
    </w:p>
    <w:p w:rsidR="00482505" w:rsidRPr="008627A4" w:rsidRDefault="00482505" w:rsidP="00E558BE">
      <w:pPr>
        <w:pStyle w:val="Heading3"/>
        <w:rPr>
          <w:lang w:val="en-AU"/>
        </w:rPr>
      </w:pPr>
      <w:r w:rsidRPr="008627A4">
        <w:rPr>
          <w:lang w:val="en-AU"/>
        </w:rPr>
        <w:t>Overview</w:t>
      </w:r>
    </w:p>
    <w:p w:rsidR="00482505" w:rsidRPr="00B5716C" w:rsidRDefault="00482505" w:rsidP="00482505">
      <w:pPr>
        <w:pStyle w:val="bt"/>
      </w:pPr>
      <w:r w:rsidRPr="008627A4">
        <w:rPr>
          <w:lang w:val="en-AU"/>
        </w:rPr>
        <w:t>The Loddon Mallee North region is well known for its environmental assets and has a rich diversity of cultural heritage assets</w:t>
      </w:r>
      <w:r w:rsidR="004C2E21" w:rsidRPr="008627A4">
        <w:rPr>
          <w:lang w:val="en-AU"/>
        </w:rPr>
        <w:t xml:space="preserve"> (</w:t>
      </w:r>
      <w:r w:rsidR="00A576F6" w:rsidRPr="008627A4">
        <w:rPr>
          <w:lang w:val="en-AU"/>
        </w:rPr>
        <w:t xml:space="preserve">refer to </w:t>
      </w:r>
      <w:r w:rsidR="003652DE">
        <w:rPr>
          <w:lang w:val="en-AU"/>
        </w:rPr>
        <w:t>Map 6</w:t>
      </w:r>
      <w:r w:rsidR="004C2E21" w:rsidRPr="008627A4">
        <w:rPr>
          <w:lang w:val="en-AU"/>
        </w:rPr>
        <w:t>)</w:t>
      </w:r>
      <w:r w:rsidRPr="008627A4">
        <w:rPr>
          <w:lang w:val="en-AU"/>
        </w:rPr>
        <w:t xml:space="preserve">. This </w:t>
      </w:r>
      <w:r w:rsidR="00B11877" w:rsidRPr="008627A4">
        <w:rPr>
          <w:lang w:val="en-AU"/>
        </w:rPr>
        <w:t>p</w:t>
      </w:r>
      <w:r w:rsidRPr="008627A4">
        <w:rPr>
          <w:lang w:val="en-AU"/>
        </w:rPr>
        <w:t xml:space="preserve">lan </w:t>
      </w:r>
      <w:r w:rsidR="004127B0" w:rsidRPr="008627A4">
        <w:rPr>
          <w:lang w:val="en-AU"/>
        </w:rPr>
        <w:t xml:space="preserve">recognises </w:t>
      </w:r>
      <w:r w:rsidR="00336B69">
        <w:rPr>
          <w:lang w:val="en-AU"/>
        </w:rPr>
        <w:t xml:space="preserve">that </w:t>
      </w:r>
      <w:r w:rsidR="004127B0" w:rsidRPr="008627A4">
        <w:rPr>
          <w:lang w:val="en-AU"/>
        </w:rPr>
        <w:t>the</w:t>
      </w:r>
      <w:r w:rsidRPr="008627A4">
        <w:rPr>
          <w:lang w:val="en-AU"/>
        </w:rPr>
        <w:t xml:space="preserve"> </w:t>
      </w:r>
      <w:r w:rsidR="002146CF" w:rsidRPr="008627A4">
        <w:rPr>
          <w:lang w:val="en-AU"/>
        </w:rPr>
        <w:t xml:space="preserve">region’s </w:t>
      </w:r>
      <w:r w:rsidRPr="008627A4">
        <w:rPr>
          <w:lang w:val="en-AU"/>
        </w:rPr>
        <w:t xml:space="preserve">environment </w:t>
      </w:r>
      <w:r w:rsidR="000D2847" w:rsidRPr="008627A4">
        <w:rPr>
          <w:lang w:val="en-AU"/>
        </w:rPr>
        <w:t xml:space="preserve">is </w:t>
      </w:r>
      <w:r w:rsidRPr="008627A4">
        <w:rPr>
          <w:lang w:val="en-AU"/>
        </w:rPr>
        <w:t>critical to its ongoing growth and prosperity</w:t>
      </w:r>
      <w:r w:rsidR="000D2847" w:rsidRPr="008627A4">
        <w:rPr>
          <w:lang w:val="en-AU"/>
        </w:rPr>
        <w:t>, particularly in terms of water</w:t>
      </w:r>
      <w:r w:rsidRPr="008627A4">
        <w:rPr>
          <w:lang w:val="en-AU"/>
        </w:rPr>
        <w:t xml:space="preserve">. It aims to enhance the </w:t>
      </w:r>
      <w:r w:rsidR="000D2847" w:rsidRPr="008627A4">
        <w:rPr>
          <w:lang w:val="en-AU"/>
        </w:rPr>
        <w:t xml:space="preserve">environmental </w:t>
      </w:r>
      <w:r w:rsidRPr="008627A4">
        <w:rPr>
          <w:lang w:val="en-AU"/>
        </w:rPr>
        <w:t xml:space="preserve">and cultural </w:t>
      </w:r>
      <w:r w:rsidRPr="008627A4">
        <w:rPr>
          <w:lang w:val="en-AU"/>
        </w:rPr>
        <w:lastRenderedPageBreak/>
        <w:t xml:space="preserve">heritage </w:t>
      </w:r>
      <w:r w:rsidR="000D2847" w:rsidRPr="008627A4">
        <w:rPr>
          <w:lang w:val="en-AU"/>
        </w:rPr>
        <w:t xml:space="preserve">assets </w:t>
      </w:r>
      <w:r w:rsidRPr="008627A4">
        <w:rPr>
          <w:lang w:val="en-AU"/>
        </w:rPr>
        <w:t>of the region</w:t>
      </w:r>
      <w:r w:rsidR="000D2847" w:rsidRPr="008627A4">
        <w:rPr>
          <w:lang w:val="en-AU"/>
        </w:rPr>
        <w:t>,</w:t>
      </w:r>
      <w:r w:rsidRPr="008627A4">
        <w:rPr>
          <w:lang w:val="en-AU"/>
        </w:rPr>
        <w:t xml:space="preserve"> retain healthy waterways and floodplains</w:t>
      </w:r>
      <w:r w:rsidR="000D2847" w:rsidRPr="008627A4">
        <w:rPr>
          <w:lang w:val="en-AU"/>
        </w:rPr>
        <w:t>,</w:t>
      </w:r>
      <w:r w:rsidRPr="008627A4">
        <w:rPr>
          <w:lang w:val="en-AU"/>
        </w:rPr>
        <w:t xml:space="preserve"> achieve sustainable, water efficient farming</w:t>
      </w:r>
      <w:r w:rsidR="000D2847" w:rsidRPr="008627A4">
        <w:rPr>
          <w:lang w:val="en-AU"/>
        </w:rPr>
        <w:t>,</w:t>
      </w:r>
      <w:r w:rsidRPr="008627A4">
        <w:rPr>
          <w:lang w:val="en-AU"/>
        </w:rPr>
        <w:t xml:space="preserve"> and develop a diverse and robust economy </w:t>
      </w:r>
      <w:r w:rsidR="00D26960" w:rsidRPr="008627A4">
        <w:rPr>
          <w:lang w:val="en-AU"/>
        </w:rPr>
        <w:t xml:space="preserve">broadening </w:t>
      </w:r>
      <w:r w:rsidRPr="008627A4">
        <w:rPr>
          <w:lang w:val="en-AU"/>
        </w:rPr>
        <w:t xml:space="preserve">its strong agricultural base. </w:t>
      </w:r>
      <w:r w:rsidR="002146CF" w:rsidRPr="008627A4">
        <w:rPr>
          <w:lang w:val="en-AU"/>
        </w:rPr>
        <w:t>The plan</w:t>
      </w:r>
      <w:r w:rsidRPr="008627A4">
        <w:rPr>
          <w:lang w:val="en-AU"/>
        </w:rPr>
        <w:t xml:space="preserve"> recognises </w:t>
      </w:r>
      <w:r w:rsidR="00577E22" w:rsidRPr="008627A4">
        <w:rPr>
          <w:lang w:val="en-AU"/>
        </w:rPr>
        <w:t xml:space="preserve">that </w:t>
      </w:r>
      <w:r w:rsidRPr="008627A4">
        <w:rPr>
          <w:lang w:val="en-AU"/>
        </w:rPr>
        <w:t>the Murray River is the lifeblood of the region.</w:t>
      </w:r>
    </w:p>
    <w:p w:rsidR="00482505" w:rsidRPr="008627A4" w:rsidRDefault="003C67DD" w:rsidP="00482505">
      <w:pPr>
        <w:pStyle w:val="bt"/>
        <w:rPr>
          <w:lang w:val="en-AU"/>
        </w:rPr>
      </w:pPr>
      <w:r w:rsidRPr="008627A4">
        <w:rPr>
          <w:lang w:val="en-AU"/>
        </w:rPr>
        <w:t>The human history of the r</w:t>
      </w:r>
      <w:r w:rsidR="00482505" w:rsidRPr="008627A4">
        <w:rPr>
          <w:lang w:val="en-AU"/>
        </w:rPr>
        <w:t xml:space="preserve">egion can be traced </w:t>
      </w:r>
      <w:r w:rsidR="002146CF" w:rsidRPr="008627A4">
        <w:rPr>
          <w:lang w:val="en-AU"/>
        </w:rPr>
        <w:t xml:space="preserve">back </w:t>
      </w:r>
      <w:r w:rsidR="00482505" w:rsidRPr="008627A4">
        <w:rPr>
          <w:lang w:val="en-AU"/>
        </w:rPr>
        <w:t>to the Murray River through the</w:t>
      </w:r>
      <w:r w:rsidR="00577E22" w:rsidRPr="008627A4">
        <w:rPr>
          <w:lang w:val="en-AU"/>
        </w:rPr>
        <w:t xml:space="preserve"> presence, for</w:t>
      </w:r>
      <w:r w:rsidR="00482505" w:rsidRPr="008627A4">
        <w:rPr>
          <w:lang w:val="en-AU"/>
        </w:rPr>
        <w:t xml:space="preserve"> tens of thousands of years</w:t>
      </w:r>
      <w:r w:rsidR="00577E22" w:rsidRPr="008627A4">
        <w:rPr>
          <w:lang w:val="en-AU"/>
        </w:rPr>
        <w:t>,</w:t>
      </w:r>
      <w:r w:rsidR="00482505" w:rsidRPr="008627A4">
        <w:rPr>
          <w:lang w:val="en-AU"/>
        </w:rPr>
        <w:t xml:space="preserve"> of Aboriginal </w:t>
      </w:r>
      <w:r w:rsidR="000D2847" w:rsidRPr="008627A4">
        <w:rPr>
          <w:lang w:val="en-AU"/>
        </w:rPr>
        <w:t>people</w:t>
      </w:r>
      <w:r w:rsidR="00482505" w:rsidRPr="008627A4">
        <w:rPr>
          <w:lang w:val="en-AU"/>
        </w:rPr>
        <w:t xml:space="preserve">. The recent history of the </w:t>
      </w:r>
      <w:r w:rsidR="00BE5B6A" w:rsidRPr="008627A4">
        <w:rPr>
          <w:lang w:val="en-AU"/>
        </w:rPr>
        <w:t>region</w:t>
      </w:r>
      <w:r w:rsidR="00482505" w:rsidRPr="008627A4">
        <w:rPr>
          <w:lang w:val="en-AU"/>
        </w:rPr>
        <w:t xml:space="preserve"> is strongly tied to the economic development of Victoria</w:t>
      </w:r>
      <w:r w:rsidR="00577E22" w:rsidRPr="008627A4">
        <w:rPr>
          <w:lang w:val="en-AU"/>
        </w:rPr>
        <w:t>,</w:t>
      </w:r>
      <w:r w:rsidR="00482505" w:rsidRPr="008627A4">
        <w:rPr>
          <w:lang w:val="en-AU"/>
        </w:rPr>
        <w:t xml:space="preserve"> with nationally significant historic Murray River trade in the 19th century and the evolution of massive irrigation schemes into the 20th century.</w:t>
      </w:r>
    </w:p>
    <w:p w:rsidR="00482505" w:rsidRPr="008627A4" w:rsidRDefault="00482505" w:rsidP="00482505">
      <w:pPr>
        <w:pStyle w:val="bt"/>
        <w:rPr>
          <w:lang w:val="en-AU"/>
        </w:rPr>
      </w:pPr>
      <w:r w:rsidRPr="008627A4">
        <w:rPr>
          <w:lang w:val="en-AU"/>
        </w:rPr>
        <w:t>Environmental assets underpin the economic strengths of the region and present many opportunities for tourism and other economic diversificatio</w:t>
      </w:r>
      <w:r w:rsidR="0048567B" w:rsidRPr="008627A4">
        <w:rPr>
          <w:lang w:val="en-AU"/>
        </w:rPr>
        <w:t xml:space="preserve">n, </w:t>
      </w:r>
      <w:r w:rsidR="002146CF" w:rsidRPr="008627A4">
        <w:rPr>
          <w:lang w:val="en-AU"/>
        </w:rPr>
        <w:t>such as</w:t>
      </w:r>
      <w:r w:rsidRPr="008627A4">
        <w:rPr>
          <w:lang w:val="en-AU"/>
        </w:rPr>
        <w:t xml:space="preserve"> carbon farming and income from </w:t>
      </w:r>
      <w:r w:rsidR="00057C7A" w:rsidRPr="008627A4">
        <w:rPr>
          <w:lang w:val="en-AU"/>
        </w:rPr>
        <w:t>ecosystem services</w:t>
      </w:r>
      <w:r w:rsidRPr="008627A4">
        <w:rPr>
          <w:lang w:val="en-AU"/>
        </w:rPr>
        <w:t xml:space="preserve">. Balancing growth </w:t>
      </w:r>
      <w:r w:rsidR="002146CF" w:rsidRPr="008627A4">
        <w:rPr>
          <w:lang w:val="en-AU"/>
        </w:rPr>
        <w:t xml:space="preserve">with the </w:t>
      </w:r>
      <w:r w:rsidRPr="008627A4">
        <w:rPr>
          <w:lang w:val="en-AU"/>
        </w:rPr>
        <w:t xml:space="preserve">protection of the environment </w:t>
      </w:r>
      <w:r w:rsidR="000D2847" w:rsidRPr="008627A4">
        <w:rPr>
          <w:lang w:val="en-AU"/>
        </w:rPr>
        <w:t xml:space="preserve">and cultural heritage assets </w:t>
      </w:r>
      <w:r w:rsidR="002146CF" w:rsidRPr="008627A4">
        <w:rPr>
          <w:lang w:val="en-AU"/>
        </w:rPr>
        <w:t xml:space="preserve">is a key challenge for this plan, as is managing </w:t>
      </w:r>
      <w:r w:rsidRPr="008627A4">
        <w:rPr>
          <w:lang w:val="en-AU"/>
        </w:rPr>
        <w:t>the risks</w:t>
      </w:r>
      <w:r w:rsidR="000D2847" w:rsidRPr="008627A4">
        <w:rPr>
          <w:lang w:val="en-AU"/>
        </w:rPr>
        <w:t xml:space="preserve"> from natural hazards </w:t>
      </w:r>
      <w:r w:rsidRPr="008627A4">
        <w:rPr>
          <w:lang w:val="en-AU"/>
        </w:rPr>
        <w:t>associated with some of these areas</w:t>
      </w:r>
      <w:r w:rsidR="00577E22" w:rsidRPr="008627A4">
        <w:rPr>
          <w:lang w:val="en-AU"/>
        </w:rPr>
        <w:t>. More detailed planning is required to address these challenges</w:t>
      </w:r>
      <w:r w:rsidR="002146CF" w:rsidRPr="008627A4">
        <w:rPr>
          <w:lang w:val="en-AU"/>
        </w:rPr>
        <w:t>.</w:t>
      </w:r>
    </w:p>
    <w:p w:rsidR="00482505" w:rsidRPr="008627A4" w:rsidRDefault="00482505" w:rsidP="00482505">
      <w:pPr>
        <w:pStyle w:val="bt"/>
        <w:rPr>
          <w:lang w:val="en-AU"/>
        </w:rPr>
      </w:pPr>
      <w:r w:rsidRPr="008627A4">
        <w:rPr>
          <w:lang w:val="en-AU"/>
        </w:rPr>
        <w:t>Four catchment management authorities and several public land managers coordinate investment in the protection and enhancement of the environment throughout the region.</w:t>
      </w:r>
      <w:r w:rsidR="00577E22" w:rsidRPr="008627A4">
        <w:rPr>
          <w:lang w:val="en-AU"/>
        </w:rPr>
        <w:t xml:space="preserve"> </w:t>
      </w:r>
      <w:r w:rsidRPr="008627A4">
        <w:rPr>
          <w:lang w:val="en-AU"/>
        </w:rPr>
        <w:t xml:space="preserve">Regional </w:t>
      </w:r>
      <w:r w:rsidR="004C2E21" w:rsidRPr="008627A4">
        <w:rPr>
          <w:lang w:val="en-AU"/>
        </w:rPr>
        <w:t>c</w:t>
      </w:r>
      <w:r w:rsidRPr="008627A4">
        <w:rPr>
          <w:lang w:val="en-AU"/>
        </w:rPr>
        <w:t xml:space="preserve">atchment </w:t>
      </w:r>
      <w:r w:rsidR="00D373A1" w:rsidRPr="008627A4">
        <w:rPr>
          <w:lang w:val="en-AU"/>
        </w:rPr>
        <w:t>strategies are</w:t>
      </w:r>
      <w:r w:rsidRPr="008627A4">
        <w:rPr>
          <w:lang w:val="en-AU"/>
        </w:rPr>
        <w:t xml:space="preserve"> the primary integrated regional strategies for achieving improved environmental outcomes in the region.</w:t>
      </w:r>
      <w:r w:rsidR="00577E22" w:rsidRPr="008627A4">
        <w:rPr>
          <w:lang w:val="en-AU"/>
        </w:rPr>
        <w:t xml:space="preserve"> </w:t>
      </w:r>
      <w:r w:rsidRPr="008627A4">
        <w:rPr>
          <w:lang w:val="en-AU"/>
        </w:rPr>
        <w:t xml:space="preserve">Regionally significant environmental assets </w:t>
      </w:r>
      <w:r w:rsidR="00057C7A" w:rsidRPr="008627A4">
        <w:rPr>
          <w:lang w:val="en-AU"/>
        </w:rPr>
        <w:t xml:space="preserve">and priorities </w:t>
      </w:r>
      <w:r w:rsidRPr="008627A4">
        <w:rPr>
          <w:lang w:val="en-AU"/>
        </w:rPr>
        <w:t>are clear</w:t>
      </w:r>
      <w:r w:rsidR="00057C7A" w:rsidRPr="008627A4">
        <w:rPr>
          <w:lang w:val="en-AU"/>
        </w:rPr>
        <w:t>ly described in these documents</w:t>
      </w:r>
      <w:r w:rsidRPr="008627A4">
        <w:rPr>
          <w:lang w:val="en-AU"/>
        </w:rPr>
        <w:t xml:space="preserve">. This </w:t>
      </w:r>
      <w:r w:rsidR="004C2E21" w:rsidRPr="008627A4">
        <w:rPr>
          <w:lang w:val="en-AU"/>
        </w:rPr>
        <w:t>p</w:t>
      </w:r>
      <w:r w:rsidRPr="008627A4">
        <w:rPr>
          <w:lang w:val="en-AU"/>
        </w:rPr>
        <w:t xml:space="preserve">lan complements </w:t>
      </w:r>
      <w:r w:rsidR="002146CF" w:rsidRPr="008627A4">
        <w:rPr>
          <w:lang w:val="en-AU"/>
        </w:rPr>
        <w:t>catchment management authority</w:t>
      </w:r>
      <w:r w:rsidRPr="008627A4">
        <w:rPr>
          <w:lang w:val="en-AU"/>
        </w:rPr>
        <w:t xml:space="preserve"> activities and initiatives by encouraging appropriate land use planning mechanisms that recognise and respond to regionally significant environmental assets. </w:t>
      </w:r>
    </w:p>
    <w:p w:rsidR="004A2563" w:rsidRPr="008627A4" w:rsidRDefault="004A2563" w:rsidP="004A2563">
      <w:pPr>
        <w:pStyle w:val="bt"/>
        <w:rPr>
          <w:lang w:val="en-AU"/>
        </w:rPr>
      </w:pPr>
      <w:r w:rsidRPr="008627A4">
        <w:rPr>
          <w:lang w:val="en-AU"/>
        </w:rPr>
        <w:t xml:space="preserve">The future climate </w:t>
      </w:r>
      <w:r w:rsidR="008B4C42" w:rsidRPr="008627A4">
        <w:rPr>
          <w:lang w:val="en-AU"/>
        </w:rPr>
        <w:t>of the region</w:t>
      </w:r>
      <w:r w:rsidRPr="008627A4">
        <w:rPr>
          <w:lang w:val="en-AU"/>
        </w:rPr>
        <w:t xml:space="preserve"> is likely to be drier and hotter with increased frequency and intensity of extreme events</w:t>
      </w:r>
      <w:r w:rsidR="000D2847" w:rsidRPr="008627A4">
        <w:rPr>
          <w:lang w:val="en-AU"/>
        </w:rPr>
        <w:t xml:space="preserve"> such as droughts and floods</w:t>
      </w:r>
      <w:r w:rsidRPr="008627A4">
        <w:rPr>
          <w:lang w:val="en-AU"/>
        </w:rPr>
        <w:t xml:space="preserve">. This may impact on the liveability and amenity of the region’s settlements and its attractiveness to new residents and businesses. Land use planning should consider the potential </w:t>
      </w:r>
      <w:r w:rsidR="008367CB" w:rsidRPr="008627A4">
        <w:rPr>
          <w:lang w:val="en-AU"/>
        </w:rPr>
        <w:t>risks and opportunities associated with</w:t>
      </w:r>
      <w:r w:rsidRPr="008627A4">
        <w:rPr>
          <w:lang w:val="en-AU"/>
        </w:rPr>
        <w:t xml:space="preserve"> climate change on settlements and incorporate appropriate strategies and actions to assist the community and the region to adapt</w:t>
      </w:r>
      <w:r w:rsidR="008367CB" w:rsidRPr="008627A4">
        <w:rPr>
          <w:lang w:val="en-AU"/>
        </w:rPr>
        <w:t xml:space="preserve"> and build resilience</w:t>
      </w:r>
      <w:r w:rsidRPr="008627A4">
        <w:rPr>
          <w:lang w:val="en-AU"/>
        </w:rPr>
        <w:t>.</w:t>
      </w:r>
    </w:p>
    <w:p w:rsidR="00482505" w:rsidRPr="008627A4" w:rsidRDefault="00482505" w:rsidP="00482505">
      <w:pPr>
        <w:pStyle w:val="bt"/>
        <w:rPr>
          <w:lang w:val="en-AU"/>
        </w:rPr>
      </w:pPr>
      <w:r w:rsidRPr="008627A4">
        <w:rPr>
          <w:lang w:val="en-AU"/>
        </w:rPr>
        <w:t xml:space="preserve">Key areas where potential growth or land use change may intersect with environmental and heritage assets have been identified. Natural hazards have been mapped and form part of the considerations for urban growth. This </w:t>
      </w:r>
      <w:r w:rsidR="004C2E21" w:rsidRPr="008627A4">
        <w:rPr>
          <w:lang w:val="en-AU"/>
        </w:rPr>
        <w:t>p</w:t>
      </w:r>
      <w:r w:rsidRPr="008627A4">
        <w:rPr>
          <w:lang w:val="en-AU"/>
        </w:rPr>
        <w:t>lan provides direction on these issues.</w:t>
      </w:r>
    </w:p>
    <w:p w:rsidR="00EB0459" w:rsidRDefault="00482505" w:rsidP="00EB0459">
      <w:pPr>
        <w:pStyle w:val="bt"/>
      </w:pPr>
      <w:r w:rsidRPr="00EB0459">
        <w:t xml:space="preserve">There are many </w:t>
      </w:r>
      <w:r w:rsidR="008B4C42" w:rsidRPr="00EB0459">
        <w:t xml:space="preserve">issues </w:t>
      </w:r>
      <w:r w:rsidRPr="00EB0459">
        <w:t xml:space="preserve">that require detailed consideration </w:t>
      </w:r>
      <w:r w:rsidR="008B4C42" w:rsidRPr="00EB0459">
        <w:t>in planning for</w:t>
      </w:r>
      <w:r w:rsidRPr="00EB0459">
        <w:t xml:space="preserve"> growth. Some of these considerations are explored further in Sections 12.1</w:t>
      </w:r>
      <w:r w:rsidR="008205E1" w:rsidRPr="00EB0459">
        <w:t>:</w:t>
      </w:r>
      <w:r w:rsidRPr="00EB0459">
        <w:t xml:space="preserve"> Environment</w:t>
      </w:r>
      <w:r w:rsidR="000D2847" w:rsidRPr="00EB0459">
        <w:t xml:space="preserve"> and </w:t>
      </w:r>
      <w:r w:rsidR="004C2E21" w:rsidRPr="00EB0459">
        <w:t>h</w:t>
      </w:r>
      <w:r w:rsidR="000D2847" w:rsidRPr="00EB0459">
        <w:t>eritage</w:t>
      </w:r>
      <w:r w:rsidR="004C2E21" w:rsidRPr="00EB0459">
        <w:t xml:space="preserve"> assets</w:t>
      </w:r>
      <w:r w:rsidR="00FA0EF9" w:rsidRPr="00EB0459">
        <w:t>,</w:t>
      </w:r>
      <w:r w:rsidRPr="00EB0459">
        <w:t xml:space="preserve"> and 12.2</w:t>
      </w:r>
      <w:r w:rsidR="008205E1" w:rsidRPr="00EB0459">
        <w:t>:</w:t>
      </w:r>
      <w:r w:rsidRPr="00EB0459">
        <w:t xml:space="preserve"> Natural </w:t>
      </w:r>
      <w:r w:rsidR="00577E22" w:rsidRPr="00EB0459">
        <w:t xml:space="preserve">hazards </w:t>
      </w:r>
      <w:r w:rsidRPr="00EB0459">
        <w:t xml:space="preserve">and </w:t>
      </w:r>
      <w:r w:rsidR="00577E22" w:rsidRPr="00EB0459">
        <w:t>risks</w:t>
      </w:r>
      <w:r w:rsidRPr="00EB0459">
        <w:t>.</w:t>
      </w:r>
      <w:bookmarkStart w:id="62" w:name="_Ref373922928"/>
      <w:bookmarkStart w:id="63" w:name="_Toc358365466"/>
      <w:bookmarkStart w:id="64" w:name="_Toc375052100"/>
    </w:p>
    <w:p w:rsidR="00823833" w:rsidRPr="00EB0459" w:rsidRDefault="00D81C28" w:rsidP="00EB0459">
      <w:pPr>
        <w:pStyle w:val="bt"/>
      </w:pPr>
      <w:r w:rsidRPr="00EB0459">
        <w:t xml:space="preserve">Map </w:t>
      </w:r>
      <w:bookmarkEnd w:id="62"/>
      <w:r w:rsidR="003652DE">
        <w:t>6</w:t>
      </w:r>
      <w:r w:rsidR="00134771" w:rsidRPr="00EB0459">
        <w:t xml:space="preserve"> is located here in the document and it shows -</w:t>
      </w:r>
      <w:r w:rsidRPr="00EB0459">
        <w:t xml:space="preserve"> </w:t>
      </w:r>
      <w:r w:rsidR="003F3C49" w:rsidRPr="00EB0459">
        <w:t xml:space="preserve">Future </w:t>
      </w:r>
      <w:r w:rsidR="00823833" w:rsidRPr="00EB0459">
        <w:t>directions</w:t>
      </w:r>
      <w:bookmarkEnd w:id="63"/>
      <w:r w:rsidR="003F3C49" w:rsidRPr="00EB0459">
        <w:t xml:space="preserve"> for environment and heritage</w:t>
      </w:r>
      <w:bookmarkEnd w:id="64"/>
    </w:p>
    <w:p w:rsidR="00482505" w:rsidRPr="008627A4" w:rsidRDefault="00482505" w:rsidP="00482505">
      <w:pPr>
        <w:pStyle w:val="Heading2"/>
        <w:rPr>
          <w:lang w:val="en-AU"/>
        </w:rPr>
      </w:pPr>
      <w:bookmarkStart w:id="65" w:name="_Toc377031457"/>
      <w:r w:rsidRPr="008627A4">
        <w:rPr>
          <w:lang w:val="en-AU"/>
        </w:rPr>
        <w:t xml:space="preserve">Environmental and </w:t>
      </w:r>
      <w:r w:rsidR="004C2E21" w:rsidRPr="008627A4">
        <w:rPr>
          <w:lang w:val="en-AU"/>
        </w:rPr>
        <w:t>h</w:t>
      </w:r>
      <w:r w:rsidRPr="008627A4">
        <w:rPr>
          <w:lang w:val="en-AU"/>
        </w:rPr>
        <w:t xml:space="preserve">eritage </w:t>
      </w:r>
      <w:r w:rsidR="004C2E21" w:rsidRPr="008627A4">
        <w:rPr>
          <w:lang w:val="en-AU"/>
        </w:rPr>
        <w:t>a</w:t>
      </w:r>
      <w:r w:rsidRPr="008627A4">
        <w:rPr>
          <w:lang w:val="en-AU"/>
        </w:rPr>
        <w:t>ssets</w:t>
      </w:r>
      <w:bookmarkEnd w:id="65"/>
    </w:p>
    <w:p w:rsidR="00482505" w:rsidRPr="008627A4" w:rsidRDefault="00482505" w:rsidP="00731D63">
      <w:pPr>
        <w:pStyle w:val="bt"/>
        <w:rPr>
          <w:lang w:val="en-AU"/>
        </w:rPr>
      </w:pPr>
      <w:r w:rsidRPr="008627A4">
        <w:rPr>
          <w:lang w:val="en-AU"/>
        </w:rPr>
        <w:t xml:space="preserve">Environmental </w:t>
      </w:r>
      <w:r w:rsidR="008367CB" w:rsidRPr="008627A4">
        <w:rPr>
          <w:lang w:val="en-AU"/>
        </w:rPr>
        <w:t xml:space="preserve">and cultural heritage </w:t>
      </w:r>
      <w:r w:rsidRPr="008627A4">
        <w:rPr>
          <w:lang w:val="en-AU"/>
        </w:rPr>
        <w:t xml:space="preserve">assets are essential to the </w:t>
      </w:r>
      <w:r w:rsidR="008B4C42" w:rsidRPr="008627A4">
        <w:rPr>
          <w:lang w:val="en-AU"/>
        </w:rPr>
        <w:t xml:space="preserve">Loddon Mallee North </w:t>
      </w:r>
      <w:r w:rsidRPr="008627A4">
        <w:rPr>
          <w:lang w:val="en-AU"/>
        </w:rPr>
        <w:t xml:space="preserve">region’s continued growth, providing the foundations of many industries and attracting people to live in and visit the </w:t>
      </w:r>
      <w:r w:rsidR="008B4C42" w:rsidRPr="008627A4">
        <w:rPr>
          <w:lang w:val="en-AU"/>
        </w:rPr>
        <w:t>region</w:t>
      </w:r>
      <w:r w:rsidRPr="008627A4">
        <w:rPr>
          <w:lang w:val="en-AU"/>
        </w:rPr>
        <w:t>. Protecting and enhancing these assets presents many opportunities within the region and should not be seen as a barrier to growth.</w:t>
      </w:r>
    </w:p>
    <w:p w:rsidR="00482505" w:rsidRPr="008627A4" w:rsidRDefault="00482505" w:rsidP="00E558BE">
      <w:pPr>
        <w:pStyle w:val="Heading3"/>
        <w:rPr>
          <w:lang w:val="en-AU"/>
        </w:rPr>
      </w:pPr>
      <w:r w:rsidRPr="008627A4">
        <w:rPr>
          <w:lang w:val="en-AU"/>
        </w:rPr>
        <w:t xml:space="preserve">Cultural </w:t>
      </w:r>
      <w:r w:rsidR="004C2E21" w:rsidRPr="008627A4">
        <w:rPr>
          <w:lang w:val="en-AU"/>
        </w:rPr>
        <w:t>h</w:t>
      </w:r>
      <w:r w:rsidRPr="008627A4">
        <w:rPr>
          <w:lang w:val="en-AU"/>
        </w:rPr>
        <w:t>eritage</w:t>
      </w:r>
    </w:p>
    <w:p w:rsidR="00482505" w:rsidRPr="008627A4" w:rsidRDefault="00984CE2" w:rsidP="00482505">
      <w:pPr>
        <w:pStyle w:val="bt"/>
        <w:rPr>
          <w:lang w:val="en-AU"/>
        </w:rPr>
      </w:pPr>
      <w:r w:rsidRPr="008627A4">
        <w:rPr>
          <w:lang w:val="en-AU"/>
        </w:rPr>
        <w:t xml:space="preserve">The </w:t>
      </w:r>
      <w:r w:rsidR="008367CB" w:rsidRPr="008627A4">
        <w:rPr>
          <w:lang w:val="en-AU"/>
        </w:rPr>
        <w:t xml:space="preserve">environmental </w:t>
      </w:r>
      <w:r w:rsidRPr="008627A4">
        <w:rPr>
          <w:lang w:val="en-AU"/>
        </w:rPr>
        <w:t xml:space="preserve">and </w:t>
      </w:r>
      <w:r w:rsidR="00A325E8" w:rsidRPr="008627A4">
        <w:rPr>
          <w:lang w:val="en-AU"/>
        </w:rPr>
        <w:t xml:space="preserve">Aboriginal cultural </w:t>
      </w:r>
      <w:r w:rsidRPr="008627A4">
        <w:rPr>
          <w:lang w:val="en-AU"/>
        </w:rPr>
        <w:t xml:space="preserve">heritage assets of </w:t>
      </w:r>
      <w:r w:rsidR="008B4C42" w:rsidRPr="008627A4">
        <w:rPr>
          <w:lang w:val="en-AU"/>
        </w:rPr>
        <w:t>the region</w:t>
      </w:r>
      <w:r w:rsidRPr="008627A4">
        <w:rPr>
          <w:lang w:val="en-AU"/>
        </w:rPr>
        <w:t xml:space="preserve"> are often strongly related and as a result, </w:t>
      </w:r>
      <w:r w:rsidR="00A325E8" w:rsidRPr="008627A4">
        <w:rPr>
          <w:lang w:val="en-AU"/>
        </w:rPr>
        <w:t xml:space="preserve">the Aboriginal cultural </w:t>
      </w:r>
      <w:r w:rsidRPr="008627A4">
        <w:rPr>
          <w:lang w:val="en-AU"/>
        </w:rPr>
        <w:t xml:space="preserve">heritage of the region is often readily expressed in the broader landscape, as much as individual </w:t>
      </w:r>
      <w:r w:rsidR="008367CB" w:rsidRPr="008627A4">
        <w:rPr>
          <w:lang w:val="en-AU"/>
        </w:rPr>
        <w:t>places</w:t>
      </w:r>
      <w:r w:rsidRPr="008627A4">
        <w:rPr>
          <w:lang w:val="en-AU"/>
        </w:rPr>
        <w:t xml:space="preserve">. </w:t>
      </w:r>
      <w:r w:rsidR="00A325E8" w:rsidRPr="008627A4">
        <w:rPr>
          <w:lang w:val="en-AU"/>
        </w:rPr>
        <w:t xml:space="preserve">This </w:t>
      </w:r>
      <w:r w:rsidR="004C2E21" w:rsidRPr="008627A4">
        <w:rPr>
          <w:lang w:val="en-AU"/>
        </w:rPr>
        <w:t>p</w:t>
      </w:r>
      <w:r w:rsidR="00A325E8" w:rsidRPr="008627A4">
        <w:rPr>
          <w:lang w:val="en-AU"/>
        </w:rPr>
        <w:t xml:space="preserve">lan outlines the significance, complexity and scale of the region’s historic heritage by recognising the human activities that have shaped </w:t>
      </w:r>
      <w:r w:rsidR="008205E1" w:rsidRPr="008627A4">
        <w:rPr>
          <w:lang w:val="en-AU"/>
        </w:rPr>
        <w:t xml:space="preserve">the landscape, including </w:t>
      </w:r>
      <w:r w:rsidR="00A325E8" w:rsidRPr="008627A4">
        <w:rPr>
          <w:lang w:val="en-AU"/>
        </w:rPr>
        <w:t xml:space="preserve">areas that are geographically remote. </w:t>
      </w:r>
      <w:r w:rsidR="00482505" w:rsidRPr="008627A4">
        <w:rPr>
          <w:lang w:val="en-AU"/>
        </w:rPr>
        <w:t>The history of the region can be summarised through the events and stories belonging to three main themes:</w:t>
      </w:r>
    </w:p>
    <w:p w:rsidR="00E34AE7" w:rsidRDefault="00482505" w:rsidP="00482505">
      <w:pPr>
        <w:pStyle w:val="btbullet"/>
        <w:rPr>
          <w:lang w:val="en-AU"/>
        </w:rPr>
      </w:pPr>
      <w:r w:rsidRPr="008627A4">
        <w:rPr>
          <w:lang w:val="en-AU"/>
        </w:rPr>
        <w:lastRenderedPageBreak/>
        <w:t>the continuing culture of Aboriginal people</w:t>
      </w:r>
    </w:p>
    <w:p w:rsidR="00482505" w:rsidRPr="00E34AE7" w:rsidRDefault="00482505" w:rsidP="00482505">
      <w:pPr>
        <w:pStyle w:val="btbullet"/>
        <w:rPr>
          <w:lang w:val="en-AU"/>
        </w:rPr>
      </w:pPr>
      <w:r w:rsidRPr="00E34AE7">
        <w:rPr>
          <w:lang w:val="en-AU"/>
        </w:rPr>
        <w:t>nationally significant historic river trade</w:t>
      </w:r>
    </w:p>
    <w:p w:rsidR="00482505" w:rsidRPr="008627A4" w:rsidRDefault="00482505" w:rsidP="00482505">
      <w:pPr>
        <w:pStyle w:val="btbullet"/>
        <w:rPr>
          <w:lang w:val="en-AU"/>
        </w:rPr>
      </w:pPr>
      <w:proofErr w:type="gramStart"/>
      <w:r w:rsidRPr="00E34AE7">
        <w:rPr>
          <w:lang w:val="en-AU"/>
        </w:rPr>
        <w:t>the</w:t>
      </w:r>
      <w:proofErr w:type="gramEnd"/>
      <w:r w:rsidRPr="00E34AE7">
        <w:rPr>
          <w:lang w:val="en-AU"/>
        </w:rPr>
        <w:t xml:space="preserve"> evolution of massive irrigation schemes</w:t>
      </w:r>
      <w:r w:rsidRPr="008627A4">
        <w:rPr>
          <w:lang w:val="en-AU"/>
        </w:rPr>
        <w:t xml:space="preserve"> and a signi</w:t>
      </w:r>
      <w:r w:rsidR="009A7C24">
        <w:rPr>
          <w:lang w:val="en-AU"/>
        </w:rPr>
        <w:t>ficantly transformed landscape.</w:t>
      </w:r>
    </w:p>
    <w:p w:rsidR="00482505" w:rsidRPr="008627A4" w:rsidRDefault="00482505" w:rsidP="00482505">
      <w:pPr>
        <w:pStyle w:val="bt"/>
        <w:rPr>
          <w:lang w:val="en-AU"/>
        </w:rPr>
      </w:pPr>
      <w:r w:rsidRPr="008627A4">
        <w:rPr>
          <w:lang w:val="en-AU"/>
        </w:rPr>
        <w:t xml:space="preserve">A priority action of this </w:t>
      </w:r>
      <w:r w:rsidR="004C2E21" w:rsidRPr="008627A4">
        <w:rPr>
          <w:lang w:val="en-AU"/>
        </w:rPr>
        <w:t>p</w:t>
      </w:r>
      <w:r w:rsidRPr="008627A4">
        <w:rPr>
          <w:lang w:val="en-AU"/>
        </w:rPr>
        <w:t xml:space="preserve">lan is to diversify the region’s economy, including capitalising </w:t>
      </w:r>
      <w:r w:rsidR="00856DF5" w:rsidRPr="008627A4">
        <w:rPr>
          <w:lang w:val="en-AU"/>
        </w:rPr>
        <w:t xml:space="preserve">on the tourism potential of </w:t>
      </w:r>
      <w:r w:rsidR="008367CB" w:rsidRPr="008627A4">
        <w:rPr>
          <w:lang w:val="en-AU"/>
        </w:rPr>
        <w:t xml:space="preserve">environmental </w:t>
      </w:r>
      <w:r w:rsidRPr="008627A4">
        <w:rPr>
          <w:lang w:val="en-AU"/>
        </w:rPr>
        <w:t xml:space="preserve">and </w:t>
      </w:r>
      <w:r w:rsidR="008367CB" w:rsidRPr="008627A4">
        <w:rPr>
          <w:lang w:val="en-AU"/>
        </w:rPr>
        <w:t xml:space="preserve">cultural </w:t>
      </w:r>
      <w:r w:rsidR="00DB7678" w:rsidRPr="008627A4">
        <w:rPr>
          <w:lang w:val="en-AU"/>
        </w:rPr>
        <w:t>heritage assets</w:t>
      </w:r>
      <w:r w:rsidR="00BA5567" w:rsidRPr="008627A4">
        <w:rPr>
          <w:lang w:val="en-AU"/>
        </w:rPr>
        <w:t xml:space="preserve"> including the goldfields and heritage towns</w:t>
      </w:r>
      <w:r w:rsidR="00DB7678" w:rsidRPr="008627A4">
        <w:rPr>
          <w:lang w:val="en-AU"/>
        </w:rPr>
        <w:t xml:space="preserve">. </w:t>
      </w:r>
      <w:r w:rsidRPr="008627A4">
        <w:rPr>
          <w:lang w:val="en-AU"/>
        </w:rPr>
        <w:t xml:space="preserve">Consultation during the development of the </w:t>
      </w:r>
      <w:r w:rsidR="00823654" w:rsidRPr="008627A4">
        <w:rPr>
          <w:lang w:val="en-AU"/>
        </w:rPr>
        <w:t xml:space="preserve">plan </w:t>
      </w:r>
      <w:r w:rsidRPr="008627A4">
        <w:rPr>
          <w:lang w:val="en-AU"/>
        </w:rPr>
        <w:t>identified that the</w:t>
      </w:r>
      <w:r w:rsidR="008367CB" w:rsidRPr="008627A4">
        <w:rPr>
          <w:lang w:val="en-AU"/>
        </w:rPr>
        <w:t xml:space="preserve"> cultural</w:t>
      </w:r>
      <w:r w:rsidRPr="008627A4">
        <w:rPr>
          <w:lang w:val="en-AU"/>
        </w:rPr>
        <w:t xml:space="preserve"> heritage assets of the region should be protected</w:t>
      </w:r>
      <w:r w:rsidR="00DB7678" w:rsidRPr="008627A4">
        <w:rPr>
          <w:lang w:val="en-AU"/>
        </w:rPr>
        <w:t xml:space="preserve"> to enable development of tourism opportunities that support </w:t>
      </w:r>
      <w:r w:rsidR="001E40DD" w:rsidRPr="008627A4">
        <w:rPr>
          <w:lang w:val="en-AU"/>
        </w:rPr>
        <w:t>long</w:t>
      </w:r>
      <w:r w:rsidR="001E40DD">
        <w:rPr>
          <w:lang w:val="en-AU"/>
        </w:rPr>
        <w:t>-</w:t>
      </w:r>
      <w:r w:rsidR="00DB7678" w:rsidRPr="008627A4">
        <w:rPr>
          <w:lang w:val="en-AU"/>
        </w:rPr>
        <w:t>term prosperity. S</w:t>
      </w:r>
      <w:r w:rsidR="00ED2D20" w:rsidRPr="008627A4">
        <w:rPr>
          <w:lang w:val="en-AU"/>
        </w:rPr>
        <w:t xml:space="preserve">trategies </w:t>
      </w:r>
      <w:r w:rsidR="00DB7678" w:rsidRPr="008627A4">
        <w:rPr>
          <w:lang w:val="en-AU"/>
        </w:rPr>
        <w:t xml:space="preserve">are required </w:t>
      </w:r>
      <w:r w:rsidR="00ED2D20" w:rsidRPr="008627A4">
        <w:rPr>
          <w:lang w:val="en-AU"/>
        </w:rPr>
        <w:t xml:space="preserve">for rejuvenation </w:t>
      </w:r>
      <w:r w:rsidR="00DB7678" w:rsidRPr="008627A4">
        <w:rPr>
          <w:lang w:val="en-AU"/>
        </w:rPr>
        <w:t xml:space="preserve">and redevelopment </w:t>
      </w:r>
      <w:r w:rsidR="00ED2D20" w:rsidRPr="008627A4">
        <w:rPr>
          <w:lang w:val="en-AU"/>
        </w:rPr>
        <w:t xml:space="preserve">of </w:t>
      </w:r>
      <w:r w:rsidR="00DB7678" w:rsidRPr="008627A4">
        <w:rPr>
          <w:lang w:val="en-AU"/>
        </w:rPr>
        <w:t>key tourism assets</w:t>
      </w:r>
      <w:r w:rsidR="00823654" w:rsidRPr="008627A4">
        <w:rPr>
          <w:lang w:val="en-AU"/>
        </w:rPr>
        <w:t>,</w:t>
      </w:r>
      <w:r w:rsidR="00DB7678" w:rsidRPr="008627A4">
        <w:rPr>
          <w:lang w:val="en-AU"/>
        </w:rPr>
        <w:t xml:space="preserve"> such as the Mildura Riverfront, Port of </w:t>
      </w:r>
      <w:r w:rsidR="004470BC" w:rsidRPr="008627A4">
        <w:rPr>
          <w:lang w:val="en-AU"/>
        </w:rPr>
        <w:t>Echuca and Swan Hill Riverfront</w:t>
      </w:r>
      <w:r w:rsidR="00DB7678" w:rsidRPr="008627A4">
        <w:rPr>
          <w:lang w:val="en-AU"/>
        </w:rPr>
        <w:t>.</w:t>
      </w:r>
    </w:p>
    <w:p w:rsidR="003652DE" w:rsidRDefault="008205E1" w:rsidP="00EB0459">
      <w:pPr>
        <w:pStyle w:val="bt"/>
        <w:rPr>
          <w:lang w:val="en-AU"/>
        </w:rPr>
      </w:pPr>
      <w:r w:rsidRPr="008627A4">
        <w:rPr>
          <w:lang w:val="en-AU"/>
        </w:rPr>
        <w:t xml:space="preserve">By </w:t>
      </w:r>
      <w:r w:rsidR="005267CC" w:rsidRPr="008627A4">
        <w:rPr>
          <w:lang w:val="en-AU"/>
        </w:rPr>
        <w:t>using the</w:t>
      </w:r>
      <w:r w:rsidR="00A325E8" w:rsidRPr="008627A4">
        <w:rPr>
          <w:lang w:val="en-AU"/>
        </w:rPr>
        <w:t xml:space="preserve"> above </w:t>
      </w:r>
      <w:r w:rsidR="00482505" w:rsidRPr="008627A4">
        <w:rPr>
          <w:lang w:val="en-AU"/>
        </w:rPr>
        <w:t>regional heritage themes</w:t>
      </w:r>
      <w:r w:rsidRPr="008627A4">
        <w:rPr>
          <w:lang w:val="en-AU"/>
        </w:rPr>
        <w:t>,</w:t>
      </w:r>
      <w:r w:rsidR="00482505" w:rsidRPr="008627A4">
        <w:rPr>
          <w:lang w:val="en-AU"/>
        </w:rPr>
        <w:t xml:space="preserve"> </w:t>
      </w:r>
      <w:r w:rsidR="00A10804" w:rsidRPr="008627A4">
        <w:rPr>
          <w:lang w:val="en-AU"/>
        </w:rPr>
        <w:t>the region</w:t>
      </w:r>
      <w:r w:rsidR="00482505" w:rsidRPr="008627A4">
        <w:rPr>
          <w:lang w:val="en-AU"/>
        </w:rPr>
        <w:t xml:space="preserve"> could increase awareness and understanding of</w:t>
      </w:r>
      <w:r w:rsidR="00A325E8" w:rsidRPr="008627A4">
        <w:rPr>
          <w:lang w:val="en-AU"/>
        </w:rPr>
        <w:t xml:space="preserve"> </w:t>
      </w:r>
      <w:r w:rsidRPr="008627A4">
        <w:rPr>
          <w:lang w:val="en-AU"/>
        </w:rPr>
        <w:t xml:space="preserve">its </w:t>
      </w:r>
      <w:r w:rsidR="00A325E8" w:rsidRPr="008627A4">
        <w:rPr>
          <w:lang w:val="en-AU"/>
        </w:rPr>
        <w:t>cultural heritage</w:t>
      </w:r>
      <w:r w:rsidR="00482505" w:rsidRPr="008627A4">
        <w:rPr>
          <w:lang w:val="en-AU"/>
        </w:rPr>
        <w:t xml:space="preserve"> assets</w:t>
      </w:r>
      <w:r w:rsidR="002A53A6" w:rsidRPr="008627A4">
        <w:rPr>
          <w:lang w:val="en-AU"/>
        </w:rPr>
        <w:t xml:space="preserve">. This </w:t>
      </w:r>
      <w:r w:rsidRPr="008627A4">
        <w:rPr>
          <w:lang w:val="en-AU"/>
        </w:rPr>
        <w:t>w</w:t>
      </w:r>
      <w:r w:rsidR="002A53A6" w:rsidRPr="008627A4">
        <w:rPr>
          <w:lang w:val="en-AU"/>
        </w:rPr>
        <w:t>ould</w:t>
      </w:r>
      <w:r w:rsidR="00482505" w:rsidRPr="008627A4">
        <w:rPr>
          <w:lang w:val="en-AU"/>
        </w:rPr>
        <w:t xml:space="preserve"> </w:t>
      </w:r>
      <w:r w:rsidR="002A53A6" w:rsidRPr="008627A4">
        <w:rPr>
          <w:lang w:val="en-AU"/>
        </w:rPr>
        <w:t xml:space="preserve">help </w:t>
      </w:r>
      <w:r w:rsidR="005267CC" w:rsidRPr="008627A4">
        <w:rPr>
          <w:lang w:val="en-AU"/>
        </w:rPr>
        <w:t>promote the</w:t>
      </w:r>
      <w:r w:rsidR="00A325E8" w:rsidRPr="008627A4">
        <w:rPr>
          <w:lang w:val="en-AU"/>
        </w:rPr>
        <w:t xml:space="preserve"> region’s cultural</w:t>
      </w:r>
      <w:r w:rsidR="00482505" w:rsidRPr="008627A4">
        <w:rPr>
          <w:lang w:val="en-AU"/>
        </w:rPr>
        <w:t xml:space="preserve"> heritage. It </w:t>
      </w:r>
      <w:r w:rsidR="002A53A6" w:rsidRPr="008627A4">
        <w:rPr>
          <w:lang w:val="en-AU"/>
        </w:rPr>
        <w:t xml:space="preserve">would </w:t>
      </w:r>
      <w:r w:rsidR="00482505" w:rsidRPr="008627A4">
        <w:rPr>
          <w:lang w:val="en-AU"/>
        </w:rPr>
        <w:t>also assist in attracting investment and guiding planning decision</w:t>
      </w:r>
      <w:r w:rsidR="002A53A6" w:rsidRPr="008627A4">
        <w:rPr>
          <w:lang w:val="en-AU"/>
        </w:rPr>
        <w:t>s</w:t>
      </w:r>
      <w:r w:rsidR="00482505" w:rsidRPr="008627A4">
        <w:rPr>
          <w:lang w:val="en-AU"/>
        </w:rPr>
        <w:t xml:space="preserve"> to recognise and support appropriate</w:t>
      </w:r>
      <w:r w:rsidRPr="008627A4">
        <w:rPr>
          <w:lang w:val="en-AU"/>
        </w:rPr>
        <w:t>,</w:t>
      </w:r>
      <w:r w:rsidR="00482505" w:rsidRPr="008627A4">
        <w:rPr>
          <w:lang w:val="en-AU"/>
        </w:rPr>
        <w:t xml:space="preserve"> sustainable activities t</w:t>
      </w:r>
      <w:r w:rsidRPr="008627A4">
        <w:rPr>
          <w:lang w:val="en-AU"/>
        </w:rPr>
        <w:t>o</w:t>
      </w:r>
      <w:r w:rsidR="00823654" w:rsidRPr="008627A4">
        <w:rPr>
          <w:lang w:val="en-AU"/>
        </w:rPr>
        <w:t xml:space="preserve"> </w:t>
      </w:r>
      <w:r w:rsidR="00482505" w:rsidRPr="008627A4">
        <w:rPr>
          <w:lang w:val="en-AU"/>
        </w:rPr>
        <w:t>conserv</w:t>
      </w:r>
      <w:r w:rsidRPr="008627A4">
        <w:rPr>
          <w:lang w:val="en-AU"/>
        </w:rPr>
        <w:t>e</w:t>
      </w:r>
      <w:r w:rsidR="00482505" w:rsidRPr="008627A4">
        <w:rPr>
          <w:lang w:val="en-AU"/>
        </w:rPr>
        <w:t xml:space="preserve"> these assets for the long term.</w:t>
      </w:r>
    </w:p>
    <w:p w:rsidR="00482505" w:rsidRPr="008627A4" w:rsidRDefault="003652DE" w:rsidP="00482505">
      <w:pPr>
        <w:pStyle w:val="bt"/>
        <w:rPr>
          <w:lang w:val="en-AU"/>
        </w:rPr>
      </w:pPr>
      <w:r>
        <w:rPr>
          <w:lang w:val="en-AU"/>
        </w:rPr>
        <w:t xml:space="preserve">Map 6 </w:t>
      </w:r>
      <w:r w:rsidR="00482505" w:rsidRPr="008627A4">
        <w:rPr>
          <w:lang w:val="en-AU"/>
        </w:rPr>
        <w:t xml:space="preserve">identifies locations where </w:t>
      </w:r>
      <w:r w:rsidR="002A53A6" w:rsidRPr="008627A4">
        <w:rPr>
          <w:lang w:val="en-AU"/>
        </w:rPr>
        <w:t>environmental</w:t>
      </w:r>
      <w:r w:rsidR="00823654" w:rsidRPr="008627A4">
        <w:rPr>
          <w:lang w:val="en-AU"/>
        </w:rPr>
        <w:t xml:space="preserve"> </w:t>
      </w:r>
      <w:r w:rsidR="00482505" w:rsidRPr="008627A4">
        <w:rPr>
          <w:lang w:val="en-AU"/>
        </w:rPr>
        <w:t xml:space="preserve">and cultural heritage </w:t>
      </w:r>
      <w:r w:rsidR="008205E1" w:rsidRPr="008627A4">
        <w:rPr>
          <w:lang w:val="en-AU"/>
        </w:rPr>
        <w:t xml:space="preserve">tourism </w:t>
      </w:r>
      <w:r w:rsidR="00482505" w:rsidRPr="008627A4">
        <w:rPr>
          <w:lang w:val="en-AU"/>
        </w:rPr>
        <w:t xml:space="preserve">could be explored, </w:t>
      </w:r>
      <w:r w:rsidR="008205E1" w:rsidRPr="008627A4">
        <w:rPr>
          <w:lang w:val="en-AU"/>
        </w:rPr>
        <w:t>al</w:t>
      </w:r>
      <w:r w:rsidR="00482505" w:rsidRPr="008627A4">
        <w:rPr>
          <w:lang w:val="en-AU"/>
        </w:rPr>
        <w:t xml:space="preserve">though opportunities are not limited to these </w:t>
      </w:r>
      <w:r w:rsidR="0045346C" w:rsidRPr="008627A4">
        <w:rPr>
          <w:lang w:val="en-AU"/>
        </w:rPr>
        <w:t>locations</w:t>
      </w:r>
      <w:r w:rsidR="00482505" w:rsidRPr="008627A4">
        <w:rPr>
          <w:lang w:val="en-AU"/>
        </w:rPr>
        <w:t xml:space="preserve">. It focuses particularly on </w:t>
      </w:r>
      <w:r w:rsidR="002A53A6" w:rsidRPr="008627A4">
        <w:rPr>
          <w:lang w:val="en-AU"/>
        </w:rPr>
        <w:t xml:space="preserve">Aboriginal </w:t>
      </w:r>
      <w:r w:rsidR="00482505" w:rsidRPr="008627A4">
        <w:rPr>
          <w:lang w:val="en-AU"/>
        </w:rPr>
        <w:t>cultural heritage</w:t>
      </w:r>
      <w:r w:rsidR="00CD4FEF" w:rsidRPr="008627A4">
        <w:rPr>
          <w:lang w:val="en-AU"/>
        </w:rPr>
        <w:t xml:space="preserve"> and</w:t>
      </w:r>
      <w:r w:rsidR="00482505" w:rsidRPr="008627A4">
        <w:rPr>
          <w:lang w:val="en-AU"/>
        </w:rPr>
        <w:t xml:space="preserve"> Murray River trading history</w:t>
      </w:r>
      <w:r w:rsidR="00057C7A" w:rsidRPr="008627A4">
        <w:rPr>
          <w:lang w:val="en-AU"/>
        </w:rPr>
        <w:t xml:space="preserve">. Planning </w:t>
      </w:r>
      <w:r w:rsidR="004C2E21" w:rsidRPr="008627A4">
        <w:rPr>
          <w:lang w:val="en-AU"/>
        </w:rPr>
        <w:t>s</w:t>
      </w:r>
      <w:r w:rsidR="00482505" w:rsidRPr="008627A4">
        <w:rPr>
          <w:lang w:val="en-AU"/>
        </w:rPr>
        <w:t xml:space="preserve">chemes can help to conserve these </w:t>
      </w:r>
      <w:r w:rsidR="00157D0B" w:rsidRPr="008627A4">
        <w:rPr>
          <w:lang w:val="en-AU"/>
        </w:rPr>
        <w:t xml:space="preserve">heritage </w:t>
      </w:r>
      <w:r w:rsidR="00482505" w:rsidRPr="008627A4">
        <w:rPr>
          <w:lang w:val="en-AU"/>
        </w:rPr>
        <w:t xml:space="preserve">assets by minimising land use conflicts and promoting activities that are compatible with </w:t>
      </w:r>
      <w:r w:rsidR="004C2E21" w:rsidRPr="008627A4">
        <w:rPr>
          <w:lang w:val="en-AU"/>
        </w:rPr>
        <w:t xml:space="preserve">those </w:t>
      </w:r>
      <w:r w:rsidR="00482505" w:rsidRPr="008627A4">
        <w:rPr>
          <w:lang w:val="en-AU"/>
        </w:rPr>
        <w:t>values.</w:t>
      </w:r>
      <w:r w:rsidR="00ED2D20" w:rsidRPr="008627A4">
        <w:rPr>
          <w:lang w:val="en-AU"/>
        </w:rPr>
        <w:t xml:space="preserve"> </w:t>
      </w:r>
    </w:p>
    <w:p w:rsidR="00281E00" w:rsidRPr="008627A4" w:rsidRDefault="00281E00" w:rsidP="00482505">
      <w:pPr>
        <w:pStyle w:val="bt"/>
        <w:rPr>
          <w:lang w:val="en-AU"/>
        </w:rPr>
      </w:pPr>
      <w:r w:rsidRPr="008627A4">
        <w:rPr>
          <w:lang w:val="en-AU"/>
        </w:rPr>
        <w:t xml:space="preserve">Registered Aboriginal Parties will have an important role in planning place-based activity and development, and there are benefits to engaging with the relevant Aboriginal community organisations early in strategic planning processes. Currently the Barengi </w:t>
      </w:r>
      <w:proofErr w:type="spellStart"/>
      <w:r w:rsidRPr="008627A4">
        <w:rPr>
          <w:lang w:val="en-AU"/>
        </w:rPr>
        <w:t>Gadjin</w:t>
      </w:r>
      <w:proofErr w:type="spellEnd"/>
      <w:r w:rsidRPr="008627A4">
        <w:rPr>
          <w:lang w:val="en-AU"/>
        </w:rPr>
        <w:t xml:space="preserve"> Land Council Aboriginal Corporation, the </w:t>
      </w:r>
      <w:proofErr w:type="spellStart"/>
      <w:r w:rsidRPr="008627A4">
        <w:rPr>
          <w:lang w:val="en-AU"/>
        </w:rPr>
        <w:t>Dja</w:t>
      </w:r>
      <w:proofErr w:type="spellEnd"/>
      <w:r w:rsidRPr="008627A4">
        <w:rPr>
          <w:lang w:val="en-AU"/>
        </w:rPr>
        <w:t xml:space="preserve"> </w:t>
      </w:r>
      <w:proofErr w:type="spellStart"/>
      <w:r w:rsidRPr="008627A4">
        <w:rPr>
          <w:lang w:val="en-AU"/>
        </w:rPr>
        <w:t>Dja</w:t>
      </w:r>
      <w:proofErr w:type="spellEnd"/>
      <w:r w:rsidRPr="008627A4">
        <w:rPr>
          <w:lang w:val="en-AU"/>
        </w:rPr>
        <w:t xml:space="preserve"> Wurrung Clans Aboriginal Corporation, the </w:t>
      </w:r>
      <w:proofErr w:type="spellStart"/>
      <w:r w:rsidRPr="008627A4">
        <w:rPr>
          <w:lang w:val="en-AU"/>
        </w:rPr>
        <w:t>Taungurung</w:t>
      </w:r>
      <w:proofErr w:type="spellEnd"/>
      <w:r w:rsidRPr="008627A4">
        <w:rPr>
          <w:lang w:val="en-AU"/>
        </w:rPr>
        <w:t xml:space="preserve"> Clans Aboriginal Corporation and the </w:t>
      </w:r>
      <w:proofErr w:type="spellStart"/>
      <w:r w:rsidRPr="008627A4">
        <w:rPr>
          <w:lang w:val="en-AU"/>
        </w:rPr>
        <w:t>Yorta</w:t>
      </w:r>
      <w:proofErr w:type="spellEnd"/>
      <w:r w:rsidRPr="008627A4">
        <w:rPr>
          <w:lang w:val="en-AU"/>
        </w:rPr>
        <w:t xml:space="preserve"> </w:t>
      </w:r>
      <w:proofErr w:type="spellStart"/>
      <w:r w:rsidRPr="008627A4">
        <w:rPr>
          <w:lang w:val="en-AU"/>
        </w:rPr>
        <w:t>Yorta</w:t>
      </w:r>
      <w:proofErr w:type="spellEnd"/>
      <w:r w:rsidRPr="008627A4">
        <w:rPr>
          <w:lang w:val="en-AU"/>
        </w:rPr>
        <w:t xml:space="preserve"> Nation Aboriginal Corporation have legislated responsibilities relating to the management of Aboriginal cultural heritage places in the Loddon Mallee North region. This arrangement recognises the key role that Aboriginal people have in the protection and management of significant Aboriginal cultural heritage places.  </w:t>
      </w:r>
    </w:p>
    <w:p w:rsidR="003E6D9C" w:rsidRDefault="00281E00" w:rsidP="00482505">
      <w:pPr>
        <w:pStyle w:val="bt"/>
        <w:rPr>
          <w:lang w:val="en-AU"/>
        </w:rPr>
      </w:pPr>
      <w:r w:rsidRPr="008627A4">
        <w:rPr>
          <w:lang w:val="en-AU"/>
        </w:rPr>
        <w:t xml:space="preserve">Native title is also held over </w:t>
      </w:r>
      <w:r w:rsidR="008475F2">
        <w:rPr>
          <w:lang w:val="en-AU"/>
        </w:rPr>
        <w:t>C</w:t>
      </w:r>
      <w:r w:rsidRPr="008627A4">
        <w:rPr>
          <w:lang w:val="en-AU"/>
        </w:rPr>
        <w:t xml:space="preserve">rown land in parts of the region by the </w:t>
      </w:r>
      <w:proofErr w:type="spellStart"/>
      <w:r w:rsidRPr="008627A4">
        <w:rPr>
          <w:lang w:val="en-AU"/>
        </w:rPr>
        <w:t>Yorta</w:t>
      </w:r>
      <w:proofErr w:type="spellEnd"/>
      <w:r w:rsidRPr="008627A4">
        <w:rPr>
          <w:lang w:val="en-AU"/>
        </w:rPr>
        <w:t xml:space="preserve"> </w:t>
      </w:r>
      <w:proofErr w:type="spellStart"/>
      <w:r w:rsidRPr="008627A4">
        <w:rPr>
          <w:lang w:val="en-AU"/>
        </w:rPr>
        <w:t>Yorta</w:t>
      </w:r>
      <w:proofErr w:type="spellEnd"/>
      <w:r w:rsidRPr="008627A4">
        <w:rPr>
          <w:lang w:val="en-AU"/>
        </w:rPr>
        <w:t xml:space="preserve">, the </w:t>
      </w:r>
      <w:proofErr w:type="spellStart"/>
      <w:r w:rsidRPr="008627A4">
        <w:rPr>
          <w:lang w:val="en-AU"/>
        </w:rPr>
        <w:t>Wotjobaluk</w:t>
      </w:r>
      <w:proofErr w:type="spellEnd"/>
      <w:r w:rsidRPr="008627A4">
        <w:rPr>
          <w:lang w:val="en-AU"/>
        </w:rPr>
        <w:t xml:space="preserve">, </w:t>
      </w:r>
      <w:proofErr w:type="spellStart"/>
      <w:r w:rsidRPr="008627A4">
        <w:rPr>
          <w:lang w:val="en-AU"/>
        </w:rPr>
        <w:t>Jaadwa</w:t>
      </w:r>
      <w:proofErr w:type="spellEnd"/>
      <w:r w:rsidRPr="008627A4">
        <w:rPr>
          <w:lang w:val="en-AU"/>
        </w:rPr>
        <w:t xml:space="preserve">, </w:t>
      </w:r>
      <w:proofErr w:type="spellStart"/>
      <w:r w:rsidRPr="008627A4">
        <w:rPr>
          <w:lang w:val="en-AU"/>
        </w:rPr>
        <w:t>Jadawadjali</w:t>
      </w:r>
      <w:proofErr w:type="spellEnd"/>
      <w:r w:rsidRPr="008627A4">
        <w:rPr>
          <w:lang w:val="en-AU"/>
        </w:rPr>
        <w:t xml:space="preserve">, </w:t>
      </w:r>
      <w:proofErr w:type="spellStart"/>
      <w:r w:rsidRPr="008627A4">
        <w:rPr>
          <w:lang w:val="en-AU"/>
        </w:rPr>
        <w:t>Wergaia</w:t>
      </w:r>
      <w:proofErr w:type="spellEnd"/>
      <w:r w:rsidRPr="008627A4">
        <w:rPr>
          <w:lang w:val="en-AU"/>
        </w:rPr>
        <w:t xml:space="preserve"> and </w:t>
      </w:r>
      <w:proofErr w:type="spellStart"/>
      <w:r w:rsidRPr="008627A4">
        <w:rPr>
          <w:lang w:val="en-AU"/>
        </w:rPr>
        <w:t>Japagulk</w:t>
      </w:r>
      <w:proofErr w:type="spellEnd"/>
      <w:r w:rsidRPr="008627A4">
        <w:rPr>
          <w:lang w:val="en-AU"/>
        </w:rPr>
        <w:t xml:space="preserve"> Peoples and the </w:t>
      </w:r>
      <w:proofErr w:type="spellStart"/>
      <w:r w:rsidRPr="008627A4">
        <w:rPr>
          <w:lang w:val="en-AU"/>
        </w:rPr>
        <w:t>Dja</w:t>
      </w:r>
      <w:proofErr w:type="spellEnd"/>
      <w:r w:rsidRPr="008627A4">
        <w:rPr>
          <w:lang w:val="en-AU"/>
        </w:rPr>
        <w:t xml:space="preserve"> </w:t>
      </w:r>
      <w:proofErr w:type="spellStart"/>
      <w:r w:rsidRPr="008627A4">
        <w:rPr>
          <w:lang w:val="en-AU"/>
        </w:rPr>
        <w:t>Dja</w:t>
      </w:r>
      <w:proofErr w:type="spellEnd"/>
      <w:r w:rsidRPr="008627A4">
        <w:rPr>
          <w:lang w:val="en-AU"/>
        </w:rPr>
        <w:t xml:space="preserve"> Wurrung </w:t>
      </w:r>
      <w:r w:rsidR="00535DDD" w:rsidRPr="00535DDD">
        <w:rPr>
          <w:lang w:val="en-AU"/>
        </w:rPr>
        <w:t>Peoples. Other</w:t>
      </w:r>
      <w:r w:rsidR="00482505" w:rsidRPr="008475F2">
        <w:rPr>
          <w:lang w:val="en-AU"/>
        </w:rPr>
        <w:t xml:space="preserve"> aspects of the region’s heritage are dealt with indirectly here through actions</w:t>
      </w:r>
      <w:r w:rsidR="00823654" w:rsidRPr="008475F2">
        <w:rPr>
          <w:lang w:val="en-AU"/>
        </w:rPr>
        <w:t>,</w:t>
      </w:r>
      <w:r w:rsidR="00482505" w:rsidRPr="008475F2">
        <w:rPr>
          <w:lang w:val="en-AU"/>
        </w:rPr>
        <w:t xml:space="preserve"> such as the identification of regionally significant landscapes.</w:t>
      </w:r>
    </w:p>
    <w:p w:rsidR="00482505" w:rsidRPr="008475F2" w:rsidRDefault="00482505" w:rsidP="00E558BE">
      <w:pPr>
        <w:pStyle w:val="Heading3"/>
        <w:rPr>
          <w:lang w:val="en-AU"/>
        </w:rPr>
      </w:pPr>
      <w:r w:rsidRPr="008475F2">
        <w:rPr>
          <w:lang w:val="en-AU"/>
        </w:rPr>
        <w:t>Native vegetation</w:t>
      </w:r>
      <w:r w:rsidR="00124156" w:rsidRPr="008475F2">
        <w:rPr>
          <w:lang w:val="en-AU"/>
        </w:rPr>
        <w:t xml:space="preserve"> and terrestrial habitat</w:t>
      </w:r>
    </w:p>
    <w:p w:rsidR="00482505" w:rsidRPr="008475F2" w:rsidRDefault="00482505" w:rsidP="00482505">
      <w:pPr>
        <w:pStyle w:val="bt"/>
        <w:rPr>
          <w:lang w:val="en-AU"/>
        </w:rPr>
      </w:pPr>
      <w:r w:rsidRPr="008475F2">
        <w:rPr>
          <w:lang w:val="en-AU"/>
        </w:rPr>
        <w:t xml:space="preserve">The region is well known for its significant </w:t>
      </w:r>
      <w:r w:rsidR="001A6DCD">
        <w:rPr>
          <w:lang w:val="en-AU"/>
        </w:rPr>
        <w:t>r</w:t>
      </w:r>
      <w:r w:rsidRPr="008475F2">
        <w:rPr>
          <w:lang w:val="en-AU"/>
        </w:rPr>
        <w:t xml:space="preserve">iver </w:t>
      </w:r>
      <w:r w:rsidR="001A6DCD">
        <w:rPr>
          <w:lang w:val="en-AU"/>
        </w:rPr>
        <w:t>r</w:t>
      </w:r>
      <w:r w:rsidRPr="008475F2">
        <w:rPr>
          <w:lang w:val="en-AU"/>
        </w:rPr>
        <w:t xml:space="preserve">ed </w:t>
      </w:r>
      <w:r w:rsidR="001A6DCD">
        <w:rPr>
          <w:lang w:val="en-AU"/>
        </w:rPr>
        <w:t>g</w:t>
      </w:r>
      <w:r w:rsidRPr="008475F2">
        <w:rPr>
          <w:lang w:val="en-AU"/>
        </w:rPr>
        <w:t xml:space="preserve">um forests, both on public and private land. There are also significant </w:t>
      </w:r>
      <w:r w:rsidR="001A6DCD">
        <w:rPr>
          <w:lang w:val="en-AU"/>
        </w:rPr>
        <w:t>b</w:t>
      </w:r>
      <w:r w:rsidRPr="008475F2">
        <w:rPr>
          <w:lang w:val="en-AU"/>
        </w:rPr>
        <w:t xml:space="preserve">lack </w:t>
      </w:r>
      <w:r w:rsidR="001A6DCD">
        <w:rPr>
          <w:lang w:val="en-AU"/>
        </w:rPr>
        <w:t>b</w:t>
      </w:r>
      <w:r w:rsidRPr="008475F2">
        <w:rPr>
          <w:lang w:val="en-AU"/>
        </w:rPr>
        <w:t xml:space="preserve">ox woodlands and grassland areas within the region. These assets </w:t>
      </w:r>
      <w:r w:rsidR="00A10804" w:rsidRPr="008475F2">
        <w:rPr>
          <w:lang w:val="en-AU"/>
        </w:rPr>
        <w:t>support</w:t>
      </w:r>
      <w:r w:rsidRPr="008475F2">
        <w:rPr>
          <w:lang w:val="en-AU"/>
        </w:rPr>
        <w:t xml:space="preserve"> nature-based tourism and</w:t>
      </w:r>
      <w:r w:rsidR="00A10804" w:rsidRPr="008475F2">
        <w:rPr>
          <w:lang w:val="en-AU"/>
        </w:rPr>
        <w:t xml:space="preserve"> create opportunities for farmers to earn</w:t>
      </w:r>
      <w:r w:rsidRPr="008475F2">
        <w:rPr>
          <w:lang w:val="en-AU"/>
        </w:rPr>
        <w:t xml:space="preserve"> income </w:t>
      </w:r>
      <w:r w:rsidR="005B4881" w:rsidRPr="008475F2">
        <w:rPr>
          <w:lang w:val="en-AU"/>
        </w:rPr>
        <w:t>by</w:t>
      </w:r>
      <w:r w:rsidRPr="008475F2">
        <w:rPr>
          <w:lang w:val="en-AU"/>
        </w:rPr>
        <w:t xml:space="preserve"> providing ecosystem services</w:t>
      </w:r>
      <w:r w:rsidR="00CD4FEF" w:rsidRPr="008475F2">
        <w:rPr>
          <w:rStyle w:val="FootnoteReference"/>
          <w:lang w:val="en-AU"/>
        </w:rPr>
        <w:footnoteReference w:id="10"/>
      </w:r>
      <w:r w:rsidRPr="008475F2">
        <w:rPr>
          <w:lang w:val="en-AU"/>
        </w:rPr>
        <w:t>.</w:t>
      </w:r>
      <w:r w:rsidR="007E0E74" w:rsidRPr="008475F2">
        <w:rPr>
          <w:lang w:val="en-AU"/>
        </w:rPr>
        <w:t xml:space="preserve"> </w:t>
      </w:r>
      <w:r w:rsidRPr="008475F2">
        <w:rPr>
          <w:lang w:val="en-AU"/>
        </w:rPr>
        <w:t xml:space="preserve">This is especially true for </w:t>
      </w:r>
      <w:r w:rsidR="005B4881" w:rsidRPr="008475F2">
        <w:rPr>
          <w:lang w:val="en-AU"/>
        </w:rPr>
        <w:t xml:space="preserve">using </w:t>
      </w:r>
      <w:r w:rsidRPr="008475F2">
        <w:rPr>
          <w:lang w:val="en-AU"/>
        </w:rPr>
        <w:t>the region’s significant grassland areas in native vegetation clearance offset markets, resulting in permanent protection of these sites. C</w:t>
      </w:r>
      <w:r w:rsidR="005B4881" w:rsidRPr="008475F2">
        <w:rPr>
          <w:lang w:val="en-AU"/>
        </w:rPr>
        <w:t xml:space="preserve">atchment </w:t>
      </w:r>
      <w:r w:rsidR="007E0E74" w:rsidRPr="008475F2">
        <w:rPr>
          <w:lang w:val="en-AU"/>
        </w:rPr>
        <w:t>m</w:t>
      </w:r>
      <w:r w:rsidR="005B4881" w:rsidRPr="008475F2">
        <w:rPr>
          <w:lang w:val="en-AU"/>
        </w:rPr>
        <w:t xml:space="preserve">anagement </w:t>
      </w:r>
      <w:r w:rsidR="007E0E74" w:rsidRPr="008475F2">
        <w:rPr>
          <w:lang w:val="en-AU"/>
        </w:rPr>
        <w:t>a</w:t>
      </w:r>
      <w:r w:rsidR="005B4881" w:rsidRPr="008475F2">
        <w:rPr>
          <w:lang w:val="en-AU"/>
        </w:rPr>
        <w:t>uthority</w:t>
      </w:r>
      <w:r w:rsidRPr="008475F2">
        <w:rPr>
          <w:lang w:val="en-AU"/>
        </w:rPr>
        <w:t xml:space="preserve"> </w:t>
      </w:r>
      <w:r w:rsidR="005B4881" w:rsidRPr="008475F2">
        <w:rPr>
          <w:lang w:val="en-AU"/>
        </w:rPr>
        <w:t xml:space="preserve">initiatives </w:t>
      </w:r>
      <w:r w:rsidRPr="008475F2">
        <w:rPr>
          <w:lang w:val="en-AU"/>
        </w:rPr>
        <w:t xml:space="preserve">further promote such activity through programs aimed at improving the quality of remnant vegetation, especially </w:t>
      </w:r>
      <w:r w:rsidR="008475F2">
        <w:rPr>
          <w:lang w:val="en-AU"/>
        </w:rPr>
        <w:t xml:space="preserve">in </w:t>
      </w:r>
      <w:r w:rsidRPr="008475F2">
        <w:rPr>
          <w:lang w:val="en-AU"/>
        </w:rPr>
        <w:t xml:space="preserve">significant areas as identified in the regional catchment strategies.  </w:t>
      </w:r>
    </w:p>
    <w:p w:rsidR="00482505" w:rsidRPr="008475F2" w:rsidRDefault="00482505" w:rsidP="00482505">
      <w:pPr>
        <w:pStyle w:val="bt"/>
        <w:rPr>
          <w:lang w:val="en-AU"/>
        </w:rPr>
      </w:pPr>
      <w:r w:rsidRPr="008475F2">
        <w:rPr>
          <w:lang w:val="en-AU"/>
        </w:rPr>
        <w:t xml:space="preserve">Comprehensive strategic planning can </w:t>
      </w:r>
      <w:r w:rsidR="00124156" w:rsidRPr="008475F2">
        <w:rPr>
          <w:lang w:val="en-AU"/>
        </w:rPr>
        <w:t xml:space="preserve">be used </w:t>
      </w:r>
      <w:r w:rsidRPr="008475F2">
        <w:rPr>
          <w:lang w:val="en-AU"/>
        </w:rPr>
        <w:t>to integrate planning for the region’s terrestrial habitat assets along with other rural land uses</w:t>
      </w:r>
      <w:r w:rsidR="006F02FD" w:rsidRPr="008475F2">
        <w:rPr>
          <w:lang w:val="en-AU"/>
        </w:rPr>
        <w:t>,</w:t>
      </w:r>
      <w:r w:rsidRPr="008475F2">
        <w:rPr>
          <w:lang w:val="en-AU"/>
        </w:rPr>
        <w:t xml:space="preserve"> such as </w:t>
      </w:r>
      <w:r w:rsidR="00B65FC7" w:rsidRPr="008475F2">
        <w:rPr>
          <w:lang w:val="en-AU"/>
        </w:rPr>
        <w:t>agricultur</w:t>
      </w:r>
      <w:r w:rsidR="00B65FC7">
        <w:rPr>
          <w:lang w:val="en-AU"/>
        </w:rPr>
        <w:t>e</w:t>
      </w:r>
      <w:r w:rsidR="00B65FC7" w:rsidRPr="008475F2">
        <w:rPr>
          <w:lang w:val="en-AU"/>
        </w:rPr>
        <w:t xml:space="preserve"> </w:t>
      </w:r>
      <w:r w:rsidRPr="008475F2">
        <w:rPr>
          <w:lang w:val="en-AU"/>
        </w:rPr>
        <w:t xml:space="preserve">and rural living. This is particularly relevant when considering other aspects of the catchment, such as </w:t>
      </w:r>
      <w:r w:rsidR="00BE3F0D">
        <w:rPr>
          <w:lang w:val="en-AU"/>
        </w:rPr>
        <w:t>flood</w:t>
      </w:r>
      <w:r w:rsidRPr="008475F2">
        <w:rPr>
          <w:lang w:val="en-AU"/>
        </w:rPr>
        <w:t xml:space="preserve"> risk to towns.</w:t>
      </w:r>
    </w:p>
    <w:p w:rsidR="00482505" w:rsidRPr="008475F2" w:rsidRDefault="00482505" w:rsidP="00E558BE">
      <w:pPr>
        <w:pStyle w:val="Heading3"/>
        <w:rPr>
          <w:lang w:val="en-AU"/>
        </w:rPr>
      </w:pPr>
      <w:r w:rsidRPr="008475F2">
        <w:rPr>
          <w:lang w:val="en-AU"/>
        </w:rPr>
        <w:t>Waterways</w:t>
      </w:r>
    </w:p>
    <w:p w:rsidR="00482505" w:rsidRPr="008475F2" w:rsidRDefault="00482505" w:rsidP="00482505">
      <w:pPr>
        <w:pStyle w:val="bt"/>
        <w:rPr>
          <w:lang w:val="en-AU"/>
        </w:rPr>
      </w:pPr>
      <w:r w:rsidRPr="008475F2">
        <w:rPr>
          <w:lang w:val="en-AU"/>
        </w:rPr>
        <w:lastRenderedPageBreak/>
        <w:t xml:space="preserve">The Loddon Mallee North </w:t>
      </w:r>
      <w:r w:rsidR="005B4881" w:rsidRPr="008475F2">
        <w:rPr>
          <w:lang w:val="en-AU"/>
        </w:rPr>
        <w:t xml:space="preserve">region </w:t>
      </w:r>
      <w:r w:rsidRPr="008475F2">
        <w:rPr>
          <w:lang w:val="en-AU"/>
        </w:rPr>
        <w:t>is located entirely within the Murray-Darling Basin. It contains parts of the Goulburn, Campaspe, Loddon, Avoca, Wimmera-Avon,</w:t>
      </w:r>
      <w:r w:rsidR="006F02FD" w:rsidRPr="008475F2">
        <w:rPr>
          <w:lang w:val="en-AU"/>
        </w:rPr>
        <w:t xml:space="preserve"> </w:t>
      </w:r>
      <w:r w:rsidRPr="008475F2">
        <w:rPr>
          <w:lang w:val="en-AU"/>
        </w:rPr>
        <w:t>Mallee and Millicent Coast river basins, and has the Murray River as its northern boundary. There are numerous internationally and nationally important wetlands in the region</w:t>
      </w:r>
      <w:r w:rsidR="00D154FE" w:rsidRPr="008475F2">
        <w:rPr>
          <w:lang w:val="en-AU"/>
        </w:rPr>
        <w:t>, including the Ramsar</w:t>
      </w:r>
      <w:r w:rsidR="008475F2">
        <w:rPr>
          <w:lang w:val="en-AU"/>
        </w:rPr>
        <w:t xml:space="preserve"> </w:t>
      </w:r>
      <w:r w:rsidR="00D154FE" w:rsidRPr="008475F2">
        <w:rPr>
          <w:lang w:val="en-AU"/>
        </w:rPr>
        <w:t>listed Hattah</w:t>
      </w:r>
      <w:r w:rsidR="0001739E" w:rsidRPr="008475F2">
        <w:rPr>
          <w:lang w:val="en-AU"/>
        </w:rPr>
        <w:t>-Kulkyne</w:t>
      </w:r>
      <w:r w:rsidR="00D154FE" w:rsidRPr="008475F2">
        <w:rPr>
          <w:lang w:val="en-AU"/>
        </w:rPr>
        <w:t xml:space="preserve"> Lakes, Kerang Lakes and Gunbower Forest</w:t>
      </w:r>
      <w:r w:rsidRPr="008475F2">
        <w:rPr>
          <w:lang w:val="en-AU"/>
        </w:rPr>
        <w:t xml:space="preserve">. Feedback received during development of this </w:t>
      </w:r>
      <w:r w:rsidR="004C2E21" w:rsidRPr="008475F2">
        <w:rPr>
          <w:lang w:val="en-AU"/>
        </w:rPr>
        <w:t>p</w:t>
      </w:r>
      <w:r w:rsidRPr="008475F2">
        <w:rPr>
          <w:lang w:val="en-AU"/>
        </w:rPr>
        <w:t>lan strongly emphasised the need to protect the region’s waterway assets</w:t>
      </w:r>
      <w:r w:rsidR="0001739E" w:rsidRPr="008475F2">
        <w:rPr>
          <w:lang w:val="en-AU"/>
        </w:rPr>
        <w:t>, especially its wetlands</w:t>
      </w:r>
      <w:r w:rsidRPr="008475F2">
        <w:rPr>
          <w:lang w:val="en-AU"/>
        </w:rPr>
        <w:t>. This in turn will safeguard the region’s environmental credentials and support the ongoing export of its agricultural produce.</w:t>
      </w:r>
    </w:p>
    <w:p w:rsidR="00482505" w:rsidRPr="008475F2" w:rsidRDefault="00482505" w:rsidP="00482505">
      <w:pPr>
        <w:pStyle w:val="bt"/>
        <w:rPr>
          <w:lang w:val="en-AU"/>
        </w:rPr>
      </w:pPr>
      <w:r w:rsidRPr="008475F2">
        <w:rPr>
          <w:lang w:val="en-AU"/>
        </w:rPr>
        <w:t>Rivers and wetlands are highly valued by regional communities for their intrinsic environmental values and</w:t>
      </w:r>
      <w:r w:rsidR="005B4881" w:rsidRPr="008475F2">
        <w:rPr>
          <w:lang w:val="en-AU"/>
        </w:rPr>
        <w:t xml:space="preserve"> for the water they provide</w:t>
      </w:r>
      <w:r w:rsidR="006F02FD" w:rsidRPr="008475F2">
        <w:rPr>
          <w:lang w:val="en-AU"/>
        </w:rPr>
        <w:t xml:space="preserve"> </w:t>
      </w:r>
      <w:r w:rsidR="005B4881" w:rsidRPr="008475F2">
        <w:rPr>
          <w:lang w:val="en-AU"/>
        </w:rPr>
        <w:t xml:space="preserve">to </w:t>
      </w:r>
      <w:r w:rsidRPr="008475F2">
        <w:rPr>
          <w:lang w:val="en-AU"/>
        </w:rPr>
        <w:t>communities</w:t>
      </w:r>
      <w:r w:rsidR="005B4881" w:rsidRPr="008475F2">
        <w:rPr>
          <w:lang w:val="en-AU"/>
        </w:rPr>
        <w:t>,</w:t>
      </w:r>
      <w:r w:rsidRPr="008475F2">
        <w:rPr>
          <w:lang w:val="en-AU"/>
        </w:rPr>
        <w:t xml:space="preserve"> farms, towns and industry. </w:t>
      </w:r>
      <w:r w:rsidR="0001739E" w:rsidRPr="008475F2">
        <w:rPr>
          <w:lang w:val="en-AU"/>
        </w:rPr>
        <w:t xml:space="preserve">Aboriginal cultural heritage places are closely linked to waterways across the region. </w:t>
      </w:r>
      <w:r w:rsidRPr="008475F2">
        <w:rPr>
          <w:lang w:val="en-AU"/>
        </w:rPr>
        <w:t>Many rivers and lakes within the region are critical for supporting tourism and recreation within smaller settlements, particular</w:t>
      </w:r>
      <w:r w:rsidR="005B4881" w:rsidRPr="008475F2">
        <w:rPr>
          <w:lang w:val="en-AU"/>
        </w:rPr>
        <w:t>ly</w:t>
      </w:r>
      <w:r w:rsidRPr="008475F2">
        <w:rPr>
          <w:lang w:val="en-AU"/>
        </w:rPr>
        <w:t xml:space="preserve"> the Murray River, the Kerang Lakes</w:t>
      </w:r>
      <w:r w:rsidR="005B4881" w:rsidRPr="008475F2">
        <w:rPr>
          <w:lang w:val="en-AU"/>
        </w:rPr>
        <w:t xml:space="preserve"> and other</w:t>
      </w:r>
      <w:r w:rsidRPr="008475F2">
        <w:rPr>
          <w:lang w:val="en-AU"/>
        </w:rPr>
        <w:t xml:space="preserve"> expansive salt pans</w:t>
      </w:r>
      <w:r w:rsidR="005B4881" w:rsidRPr="008475F2">
        <w:rPr>
          <w:lang w:val="en-AU"/>
        </w:rPr>
        <w:t>,</w:t>
      </w:r>
      <w:r w:rsidRPr="008475F2">
        <w:rPr>
          <w:lang w:val="en-AU"/>
        </w:rPr>
        <w:t xml:space="preserve"> </w:t>
      </w:r>
      <w:r w:rsidR="00F07A74">
        <w:rPr>
          <w:lang w:val="en-AU"/>
        </w:rPr>
        <w:t>r</w:t>
      </w:r>
      <w:r w:rsidRPr="008475F2">
        <w:rPr>
          <w:lang w:val="en-AU"/>
        </w:rPr>
        <w:t xml:space="preserve">ed </w:t>
      </w:r>
      <w:r w:rsidR="00F07A74">
        <w:rPr>
          <w:lang w:val="en-AU"/>
        </w:rPr>
        <w:t>g</w:t>
      </w:r>
      <w:r w:rsidRPr="008475F2">
        <w:rPr>
          <w:lang w:val="en-AU"/>
        </w:rPr>
        <w:t>um wetlands</w:t>
      </w:r>
      <w:r w:rsidR="006F02FD" w:rsidRPr="008475F2">
        <w:rPr>
          <w:lang w:val="en-AU"/>
        </w:rPr>
        <w:t>,</w:t>
      </w:r>
      <w:r w:rsidRPr="008475F2">
        <w:rPr>
          <w:lang w:val="en-AU"/>
        </w:rPr>
        <w:t xml:space="preserve"> and floodplains throughout the region.  </w:t>
      </w:r>
    </w:p>
    <w:p w:rsidR="003A0AB6" w:rsidRPr="00FA0B0E" w:rsidRDefault="00D154FE" w:rsidP="00482505">
      <w:pPr>
        <w:pStyle w:val="bt"/>
        <w:rPr>
          <w:lang w:val="en-AU"/>
        </w:rPr>
      </w:pPr>
      <w:r w:rsidRPr="008475F2">
        <w:rPr>
          <w:lang w:val="en-AU"/>
        </w:rPr>
        <w:t>The region is al</w:t>
      </w:r>
      <w:r w:rsidR="00C7146D" w:rsidRPr="008475F2">
        <w:rPr>
          <w:lang w:val="en-AU"/>
        </w:rPr>
        <w:t xml:space="preserve">so home to four </w:t>
      </w:r>
      <w:r w:rsidR="00856DF5" w:rsidRPr="008475F2">
        <w:rPr>
          <w:lang w:val="en-AU"/>
        </w:rPr>
        <w:t>o</w:t>
      </w:r>
      <w:r w:rsidR="003A0AB6" w:rsidRPr="008475F2">
        <w:rPr>
          <w:lang w:val="en-AU"/>
        </w:rPr>
        <w:t xml:space="preserve">f the six </w:t>
      </w:r>
      <w:r w:rsidR="001A6DCD">
        <w:rPr>
          <w:lang w:val="en-AU"/>
        </w:rPr>
        <w:t>I</w:t>
      </w:r>
      <w:r w:rsidR="003A0AB6" w:rsidRPr="008475F2">
        <w:rPr>
          <w:lang w:val="en-AU"/>
        </w:rPr>
        <w:t xml:space="preserve">con </w:t>
      </w:r>
      <w:r w:rsidR="005B4881" w:rsidRPr="008475F2">
        <w:rPr>
          <w:lang w:val="en-AU"/>
        </w:rPr>
        <w:t>s</w:t>
      </w:r>
      <w:r w:rsidR="003A0AB6" w:rsidRPr="008475F2">
        <w:rPr>
          <w:lang w:val="en-AU"/>
        </w:rPr>
        <w:t xml:space="preserve">ites identified for restoration under The </w:t>
      </w:r>
      <w:r w:rsidR="003B55D4" w:rsidRPr="008475F2">
        <w:rPr>
          <w:lang w:val="en-AU"/>
        </w:rPr>
        <w:t>Living Murray program</w:t>
      </w:r>
      <w:r w:rsidR="003A0AB6" w:rsidRPr="008475F2">
        <w:rPr>
          <w:lang w:val="en-AU"/>
        </w:rPr>
        <w:t xml:space="preserve">, which is one of Australia’s most significant river restoration programs. Each </w:t>
      </w:r>
      <w:r w:rsidR="001A6DCD">
        <w:rPr>
          <w:lang w:val="en-AU"/>
        </w:rPr>
        <w:t>I</w:t>
      </w:r>
      <w:r w:rsidR="006F02FD" w:rsidRPr="008475F2">
        <w:rPr>
          <w:lang w:val="en-AU"/>
        </w:rPr>
        <w:t xml:space="preserve">con site </w:t>
      </w:r>
      <w:r w:rsidR="003A0AB6" w:rsidRPr="008475F2">
        <w:rPr>
          <w:lang w:val="en-AU"/>
        </w:rPr>
        <w:t xml:space="preserve">was selected for its environmental, social and cultural values. The </w:t>
      </w:r>
      <w:r w:rsidR="001A6DCD">
        <w:rPr>
          <w:lang w:val="en-AU"/>
        </w:rPr>
        <w:t>I</w:t>
      </w:r>
      <w:r w:rsidR="003A0AB6" w:rsidRPr="008475F2">
        <w:rPr>
          <w:lang w:val="en-AU"/>
        </w:rPr>
        <w:t xml:space="preserve">con </w:t>
      </w:r>
      <w:r w:rsidR="005B4881" w:rsidRPr="008475F2">
        <w:rPr>
          <w:lang w:val="en-AU"/>
        </w:rPr>
        <w:t>s</w:t>
      </w:r>
      <w:r w:rsidR="003A0AB6" w:rsidRPr="008475F2">
        <w:rPr>
          <w:lang w:val="en-AU"/>
        </w:rPr>
        <w:t>ites in th</w:t>
      </w:r>
      <w:r w:rsidR="005B4881" w:rsidRPr="008475F2">
        <w:rPr>
          <w:lang w:val="en-AU"/>
        </w:rPr>
        <w:t>e Loddon Mallee North</w:t>
      </w:r>
      <w:r w:rsidR="003A0AB6" w:rsidRPr="008475F2">
        <w:rPr>
          <w:lang w:val="en-AU"/>
        </w:rPr>
        <w:t xml:space="preserve"> region</w:t>
      </w:r>
      <w:r w:rsidRPr="008475F2">
        <w:rPr>
          <w:lang w:val="en-AU"/>
        </w:rPr>
        <w:t xml:space="preserve"> include the Victorian componen</w:t>
      </w:r>
      <w:r w:rsidR="003A0AB6" w:rsidRPr="008475F2">
        <w:rPr>
          <w:lang w:val="en-AU"/>
        </w:rPr>
        <w:t>t of the Gunbower-</w:t>
      </w:r>
      <w:r w:rsidR="00221466" w:rsidRPr="008475F2">
        <w:rPr>
          <w:lang w:val="en-AU"/>
        </w:rPr>
        <w:t>Koondrook</w:t>
      </w:r>
      <w:r w:rsidR="00221466">
        <w:rPr>
          <w:lang w:val="en-AU"/>
        </w:rPr>
        <w:t>-</w:t>
      </w:r>
      <w:proofErr w:type="spellStart"/>
      <w:r w:rsidR="003A0AB6" w:rsidRPr="008475F2">
        <w:rPr>
          <w:lang w:val="en-AU"/>
        </w:rPr>
        <w:t>Perricoota</w:t>
      </w:r>
      <w:proofErr w:type="spellEnd"/>
      <w:r w:rsidR="003A0AB6" w:rsidRPr="008475F2">
        <w:rPr>
          <w:lang w:val="en-AU"/>
        </w:rPr>
        <w:t xml:space="preserve"> Forest </w:t>
      </w:r>
      <w:r w:rsidR="001A6DCD">
        <w:rPr>
          <w:lang w:val="en-AU"/>
        </w:rPr>
        <w:t>I</w:t>
      </w:r>
      <w:r w:rsidR="006F02FD" w:rsidRPr="008475F2">
        <w:rPr>
          <w:lang w:val="en-AU"/>
        </w:rPr>
        <w:t xml:space="preserve">con site, </w:t>
      </w:r>
      <w:r w:rsidR="00C7146D" w:rsidRPr="008475F2">
        <w:rPr>
          <w:lang w:val="en-AU"/>
        </w:rPr>
        <w:t>the channel of the Murray River</w:t>
      </w:r>
      <w:r w:rsidR="006F02FD" w:rsidRPr="008475F2">
        <w:rPr>
          <w:lang w:val="en-AU"/>
        </w:rPr>
        <w:t xml:space="preserve">, </w:t>
      </w:r>
      <w:r w:rsidR="003A0AB6" w:rsidRPr="008475F2">
        <w:rPr>
          <w:lang w:val="en-AU"/>
        </w:rPr>
        <w:t xml:space="preserve">the Hattah Lakes </w:t>
      </w:r>
      <w:r w:rsidR="001A6DCD">
        <w:rPr>
          <w:lang w:val="en-AU"/>
        </w:rPr>
        <w:t>I</w:t>
      </w:r>
      <w:r w:rsidR="006F02FD" w:rsidRPr="008475F2">
        <w:rPr>
          <w:lang w:val="en-AU"/>
        </w:rPr>
        <w:t>con s</w:t>
      </w:r>
      <w:r w:rsidR="003A0AB6" w:rsidRPr="008475F2">
        <w:rPr>
          <w:lang w:val="en-AU"/>
        </w:rPr>
        <w:t>ite</w:t>
      </w:r>
      <w:r w:rsidR="006F02FD" w:rsidRPr="008475F2">
        <w:rPr>
          <w:lang w:val="en-AU"/>
        </w:rPr>
        <w:t xml:space="preserve"> </w:t>
      </w:r>
      <w:r w:rsidR="003A0AB6" w:rsidRPr="008475F2">
        <w:rPr>
          <w:lang w:val="en-AU"/>
        </w:rPr>
        <w:t>and the Victorian component of the Chowilla Floodplain-Lindsay</w:t>
      </w:r>
      <w:r w:rsidR="006F02FD" w:rsidRPr="008475F2">
        <w:rPr>
          <w:lang w:val="en-AU"/>
        </w:rPr>
        <w:t xml:space="preserve"> </w:t>
      </w:r>
      <w:r w:rsidR="003A0AB6" w:rsidRPr="008475F2">
        <w:rPr>
          <w:lang w:val="en-AU"/>
        </w:rPr>
        <w:t>Wal</w:t>
      </w:r>
      <w:r w:rsidR="00FA0B0E">
        <w:rPr>
          <w:lang w:val="en-AU"/>
        </w:rPr>
        <w:t>l</w:t>
      </w:r>
      <w:r w:rsidR="003A0AB6" w:rsidRPr="00FA0B0E">
        <w:rPr>
          <w:lang w:val="en-AU"/>
        </w:rPr>
        <w:t xml:space="preserve">polla Islands (including </w:t>
      </w:r>
      <w:proofErr w:type="spellStart"/>
      <w:r w:rsidR="003A0AB6" w:rsidRPr="00FA0B0E">
        <w:rPr>
          <w:lang w:val="en-AU"/>
        </w:rPr>
        <w:t>Mulcra</w:t>
      </w:r>
      <w:proofErr w:type="spellEnd"/>
      <w:r w:rsidR="003A0AB6" w:rsidRPr="00FA0B0E">
        <w:rPr>
          <w:lang w:val="en-AU"/>
        </w:rPr>
        <w:t xml:space="preserve">) </w:t>
      </w:r>
      <w:r w:rsidR="001A6DCD">
        <w:rPr>
          <w:lang w:val="en-AU"/>
        </w:rPr>
        <w:t>I</w:t>
      </w:r>
      <w:r w:rsidR="006F02FD" w:rsidRPr="00FA0B0E">
        <w:rPr>
          <w:lang w:val="en-AU"/>
        </w:rPr>
        <w:t>con site</w:t>
      </w:r>
      <w:r w:rsidR="003A0AB6" w:rsidRPr="00FA0B0E">
        <w:rPr>
          <w:lang w:val="en-AU"/>
        </w:rPr>
        <w:t>.</w:t>
      </w:r>
    </w:p>
    <w:p w:rsidR="00482505" w:rsidRPr="00FA0B0E" w:rsidRDefault="00482505" w:rsidP="00482505">
      <w:pPr>
        <w:pStyle w:val="bt"/>
        <w:rPr>
          <w:lang w:val="en-AU"/>
        </w:rPr>
      </w:pPr>
      <w:r w:rsidRPr="00FA0B0E">
        <w:rPr>
          <w:lang w:val="en-AU"/>
        </w:rPr>
        <w:t xml:space="preserve">A significant part of the region is natural floodplain, dotted with shallow wetlands on </w:t>
      </w:r>
      <w:r w:rsidR="0001739E" w:rsidRPr="00FA0B0E">
        <w:rPr>
          <w:lang w:val="en-AU"/>
        </w:rPr>
        <w:t xml:space="preserve">public and </w:t>
      </w:r>
      <w:r w:rsidRPr="00FA0B0E">
        <w:rPr>
          <w:lang w:val="en-AU"/>
        </w:rPr>
        <w:t>private land. Agriculture is a significant threat to these shallow wetlands, particularly in irrigation areas where paddocks are laser graded to assist with efficient water use. Land use planning can help address some of the threats to highly valued rivers, wetlands and lakes from urban and rural land use changes, such as changes to flow regimes and poor water quality</w:t>
      </w:r>
      <w:r w:rsidR="00DB10B3" w:rsidRPr="00FA0B0E">
        <w:rPr>
          <w:lang w:val="en-AU"/>
        </w:rPr>
        <w:t xml:space="preserve">. </w:t>
      </w:r>
      <w:r w:rsidRPr="00FA0B0E">
        <w:rPr>
          <w:lang w:val="en-AU"/>
        </w:rPr>
        <w:t xml:space="preserve">Water supply for urban and agricultural uses is discussed in </w:t>
      </w:r>
      <w:r w:rsidR="00DB10B3" w:rsidRPr="00FA0B0E">
        <w:rPr>
          <w:lang w:val="en-AU"/>
        </w:rPr>
        <w:t xml:space="preserve">Section 14: </w:t>
      </w:r>
      <w:r w:rsidR="004127B0" w:rsidRPr="00FA0B0E">
        <w:rPr>
          <w:lang w:val="en-AU"/>
        </w:rPr>
        <w:t>Regional infrastructure</w:t>
      </w:r>
      <w:r w:rsidRPr="00FA0B0E">
        <w:rPr>
          <w:lang w:val="en-AU"/>
        </w:rPr>
        <w:t xml:space="preserve">.  </w:t>
      </w:r>
    </w:p>
    <w:p w:rsidR="00482505" w:rsidRPr="00FA0B0E" w:rsidRDefault="00482505" w:rsidP="00482505">
      <w:pPr>
        <w:pStyle w:val="bt"/>
        <w:rPr>
          <w:lang w:val="en-AU"/>
        </w:rPr>
      </w:pPr>
      <w:r w:rsidRPr="00FA0B0E">
        <w:rPr>
          <w:lang w:val="en-AU"/>
        </w:rPr>
        <w:t>There is potential future residential development pressure around some lakes.</w:t>
      </w:r>
      <w:r w:rsidR="006F02FD" w:rsidRPr="00FA0B0E">
        <w:rPr>
          <w:lang w:val="en-AU"/>
        </w:rPr>
        <w:t xml:space="preserve"> </w:t>
      </w:r>
      <w:r w:rsidRPr="00FA0B0E">
        <w:rPr>
          <w:lang w:val="en-AU"/>
        </w:rPr>
        <w:t xml:space="preserve">Strategic planning and clear direction </w:t>
      </w:r>
      <w:r w:rsidR="001D252E">
        <w:rPr>
          <w:lang w:val="en-AU"/>
        </w:rPr>
        <w:t>are</w:t>
      </w:r>
      <w:r w:rsidR="001D252E" w:rsidRPr="00FA0B0E">
        <w:rPr>
          <w:lang w:val="en-AU"/>
        </w:rPr>
        <w:t xml:space="preserve"> </w:t>
      </w:r>
      <w:r w:rsidRPr="00FA0B0E">
        <w:rPr>
          <w:lang w:val="en-AU"/>
        </w:rPr>
        <w:t>needed to protect the environmental and landscape values of these assets</w:t>
      </w:r>
      <w:r w:rsidR="0001739E" w:rsidRPr="00FA0B0E">
        <w:rPr>
          <w:lang w:val="en-AU"/>
        </w:rPr>
        <w:t xml:space="preserve"> and to </w:t>
      </w:r>
      <w:r w:rsidR="00DB10B3" w:rsidRPr="00FA0B0E">
        <w:rPr>
          <w:lang w:val="en-AU"/>
        </w:rPr>
        <w:t>promote</w:t>
      </w:r>
      <w:r w:rsidR="0001739E" w:rsidRPr="00FA0B0E">
        <w:rPr>
          <w:lang w:val="en-AU"/>
        </w:rPr>
        <w:t xml:space="preserve"> the continued growth of the </w:t>
      </w:r>
      <w:r w:rsidR="00D373A1" w:rsidRPr="00FA0B0E">
        <w:rPr>
          <w:lang w:val="en-AU"/>
        </w:rPr>
        <w:t>region</w:t>
      </w:r>
      <w:r w:rsidR="006F02FD" w:rsidRPr="00FA0B0E">
        <w:rPr>
          <w:lang w:val="en-AU"/>
        </w:rPr>
        <w:t>’</w:t>
      </w:r>
      <w:r w:rsidR="00D373A1" w:rsidRPr="00FA0B0E">
        <w:rPr>
          <w:lang w:val="en-AU"/>
        </w:rPr>
        <w:t>s</w:t>
      </w:r>
      <w:r w:rsidR="0001739E" w:rsidRPr="00FA0B0E">
        <w:rPr>
          <w:lang w:val="en-AU"/>
        </w:rPr>
        <w:t xml:space="preserve"> agricultural export markets</w:t>
      </w:r>
      <w:r w:rsidRPr="00FA0B0E">
        <w:rPr>
          <w:lang w:val="en-AU"/>
        </w:rPr>
        <w:t>.</w:t>
      </w:r>
    </w:p>
    <w:p w:rsidR="0078364F" w:rsidRPr="00FA0B0E" w:rsidRDefault="001D252E" w:rsidP="00482505">
      <w:pPr>
        <w:pStyle w:val="bt"/>
        <w:rPr>
          <w:lang w:val="en-AU"/>
        </w:rPr>
      </w:pPr>
      <w:r w:rsidRPr="00FA0B0E">
        <w:rPr>
          <w:lang w:val="en-AU"/>
        </w:rPr>
        <w:t>Multi</w:t>
      </w:r>
      <w:r>
        <w:rPr>
          <w:lang w:val="en-AU"/>
        </w:rPr>
        <w:t>-</w:t>
      </w:r>
      <w:r w:rsidR="0078364F" w:rsidRPr="00FA0B0E">
        <w:rPr>
          <w:lang w:val="en-AU"/>
        </w:rPr>
        <w:t xml:space="preserve">million dollar </w:t>
      </w:r>
      <w:r w:rsidRPr="00FA0B0E">
        <w:rPr>
          <w:lang w:val="en-AU"/>
        </w:rPr>
        <w:t>large</w:t>
      </w:r>
      <w:r>
        <w:rPr>
          <w:lang w:val="en-AU"/>
        </w:rPr>
        <w:t>-</w:t>
      </w:r>
      <w:r w:rsidR="0078364F" w:rsidRPr="00FA0B0E">
        <w:rPr>
          <w:lang w:val="en-AU"/>
        </w:rPr>
        <w:t xml:space="preserve">scale environmental works are proposed for key sites in the region in an effort to preserve and enhance environmental assets, while using environmental </w:t>
      </w:r>
      <w:r w:rsidR="009B35E5" w:rsidRPr="00FA0B0E">
        <w:rPr>
          <w:lang w:val="en-AU"/>
        </w:rPr>
        <w:t xml:space="preserve">water </w:t>
      </w:r>
      <w:r w:rsidR="00057636" w:rsidRPr="00FA0B0E">
        <w:rPr>
          <w:lang w:val="en-AU"/>
        </w:rPr>
        <w:t xml:space="preserve">as </w:t>
      </w:r>
      <w:r w:rsidR="009B35E5" w:rsidRPr="00FA0B0E">
        <w:rPr>
          <w:lang w:val="en-AU"/>
        </w:rPr>
        <w:t xml:space="preserve">effectively and efficiently as possible. </w:t>
      </w:r>
      <w:r w:rsidR="00383DF8" w:rsidRPr="00FA0B0E">
        <w:rPr>
          <w:lang w:val="en-AU"/>
        </w:rPr>
        <w:t xml:space="preserve">This is an important consideration in order to balance current use with future ecotourism opportunities. </w:t>
      </w:r>
      <w:r w:rsidR="009B35E5" w:rsidRPr="00FA0B0E">
        <w:rPr>
          <w:lang w:val="en-AU"/>
        </w:rPr>
        <w:t>Environmental infrastructure and associated works are planned for Lindsay Island, Wa</w:t>
      </w:r>
      <w:r w:rsidR="00FA0B0E">
        <w:rPr>
          <w:lang w:val="en-AU"/>
        </w:rPr>
        <w:t>l</w:t>
      </w:r>
      <w:r w:rsidR="009B35E5" w:rsidRPr="00FA0B0E">
        <w:rPr>
          <w:lang w:val="en-AU"/>
        </w:rPr>
        <w:t xml:space="preserve">lpolla Island, </w:t>
      </w:r>
      <w:proofErr w:type="gramStart"/>
      <w:r w:rsidR="009B35E5" w:rsidRPr="00FA0B0E">
        <w:rPr>
          <w:lang w:val="en-AU"/>
        </w:rPr>
        <w:t>Hattah</w:t>
      </w:r>
      <w:proofErr w:type="gramEnd"/>
      <w:r w:rsidR="009B35E5" w:rsidRPr="00FA0B0E">
        <w:rPr>
          <w:lang w:val="en-AU"/>
        </w:rPr>
        <w:t xml:space="preserve"> Lakes, Nyah-Vinifera, </w:t>
      </w:r>
      <w:proofErr w:type="spellStart"/>
      <w:r w:rsidR="009B35E5" w:rsidRPr="00FA0B0E">
        <w:rPr>
          <w:lang w:val="en-AU"/>
        </w:rPr>
        <w:t>Belsar-Yungera</w:t>
      </w:r>
      <w:proofErr w:type="spellEnd"/>
      <w:r w:rsidR="009B35E5" w:rsidRPr="00FA0B0E">
        <w:rPr>
          <w:lang w:val="en-AU"/>
        </w:rPr>
        <w:t xml:space="preserve">, </w:t>
      </w:r>
      <w:proofErr w:type="spellStart"/>
      <w:r w:rsidR="009B35E5" w:rsidRPr="00FA0B0E">
        <w:rPr>
          <w:lang w:val="en-AU"/>
        </w:rPr>
        <w:t>Gunntram-Benwell</w:t>
      </w:r>
      <w:proofErr w:type="spellEnd"/>
      <w:r w:rsidR="009B35E5" w:rsidRPr="00FA0B0E">
        <w:rPr>
          <w:lang w:val="en-AU"/>
        </w:rPr>
        <w:t xml:space="preserve"> and the Upper Gunbower </w:t>
      </w:r>
      <w:r w:rsidR="00E34AE7">
        <w:rPr>
          <w:lang w:val="en-AU"/>
        </w:rPr>
        <w:t>f</w:t>
      </w:r>
      <w:r w:rsidR="009B35E5" w:rsidRPr="00FA0B0E">
        <w:rPr>
          <w:lang w:val="en-AU"/>
        </w:rPr>
        <w:t>loodplain</w:t>
      </w:r>
      <w:r w:rsidR="00E34AE7">
        <w:rPr>
          <w:lang w:val="en-AU"/>
        </w:rPr>
        <w:t>s</w:t>
      </w:r>
      <w:r w:rsidR="009B35E5" w:rsidRPr="00FA0B0E">
        <w:rPr>
          <w:lang w:val="en-AU"/>
        </w:rPr>
        <w:t>.</w:t>
      </w:r>
    </w:p>
    <w:p w:rsidR="00482505" w:rsidRPr="00FA0B0E" w:rsidRDefault="00482505" w:rsidP="00E558BE">
      <w:pPr>
        <w:pStyle w:val="Heading3"/>
        <w:rPr>
          <w:lang w:val="en-AU"/>
        </w:rPr>
      </w:pPr>
      <w:r w:rsidRPr="00FA0B0E">
        <w:rPr>
          <w:lang w:val="en-AU"/>
        </w:rPr>
        <w:t>Public land and significant landscapes</w:t>
      </w:r>
    </w:p>
    <w:p w:rsidR="00AC4BEC" w:rsidRPr="00FA0B0E" w:rsidRDefault="00A9245B" w:rsidP="00482505">
      <w:pPr>
        <w:pStyle w:val="bt"/>
        <w:rPr>
          <w:lang w:val="en-AU"/>
        </w:rPr>
      </w:pPr>
      <w:r w:rsidRPr="00FA0B0E">
        <w:rPr>
          <w:lang w:val="en-AU"/>
        </w:rPr>
        <w:t>The v</w:t>
      </w:r>
      <w:r w:rsidR="00482505" w:rsidRPr="00FA0B0E">
        <w:rPr>
          <w:lang w:val="en-AU"/>
        </w:rPr>
        <w:t>ast public land reserves in the region are highly valued</w:t>
      </w:r>
      <w:r w:rsidR="00DB10B3" w:rsidRPr="00FA0B0E">
        <w:rPr>
          <w:lang w:val="en-AU"/>
        </w:rPr>
        <w:t>. These reserves</w:t>
      </w:r>
      <w:r w:rsidR="00482505" w:rsidRPr="00FA0B0E">
        <w:rPr>
          <w:lang w:val="en-AU"/>
        </w:rPr>
        <w:t xml:space="preserve"> contribute to </w:t>
      </w:r>
      <w:r w:rsidR="00DB10B3" w:rsidRPr="00FA0B0E">
        <w:rPr>
          <w:lang w:val="en-AU"/>
        </w:rPr>
        <w:t>the region’s</w:t>
      </w:r>
      <w:r w:rsidR="00482505" w:rsidRPr="00FA0B0E">
        <w:rPr>
          <w:lang w:val="en-AU"/>
        </w:rPr>
        <w:t xml:space="preserve"> identity</w:t>
      </w:r>
      <w:r w:rsidR="00AC4BEC" w:rsidRPr="00FA0B0E">
        <w:rPr>
          <w:lang w:val="en-AU"/>
        </w:rPr>
        <w:t xml:space="preserve"> and have the potential to contribute to the expansion of </w:t>
      </w:r>
      <w:r w:rsidR="00DB10B3" w:rsidRPr="00FA0B0E">
        <w:rPr>
          <w:lang w:val="en-AU"/>
        </w:rPr>
        <w:t xml:space="preserve">the local </w:t>
      </w:r>
      <w:r w:rsidR="00AC4BEC" w:rsidRPr="00FA0B0E">
        <w:rPr>
          <w:lang w:val="en-AU"/>
        </w:rPr>
        <w:t>tourism</w:t>
      </w:r>
      <w:r w:rsidR="00DB10B3" w:rsidRPr="00FA0B0E">
        <w:rPr>
          <w:lang w:val="en-AU"/>
        </w:rPr>
        <w:t xml:space="preserve"> industry</w:t>
      </w:r>
      <w:r w:rsidR="00AC4BEC" w:rsidRPr="00FA0B0E">
        <w:rPr>
          <w:lang w:val="en-AU"/>
        </w:rPr>
        <w:t xml:space="preserve">.  </w:t>
      </w:r>
    </w:p>
    <w:p w:rsidR="00482505" w:rsidRPr="00FA0B0E" w:rsidRDefault="00AC4BEC" w:rsidP="00482505">
      <w:pPr>
        <w:pStyle w:val="bt"/>
        <w:rPr>
          <w:lang w:val="en-AU"/>
        </w:rPr>
      </w:pPr>
      <w:r w:rsidRPr="00FA0B0E">
        <w:rPr>
          <w:lang w:val="en-AU"/>
        </w:rPr>
        <w:t>Land use planning generally consider</w:t>
      </w:r>
      <w:r w:rsidR="00DB10B3" w:rsidRPr="00FA0B0E">
        <w:rPr>
          <w:lang w:val="en-AU"/>
        </w:rPr>
        <w:t>s</w:t>
      </w:r>
      <w:r w:rsidRPr="00FA0B0E">
        <w:rPr>
          <w:lang w:val="en-AU"/>
        </w:rPr>
        <w:t xml:space="preserve"> significant landscapes </w:t>
      </w:r>
      <w:r w:rsidR="00A9245B" w:rsidRPr="00FA0B0E">
        <w:rPr>
          <w:lang w:val="en-AU"/>
        </w:rPr>
        <w:t>containing</w:t>
      </w:r>
      <w:r w:rsidRPr="00FA0B0E">
        <w:rPr>
          <w:lang w:val="en-AU"/>
        </w:rPr>
        <w:t xml:space="preserve"> significant visual and landscape character. </w:t>
      </w:r>
      <w:r w:rsidR="00061040" w:rsidRPr="00FA0B0E">
        <w:rPr>
          <w:lang w:val="en-AU"/>
        </w:rPr>
        <w:t>In other areas of the state, coordinated assessments have been used to consistently apply planning tools to protect significant landscapes across a region</w:t>
      </w:r>
      <w:r w:rsidR="00DB10B3" w:rsidRPr="00FA0B0E">
        <w:rPr>
          <w:lang w:val="en-AU"/>
        </w:rPr>
        <w:t>, such as</w:t>
      </w:r>
      <w:r w:rsidR="00A9245B" w:rsidRPr="00FA0B0E">
        <w:rPr>
          <w:lang w:val="en-AU"/>
        </w:rPr>
        <w:t xml:space="preserve"> </w:t>
      </w:r>
      <w:r w:rsidR="00061040" w:rsidRPr="00FA0B0E">
        <w:rPr>
          <w:lang w:val="en-AU"/>
        </w:rPr>
        <w:t xml:space="preserve">the </w:t>
      </w:r>
      <w:r w:rsidR="00344892" w:rsidRPr="00FA0B0E">
        <w:rPr>
          <w:lang w:val="en-AU"/>
        </w:rPr>
        <w:t>South West Landscape Assessment Study</w:t>
      </w:r>
      <w:r w:rsidR="00061040" w:rsidRPr="00FA0B0E">
        <w:rPr>
          <w:lang w:val="en-AU"/>
        </w:rPr>
        <w:t>.</w:t>
      </w:r>
      <w:r w:rsidR="00A9245B" w:rsidRPr="00FA0B0E">
        <w:rPr>
          <w:lang w:val="en-AU"/>
        </w:rPr>
        <w:t xml:space="preserve"> </w:t>
      </w:r>
      <w:r w:rsidR="00061040" w:rsidRPr="00FA0B0E">
        <w:rPr>
          <w:lang w:val="en-AU"/>
        </w:rPr>
        <w:t>No such study has</w:t>
      </w:r>
      <w:r w:rsidR="00DB10B3" w:rsidRPr="00FA0B0E">
        <w:rPr>
          <w:lang w:val="en-AU"/>
        </w:rPr>
        <w:t xml:space="preserve"> </w:t>
      </w:r>
      <w:r w:rsidR="0042522B" w:rsidRPr="00FA0B0E">
        <w:rPr>
          <w:lang w:val="en-AU"/>
        </w:rPr>
        <w:t xml:space="preserve">been </w:t>
      </w:r>
      <w:r w:rsidR="004127B0" w:rsidRPr="00FA0B0E">
        <w:rPr>
          <w:lang w:val="en-AU"/>
        </w:rPr>
        <w:t>undertaken for</w:t>
      </w:r>
      <w:r w:rsidR="00061040" w:rsidRPr="00FA0B0E">
        <w:rPr>
          <w:lang w:val="en-AU"/>
        </w:rPr>
        <w:t xml:space="preserve"> the Loddon Mallee North region. </w:t>
      </w:r>
      <w:r w:rsidR="0048567B" w:rsidRPr="00FA0B0E">
        <w:rPr>
          <w:lang w:val="en-AU"/>
        </w:rPr>
        <w:t xml:space="preserve">There is a need </w:t>
      </w:r>
      <w:r w:rsidR="00482505" w:rsidRPr="00FA0B0E">
        <w:rPr>
          <w:lang w:val="en-AU"/>
        </w:rPr>
        <w:t xml:space="preserve">to identify and protect the most significant landscapes and views to best position the region </w:t>
      </w:r>
      <w:r w:rsidR="00DB10B3" w:rsidRPr="00FA0B0E">
        <w:rPr>
          <w:lang w:val="en-AU"/>
        </w:rPr>
        <w:t>for</w:t>
      </w:r>
      <w:r w:rsidR="00482505" w:rsidRPr="00FA0B0E">
        <w:rPr>
          <w:lang w:val="en-AU"/>
        </w:rPr>
        <w:t xml:space="preserve"> the future in terms of its environmental credentials and tourism potential.</w:t>
      </w:r>
      <w:r w:rsidR="0048567B" w:rsidRPr="00FA0B0E">
        <w:rPr>
          <w:lang w:val="en-AU"/>
        </w:rPr>
        <w:t xml:space="preserve"> </w:t>
      </w:r>
    </w:p>
    <w:p w:rsidR="00482505" w:rsidRPr="00FA0B0E" w:rsidRDefault="00482505" w:rsidP="00482505">
      <w:pPr>
        <w:pStyle w:val="Heading2"/>
        <w:rPr>
          <w:lang w:val="en-AU"/>
        </w:rPr>
      </w:pPr>
      <w:bookmarkStart w:id="66" w:name="_Toc377031458"/>
      <w:r w:rsidRPr="00FA0B0E">
        <w:rPr>
          <w:lang w:val="en-AU"/>
        </w:rPr>
        <w:lastRenderedPageBreak/>
        <w:t>Natural hazards and risks</w:t>
      </w:r>
      <w:bookmarkEnd w:id="66"/>
    </w:p>
    <w:p w:rsidR="00482505" w:rsidRPr="00FA0B0E" w:rsidRDefault="00482505" w:rsidP="00482505">
      <w:pPr>
        <w:pStyle w:val="bt"/>
        <w:rPr>
          <w:lang w:val="en-AU"/>
        </w:rPr>
      </w:pPr>
      <w:r w:rsidRPr="00FA0B0E">
        <w:rPr>
          <w:lang w:val="en-AU"/>
        </w:rPr>
        <w:t>Natural hazards and risks have been explicitly considered in land use planning to enable appropriate growth and development opportunities across the region and ensure</w:t>
      </w:r>
      <w:r w:rsidR="00E57A19" w:rsidRPr="00FA0B0E">
        <w:rPr>
          <w:lang w:val="en-AU"/>
        </w:rPr>
        <w:t xml:space="preserve"> the</w:t>
      </w:r>
      <w:r w:rsidRPr="00FA0B0E">
        <w:rPr>
          <w:lang w:val="en-AU"/>
        </w:rPr>
        <w:t xml:space="preserve"> protection of human life.</w:t>
      </w:r>
    </w:p>
    <w:p w:rsidR="00482505" w:rsidRPr="00FA0B0E" w:rsidRDefault="00731D63" w:rsidP="00E558BE">
      <w:pPr>
        <w:pStyle w:val="Heading3"/>
        <w:rPr>
          <w:lang w:val="en-AU"/>
        </w:rPr>
      </w:pPr>
      <w:r w:rsidRPr="00FA0B0E">
        <w:rPr>
          <w:lang w:val="en-AU"/>
        </w:rPr>
        <w:t>Flood</w:t>
      </w:r>
    </w:p>
    <w:p w:rsidR="00482505" w:rsidRPr="00FA0B0E" w:rsidRDefault="00482505" w:rsidP="00482505">
      <w:pPr>
        <w:pStyle w:val="bt"/>
        <w:rPr>
          <w:lang w:val="en-AU"/>
        </w:rPr>
      </w:pPr>
      <w:r w:rsidRPr="00FA0B0E">
        <w:rPr>
          <w:lang w:val="en-AU"/>
        </w:rPr>
        <w:t xml:space="preserve">Significant areas of </w:t>
      </w:r>
      <w:r w:rsidR="00480722">
        <w:rPr>
          <w:lang w:val="en-AU"/>
        </w:rPr>
        <w:t xml:space="preserve">the region are subject to flood. </w:t>
      </w:r>
      <w:r w:rsidRPr="00FA0B0E">
        <w:rPr>
          <w:lang w:val="en-AU"/>
        </w:rPr>
        <w:t>This includes extensive rural areas, but also urban areas</w:t>
      </w:r>
      <w:r w:rsidR="00A10C19" w:rsidRPr="00FA0B0E">
        <w:rPr>
          <w:lang w:val="en-AU"/>
        </w:rPr>
        <w:t>,</w:t>
      </w:r>
      <w:r w:rsidRPr="00FA0B0E">
        <w:rPr>
          <w:lang w:val="en-AU"/>
        </w:rPr>
        <w:t xml:space="preserve"> as regional cities and centres expand outside existing levees. The risks pre</w:t>
      </w:r>
      <w:r w:rsidR="00F07A74">
        <w:rPr>
          <w:lang w:val="en-AU"/>
        </w:rPr>
        <w:t>sented to land use from flood</w:t>
      </w:r>
      <w:r w:rsidRPr="00FA0B0E">
        <w:rPr>
          <w:lang w:val="en-AU"/>
        </w:rPr>
        <w:t xml:space="preserve"> hazards must be considered in regional and local planning decisions. Land use planning decisions should be based on the best quality information on </w:t>
      </w:r>
      <w:r w:rsidR="00BE3F0D">
        <w:rPr>
          <w:lang w:val="en-AU"/>
        </w:rPr>
        <w:t>flood</w:t>
      </w:r>
      <w:r w:rsidRPr="00FA0B0E">
        <w:rPr>
          <w:lang w:val="en-AU"/>
        </w:rPr>
        <w:t xml:space="preserve"> hazard</w:t>
      </w:r>
      <w:r w:rsidR="00AA48A8">
        <w:rPr>
          <w:lang w:val="en-AU"/>
        </w:rPr>
        <w:t>s</w:t>
      </w:r>
      <w:r w:rsidRPr="00FA0B0E">
        <w:rPr>
          <w:lang w:val="en-AU"/>
        </w:rPr>
        <w:t xml:space="preserve"> to minimise risk to life, property and community infrastructure, as well as to the environment.</w:t>
      </w:r>
      <w:r w:rsidR="0072720B" w:rsidRPr="00FA0B0E">
        <w:rPr>
          <w:lang w:val="en-AU"/>
        </w:rPr>
        <w:t xml:space="preserve"> </w:t>
      </w:r>
      <w:r w:rsidRPr="00FA0B0E">
        <w:rPr>
          <w:lang w:val="en-AU"/>
        </w:rPr>
        <w:t>Accurate flood mapping is critical.</w:t>
      </w:r>
    </w:p>
    <w:p w:rsidR="00E57A19" w:rsidRPr="00FA0B0E" w:rsidRDefault="00482505" w:rsidP="00482505">
      <w:pPr>
        <w:pStyle w:val="bt"/>
        <w:rPr>
          <w:lang w:val="en-AU"/>
        </w:rPr>
      </w:pPr>
      <w:r w:rsidRPr="00FA0B0E">
        <w:rPr>
          <w:lang w:val="en-AU"/>
        </w:rPr>
        <w:t>There are currently inconsistencies across the region in terms of how and where flood-related overlays are applied. Flood provisions in planning schemes should be used consistently across the region to avoid inappropriate development</w:t>
      </w:r>
      <w:r w:rsidR="0072720B" w:rsidRPr="00FA0B0E">
        <w:rPr>
          <w:lang w:val="en-AU"/>
        </w:rPr>
        <w:t xml:space="preserve"> </w:t>
      </w:r>
      <w:r w:rsidR="00E57A19" w:rsidRPr="00FA0B0E">
        <w:rPr>
          <w:lang w:val="en-AU"/>
        </w:rPr>
        <w:t xml:space="preserve">and </w:t>
      </w:r>
      <w:r w:rsidRPr="00FA0B0E">
        <w:rPr>
          <w:lang w:val="en-AU"/>
        </w:rPr>
        <w:t xml:space="preserve">to require new development to be located and designed to minimise risk. </w:t>
      </w:r>
    </w:p>
    <w:p w:rsidR="00482505" w:rsidRPr="00FA0B0E" w:rsidRDefault="00482505" w:rsidP="00482505">
      <w:pPr>
        <w:pStyle w:val="bt"/>
        <w:rPr>
          <w:lang w:val="en-AU"/>
        </w:rPr>
      </w:pPr>
      <w:r w:rsidRPr="00FA0B0E">
        <w:rPr>
          <w:lang w:val="en-AU"/>
        </w:rPr>
        <w:t>Mapping of the January 2011 floods</w:t>
      </w:r>
      <w:r w:rsidR="00DB10B3" w:rsidRPr="00FA0B0E">
        <w:rPr>
          <w:lang w:val="en-AU"/>
        </w:rPr>
        <w:t xml:space="preserve">, </w:t>
      </w:r>
      <w:r w:rsidRPr="00FA0B0E">
        <w:rPr>
          <w:lang w:val="en-AU"/>
        </w:rPr>
        <w:t>the highest on record</w:t>
      </w:r>
      <w:r w:rsidR="00DB10B3" w:rsidRPr="00FA0B0E">
        <w:rPr>
          <w:lang w:val="en-AU"/>
        </w:rPr>
        <w:t>,</w:t>
      </w:r>
      <w:r w:rsidRPr="00FA0B0E">
        <w:rPr>
          <w:lang w:val="en-AU"/>
        </w:rPr>
        <w:t xml:space="preserve"> is still being translated into planning </w:t>
      </w:r>
      <w:r w:rsidR="003F7260" w:rsidRPr="00FA0B0E">
        <w:rPr>
          <w:lang w:val="en-AU"/>
        </w:rPr>
        <w:t xml:space="preserve">scheme </w:t>
      </w:r>
      <w:r w:rsidRPr="00FA0B0E">
        <w:rPr>
          <w:lang w:val="en-AU"/>
        </w:rPr>
        <w:t xml:space="preserve">overlays and new flood investigations are underway for specific </w:t>
      </w:r>
      <w:r w:rsidR="00AA48A8" w:rsidRPr="00FA0B0E">
        <w:rPr>
          <w:lang w:val="en-AU"/>
        </w:rPr>
        <w:t>high</w:t>
      </w:r>
      <w:r w:rsidR="00AA48A8">
        <w:rPr>
          <w:lang w:val="en-AU"/>
        </w:rPr>
        <w:t>-</w:t>
      </w:r>
      <w:r w:rsidRPr="00FA0B0E">
        <w:rPr>
          <w:lang w:val="en-AU"/>
        </w:rPr>
        <w:t xml:space="preserve">risk settlements. Flood considerations have been built into the </w:t>
      </w:r>
      <w:r w:rsidR="0072720B" w:rsidRPr="00FA0B0E">
        <w:rPr>
          <w:lang w:val="en-AU"/>
        </w:rPr>
        <w:t xml:space="preserve">draft </w:t>
      </w:r>
      <w:r w:rsidRPr="00FA0B0E">
        <w:rPr>
          <w:lang w:val="en-AU"/>
        </w:rPr>
        <w:t>framework plans</w:t>
      </w:r>
      <w:r w:rsidR="0072720B" w:rsidRPr="00FA0B0E">
        <w:rPr>
          <w:lang w:val="en-AU"/>
        </w:rPr>
        <w:t xml:space="preserve"> for Mildura, Swan Hill and Echuca</w:t>
      </w:r>
      <w:r w:rsidRPr="00FA0B0E">
        <w:rPr>
          <w:lang w:val="en-AU"/>
        </w:rPr>
        <w:t xml:space="preserve"> in Section 1</w:t>
      </w:r>
      <w:r w:rsidR="004C2E21" w:rsidRPr="00FA0B0E">
        <w:rPr>
          <w:lang w:val="en-AU"/>
        </w:rPr>
        <w:t>3</w:t>
      </w:r>
      <w:r w:rsidR="00DB10B3" w:rsidRPr="00FA0B0E">
        <w:rPr>
          <w:lang w:val="en-AU"/>
        </w:rPr>
        <w:t>: Living in the region</w:t>
      </w:r>
      <w:r w:rsidRPr="00FA0B0E">
        <w:rPr>
          <w:lang w:val="en-AU"/>
        </w:rPr>
        <w:t>, and will be considered in detail in future local strategic and statutory planning.</w:t>
      </w:r>
    </w:p>
    <w:p w:rsidR="00482505" w:rsidRPr="00FA0B0E" w:rsidRDefault="00482505" w:rsidP="00E558BE">
      <w:pPr>
        <w:pStyle w:val="Heading3"/>
        <w:rPr>
          <w:lang w:val="en-AU"/>
        </w:rPr>
      </w:pPr>
      <w:r w:rsidRPr="00FA0B0E">
        <w:rPr>
          <w:lang w:val="en-AU"/>
        </w:rPr>
        <w:t>Bushfire</w:t>
      </w:r>
    </w:p>
    <w:p w:rsidR="0072720B" w:rsidRPr="00FA0B0E" w:rsidRDefault="00482505" w:rsidP="00482505">
      <w:pPr>
        <w:pStyle w:val="bt"/>
        <w:rPr>
          <w:lang w:val="en-AU"/>
        </w:rPr>
      </w:pPr>
      <w:r w:rsidRPr="00FA0B0E">
        <w:rPr>
          <w:lang w:val="en-AU"/>
        </w:rPr>
        <w:t xml:space="preserve">A challenge arises within </w:t>
      </w:r>
      <w:r w:rsidR="0077285F" w:rsidRPr="00FA0B0E">
        <w:rPr>
          <w:lang w:val="en-AU"/>
        </w:rPr>
        <w:t>the</w:t>
      </w:r>
      <w:r w:rsidRPr="00FA0B0E">
        <w:rPr>
          <w:lang w:val="en-AU"/>
        </w:rPr>
        <w:t xml:space="preserve"> region given that many areas that are bushfire prone intersect with towns and areas that may experience rural residential and tourism expansion. This is particularly relevant for smaller towns. The current </w:t>
      </w:r>
      <w:r w:rsidR="0077285F" w:rsidRPr="00FA0B0E">
        <w:rPr>
          <w:lang w:val="en-AU"/>
        </w:rPr>
        <w:t xml:space="preserve">Bushfire Management Overlay </w:t>
      </w:r>
      <w:r w:rsidR="00B65FC7">
        <w:rPr>
          <w:lang w:val="en-AU"/>
        </w:rPr>
        <w:t>is being</w:t>
      </w:r>
      <w:r w:rsidR="00B65FC7" w:rsidRPr="00FA0B0E">
        <w:rPr>
          <w:lang w:val="en-AU"/>
        </w:rPr>
        <w:t xml:space="preserve"> updated with revised mapping</w:t>
      </w:r>
      <w:r w:rsidR="00B65FC7" w:rsidRPr="00FA0B0E" w:rsidDel="00B65FC7">
        <w:rPr>
          <w:lang w:val="en-AU"/>
        </w:rPr>
        <w:t xml:space="preserve"> </w:t>
      </w:r>
      <w:r w:rsidR="00B65FC7">
        <w:rPr>
          <w:lang w:val="en-AU"/>
        </w:rPr>
        <w:t xml:space="preserve">to more </w:t>
      </w:r>
      <w:r w:rsidRPr="00FA0B0E">
        <w:rPr>
          <w:lang w:val="en-AU"/>
        </w:rPr>
        <w:t>accurately reflect bushfire hazard</w:t>
      </w:r>
      <w:r w:rsidR="00A250CD">
        <w:rPr>
          <w:lang w:val="en-AU"/>
        </w:rPr>
        <w:t>s</w:t>
      </w:r>
      <w:r w:rsidRPr="00FA0B0E">
        <w:rPr>
          <w:lang w:val="en-AU"/>
        </w:rPr>
        <w:t xml:space="preserve"> across the </w:t>
      </w:r>
      <w:r w:rsidR="00B65FC7">
        <w:rPr>
          <w:lang w:val="en-AU"/>
        </w:rPr>
        <w:t>region</w:t>
      </w:r>
      <w:r w:rsidRPr="00FA0B0E">
        <w:rPr>
          <w:lang w:val="en-AU"/>
        </w:rPr>
        <w:t>. The most up</w:t>
      </w:r>
      <w:r w:rsidR="002072B6" w:rsidRPr="00FA0B0E">
        <w:rPr>
          <w:lang w:val="en-AU"/>
        </w:rPr>
        <w:t>-</w:t>
      </w:r>
      <w:r w:rsidRPr="00FA0B0E">
        <w:rPr>
          <w:lang w:val="en-AU"/>
        </w:rPr>
        <w:t>to</w:t>
      </w:r>
      <w:r w:rsidR="002072B6" w:rsidRPr="00FA0B0E">
        <w:rPr>
          <w:lang w:val="en-AU"/>
        </w:rPr>
        <w:t>-</w:t>
      </w:r>
      <w:r w:rsidRPr="00FA0B0E">
        <w:rPr>
          <w:lang w:val="en-AU"/>
        </w:rPr>
        <w:t>date information on bushfire hazard</w:t>
      </w:r>
      <w:r w:rsidR="00A250CD">
        <w:rPr>
          <w:lang w:val="en-AU"/>
        </w:rPr>
        <w:t>s</w:t>
      </w:r>
      <w:r w:rsidRPr="00FA0B0E">
        <w:rPr>
          <w:lang w:val="en-AU"/>
        </w:rPr>
        <w:t xml:space="preserve"> should be used in land use planning decisions.  </w:t>
      </w:r>
    </w:p>
    <w:p w:rsidR="0057348A" w:rsidRPr="00FA0B0E" w:rsidRDefault="0057348A" w:rsidP="0057348A">
      <w:pPr>
        <w:pStyle w:val="bt"/>
        <w:rPr>
          <w:lang w:val="en-AU"/>
        </w:rPr>
      </w:pPr>
      <w:r w:rsidRPr="00FA0B0E">
        <w:rPr>
          <w:lang w:val="en-AU"/>
        </w:rPr>
        <w:t>When addressing bushfire risk</w:t>
      </w:r>
      <w:r w:rsidR="00A250CD">
        <w:rPr>
          <w:lang w:val="en-AU"/>
        </w:rPr>
        <w:t>s</w:t>
      </w:r>
      <w:r w:rsidRPr="00FA0B0E">
        <w:rPr>
          <w:lang w:val="en-AU"/>
        </w:rPr>
        <w:t>, the following principles apply:</w:t>
      </w:r>
    </w:p>
    <w:p w:rsidR="0057348A" w:rsidRPr="00FA0B0E" w:rsidRDefault="0057348A" w:rsidP="00F80D0A">
      <w:pPr>
        <w:pStyle w:val="btbullet"/>
        <w:rPr>
          <w:lang w:val="en-AU"/>
        </w:rPr>
      </w:pPr>
      <w:r w:rsidRPr="00FA0B0E">
        <w:rPr>
          <w:lang w:val="en-AU"/>
        </w:rPr>
        <w:t>Community resilience to bushfire will be strengthened by:</w:t>
      </w:r>
    </w:p>
    <w:p w:rsidR="00D81C28" w:rsidRPr="00FA0B0E" w:rsidRDefault="0057348A" w:rsidP="00F80D0A">
      <w:pPr>
        <w:pStyle w:val="btbullet"/>
        <w:numPr>
          <w:ilvl w:val="1"/>
          <w:numId w:val="23"/>
        </w:numPr>
        <w:rPr>
          <w:lang w:val="en-AU"/>
        </w:rPr>
      </w:pPr>
      <w:r w:rsidRPr="00FA0B0E">
        <w:rPr>
          <w:lang w:val="en-AU"/>
        </w:rPr>
        <w:t>prioritising the protection of human life over other policy considerations when planning to create or expand a settlement at risk from bushfire</w:t>
      </w:r>
    </w:p>
    <w:p w:rsidR="00D81C28" w:rsidRPr="00FA0B0E" w:rsidRDefault="0057348A" w:rsidP="00F80D0A">
      <w:pPr>
        <w:pStyle w:val="btbullet"/>
        <w:numPr>
          <w:ilvl w:val="1"/>
          <w:numId w:val="23"/>
        </w:numPr>
        <w:rPr>
          <w:lang w:val="en-AU"/>
        </w:rPr>
      </w:pPr>
      <w:r w:rsidRPr="00FA0B0E">
        <w:rPr>
          <w:lang w:val="en-AU"/>
        </w:rPr>
        <w:t>applying a precautionary approach to planning and decision</w:t>
      </w:r>
      <w:r w:rsidR="00A250CD">
        <w:rPr>
          <w:lang w:val="en-AU"/>
        </w:rPr>
        <w:t xml:space="preserve"> </w:t>
      </w:r>
      <w:r w:rsidRPr="00FA0B0E">
        <w:rPr>
          <w:lang w:val="en-AU"/>
        </w:rPr>
        <w:t>making when assessing the risk to life, property and community infrastructure from bushfire</w:t>
      </w:r>
    </w:p>
    <w:p w:rsidR="00D81C28" w:rsidRPr="00FA0B0E" w:rsidRDefault="0057348A" w:rsidP="00F80D0A">
      <w:pPr>
        <w:pStyle w:val="btbullet"/>
        <w:numPr>
          <w:ilvl w:val="1"/>
          <w:numId w:val="23"/>
        </w:numPr>
        <w:rPr>
          <w:lang w:val="en-AU"/>
        </w:rPr>
      </w:pPr>
      <w:proofErr w:type="gramStart"/>
      <w:r w:rsidRPr="00FA0B0E">
        <w:rPr>
          <w:lang w:val="en-AU"/>
        </w:rPr>
        <w:t>taking</w:t>
      </w:r>
      <w:proofErr w:type="gramEnd"/>
      <w:r w:rsidRPr="00FA0B0E">
        <w:rPr>
          <w:lang w:val="en-AU"/>
        </w:rPr>
        <w:t xml:space="preserve"> advantage of existing settlement patterns where new development will not expose the community to increased risk from bushfire.</w:t>
      </w:r>
    </w:p>
    <w:p w:rsidR="00482505" w:rsidRPr="00FA0B0E" w:rsidRDefault="00482505" w:rsidP="00482505">
      <w:pPr>
        <w:pStyle w:val="bt"/>
        <w:rPr>
          <w:lang w:val="en-AU"/>
        </w:rPr>
      </w:pPr>
      <w:r w:rsidRPr="00FA0B0E">
        <w:rPr>
          <w:lang w:val="en-AU"/>
        </w:rPr>
        <w:t>Regional and local planning need to consider bushfire hazard</w:t>
      </w:r>
      <w:r w:rsidR="001D44DB">
        <w:rPr>
          <w:lang w:val="en-AU"/>
        </w:rPr>
        <w:t>s</w:t>
      </w:r>
      <w:r w:rsidR="00010AE9" w:rsidRPr="00FA0B0E">
        <w:rPr>
          <w:lang w:val="en-AU"/>
        </w:rPr>
        <w:t xml:space="preserve"> and risk</w:t>
      </w:r>
      <w:r w:rsidR="001D44DB">
        <w:rPr>
          <w:lang w:val="en-AU"/>
        </w:rPr>
        <w:t>s</w:t>
      </w:r>
      <w:r w:rsidRPr="00FA0B0E">
        <w:rPr>
          <w:lang w:val="en-AU"/>
        </w:rPr>
        <w:t xml:space="preserve"> in detail, with the assistance of planning tools such as the </w:t>
      </w:r>
      <w:r w:rsidR="0077285F" w:rsidRPr="00FA0B0E">
        <w:rPr>
          <w:lang w:val="en-AU"/>
        </w:rPr>
        <w:t>Bushfire Management Overlay</w:t>
      </w:r>
      <w:r w:rsidRPr="00FA0B0E">
        <w:rPr>
          <w:lang w:val="en-AU"/>
        </w:rPr>
        <w:t xml:space="preserve">, </w:t>
      </w:r>
      <w:r w:rsidR="002072B6" w:rsidRPr="00FA0B0E">
        <w:rPr>
          <w:lang w:val="en-AU"/>
        </w:rPr>
        <w:t>r</w:t>
      </w:r>
      <w:r w:rsidRPr="00FA0B0E">
        <w:rPr>
          <w:lang w:val="en-AU"/>
        </w:rPr>
        <w:t xml:space="preserve">egional </w:t>
      </w:r>
      <w:r w:rsidR="002072B6" w:rsidRPr="00FA0B0E">
        <w:rPr>
          <w:lang w:val="en-AU"/>
        </w:rPr>
        <w:t>b</w:t>
      </w:r>
      <w:r w:rsidRPr="00FA0B0E">
        <w:rPr>
          <w:lang w:val="en-AU"/>
        </w:rPr>
        <w:t xml:space="preserve">ushfire </w:t>
      </w:r>
      <w:r w:rsidR="002072B6" w:rsidRPr="00FA0B0E">
        <w:rPr>
          <w:lang w:val="en-AU"/>
        </w:rPr>
        <w:t>p</w:t>
      </w:r>
      <w:r w:rsidRPr="00FA0B0E">
        <w:rPr>
          <w:lang w:val="en-AU"/>
        </w:rPr>
        <w:t xml:space="preserve">lanning </w:t>
      </w:r>
      <w:r w:rsidR="002072B6" w:rsidRPr="00FA0B0E">
        <w:rPr>
          <w:lang w:val="en-AU"/>
        </w:rPr>
        <w:t>a</w:t>
      </w:r>
      <w:r w:rsidRPr="00FA0B0E">
        <w:rPr>
          <w:lang w:val="en-AU"/>
        </w:rPr>
        <w:t xml:space="preserve">ssessments and </w:t>
      </w:r>
      <w:r w:rsidR="001D44DB" w:rsidRPr="00FA0B0E">
        <w:rPr>
          <w:lang w:val="en-AU"/>
        </w:rPr>
        <w:t>bushfire</w:t>
      </w:r>
      <w:r w:rsidR="001D44DB">
        <w:rPr>
          <w:lang w:val="en-AU"/>
        </w:rPr>
        <w:t>-</w:t>
      </w:r>
      <w:r w:rsidR="002072B6" w:rsidRPr="00FA0B0E">
        <w:rPr>
          <w:lang w:val="en-AU"/>
        </w:rPr>
        <w:t>p</w:t>
      </w:r>
      <w:r w:rsidRPr="00FA0B0E">
        <w:rPr>
          <w:lang w:val="en-AU"/>
        </w:rPr>
        <w:t xml:space="preserve">rone </w:t>
      </w:r>
      <w:r w:rsidR="002072B6" w:rsidRPr="00FA0B0E">
        <w:rPr>
          <w:lang w:val="en-AU"/>
        </w:rPr>
        <w:t>a</w:t>
      </w:r>
      <w:r w:rsidRPr="00FA0B0E">
        <w:rPr>
          <w:lang w:val="en-AU"/>
        </w:rPr>
        <w:t>reas</w:t>
      </w:r>
      <w:r w:rsidR="00010AE9" w:rsidRPr="00FA0B0E">
        <w:rPr>
          <w:lang w:val="en-AU"/>
        </w:rPr>
        <w:t>.</w:t>
      </w:r>
      <w:r w:rsidRPr="00FA0B0E">
        <w:rPr>
          <w:lang w:val="en-AU"/>
        </w:rPr>
        <w:t xml:space="preserve"> Input from key stakeholders</w:t>
      </w:r>
      <w:r w:rsidR="0072720B" w:rsidRPr="00FA0B0E">
        <w:rPr>
          <w:lang w:val="en-AU"/>
        </w:rPr>
        <w:t>,</w:t>
      </w:r>
      <w:r w:rsidRPr="00FA0B0E">
        <w:rPr>
          <w:lang w:val="en-AU"/>
        </w:rPr>
        <w:t xml:space="preserve"> such as the Country Fire Authority</w:t>
      </w:r>
      <w:r w:rsidR="0072720B" w:rsidRPr="00FA0B0E">
        <w:rPr>
          <w:lang w:val="en-AU"/>
        </w:rPr>
        <w:t>,</w:t>
      </w:r>
      <w:r w:rsidRPr="00FA0B0E">
        <w:rPr>
          <w:lang w:val="en-AU"/>
        </w:rPr>
        <w:t xml:space="preserve"> is also critical to achieve safe and appropriately located development. The settlement framework plans </w:t>
      </w:r>
      <w:r w:rsidR="0072720B" w:rsidRPr="00FA0B0E">
        <w:rPr>
          <w:lang w:val="en-AU"/>
        </w:rPr>
        <w:t xml:space="preserve">in </w:t>
      </w:r>
      <w:r w:rsidRPr="00FA0B0E">
        <w:rPr>
          <w:lang w:val="en-AU"/>
        </w:rPr>
        <w:t>Section 1</w:t>
      </w:r>
      <w:r w:rsidR="004C2E21" w:rsidRPr="00FA0B0E">
        <w:rPr>
          <w:lang w:val="en-AU"/>
        </w:rPr>
        <w:t>3</w:t>
      </w:r>
      <w:r w:rsidRPr="00FA0B0E">
        <w:rPr>
          <w:lang w:val="en-AU"/>
        </w:rPr>
        <w:t xml:space="preserve"> </w:t>
      </w:r>
      <w:r w:rsidR="0072720B" w:rsidRPr="00FA0B0E">
        <w:rPr>
          <w:lang w:val="en-AU"/>
        </w:rPr>
        <w:t xml:space="preserve">of </w:t>
      </w:r>
      <w:r w:rsidRPr="00FA0B0E">
        <w:rPr>
          <w:lang w:val="en-AU"/>
        </w:rPr>
        <w:t xml:space="preserve">this </w:t>
      </w:r>
      <w:r w:rsidR="004C2E21" w:rsidRPr="00FA0B0E">
        <w:rPr>
          <w:lang w:val="en-AU"/>
        </w:rPr>
        <w:t>p</w:t>
      </w:r>
      <w:r w:rsidRPr="00FA0B0E">
        <w:rPr>
          <w:lang w:val="en-AU"/>
        </w:rPr>
        <w:t>lan have considered these hazards in identifying potential growth areas. Local planning decisions will need to examine these hazards in more detail.</w:t>
      </w:r>
    </w:p>
    <w:p w:rsidR="00482505" w:rsidRPr="00FA0B0E" w:rsidRDefault="00482505" w:rsidP="00E558BE">
      <w:pPr>
        <w:pStyle w:val="Heading3"/>
        <w:rPr>
          <w:lang w:val="en-AU"/>
        </w:rPr>
      </w:pPr>
      <w:r w:rsidRPr="00FA0B0E">
        <w:rPr>
          <w:lang w:val="en-AU"/>
        </w:rPr>
        <w:t>Salinity</w:t>
      </w:r>
    </w:p>
    <w:p w:rsidR="00AD01B3" w:rsidRPr="00FA0B0E" w:rsidRDefault="00482505" w:rsidP="00AD01B3">
      <w:pPr>
        <w:pStyle w:val="bt"/>
        <w:rPr>
          <w:lang w:val="en-AU"/>
        </w:rPr>
      </w:pPr>
      <w:r w:rsidRPr="00FA0B0E">
        <w:rPr>
          <w:lang w:val="en-AU"/>
        </w:rPr>
        <w:t>Salinity issues are a key consideration of some settlement</w:t>
      </w:r>
      <w:r w:rsidR="00B205E5" w:rsidRPr="00FA0B0E">
        <w:rPr>
          <w:lang w:val="en-AU"/>
        </w:rPr>
        <w:t xml:space="preserve">s and rural areas of the region. </w:t>
      </w:r>
      <w:r w:rsidRPr="00FA0B0E">
        <w:rPr>
          <w:lang w:val="en-AU"/>
        </w:rPr>
        <w:t xml:space="preserve">The history of salinity in the region is a well documented and ongoing planning consideration. </w:t>
      </w:r>
      <w:r w:rsidR="006A0C49" w:rsidRPr="00FA0B0E">
        <w:rPr>
          <w:lang w:val="en-AU"/>
        </w:rPr>
        <w:t xml:space="preserve">The </w:t>
      </w:r>
      <w:r w:rsidRPr="00FA0B0E">
        <w:rPr>
          <w:lang w:val="en-AU"/>
        </w:rPr>
        <w:t xml:space="preserve">Salinity </w:t>
      </w:r>
      <w:r w:rsidR="006A0C49" w:rsidRPr="00FA0B0E">
        <w:rPr>
          <w:lang w:val="en-AU"/>
        </w:rPr>
        <w:t>M</w:t>
      </w:r>
      <w:r w:rsidRPr="00FA0B0E">
        <w:rPr>
          <w:lang w:val="en-AU"/>
        </w:rPr>
        <w:t xml:space="preserve">anagement </w:t>
      </w:r>
      <w:r w:rsidR="006A0C49" w:rsidRPr="00FA0B0E">
        <w:rPr>
          <w:lang w:val="en-AU"/>
        </w:rPr>
        <w:t>O</w:t>
      </w:r>
      <w:r w:rsidRPr="00FA0B0E">
        <w:rPr>
          <w:lang w:val="en-AU"/>
        </w:rPr>
        <w:t xml:space="preserve">verlay </w:t>
      </w:r>
      <w:r w:rsidR="006A0C49" w:rsidRPr="00FA0B0E">
        <w:rPr>
          <w:lang w:val="en-AU"/>
        </w:rPr>
        <w:t xml:space="preserve">has been </w:t>
      </w:r>
      <w:r w:rsidRPr="00FA0B0E">
        <w:rPr>
          <w:lang w:val="en-AU"/>
        </w:rPr>
        <w:t>used in some parts of the region to inform local planning decisions. Salinity also affects the broader landscape, w</w:t>
      </w:r>
      <w:r w:rsidR="00480722">
        <w:rPr>
          <w:lang w:val="en-AU"/>
        </w:rPr>
        <w:t>hile</w:t>
      </w:r>
      <w:r w:rsidRPr="00FA0B0E">
        <w:rPr>
          <w:lang w:val="en-AU"/>
        </w:rPr>
        <w:t xml:space="preserve"> land use planning </w:t>
      </w:r>
      <w:r w:rsidR="00480722">
        <w:rPr>
          <w:lang w:val="en-AU"/>
        </w:rPr>
        <w:t>implications</w:t>
      </w:r>
      <w:r w:rsidRPr="00FA0B0E">
        <w:rPr>
          <w:lang w:val="en-AU"/>
        </w:rPr>
        <w:t xml:space="preserve"> can impact at a local level.</w:t>
      </w:r>
    </w:p>
    <w:p w:rsidR="008800C2" w:rsidRPr="00FA0B0E" w:rsidRDefault="0073496A" w:rsidP="00E558BE">
      <w:pPr>
        <w:pStyle w:val="Heading3"/>
        <w:rPr>
          <w:lang w:val="en-AU"/>
        </w:rPr>
      </w:pPr>
      <w:r w:rsidRPr="00FA0B0E">
        <w:rPr>
          <w:lang w:val="en-AU"/>
        </w:rPr>
        <w:lastRenderedPageBreak/>
        <w:t>Soil degradation</w:t>
      </w:r>
    </w:p>
    <w:p w:rsidR="0073496A" w:rsidRPr="00FA0B0E" w:rsidRDefault="0073496A" w:rsidP="00731D63">
      <w:pPr>
        <w:pStyle w:val="bt"/>
        <w:rPr>
          <w:lang w:val="en-AU"/>
        </w:rPr>
      </w:pPr>
      <w:r w:rsidRPr="00FA0B0E">
        <w:rPr>
          <w:lang w:val="en-AU"/>
        </w:rPr>
        <w:t xml:space="preserve">The soils of </w:t>
      </w:r>
      <w:r w:rsidR="002072B6" w:rsidRPr="00FA0B0E">
        <w:rPr>
          <w:lang w:val="en-AU"/>
        </w:rPr>
        <w:t xml:space="preserve">the region </w:t>
      </w:r>
      <w:r w:rsidRPr="00FA0B0E">
        <w:rPr>
          <w:lang w:val="en-AU"/>
        </w:rPr>
        <w:t>include sandy dunes, hard setting duplex soil</w:t>
      </w:r>
      <w:r w:rsidR="00AB2EEE" w:rsidRPr="00FA0B0E">
        <w:rPr>
          <w:lang w:val="en-AU"/>
        </w:rPr>
        <w:t>s and</w:t>
      </w:r>
      <w:r w:rsidRPr="00FA0B0E">
        <w:rPr>
          <w:lang w:val="en-AU"/>
        </w:rPr>
        <w:t xml:space="preserve"> clays and loams associated with floodplains. </w:t>
      </w:r>
      <w:r w:rsidR="00066433" w:rsidRPr="00FA0B0E">
        <w:rPr>
          <w:lang w:val="en-AU"/>
        </w:rPr>
        <w:t>These soils are inherently fragile and careful management is required to avoid wind erosion, water erosion, soil structure decline and acidification.</w:t>
      </w:r>
    </w:p>
    <w:p w:rsidR="00482505" w:rsidRPr="00FA0B0E" w:rsidRDefault="008800C2" w:rsidP="00E558BE">
      <w:pPr>
        <w:pStyle w:val="Heading3"/>
        <w:rPr>
          <w:lang w:val="en-AU"/>
        </w:rPr>
      </w:pPr>
      <w:r w:rsidRPr="00FA0B0E">
        <w:rPr>
          <w:lang w:val="en-AU"/>
        </w:rPr>
        <w:t xml:space="preserve">Potential </w:t>
      </w:r>
      <w:r w:rsidR="002072B6" w:rsidRPr="00FA0B0E">
        <w:rPr>
          <w:lang w:val="en-AU"/>
        </w:rPr>
        <w:t>i</w:t>
      </w:r>
      <w:r w:rsidRPr="00FA0B0E">
        <w:rPr>
          <w:lang w:val="en-AU"/>
        </w:rPr>
        <w:t xml:space="preserve">nland </w:t>
      </w:r>
      <w:r w:rsidR="002072B6" w:rsidRPr="00FA0B0E">
        <w:rPr>
          <w:lang w:val="en-AU"/>
        </w:rPr>
        <w:t>a</w:t>
      </w:r>
      <w:r w:rsidR="00482505" w:rsidRPr="00FA0B0E">
        <w:rPr>
          <w:lang w:val="en-AU"/>
        </w:rPr>
        <w:t xml:space="preserve">cid </w:t>
      </w:r>
      <w:r w:rsidR="002072B6" w:rsidRPr="00FA0B0E">
        <w:rPr>
          <w:lang w:val="en-AU"/>
        </w:rPr>
        <w:t>s</w:t>
      </w:r>
      <w:r w:rsidR="00482505" w:rsidRPr="00FA0B0E">
        <w:rPr>
          <w:lang w:val="en-AU"/>
        </w:rPr>
        <w:t xml:space="preserve">ulfate </w:t>
      </w:r>
      <w:r w:rsidR="002072B6" w:rsidRPr="00FA0B0E">
        <w:rPr>
          <w:lang w:val="en-AU"/>
        </w:rPr>
        <w:t>s</w:t>
      </w:r>
      <w:r w:rsidR="00482505" w:rsidRPr="00FA0B0E">
        <w:rPr>
          <w:lang w:val="en-AU"/>
        </w:rPr>
        <w:t>oils</w:t>
      </w:r>
    </w:p>
    <w:p w:rsidR="00482505" w:rsidRPr="00FA0B0E" w:rsidRDefault="00482505" w:rsidP="00482505">
      <w:pPr>
        <w:pStyle w:val="bt"/>
        <w:rPr>
          <w:lang w:val="en-AU"/>
        </w:rPr>
      </w:pPr>
      <w:r w:rsidRPr="00FA0B0E">
        <w:rPr>
          <w:lang w:val="en-AU"/>
        </w:rPr>
        <w:t>There is a high probability that acid sulfate soils exist in association with inland wetlands in the region, with some sites already known. These soils should remain undisturbed to prevent the serious consequences to infrastructure and human health that can result from their mismanagement. Local planning will need to consider this risk in more detail, particularly when planning for rural residential development associated with lakes and wetlands.</w:t>
      </w:r>
    </w:p>
    <w:p w:rsidR="00482505" w:rsidRPr="00FA0B0E" w:rsidRDefault="00482505" w:rsidP="00E558BE">
      <w:pPr>
        <w:pStyle w:val="Heading3"/>
        <w:rPr>
          <w:lang w:val="en-AU"/>
        </w:rPr>
      </w:pPr>
      <w:r w:rsidRPr="00FA0B0E">
        <w:rPr>
          <w:lang w:val="en-AU"/>
        </w:rPr>
        <w:t>Climate</w:t>
      </w:r>
    </w:p>
    <w:p w:rsidR="001114ED" w:rsidRPr="00FA0B0E" w:rsidRDefault="001D44DB" w:rsidP="00482505">
      <w:pPr>
        <w:pStyle w:val="bt"/>
        <w:rPr>
          <w:lang w:val="en-AU"/>
        </w:rPr>
      </w:pPr>
      <w:r w:rsidRPr="00FA0B0E">
        <w:rPr>
          <w:lang w:val="en-AU"/>
        </w:rPr>
        <w:t>Long</w:t>
      </w:r>
      <w:r>
        <w:rPr>
          <w:lang w:val="en-AU"/>
        </w:rPr>
        <w:t>-</w:t>
      </w:r>
      <w:r w:rsidR="00482505" w:rsidRPr="00FA0B0E">
        <w:rPr>
          <w:lang w:val="en-AU"/>
        </w:rPr>
        <w:t xml:space="preserve">term climate change and </w:t>
      </w:r>
      <w:r w:rsidRPr="00FA0B0E">
        <w:rPr>
          <w:lang w:val="en-AU"/>
        </w:rPr>
        <w:t>short</w:t>
      </w:r>
      <w:r>
        <w:rPr>
          <w:lang w:val="en-AU"/>
        </w:rPr>
        <w:t>-</w:t>
      </w:r>
      <w:r w:rsidR="00482505" w:rsidRPr="00FA0B0E">
        <w:rPr>
          <w:lang w:val="en-AU"/>
        </w:rPr>
        <w:t xml:space="preserve">term climate variability present numerous risks to the region’s natural environments and agricultural systems, along with opportunities for economic diversification. The region as a whole has already demonstrated it can generally adapt well to </w:t>
      </w:r>
      <w:r w:rsidRPr="00FA0B0E">
        <w:rPr>
          <w:lang w:val="en-AU"/>
        </w:rPr>
        <w:t>short</w:t>
      </w:r>
      <w:r>
        <w:rPr>
          <w:lang w:val="en-AU"/>
        </w:rPr>
        <w:t>-</w:t>
      </w:r>
      <w:r w:rsidR="00482505" w:rsidRPr="00FA0B0E">
        <w:rPr>
          <w:lang w:val="en-AU"/>
        </w:rPr>
        <w:t xml:space="preserve">term climate variability such as prolonged drought or wet periods. </w:t>
      </w:r>
    </w:p>
    <w:p w:rsidR="009050F2" w:rsidRPr="00FA0B0E" w:rsidRDefault="00482505" w:rsidP="00482505">
      <w:pPr>
        <w:pStyle w:val="bt"/>
        <w:rPr>
          <w:lang w:val="en-AU"/>
        </w:rPr>
      </w:pPr>
      <w:r w:rsidRPr="00FA0B0E">
        <w:rPr>
          <w:lang w:val="en-AU"/>
        </w:rPr>
        <w:t xml:space="preserve">Possible impacts of climate </w:t>
      </w:r>
      <w:r w:rsidR="00A6167A" w:rsidRPr="00FA0B0E">
        <w:rPr>
          <w:lang w:val="en-AU"/>
        </w:rPr>
        <w:t>change</w:t>
      </w:r>
      <w:r w:rsidRPr="00FA0B0E">
        <w:rPr>
          <w:lang w:val="en-AU"/>
        </w:rPr>
        <w:t xml:space="preserve"> include temperature increases, less rainfall and an increase in events requiring emergency response, such as </w:t>
      </w:r>
      <w:r w:rsidR="00BE3F0D">
        <w:rPr>
          <w:lang w:val="en-AU"/>
        </w:rPr>
        <w:t>flood</w:t>
      </w:r>
      <w:r w:rsidRPr="00FA0B0E">
        <w:rPr>
          <w:lang w:val="en-AU"/>
        </w:rPr>
        <w:t xml:space="preserve"> and bushfire. </w:t>
      </w:r>
      <w:r w:rsidR="00010AE9" w:rsidRPr="00FA0B0E">
        <w:rPr>
          <w:lang w:val="en-AU"/>
        </w:rPr>
        <w:t xml:space="preserve">Reduced average annual rainfall and stream flow may reduce reliability of water supplies for irrigation and non-irrigated enterprises and for communities. </w:t>
      </w:r>
      <w:r w:rsidRPr="00FA0B0E">
        <w:rPr>
          <w:lang w:val="en-AU"/>
        </w:rPr>
        <w:t xml:space="preserve">Opportunities arising from climate change include </w:t>
      </w:r>
      <w:r w:rsidR="002072B6" w:rsidRPr="00FA0B0E">
        <w:rPr>
          <w:lang w:val="en-AU"/>
        </w:rPr>
        <w:t xml:space="preserve">altered </w:t>
      </w:r>
      <w:r w:rsidRPr="00FA0B0E">
        <w:rPr>
          <w:lang w:val="en-AU"/>
        </w:rPr>
        <w:t xml:space="preserve">growing conditions </w:t>
      </w:r>
      <w:r w:rsidR="002072B6" w:rsidRPr="00FA0B0E">
        <w:rPr>
          <w:lang w:val="en-AU"/>
        </w:rPr>
        <w:t>for</w:t>
      </w:r>
      <w:r w:rsidRPr="00FA0B0E">
        <w:rPr>
          <w:lang w:val="en-AU"/>
        </w:rPr>
        <w:t xml:space="preserve"> alternative agricultural commodities that could create new industries within the region.  </w:t>
      </w:r>
    </w:p>
    <w:p w:rsidR="00E606DD" w:rsidRPr="00FA0B0E" w:rsidRDefault="00482505">
      <w:pPr>
        <w:pStyle w:val="bt"/>
        <w:rPr>
          <w:lang w:val="en-AU"/>
        </w:rPr>
      </w:pPr>
      <w:r w:rsidRPr="00FA0B0E">
        <w:rPr>
          <w:lang w:val="en-AU"/>
        </w:rPr>
        <w:t xml:space="preserve">More information is needed on the likely impacts of climate change on specific industries across the region and the opportunities that may arise from these changes. This will assist with strategic land use planning, including consideration of any potential increase in </w:t>
      </w:r>
      <w:r w:rsidR="009050F2" w:rsidRPr="00FA0B0E">
        <w:rPr>
          <w:lang w:val="en-AU"/>
        </w:rPr>
        <w:t>risk to</w:t>
      </w:r>
      <w:r w:rsidRPr="00FA0B0E">
        <w:rPr>
          <w:lang w:val="en-AU"/>
        </w:rPr>
        <w:t xml:space="preserve"> settlements </w:t>
      </w:r>
      <w:r w:rsidR="009050F2" w:rsidRPr="00FA0B0E">
        <w:rPr>
          <w:lang w:val="en-AU"/>
        </w:rPr>
        <w:t xml:space="preserve">from </w:t>
      </w:r>
      <w:r w:rsidRPr="00FA0B0E">
        <w:rPr>
          <w:lang w:val="en-AU"/>
        </w:rPr>
        <w:t xml:space="preserve">natural hazards and </w:t>
      </w:r>
      <w:r w:rsidR="00E606DD" w:rsidRPr="00FA0B0E">
        <w:rPr>
          <w:lang w:val="en-AU"/>
        </w:rPr>
        <w:t xml:space="preserve">identification of new economic </w:t>
      </w:r>
      <w:r w:rsidRPr="00FA0B0E">
        <w:rPr>
          <w:lang w:val="en-AU"/>
        </w:rPr>
        <w:t xml:space="preserve">opportunities </w:t>
      </w:r>
      <w:r w:rsidR="003F7260" w:rsidRPr="00FA0B0E">
        <w:rPr>
          <w:lang w:val="en-AU"/>
        </w:rPr>
        <w:t>for</w:t>
      </w:r>
      <w:r w:rsidRPr="00FA0B0E">
        <w:rPr>
          <w:lang w:val="en-AU"/>
        </w:rPr>
        <w:t xml:space="preserve"> the region. </w:t>
      </w:r>
    </w:p>
    <w:p w:rsidR="00D81C28" w:rsidRPr="00FA0B0E" w:rsidRDefault="00482505">
      <w:pPr>
        <w:pStyle w:val="bt"/>
        <w:rPr>
          <w:lang w:val="en-AU"/>
        </w:rPr>
      </w:pPr>
      <w:r w:rsidRPr="00FA0B0E">
        <w:rPr>
          <w:lang w:val="en-AU"/>
        </w:rPr>
        <w:t xml:space="preserve">The </w:t>
      </w:r>
      <w:r w:rsidR="003B55D4" w:rsidRPr="00FA0B0E">
        <w:rPr>
          <w:lang w:val="en-AU"/>
        </w:rPr>
        <w:t>Victorian Climate Change Adaptation Plan</w:t>
      </w:r>
      <w:r w:rsidRPr="00FA0B0E">
        <w:rPr>
          <w:lang w:val="en-AU"/>
        </w:rPr>
        <w:t xml:space="preserve">, </w:t>
      </w:r>
      <w:r w:rsidR="004C2E21" w:rsidRPr="00FA0B0E">
        <w:rPr>
          <w:lang w:val="en-AU"/>
        </w:rPr>
        <w:t>r</w:t>
      </w:r>
      <w:r w:rsidRPr="00FA0B0E">
        <w:rPr>
          <w:lang w:val="en-AU"/>
        </w:rPr>
        <w:t xml:space="preserve">egional </w:t>
      </w:r>
      <w:r w:rsidR="004C2E21" w:rsidRPr="00FA0B0E">
        <w:rPr>
          <w:lang w:val="en-AU"/>
        </w:rPr>
        <w:t>c</w:t>
      </w:r>
      <w:r w:rsidRPr="00FA0B0E">
        <w:rPr>
          <w:lang w:val="en-AU"/>
        </w:rPr>
        <w:t xml:space="preserve">atchment </w:t>
      </w:r>
      <w:r w:rsidR="004C2E21" w:rsidRPr="00FA0B0E">
        <w:rPr>
          <w:lang w:val="en-AU"/>
        </w:rPr>
        <w:t>s</w:t>
      </w:r>
      <w:r w:rsidRPr="00FA0B0E">
        <w:rPr>
          <w:lang w:val="en-AU"/>
        </w:rPr>
        <w:t>trategies and local government climate change adaptation strategies outline propos</w:t>
      </w:r>
      <w:r w:rsidR="00B32D14" w:rsidRPr="00FA0B0E">
        <w:rPr>
          <w:lang w:val="en-AU"/>
        </w:rPr>
        <w:t>als</w:t>
      </w:r>
      <w:r w:rsidRPr="00FA0B0E">
        <w:rPr>
          <w:lang w:val="en-AU"/>
        </w:rPr>
        <w:t xml:space="preserve"> to develop climate change adaptation plans and carbon action plans</w:t>
      </w:r>
      <w:r w:rsidR="00B32D14" w:rsidRPr="00FA0B0E">
        <w:rPr>
          <w:lang w:val="en-AU"/>
        </w:rPr>
        <w:t xml:space="preserve"> aimed at better managing climate risks, building community resilience to extreme events, minimising possible costs and harnessing opportunities that may arise from climate change</w:t>
      </w:r>
      <w:r w:rsidRPr="00FA0B0E">
        <w:rPr>
          <w:lang w:val="en-AU"/>
        </w:rPr>
        <w:t>.</w:t>
      </w:r>
    </w:p>
    <w:p w:rsidR="00D156F9" w:rsidRDefault="00482505">
      <w:pPr>
        <w:pStyle w:val="Heading4"/>
      </w:pPr>
      <w:r w:rsidRPr="00FA0B0E">
        <w:t xml:space="preserve">Future </w:t>
      </w:r>
      <w:r w:rsidR="004C2E21" w:rsidRPr="00FA0B0E">
        <w:t>e</w:t>
      </w:r>
      <w:r w:rsidRPr="00FA0B0E">
        <w:t xml:space="preserve">nvironment land use </w:t>
      </w:r>
      <w:r w:rsidR="00B74250" w:rsidRPr="00FA0B0E">
        <w:t>strategies</w:t>
      </w:r>
      <w:r w:rsidRPr="00FA0B0E">
        <w:t xml:space="preserve"> and actions</w:t>
      </w:r>
    </w:p>
    <w:p w:rsidR="00482505" w:rsidRPr="00FA0B0E" w:rsidRDefault="00482505" w:rsidP="00482505">
      <w:pPr>
        <w:pStyle w:val="btbullet"/>
        <w:rPr>
          <w:lang w:val="en-AU"/>
        </w:rPr>
      </w:pPr>
      <w:r w:rsidRPr="00FA0B0E">
        <w:rPr>
          <w:lang w:val="en-AU"/>
        </w:rPr>
        <w:t xml:space="preserve">Direct </w:t>
      </w:r>
      <w:r w:rsidR="00117BCC" w:rsidRPr="00FA0B0E">
        <w:rPr>
          <w:lang w:val="en-AU"/>
        </w:rPr>
        <w:t xml:space="preserve">development away from locations where there is significant </w:t>
      </w:r>
      <w:r w:rsidR="00A72EE5" w:rsidRPr="00FA0B0E">
        <w:rPr>
          <w:lang w:val="en-AU"/>
        </w:rPr>
        <w:t>risk</w:t>
      </w:r>
      <w:r w:rsidR="00841685" w:rsidRPr="00FA0B0E">
        <w:rPr>
          <w:lang w:val="en-AU"/>
        </w:rPr>
        <w:t xml:space="preserve"> of flood</w:t>
      </w:r>
    </w:p>
    <w:p w:rsidR="00117BCC" w:rsidRPr="00FA0B0E" w:rsidRDefault="00117BCC" w:rsidP="00117BCC">
      <w:pPr>
        <w:pStyle w:val="btbullet"/>
        <w:rPr>
          <w:lang w:val="en-AU"/>
        </w:rPr>
      </w:pPr>
      <w:r w:rsidRPr="00FA0B0E">
        <w:rPr>
          <w:lang w:val="en-AU"/>
        </w:rPr>
        <w:t>Direct development to locations of lower bushfire risk</w:t>
      </w:r>
    </w:p>
    <w:p w:rsidR="00117BCC" w:rsidRPr="00FA0B0E" w:rsidRDefault="00117BCC" w:rsidP="00117BCC">
      <w:pPr>
        <w:pStyle w:val="btbullet"/>
        <w:rPr>
          <w:lang w:val="en-AU"/>
        </w:rPr>
      </w:pPr>
      <w:r w:rsidRPr="00FA0B0E">
        <w:rPr>
          <w:lang w:val="en-AU"/>
        </w:rPr>
        <w:t>Carefully consider development in locations where there is significant bushfire risk that cannot be avoided</w:t>
      </w:r>
    </w:p>
    <w:p w:rsidR="00117BCC" w:rsidRPr="00FA0B0E" w:rsidRDefault="00117BCC" w:rsidP="00117BCC">
      <w:pPr>
        <w:pStyle w:val="btbullet"/>
        <w:rPr>
          <w:lang w:val="en-AU"/>
        </w:rPr>
      </w:pPr>
      <w:r w:rsidRPr="00FA0B0E">
        <w:rPr>
          <w:lang w:val="en-AU"/>
        </w:rPr>
        <w:t>Avoid development in locations of extreme bushfire risk</w:t>
      </w:r>
    </w:p>
    <w:p w:rsidR="00117BCC" w:rsidRPr="00FA0B0E" w:rsidRDefault="00117BCC" w:rsidP="00117BCC">
      <w:pPr>
        <w:pStyle w:val="btbullet"/>
        <w:rPr>
          <w:lang w:val="en-AU"/>
        </w:rPr>
      </w:pPr>
      <w:r w:rsidRPr="00FA0B0E">
        <w:rPr>
          <w:lang w:val="en-AU"/>
        </w:rPr>
        <w:t>Avoid development in areas where planned bushfire protection measures may be incompatible with other environmental objectives</w:t>
      </w:r>
    </w:p>
    <w:p w:rsidR="00B74250" w:rsidRPr="00FA0B0E" w:rsidRDefault="00B74250" w:rsidP="00117BCC">
      <w:pPr>
        <w:pStyle w:val="btbullet"/>
        <w:rPr>
          <w:lang w:val="en-AU"/>
        </w:rPr>
      </w:pPr>
      <w:r w:rsidRPr="00FA0B0E">
        <w:rPr>
          <w:lang w:val="en-AU"/>
        </w:rPr>
        <w:t xml:space="preserve">Planned development should consider access to water for emergency response and </w:t>
      </w:r>
      <w:r w:rsidR="00DD4218" w:rsidRPr="00FA0B0E">
        <w:rPr>
          <w:lang w:val="en-AU"/>
        </w:rPr>
        <w:t>fire fighting</w:t>
      </w:r>
    </w:p>
    <w:p w:rsidR="00482505" w:rsidRPr="00FA0B0E" w:rsidRDefault="00482505" w:rsidP="00482505">
      <w:pPr>
        <w:pStyle w:val="btbullet"/>
        <w:rPr>
          <w:lang w:val="en-AU"/>
        </w:rPr>
      </w:pPr>
      <w:r w:rsidRPr="00FA0B0E">
        <w:rPr>
          <w:lang w:val="en-AU"/>
        </w:rPr>
        <w:t>Consistently incorporate information on environmental and cultural heritage assets and natural hazards</w:t>
      </w:r>
      <w:r w:rsidR="0047028A" w:rsidRPr="00FA0B0E">
        <w:rPr>
          <w:lang w:val="en-AU"/>
        </w:rPr>
        <w:t xml:space="preserve"> (including threats to soil health)</w:t>
      </w:r>
      <w:r w:rsidRPr="00FA0B0E">
        <w:rPr>
          <w:lang w:val="en-AU"/>
        </w:rPr>
        <w:t xml:space="preserve"> into planning schemes by updating the relevant </w:t>
      </w:r>
      <w:r w:rsidR="004360A8" w:rsidRPr="00FA0B0E">
        <w:rPr>
          <w:lang w:val="en-AU"/>
        </w:rPr>
        <w:t xml:space="preserve">planning </w:t>
      </w:r>
      <w:r w:rsidRPr="00FA0B0E">
        <w:rPr>
          <w:lang w:val="en-AU"/>
        </w:rPr>
        <w:t xml:space="preserve">overlays to reflect new understanding and to recognise high value assets and priority landscapes identified in </w:t>
      </w:r>
      <w:r w:rsidR="004C2E21" w:rsidRPr="00FA0B0E">
        <w:rPr>
          <w:lang w:val="en-AU"/>
        </w:rPr>
        <w:t>r</w:t>
      </w:r>
      <w:r w:rsidRPr="00FA0B0E">
        <w:rPr>
          <w:lang w:val="en-AU"/>
        </w:rPr>
        <w:t xml:space="preserve">egional </w:t>
      </w:r>
      <w:r w:rsidR="004C2E21" w:rsidRPr="00FA0B0E">
        <w:rPr>
          <w:lang w:val="en-AU"/>
        </w:rPr>
        <w:t>c</w:t>
      </w:r>
      <w:r w:rsidRPr="00FA0B0E">
        <w:rPr>
          <w:lang w:val="en-AU"/>
        </w:rPr>
        <w:t xml:space="preserve">atchment </w:t>
      </w:r>
      <w:r w:rsidR="004C2E21" w:rsidRPr="00FA0B0E">
        <w:rPr>
          <w:lang w:val="en-AU"/>
        </w:rPr>
        <w:t>s</w:t>
      </w:r>
      <w:r w:rsidRPr="00FA0B0E">
        <w:rPr>
          <w:lang w:val="en-AU"/>
        </w:rPr>
        <w:t>trategies</w:t>
      </w:r>
    </w:p>
    <w:p w:rsidR="0028300C" w:rsidRPr="00FA0B0E" w:rsidRDefault="0028300C" w:rsidP="0028300C">
      <w:pPr>
        <w:pStyle w:val="btbullet"/>
        <w:rPr>
          <w:lang w:val="en-AU"/>
        </w:rPr>
      </w:pPr>
      <w:r w:rsidRPr="00FA0B0E">
        <w:rPr>
          <w:lang w:val="en-AU"/>
        </w:rPr>
        <w:lastRenderedPageBreak/>
        <w:t>Direct settlement growth and development away from areas of high value environmental and cultural heritage assets, such as significant vegetation, waterways, scenic landscapes, and Aboriginal cultural heritage and historic heritage places</w:t>
      </w:r>
    </w:p>
    <w:p w:rsidR="0028300C" w:rsidRPr="00FA0B0E" w:rsidRDefault="0028300C" w:rsidP="0028300C">
      <w:pPr>
        <w:pStyle w:val="btbullet"/>
        <w:rPr>
          <w:lang w:val="en-AU"/>
        </w:rPr>
      </w:pPr>
      <w:r w:rsidRPr="00FA0B0E">
        <w:rPr>
          <w:lang w:val="en-AU"/>
        </w:rPr>
        <w:t>Undertake strategic planning for areas under pressure for rural residential development, particularly those associated with significant wetlands and the Murray River, to protect nearby environmental assets and values, and to enhance the region’s environmental credentials</w:t>
      </w:r>
    </w:p>
    <w:p w:rsidR="00482505" w:rsidRPr="00FA0B0E" w:rsidRDefault="00482505" w:rsidP="00482505">
      <w:pPr>
        <w:pStyle w:val="btbullet"/>
        <w:rPr>
          <w:lang w:val="en-AU"/>
        </w:rPr>
      </w:pPr>
      <w:r w:rsidRPr="00FA0B0E">
        <w:rPr>
          <w:lang w:val="en-AU"/>
        </w:rPr>
        <w:t>Support initiatives to enable the establishment, protection and reconnection of ecosystems through large</w:t>
      </w:r>
      <w:r w:rsidR="002072B6" w:rsidRPr="00FA0B0E">
        <w:rPr>
          <w:lang w:val="en-AU"/>
        </w:rPr>
        <w:t>-</w:t>
      </w:r>
      <w:r w:rsidRPr="00FA0B0E">
        <w:rPr>
          <w:lang w:val="en-AU"/>
        </w:rPr>
        <w:t>scale native vegetation corridor projects</w:t>
      </w:r>
    </w:p>
    <w:p w:rsidR="00482505" w:rsidRPr="00FA0B0E" w:rsidRDefault="00482505" w:rsidP="00482505">
      <w:pPr>
        <w:pStyle w:val="btbullet"/>
        <w:rPr>
          <w:lang w:val="en-AU"/>
        </w:rPr>
      </w:pPr>
      <w:r w:rsidRPr="00FA0B0E">
        <w:rPr>
          <w:lang w:val="en-AU"/>
        </w:rPr>
        <w:t>Identify and protect significant landscapes</w:t>
      </w:r>
    </w:p>
    <w:p w:rsidR="0028300C" w:rsidRPr="00FA0B0E" w:rsidRDefault="0028300C" w:rsidP="0028300C">
      <w:pPr>
        <w:pStyle w:val="btbullet"/>
        <w:rPr>
          <w:lang w:val="en-AU"/>
        </w:rPr>
      </w:pPr>
      <w:r w:rsidRPr="00FA0B0E">
        <w:rPr>
          <w:lang w:val="en-AU"/>
        </w:rPr>
        <w:t>Investigate the development of regional heritage themes and use these to inform local heritage studies</w:t>
      </w:r>
    </w:p>
    <w:p w:rsidR="0028300C" w:rsidRPr="00FA0B0E" w:rsidRDefault="009050F2" w:rsidP="0028300C">
      <w:pPr>
        <w:pStyle w:val="btbullet"/>
        <w:rPr>
          <w:lang w:val="en-AU"/>
        </w:rPr>
      </w:pPr>
      <w:r w:rsidRPr="00FA0B0E">
        <w:rPr>
          <w:lang w:val="en-AU"/>
        </w:rPr>
        <w:t>Encourage projects that improve the management and use of water resources, to minimise risks to the environment and provide for potential growth and liveability</w:t>
      </w:r>
    </w:p>
    <w:p w:rsidR="00D156F9" w:rsidRPr="00353455" w:rsidRDefault="0028300C" w:rsidP="00353455">
      <w:pPr>
        <w:pStyle w:val="btbullet"/>
      </w:pPr>
      <w:r w:rsidRPr="00353455">
        <w:t>Ensure regional and local planning respond to opportunities for innovation and industry development arising from climate change and initiatives that support national and global action to reduce greenhouse gas emissions</w:t>
      </w:r>
    </w:p>
    <w:p w:rsidR="00B3230A" w:rsidRPr="00FF2BCB" w:rsidRDefault="00B3230A" w:rsidP="00FF2BCB">
      <w:pPr>
        <w:pStyle w:val="Heading11"/>
      </w:pPr>
      <w:bookmarkStart w:id="67" w:name="_Toc377031459"/>
      <w:r w:rsidRPr="00FF2BCB">
        <w:t xml:space="preserve">Living in the </w:t>
      </w:r>
      <w:r w:rsidR="004C2E21" w:rsidRPr="00FF2BCB">
        <w:t>r</w:t>
      </w:r>
      <w:r w:rsidRPr="00FF2BCB">
        <w:t>egion</w:t>
      </w:r>
      <w:bookmarkEnd w:id="67"/>
    </w:p>
    <w:p w:rsidR="00B3230A" w:rsidRPr="00FA0B0E" w:rsidRDefault="0083724E" w:rsidP="00FF2BCB">
      <w:pPr>
        <w:pStyle w:val="Heading2"/>
        <w:spacing w:before="240"/>
        <w:rPr>
          <w:lang w:val="en-AU"/>
        </w:rPr>
      </w:pPr>
      <w:bookmarkStart w:id="68" w:name="_Toc377031460"/>
      <w:r w:rsidRPr="00FA0B0E">
        <w:rPr>
          <w:lang w:val="en-AU"/>
        </w:rPr>
        <w:t>Loddon Mallee North</w:t>
      </w:r>
      <w:r w:rsidR="00B3230A" w:rsidRPr="00FA0B0E">
        <w:rPr>
          <w:lang w:val="en-AU"/>
        </w:rPr>
        <w:t xml:space="preserve"> settlement</w:t>
      </w:r>
      <w:bookmarkEnd w:id="68"/>
    </w:p>
    <w:p w:rsidR="00D156F9" w:rsidRDefault="00B3230A">
      <w:pPr>
        <w:pStyle w:val="Heading4"/>
      </w:pPr>
      <w:r w:rsidRPr="00FA0B0E">
        <w:t>Future directions</w:t>
      </w:r>
    </w:p>
    <w:p w:rsidR="00B3230A" w:rsidRPr="00FA0B0E" w:rsidRDefault="00B3230A" w:rsidP="00B3230A">
      <w:pPr>
        <w:pStyle w:val="btbullet"/>
        <w:rPr>
          <w:lang w:val="en-AU"/>
        </w:rPr>
      </w:pPr>
      <w:r w:rsidRPr="00FA0B0E">
        <w:rPr>
          <w:lang w:val="en-AU"/>
        </w:rPr>
        <w:t xml:space="preserve">Direct major population </w:t>
      </w:r>
      <w:r w:rsidR="003C67DD" w:rsidRPr="00FA0B0E">
        <w:rPr>
          <w:lang w:val="en-AU"/>
        </w:rPr>
        <w:t>and housing growth to existing r</w:t>
      </w:r>
      <w:r w:rsidRPr="00FA0B0E">
        <w:rPr>
          <w:lang w:val="en-AU"/>
        </w:rPr>
        <w:t>egional</w:t>
      </w:r>
      <w:r w:rsidR="003C67DD" w:rsidRPr="00FA0B0E">
        <w:rPr>
          <w:lang w:val="en-AU"/>
        </w:rPr>
        <w:t xml:space="preserve"> cities and c</w:t>
      </w:r>
      <w:r w:rsidRPr="00FA0B0E">
        <w:rPr>
          <w:lang w:val="en-AU"/>
        </w:rPr>
        <w:t xml:space="preserve">entres where infrastructure and services can be used in the most efficient, </w:t>
      </w:r>
      <w:r w:rsidR="00D81325" w:rsidRPr="00FA0B0E">
        <w:rPr>
          <w:lang w:val="en-AU"/>
        </w:rPr>
        <w:t>cost</w:t>
      </w:r>
      <w:r w:rsidR="00D81325">
        <w:rPr>
          <w:lang w:val="en-AU"/>
        </w:rPr>
        <w:t>-</w:t>
      </w:r>
      <w:r w:rsidRPr="00FA0B0E">
        <w:rPr>
          <w:lang w:val="en-AU"/>
        </w:rPr>
        <w:t>effective and sustainable manner</w:t>
      </w:r>
    </w:p>
    <w:p w:rsidR="00B3230A" w:rsidRPr="00FA0B0E" w:rsidRDefault="00DC59E5" w:rsidP="00B3230A">
      <w:pPr>
        <w:pStyle w:val="btbullet"/>
        <w:rPr>
          <w:lang w:val="en-AU"/>
        </w:rPr>
      </w:pPr>
      <w:r w:rsidRPr="00FA0B0E">
        <w:rPr>
          <w:lang w:val="en-AU"/>
        </w:rPr>
        <w:t>Improve linkages within and between Loddon Mallee North’s five communities of interest</w:t>
      </w:r>
    </w:p>
    <w:p w:rsidR="003E6D9C" w:rsidRDefault="00B3230A" w:rsidP="00B3230A">
      <w:pPr>
        <w:pStyle w:val="btbullet"/>
        <w:rPr>
          <w:lang w:val="en-AU"/>
        </w:rPr>
      </w:pPr>
      <w:r w:rsidRPr="00FA0B0E">
        <w:rPr>
          <w:lang w:val="en-AU"/>
        </w:rPr>
        <w:t>Anticipate and respond to changing community needs to support growth and demographic change</w:t>
      </w:r>
    </w:p>
    <w:p w:rsidR="00B3230A" w:rsidRPr="00FA0B0E" w:rsidRDefault="00B3230A" w:rsidP="00933BAB">
      <w:pPr>
        <w:pStyle w:val="Heading3"/>
        <w:rPr>
          <w:lang w:val="en-AU"/>
        </w:rPr>
      </w:pPr>
      <w:r w:rsidRPr="00FA0B0E">
        <w:rPr>
          <w:lang w:val="en-AU"/>
        </w:rPr>
        <w:t>Overview</w:t>
      </w:r>
    </w:p>
    <w:p w:rsidR="00B3230A" w:rsidRPr="00FA0B0E" w:rsidRDefault="003C67DD" w:rsidP="00B3230A">
      <w:pPr>
        <w:pStyle w:val="bt"/>
        <w:rPr>
          <w:lang w:val="en-AU"/>
        </w:rPr>
      </w:pPr>
      <w:r w:rsidRPr="00FA0B0E">
        <w:rPr>
          <w:lang w:val="en-AU"/>
        </w:rPr>
        <w:t>The Loddon Mallee North r</w:t>
      </w:r>
      <w:r w:rsidR="00B3230A" w:rsidRPr="00FA0B0E">
        <w:rPr>
          <w:lang w:val="en-AU"/>
        </w:rPr>
        <w:t>egion currently accommodates a population of 134,000</w:t>
      </w:r>
      <w:r w:rsidR="00070827" w:rsidRPr="00FA0B0E">
        <w:rPr>
          <w:lang w:val="en-AU"/>
        </w:rPr>
        <w:t xml:space="preserve"> people</w:t>
      </w:r>
      <w:r w:rsidR="00B3230A" w:rsidRPr="00FA0B0E">
        <w:rPr>
          <w:lang w:val="en-AU"/>
        </w:rPr>
        <w:t>, with the majority living in and around the major centres of Mildura, Echuca and Swan Hill. The region aspires to excee</w:t>
      </w:r>
      <w:r w:rsidR="008B74B6" w:rsidRPr="00FA0B0E">
        <w:rPr>
          <w:lang w:val="en-AU"/>
        </w:rPr>
        <w:t xml:space="preserve">d </w:t>
      </w:r>
      <w:r w:rsidR="00070827" w:rsidRPr="00FA0B0E">
        <w:rPr>
          <w:lang w:val="en-AU"/>
        </w:rPr>
        <w:t>its</w:t>
      </w:r>
      <w:r w:rsidR="008B74B6" w:rsidRPr="00FA0B0E">
        <w:rPr>
          <w:lang w:val="en-AU"/>
        </w:rPr>
        <w:t xml:space="preserve"> population forecast </w:t>
      </w:r>
      <w:r w:rsidR="00B3230A" w:rsidRPr="00FA0B0E">
        <w:rPr>
          <w:lang w:val="en-AU"/>
        </w:rPr>
        <w:t>of 160,000</w:t>
      </w:r>
      <w:r w:rsidR="00070827" w:rsidRPr="00FA0B0E">
        <w:rPr>
          <w:lang w:val="en-AU"/>
        </w:rPr>
        <w:t xml:space="preserve"> people by 2041</w:t>
      </w:r>
      <w:r w:rsidR="00B3230A" w:rsidRPr="00FA0B0E">
        <w:rPr>
          <w:lang w:val="en-AU"/>
        </w:rPr>
        <w:t>.</w:t>
      </w:r>
    </w:p>
    <w:p w:rsidR="008F0961" w:rsidRPr="00FA0B0E" w:rsidRDefault="00B3230A" w:rsidP="00B3230A">
      <w:pPr>
        <w:pStyle w:val="bt"/>
        <w:rPr>
          <w:lang w:val="en-AU"/>
        </w:rPr>
      </w:pPr>
      <w:r w:rsidRPr="00FA0B0E">
        <w:rPr>
          <w:lang w:val="en-AU"/>
        </w:rPr>
        <w:t>Growth is uneven across the region with modest growth projected for areas in and around the major centres and through</w:t>
      </w:r>
      <w:r w:rsidR="00070827" w:rsidRPr="00FA0B0E">
        <w:rPr>
          <w:lang w:val="en-AU"/>
        </w:rPr>
        <w:t>out</w:t>
      </w:r>
      <w:r w:rsidRPr="00FA0B0E">
        <w:rPr>
          <w:lang w:val="en-AU"/>
        </w:rPr>
        <w:t xml:space="preserve"> the Murray River </w:t>
      </w:r>
      <w:r w:rsidR="004C2E21" w:rsidRPr="00FA0B0E">
        <w:rPr>
          <w:lang w:val="en-AU"/>
        </w:rPr>
        <w:t>c</w:t>
      </w:r>
      <w:r w:rsidRPr="00FA0B0E">
        <w:rPr>
          <w:lang w:val="en-AU"/>
        </w:rPr>
        <w:t>orridor. Through the dry</w:t>
      </w:r>
      <w:r w:rsidR="00BA7FF5" w:rsidRPr="00FA0B0E">
        <w:rPr>
          <w:lang w:val="en-AU"/>
        </w:rPr>
        <w:t xml:space="preserve"> </w:t>
      </w:r>
      <w:r w:rsidRPr="00FA0B0E">
        <w:rPr>
          <w:lang w:val="en-AU"/>
        </w:rPr>
        <w:t>land areas of the region, population growth is projected to decrease. Settlement patterns have been strongly influenced by agricultural land use</w:t>
      </w:r>
      <w:r w:rsidR="00070827" w:rsidRPr="00FA0B0E">
        <w:rPr>
          <w:lang w:val="en-AU"/>
        </w:rPr>
        <w:t>,</w:t>
      </w:r>
      <w:r w:rsidRPr="00FA0B0E">
        <w:rPr>
          <w:lang w:val="en-AU"/>
        </w:rPr>
        <w:t xml:space="preserve"> value</w:t>
      </w:r>
      <w:r w:rsidR="00D81325">
        <w:rPr>
          <w:lang w:val="en-AU"/>
        </w:rPr>
        <w:t>-</w:t>
      </w:r>
      <w:r w:rsidRPr="00FA0B0E">
        <w:rPr>
          <w:lang w:val="en-AU"/>
        </w:rPr>
        <w:t xml:space="preserve">adding and transport routes. </w:t>
      </w:r>
    </w:p>
    <w:p w:rsidR="003652DE" w:rsidRDefault="00B3230A" w:rsidP="003652DE">
      <w:pPr>
        <w:pStyle w:val="bt"/>
        <w:rPr>
          <w:lang w:val="en-AU"/>
        </w:rPr>
      </w:pPr>
      <w:r w:rsidRPr="00FA0B0E">
        <w:rPr>
          <w:lang w:val="en-AU"/>
        </w:rPr>
        <w:t>Future growth will be promoted in locations t</w:t>
      </w:r>
      <w:r w:rsidR="00070827" w:rsidRPr="00FA0B0E">
        <w:rPr>
          <w:lang w:val="en-AU"/>
        </w:rPr>
        <w:t>hat</w:t>
      </w:r>
      <w:r w:rsidRPr="00FA0B0E">
        <w:rPr>
          <w:lang w:val="en-AU"/>
        </w:rPr>
        <w:t xml:space="preserve"> build on existing and potential industry strengths, infrastructure and </w:t>
      </w:r>
      <w:r w:rsidR="00535DDD" w:rsidRPr="00535DDD">
        <w:rPr>
          <w:lang w:val="en-AU"/>
        </w:rPr>
        <w:t>services that</w:t>
      </w:r>
      <w:r w:rsidR="00070827" w:rsidRPr="00CF6A7F">
        <w:rPr>
          <w:lang w:val="en-AU"/>
        </w:rPr>
        <w:t xml:space="preserve"> have the</w:t>
      </w:r>
      <w:r w:rsidRPr="00CF6A7F">
        <w:rPr>
          <w:lang w:val="en-AU"/>
        </w:rPr>
        <w:t xml:space="preserve"> capacity for future transport enhancement. The existing network of settlements will be strengthened </w:t>
      </w:r>
      <w:r w:rsidR="0006625F" w:rsidRPr="00CF6A7F">
        <w:rPr>
          <w:lang w:val="en-AU"/>
        </w:rPr>
        <w:t xml:space="preserve">by better </w:t>
      </w:r>
      <w:r w:rsidRPr="00CF6A7F">
        <w:rPr>
          <w:lang w:val="en-AU"/>
        </w:rPr>
        <w:t>access to employment and services throughout the region</w:t>
      </w:r>
      <w:r w:rsidR="000B3694">
        <w:rPr>
          <w:lang w:val="en-AU"/>
        </w:rPr>
        <w:t>,</w:t>
      </w:r>
      <w:r w:rsidR="00B65FC7">
        <w:rPr>
          <w:lang w:val="en-AU"/>
        </w:rPr>
        <w:t xml:space="preserve"> as </w:t>
      </w:r>
      <w:r w:rsidR="004C2E21" w:rsidRPr="00CF6A7F">
        <w:rPr>
          <w:lang w:val="en-AU"/>
        </w:rPr>
        <w:t xml:space="preserve">illustrated </w:t>
      </w:r>
      <w:r w:rsidR="00BA7FF5" w:rsidRPr="00CF6A7F">
        <w:rPr>
          <w:lang w:val="en-AU"/>
        </w:rPr>
        <w:t>in</w:t>
      </w:r>
      <w:r w:rsidR="00E17B80">
        <w:rPr>
          <w:lang w:val="en-AU"/>
        </w:rPr>
        <w:t xml:space="preserve"> </w:t>
      </w:r>
      <w:r w:rsidR="003652DE">
        <w:rPr>
          <w:lang w:val="en-AU"/>
        </w:rPr>
        <w:t>Map 7</w:t>
      </w:r>
      <w:r w:rsidR="004C2E21" w:rsidRPr="00CF6A7F">
        <w:rPr>
          <w:lang w:val="en-AU"/>
        </w:rPr>
        <w:t>.</w:t>
      </w:r>
    </w:p>
    <w:p w:rsidR="00E25201" w:rsidRPr="00CF6A7F" w:rsidRDefault="003652DE" w:rsidP="00E25201">
      <w:pPr>
        <w:pStyle w:val="bt"/>
        <w:rPr>
          <w:lang w:val="en-AU"/>
        </w:rPr>
      </w:pPr>
      <w:r>
        <w:rPr>
          <w:lang w:val="en-AU"/>
        </w:rPr>
        <w:t xml:space="preserve">Map 7 </w:t>
      </w:r>
      <w:r w:rsidR="00E25201" w:rsidRPr="00CF6A7F">
        <w:rPr>
          <w:lang w:val="en-AU"/>
        </w:rPr>
        <w:t>identifies the role</w:t>
      </w:r>
      <w:r w:rsidR="007C3A82" w:rsidRPr="00CF6A7F">
        <w:rPr>
          <w:lang w:val="en-AU"/>
        </w:rPr>
        <w:t xml:space="preserve"> and function of regional cities, centres and </w:t>
      </w:r>
      <w:r w:rsidR="00E25201" w:rsidRPr="00CF6A7F">
        <w:rPr>
          <w:lang w:val="en-AU"/>
        </w:rPr>
        <w:t>town</w:t>
      </w:r>
      <w:r w:rsidR="007C3A82" w:rsidRPr="00CF6A7F">
        <w:rPr>
          <w:lang w:val="en-AU"/>
        </w:rPr>
        <w:t>s.</w:t>
      </w:r>
      <w:r w:rsidR="00E25201" w:rsidRPr="00CF6A7F">
        <w:rPr>
          <w:lang w:val="en-AU"/>
        </w:rPr>
        <w:t xml:space="preserve"> </w:t>
      </w:r>
      <w:r w:rsidR="007C3A82" w:rsidRPr="00CF6A7F">
        <w:rPr>
          <w:lang w:val="en-AU"/>
        </w:rPr>
        <w:t xml:space="preserve">This takes into account the role each town </w:t>
      </w:r>
      <w:r w:rsidR="00E25201" w:rsidRPr="00CF6A7F">
        <w:rPr>
          <w:lang w:val="en-AU"/>
        </w:rPr>
        <w:t>plays, or is capable of playing, in accommodating and servicing future population growth in the region, and the intent of strategic planning for that settlement. The designations are based on an assessment of available and proposed services and facilities, infrastructure capacity, and constraints on growth, including natural hazards</w:t>
      </w:r>
      <w:r w:rsidR="007D0414" w:rsidRPr="00CF6A7F">
        <w:rPr>
          <w:lang w:val="en-AU"/>
        </w:rPr>
        <w:t>,</w:t>
      </w:r>
      <w:r w:rsidR="00E25201" w:rsidRPr="00CF6A7F">
        <w:rPr>
          <w:lang w:val="en-AU"/>
        </w:rPr>
        <w:t xml:space="preserve"> such as bushfire and flood risk and strategic economic, herit</w:t>
      </w:r>
      <w:r w:rsidR="007C3A82" w:rsidRPr="00CF6A7F">
        <w:rPr>
          <w:lang w:val="en-AU"/>
        </w:rPr>
        <w:t>age or environmental assets. This also takes into account</w:t>
      </w:r>
      <w:r w:rsidR="00E25201" w:rsidRPr="00CF6A7F">
        <w:rPr>
          <w:lang w:val="en-AU"/>
        </w:rPr>
        <w:t xml:space="preserve"> where the resident population may be small but the town functions as an important service centre to a wider catchment.</w:t>
      </w:r>
      <w:r w:rsidR="007C3A82" w:rsidRPr="00CF6A7F">
        <w:rPr>
          <w:lang w:val="en-AU"/>
        </w:rPr>
        <w:t xml:space="preserve"> </w:t>
      </w:r>
    </w:p>
    <w:p w:rsidR="00AC135A" w:rsidRPr="00CF6A7F" w:rsidRDefault="00AC135A" w:rsidP="00E25201">
      <w:pPr>
        <w:pStyle w:val="bt"/>
        <w:rPr>
          <w:lang w:val="en-AU"/>
        </w:rPr>
      </w:pPr>
      <w:r w:rsidRPr="00CF6A7F">
        <w:rPr>
          <w:lang w:val="en-AU"/>
        </w:rPr>
        <w:lastRenderedPageBreak/>
        <w:t xml:space="preserve">Communities of interest have been identified but </w:t>
      </w:r>
      <w:r w:rsidR="004360A8" w:rsidRPr="00CF6A7F">
        <w:rPr>
          <w:lang w:val="en-AU"/>
        </w:rPr>
        <w:t>it is important to note</w:t>
      </w:r>
      <w:r w:rsidRPr="00CF6A7F">
        <w:rPr>
          <w:lang w:val="en-AU"/>
        </w:rPr>
        <w:t xml:space="preserve"> </w:t>
      </w:r>
      <w:r w:rsidR="00BB0DFE" w:rsidRPr="00CF6A7F">
        <w:rPr>
          <w:lang w:val="en-AU"/>
        </w:rPr>
        <w:t xml:space="preserve">that </w:t>
      </w:r>
      <w:r w:rsidRPr="00CF6A7F">
        <w:rPr>
          <w:lang w:val="en-AU"/>
        </w:rPr>
        <w:t>Bendigo</w:t>
      </w:r>
      <w:r w:rsidR="004360A8" w:rsidRPr="00CF6A7F">
        <w:rPr>
          <w:lang w:val="en-AU"/>
        </w:rPr>
        <w:t xml:space="preserve"> and Shepparton are</w:t>
      </w:r>
      <w:r w:rsidRPr="00CF6A7F">
        <w:rPr>
          <w:lang w:val="en-AU"/>
        </w:rPr>
        <w:t xml:space="preserve"> key</w:t>
      </w:r>
      <w:r w:rsidR="00260968" w:rsidRPr="00CF6A7F">
        <w:rPr>
          <w:lang w:val="en-AU"/>
        </w:rPr>
        <w:t xml:space="preserve"> regional cit</w:t>
      </w:r>
      <w:r w:rsidR="004360A8" w:rsidRPr="00CF6A7F">
        <w:rPr>
          <w:lang w:val="en-AU"/>
        </w:rPr>
        <w:t>ies</w:t>
      </w:r>
      <w:r w:rsidR="00260968" w:rsidRPr="00CF6A7F">
        <w:rPr>
          <w:lang w:val="en-AU"/>
        </w:rPr>
        <w:t xml:space="preserve"> </w:t>
      </w:r>
      <w:r w:rsidR="00BB0DFE" w:rsidRPr="00CF6A7F">
        <w:rPr>
          <w:lang w:val="en-AU"/>
        </w:rPr>
        <w:t xml:space="preserve">that </w:t>
      </w:r>
      <w:r w:rsidR="00260968" w:rsidRPr="00CF6A7F">
        <w:rPr>
          <w:lang w:val="en-AU"/>
        </w:rPr>
        <w:t xml:space="preserve">attract people from the </w:t>
      </w:r>
      <w:r w:rsidR="004360A8" w:rsidRPr="00CF6A7F">
        <w:rPr>
          <w:lang w:val="en-AU"/>
        </w:rPr>
        <w:t xml:space="preserve">southern part of the </w:t>
      </w:r>
      <w:r w:rsidRPr="00CF6A7F">
        <w:rPr>
          <w:lang w:val="en-AU"/>
        </w:rPr>
        <w:t xml:space="preserve">Loddon Mallee North region for employment services and facilities. </w:t>
      </w:r>
      <w:r w:rsidR="00BB0DFE" w:rsidRPr="00CF6A7F">
        <w:rPr>
          <w:lang w:val="en-AU"/>
        </w:rPr>
        <w:t>Adelaide and Melbourne are also key centres to which people in the Mallee community of interest travel</w:t>
      </w:r>
      <w:r w:rsidR="004360A8" w:rsidRPr="00CF6A7F">
        <w:rPr>
          <w:lang w:val="en-AU"/>
        </w:rPr>
        <w:t xml:space="preserve"> </w:t>
      </w:r>
      <w:r w:rsidR="00BB0DFE" w:rsidRPr="00CF6A7F">
        <w:rPr>
          <w:lang w:val="en-AU"/>
        </w:rPr>
        <w:t>for higher order services</w:t>
      </w:r>
      <w:r w:rsidR="004360A8" w:rsidRPr="00CF6A7F">
        <w:rPr>
          <w:lang w:val="en-AU"/>
        </w:rPr>
        <w:t>, using air and road transport</w:t>
      </w:r>
      <w:r w:rsidR="00BB0DFE" w:rsidRPr="00CF6A7F">
        <w:rPr>
          <w:lang w:val="en-AU"/>
        </w:rPr>
        <w:t>.</w:t>
      </w:r>
      <w:r w:rsidRPr="00CF6A7F">
        <w:rPr>
          <w:lang w:val="en-AU"/>
        </w:rPr>
        <w:t xml:space="preserve"> </w:t>
      </w:r>
    </w:p>
    <w:p w:rsidR="00B3230A" w:rsidRPr="00CF6A7F" w:rsidRDefault="00B3230A" w:rsidP="00B3230A">
      <w:pPr>
        <w:pStyle w:val="bt"/>
        <w:rPr>
          <w:lang w:val="en-AU"/>
        </w:rPr>
      </w:pPr>
      <w:r w:rsidRPr="00CF6A7F">
        <w:rPr>
          <w:lang w:val="en-AU"/>
        </w:rPr>
        <w:t xml:space="preserve">The majority of growth will be accommodated in the regional city of Mildura and the regional centres of Echuca and Swan Hill. </w:t>
      </w:r>
      <w:r w:rsidR="009B3F56" w:rsidRPr="00CF6A7F">
        <w:rPr>
          <w:lang w:val="en-AU"/>
        </w:rPr>
        <w:t>Clear settl</w:t>
      </w:r>
      <w:r w:rsidR="00C75338" w:rsidRPr="00CF6A7F">
        <w:rPr>
          <w:lang w:val="en-AU"/>
        </w:rPr>
        <w:t xml:space="preserve">ement boundaries and identifying </w:t>
      </w:r>
      <w:r w:rsidR="009B3F56" w:rsidRPr="00CF6A7F">
        <w:rPr>
          <w:lang w:val="en-AU"/>
        </w:rPr>
        <w:t xml:space="preserve">appropriate locations for rural residential development will avoid </w:t>
      </w:r>
      <w:r w:rsidR="00C75338" w:rsidRPr="00CF6A7F">
        <w:rPr>
          <w:lang w:val="en-AU"/>
        </w:rPr>
        <w:t xml:space="preserve">land use conflict with agricultural activities that surround these centres. </w:t>
      </w:r>
      <w:r w:rsidRPr="00CF6A7F">
        <w:rPr>
          <w:lang w:val="en-AU"/>
        </w:rPr>
        <w:t xml:space="preserve">These three larger settlements, </w:t>
      </w:r>
      <w:r w:rsidR="007D0414" w:rsidRPr="00CF6A7F">
        <w:rPr>
          <w:lang w:val="en-AU"/>
        </w:rPr>
        <w:t>having an</w:t>
      </w:r>
      <w:r w:rsidRPr="00CF6A7F">
        <w:rPr>
          <w:lang w:val="en-AU"/>
        </w:rPr>
        <w:t xml:space="preserve"> existing base of higher order services and facilities, support networks of smaller centres in the region and </w:t>
      </w:r>
      <w:r w:rsidR="007D0414" w:rsidRPr="00CF6A7F">
        <w:rPr>
          <w:lang w:val="en-AU"/>
        </w:rPr>
        <w:t xml:space="preserve">south-western </w:t>
      </w:r>
      <w:r w:rsidRPr="00CF6A7F">
        <w:rPr>
          <w:lang w:val="en-AU"/>
        </w:rPr>
        <w:t>New South Wales.</w:t>
      </w:r>
      <w:r w:rsidR="009B3F56" w:rsidRPr="00CF6A7F">
        <w:rPr>
          <w:lang w:val="en-AU"/>
        </w:rPr>
        <w:t xml:space="preserve"> </w:t>
      </w:r>
    </w:p>
    <w:p w:rsidR="00B3230A" w:rsidRPr="00CF6A7F" w:rsidRDefault="0083724E" w:rsidP="00B3230A">
      <w:pPr>
        <w:pStyle w:val="bt"/>
        <w:rPr>
          <w:lang w:val="en-AU"/>
        </w:rPr>
      </w:pPr>
      <w:r w:rsidRPr="00CF6A7F">
        <w:rPr>
          <w:lang w:val="en-AU"/>
        </w:rPr>
        <w:t>Through</w:t>
      </w:r>
      <w:r w:rsidR="0006625F" w:rsidRPr="00CF6A7F">
        <w:rPr>
          <w:lang w:val="en-AU"/>
        </w:rPr>
        <w:t>out</w:t>
      </w:r>
      <w:r w:rsidRPr="00CF6A7F">
        <w:rPr>
          <w:lang w:val="en-AU"/>
        </w:rPr>
        <w:t xml:space="preserve"> the Murray River c</w:t>
      </w:r>
      <w:r w:rsidR="00B3230A" w:rsidRPr="00CF6A7F">
        <w:rPr>
          <w:lang w:val="en-AU"/>
        </w:rPr>
        <w:t>orridor, towns such as Kerang, Robinvale</w:t>
      </w:r>
      <w:r w:rsidRPr="00CF6A7F">
        <w:rPr>
          <w:lang w:val="en-AU"/>
        </w:rPr>
        <w:t>, Kyabram</w:t>
      </w:r>
      <w:r w:rsidR="00B3230A" w:rsidRPr="00CF6A7F">
        <w:rPr>
          <w:lang w:val="en-AU"/>
        </w:rPr>
        <w:t xml:space="preserve"> and Rochester play an important role in providing sub-regional services to surrounding communities with opportunities for social and economic participation. Their sustainability is important and opportunities for growth are supported, leveraged by new investment or employment.</w:t>
      </w:r>
    </w:p>
    <w:p w:rsidR="00B3230A" w:rsidRPr="00CF6A7F" w:rsidRDefault="00B3230A" w:rsidP="00B3230A">
      <w:pPr>
        <w:pStyle w:val="bt"/>
        <w:rPr>
          <w:lang w:val="en-AU"/>
        </w:rPr>
      </w:pPr>
      <w:r w:rsidRPr="00CF6A7F">
        <w:rPr>
          <w:lang w:val="en-AU"/>
        </w:rPr>
        <w:t xml:space="preserve">Away from the Murray River, in areas such as the Mallee and </w:t>
      </w:r>
      <w:r w:rsidR="00881739" w:rsidRPr="00CF6A7F">
        <w:rPr>
          <w:lang w:val="en-AU"/>
        </w:rPr>
        <w:t>Buloke</w:t>
      </w:r>
      <w:r w:rsidR="00004612" w:rsidRPr="00CF6A7F">
        <w:rPr>
          <w:lang w:val="en-AU"/>
        </w:rPr>
        <w:t xml:space="preserve"> Shire</w:t>
      </w:r>
      <w:r w:rsidR="007D0414" w:rsidRPr="00CF6A7F">
        <w:rPr>
          <w:lang w:val="en-AU"/>
        </w:rPr>
        <w:t>,</w:t>
      </w:r>
      <w:r w:rsidRPr="00CF6A7F">
        <w:rPr>
          <w:lang w:val="en-AU"/>
        </w:rPr>
        <w:t xml:space="preserve"> settlements are separated by long distances from the three regional cities or centres,</w:t>
      </w:r>
      <w:r w:rsidR="00004612" w:rsidRPr="00CF6A7F">
        <w:rPr>
          <w:lang w:val="en-AU"/>
        </w:rPr>
        <w:t xml:space="preserve"> and</w:t>
      </w:r>
      <w:r w:rsidRPr="00CF6A7F">
        <w:rPr>
          <w:lang w:val="en-AU"/>
        </w:rPr>
        <w:t xml:space="preserve"> towns such as Wycheproof, Cohuna, Ouyen</w:t>
      </w:r>
      <w:r w:rsidR="00410D55" w:rsidRPr="00CF6A7F">
        <w:rPr>
          <w:lang w:val="en-AU"/>
        </w:rPr>
        <w:t>, Manangatang</w:t>
      </w:r>
      <w:r w:rsidRPr="00CF6A7F">
        <w:rPr>
          <w:lang w:val="en-AU"/>
        </w:rPr>
        <w:t xml:space="preserve"> and Birchip provide higher level services</w:t>
      </w:r>
      <w:r w:rsidR="00004612" w:rsidRPr="00CF6A7F">
        <w:rPr>
          <w:lang w:val="en-AU"/>
        </w:rPr>
        <w:t>,</w:t>
      </w:r>
      <w:r w:rsidRPr="00CF6A7F">
        <w:rPr>
          <w:lang w:val="en-AU"/>
        </w:rPr>
        <w:t xml:space="preserve"> including health, education and local government administration than would normally be expected of towns of similar population. </w:t>
      </w:r>
      <w:r w:rsidR="008B74B6" w:rsidRPr="00CF6A7F">
        <w:rPr>
          <w:lang w:val="en-AU"/>
        </w:rPr>
        <w:t xml:space="preserve">Policy </w:t>
      </w:r>
      <w:r w:rsidRPr="00CF6A7F">
        <w:rPr>
          <w:lang w:val="en-AU"/>
        </w:rPr>
        <w:t xml:space="preserve">to </w:t>
      </w:r>
      <w:r w:rsidR="008B74B6" w:rsidRPr="00CF6A7F">
        <w:rPr>
          <w:lang w:val="en-AU"/>
        </w:rPr>
        <w:t xml:space="preserve">support </w:t>
      </w:r>
      <w:r w:rsidRPr="00CF6A7F">
        <w:rPr>
          <w:lang w:val="en-AU"/>
        </w:rPr>
        <w:t>these smaller settlements to continue to function at this higher level</w:t>
      </w:r>
      <w:r w:rsidR="00CD038E" w:rsidRPr="00CF6A7F">
        <w:rPr>
          <w:lang w:val="en-AU"/>
        </w:rPr>
        <w:t xml:space="preserve"> is considered important</w:t>
      </w:r>
      <w:r w:rsidRPr="00CF6A7F">
        <w:rPr>
          <w:lang w:val="en-AU"/>
        </w:rPr>
        <w:t xml:space="preserve">. This will become increasingly important as rural populations decrease and the viability of service delivery in surrounding smaller settlements is challenged. </w:t>
      </w:r>
    </w:p>
    <w:p w:rsidR="00B3230A" w:rsidRPr="00CF6A7F" w:rsidRDefault="00B3230A" w:rsidP="00B3230A">
      <w:pPr>
        <w:pStyle w:val="bt"/>
        <w:rPr>
          <w:lang w:val="en-AU"/>
        </w:rPr>
      </w:pPr>
      <w:r w:rsidRPr="00CF6A7F">
        <w:rPr>
          <w:lang w:val="en-AU"/>
        </w:rPr>
        <w:t xml:space="preserve">It is anticipated that some settlements not nominated for growth may experience </w:t>
      </w:r>
      <w:r w:rsidR="0006625F" w:rsidRPr="00CF6A7F">
        <w:rPr>
          <w:lang w:val="en-AU"/>
        </w:rPr>
        <w:t>an</w:t>
      </w:r>
      <w:r w:rsidRPr="00CF6A7F">
        <w:rPr>
          <w:lang w:val="en-AU"/>
        </w:rPr>
        <w:t xml:space="preserve"> increase in population or housing development based on local drivers such as a high</w:t>
      </w:r>
      <w:r w:rsidR="007E3EB0">
        <w:rPr>
          <w:lang w:val="en-AU"/>
        </w:rPr>
        <w:t xml:space="preserve"> </w:t>
      </w:r>
      <w:r w:rsidRPr="00CF6A7F">
        <w:rPr>
          <w:lang w:val="en-AU"/>
        </w:rPr>
        <w:t xml:space="preserve">amenity location. These locations offer an alternative lifestyle from more urbanised and larger centres. </w:t>
      </w:r>
    </w:p>
    <w:p w:rsidR="00410D55" w:rsidRPr="00CF6A7F" w:rsidRDefault="00B3230A" w:rsidP="00410D55">
      <w:pPr>
        <w:pStyle w:val="bt"/>
        <w:rPr>
          <w:lang w:val="en-AU"/>
        </w:rPr>
      </w:pPr>
      <w:r w:rsidRPr="00CF6A7F">
        <w:rPr>
          <w:lang w:val="en-AU"/>
        </w:rPr>
        <w:t xml:space="preserve">Key challenges for settlement planning in the region include </w:t>
      </w:r>
      <w:r w:rsidR="004127B0" w:rsidRPr="00CF6A7F">
        <w:rPr>
          <w:lang w:val="en-AU"/>
        </w:rPr>
        <w:t>managing population</w:t>
      </w:r>
      <w:r w:rsidRPr="00CF6A7F">
        <w:rPr>
          <w:lang w:val="en-AU"/>
        </w:rPr>
        <w:t xml:space="preserve"> growth in a few large towns</w:t>
      </w:r>
      <w:r w:rsidR="0006625F" w:rsidRPr="00CF6A7F">
        <w:rPr>
          <w:lang w:val="en-AU"/>
        </w:rPr>
        <w:t>,</w:t>
      </w:r>
      <w:r w:rsidRPr="00CF6A7F">
        <w:rPr>
          <w:lang w:val="en-AU"/>
        </w:rPr>
        <w:t xml:space="preserve"> population decrease in others</w:t>
      </w:r>
      <w:r w:rsidR="007D0414" w:rsidRPr="00CF6A7F">
        <w:rPr>
          <w:lang w:val="en-AU"/>
        </w:rPr>
        <w:t>,</w:t>
      </w:r>
      <w:r w:rsidRPr="00CF6A7F">
        <w:rPr>
          <w:lang w:val="en-AU"/>
        </w:rPr>
        <w:t xml:space="preserve"> </w:t>
      </w:r>
      <w:r w:rsidR="0006625F" w:rsidRPr="00CF6A7F">
        <w:rPr>
          <w:lang w:val="en-AU"/>
        </w:rPr>
        <w:t xml:space="preserve">and overall population ageing, </w:t>
      </w:r>
      <w:r w:rsidRPr="00CF6A7F">
        <w:rPr>
          <w:lang w:val="en-AU"/>
        </w:rPr>
        <w:t>while responding to the different land use requirements generated by these population trends. Other challenges include the mismatch between the available housing stock and the needs of residents</w:t>
      </w:r>
      <w:r w:rsidR="002E4E01">
        <w:rPr>
          <w:lang w:val="en-AU"/>
        </w:rPr>
        <w:t>,</w:t>
      </w:r>
      <w:r w:rsidR="002E4E01" w:rsidRPr="00CF6A7F">
        <w:rPr>
          <w:lang w:val="en-AU"/>
        </w:rPr>
        <w:t xml:space="preserve"> </w:t>
      </w:r>
      <w:r w:rsidR="007D0414" w:rsidRPr="00CF6A7F">
        <w:rPr>
          <w:lang w:val="en-AU"/>
        </w:rPr>
        <w:t>and</w:t>
      </w:r>
      <w:r w:rsidRPr="00CF6A7F">
        <w:rPr>
          <w:lang w:val="en-AU"/>
        </w:rPr>
        <w:t xml:space="preserve"> lack of investment in new housing due to low development demand and poor returns on investment</w:t>
      </w:r>
      <w:r w:rsidR="0006625F" w:rsidRPr="00CF6A7F">
        <w:rPr>
          <w:lang w:val="en-AU"/>
        </w:rPr>
        <w:t>. P</w:t>
      </w:r>
      <w:r w:rsidRPr="00CF6A7F">
        <w:rPr>
          <w:lang w:val="en-AU"/>
        </w:rPr>
        <w:t>rovid</w:t>
      </w:r>
      <w:r w:rsidR="0006625F" w:rsidRPr="00CF6A7F">
        <w:rPr>
          <w:lang w:val="en-AU"/>
        </w:rPr>
        <w:t>ing</w:t>
      </w:r>
      <w:r w:rsidRPr="00CF6A7F">
        <w:rPr>
          <w:lang w:val="en-AU"/>
        </w:rPr>
        <w:t xml:space="preserve"> transport connections between towns within communities of interest and coordinating settlement planning with neighbouring regions and interstate</w:t>
      </w:r>
      <w:r w:rsidR="0006625F" w:rsidRPr="00CF6A7F">
        <w:rPr>
          <w:lang w:val="en-AU"/>
        </w:rPr>
        <w:t xml:space="preserve"> will also be challenging</w:t>
      </w:r>
      <w:r w:rsidRPr="00CF6A7F">
        <w:rPr>
          <w:lang w:val="en-AU"/>
        </w:rPr>
        <w:t>.</w:t>
      </w:r>
    </w:p>
    <w:p w:rsidR="00134771" w:rsidRDefault="00C75338" w:rsidP="00134771">
      <w:pPr>
        <w:pStyle w:val="bt"/>
        <w:rPr>
          <w:lang w:val="en-AU"/>
        </w:rPr>
      </w:pPr>
      <w:r w:rsidRPr="00CF6A7F">
        <w:rPr>
          <w:lang w:val="en-AU"/>
        </w:rPr>
        <w:t xml:space="preserve">More detailed discussion and future directions for Loddon Mallee North settlements </w:t>
      </w:r>
      <w:r w:rsidR="00C52C96" w:rsidRPr="00CF6A7F">
        <w:rPr>
          <w:lang w:val="en-AU"/>
        </w:rPr>
        <w:t>are outlined for each community of interest</w:t>
      </w:r>
      <w:r w:rsidR="00004612" w:rsidRPr="00CF6A7F">
        <w:rPr>
          <w:lang w:val="en-AU"/>
        </w:rPr>
        <w:t xml:space="preserve"> in </w:t>
      </w:r>
      <w:r w:rsidR="00E34AE7">
        <w:rPr>
          <w:lang w:val="en-AU"/>
        </w:rPr>
        <w:t>S</w:t>
      </w:r>
      <w:r w:rsidR="00004612" w:rsidRPr="00CF6A7F">
        <w:rPr>
          <w:lang w:val="en-AU"/>
        </w:rPr>
        <w:t>ections 13.2 to 13.6</w:t>
      </w:r>
      <w:r w:rsidR="00C52C96" w:rsidRPr="00CF6A7F">
        <w:rPr>
          <w:lang w:val="en-AU"/>
        </w:rPr>
        <w:t>.</w:t>
      </w:r>
      <w:bookmarkStart w:id="69" w:name="_Ref373922881"/>
      <w:bookmarkStart w:id="70" w:name="_Toc358365467"/>
      <w:bookmarkStart w:id="71" w:name="_Toc375052101"/>
    </w:p>
    <w:p w:rsidR="00D81C28" w:rsidRPr="00CF6A7F" w:rsidRDefault="00D81C28" w:rsidP="00134771">
      <w:pPr>
        <w:pStyle w:val="bt"/>
        <w:rPr>
          <w:lang w:val="en-AU"/>
        </w:rPr>
      </w:pPr>
      <w:r w:rsidRPr="00CF6A7F">
        <w:rPr>
          <w:lang w:val="en-AU"/>
        </w:rPr>
        <w:t xml:space="preserve">Map </w:t>
      </w:r>
      <w:bookmarkEnd w:id="69"/>
      <w:r w:rsidR="003652DE">
        <w:rPr>
          <w:lang w:val="en-AU"/>
        </w:rPr>
        <w:t>7</w:t>
      </w:r>
      <w:r w:rsidR="00134771" w:rsidRPr="00134771">
        <w:t xml:space="preserve"> </w:t>
      </w:r>
      <w:r w:rsidR="00134771">
        <w:t>is located here in the document and it shows -</w:t>
      </w:r>
      <w:r w:rsidRPr="00CF6A7F">
        <w:rPr>
          <w:lang w:val="en-AU"/>
        </w:rPr>
        <w:t xml:space="preserve"> </w:t>
      </w:r>
      <w:r w:rsidR="00C9083C">
        <w:rPr>
          <w:lang w:val="en-AU"/>
        </w:rPr>
        <w:t>S</w:t>
      </w:r>
      <w:r w:rsidR="008F0961" w:rsidRPr="00BA45FA">
        <w:rPr>
          <w:lang w:val="en-AU"/>
        </w:rPr>
        <w:t>ettlement framework</w:t>
      </w:r>
      <w:bookmarkEnd w:id="70"/>
      <w:bookmarkEnd w:id="71"/>
    </w:p>
    <w:p w:rsidR="00B3230A" w:rsidRPr="00CF6A7F" w:rsidRDefault="00B3230A" w:rsidP="00933BAB">
      <w:pPr>
        <w:pStyle w:val="Heading3"/>
        <w:rPr>
          <w:lang w:val="en-AU"/>
        </w:rPr>
      </w:pPr>
      <w:r w:rsidRPr="00CF6A7F">
        <w:rPr>
          <w:lang w:val="en-AU"/>
        </w:rPr>
        <w:t xml:space="preserve">Future </w:t>
      </w:r>
      <w:r w:rsidR="004C2E21" w:rsidRPr="00CF6A7F">
        <w:rPr>
          <w:lang w:val="en-AU"/>
        </w:rPr>
        <w:t>p</w:t>
      </w:r>
      <w:r w:rsidRPr="00CF6A7F">
        <w:rPr>
          <w:lang w:val="en-AU"/>
        </w:rPr>
        <w:t xml:space="preserve">opulation </w:t>
      </w:r>
      <w:r w:rsidR="004C2E21" w:rsidRPr="00CF6A7F">
        <w:rPr>
          <w:lang w:val="en-AU"/>
        </w:rPr>
        <w:t>p</w:t>
      </w:r>
      <w:r w:rsidRPr="00CF6A7F">
        <w:rPr>
          <w:lang w:val="en-AU"/>
        </w:rPr>
        <w:t>rofile</w:t>
      </w:r>
    </w:p>
    <w:p w:rsidR="00B3230A" w:rsidRPr="00CF6A7F" w:rsidRDefault="00B3230A" w:rsidP="00B3230A">
      <w:pPr>
        <w:pStyle w:val="bt"/>
        <w:rPr>
          <w:lang w:val="en-AU"/>
        </w:rPr>
      </w:pPr>
      <w:r w:rsidRPr="00CF6A7F">
        <w:rPr>
          <w:lang w:val="en-AU"/>
        </w:rPr>
        <w:t xml:space="preserve">Along with </w:t>
      </w:r>
      <w:r w:rsidR="00004612" w:rsidRPr="00CF6A7F">
        <w:rPr>
          <w:lang w:val="en-AU"/>
        </w:rPr>
        <w:t xml:space="preserve">other regions in </w:t>
      </w:r>
      <w:r w:rsidRPr="00CF6A7F">
        <w:rPr>
          <w:lang w:val="en-AU"/>
        </w:rPr>
        <w:t>Victoria</w:t>
      </w:r>
      <w:r w:rsidR="008A3E83" w:rsidRPr="00CF6A7F">
        <w:rPr>
          <w:lang w:val="en-AU"/>
        </w:rPr>
        <w:t>,</w:t>
      </w:r>
      <w:r w:rsidRPr="00CF6A7F">
        <w:rPr>
          <w:lang w:val="en-AU"/>
        </w:rPr>
        <w:t xml:space="preserve"> the Loddon Mallee North region has an ageing population. However, Mildura Rural City, Campaspe Shire and Swan Hill Rural City </w:t>
      </w:r>
      <w:r w:rsidR="00004612" w:rsidRPr="00CF6A7F">
        <w:rPr>
          <w:lang w:val="en-AU"/>
        </w:rPr>
        <w:t xml:space="preserve">each have </w:t>
      </w:r>
      <w:r w:rsidRPr="00CF6A7F">
        <w:rPr>
          <w:lang w:val="en-AU"/>
        </w:rPr>
        <w:t xml:space="preserve">a younger than average age structure by regional Victorian standards. This will </w:t>
      </w:r>
      <w:r w:rsidR="00004612" w:rsidRPr="00CF6A7F">
        <w:rPr>
          <w:lang w:val="en-AU"/>
        </w:rPr>
        <w:t>affect</w:t>
      </w:r>
      <w:r w:rsidRPr="00CF6A7F">
        <w:rPr>
          <w:lang w:val="en-AU"/>
        </w:rPr>
        <w:t xml:space="preserve"> service provision</w:t>
      </w:r>
      <w:r w:rsidR="008A3E83" w:rsidRPr="00CF6A7F">
        <w:rPr>
          <w:lang w:val="en-AU"/>
        </w:rPr>
        <w:t>,</w:t>
      </w:r>
      <w:r w:rsidRPr="00CF6A7F">
        <w:rPr>
          <w:lang w:val="en-AU"/>
        </w:rPr>
        <w:t xml:space="preserve"> such as medical and aged care provision. I</w:t>
      </w:r>
      <w:r w:rsidR="004C2E21" w:rsidRPr="00CF6A7F">
        <w:rPr>
          <w:lang w:val="en-AU"/>
        </w:rPr>
        <w:t>t</w:t>
      </w:r>
      <w:r w:rsidRPr="00CF6A7F">
        <w:rPr>
          <w:lang w:val="en-AU"/>
        </w:rPr>
        <w:t xml:space="preserve"> also has the potential to impact on employment and the economy.</w:t>
      </w:r>
      <w:r w:rsidR="002C0040" w:rsidRPr="00CF6A7F">
        <w:rPr>
          <w:lang w:val="en-AU"/>
        </w:rPr>
        <w:t xml:space="preserve"> </w:t>
      </w:r>
    </w:p>
    <w:p w:rsidR="00B3230A" w:rsidRPr="00CF6A7F" w:rsidRDefault="00B3230A" w:rsidP="00B3230A">
      <w:pPr>
        <w:pStyle w:val="bt"/>
        <w:rPr>
          <w:lang w:val="en-AU"/>
        </w:rPr>
      </w:pPr>
      <w:r w:rsidRPr="00CF6A7F">
        <w:rPr>
          <w:lang w:val="en-AU"/>
        </w:rPr>
        <w:t xml:space="preserve">Attracting and retaining younger age groups for education and employment will be critical to maintain a diverse community and </w:t>
      </w:r>
      <w:r w:rsidR="002A6A0B" w:rsidRPr="00CF6A7F">
        <w:rPr>
          <w:lang w:val="en-AU"/>
        </w:rPr>
        <w:t>a vital economy. The desire for</w:t>
      </w:r>
      <w:r w:rsidRPr="00CF6A7F">
        <w:rPr>
          <w:lang w:val="en-AU"/>
        </w:rPr>
        <w:t xml:space="preserve"> the regional city and centres to grow and sustain a viable popula</w:t>
      </w:r>
      <w:r w:rsidR="008B74B6" w:rsidRPr="00CF6A7F">
        <w:rPr>
          <w:lang w:val="en-AU"/>
        </w:rPr>
        <w:t>tion</w:t>
      </w:r>
      <w:r w:rsidRPr="00CF6A7F">
        <w:rPr>
          <w:lang w:val="en-AU"/>
        </w:rPr>
        <w:t xml:space="preserve"> relies on attracting families to the </w:t>
      </w:r>
      <w:r w:rsidR="00535DDD" w:rsidRPr="00535DDD">
        <w:rPr>
          <w:lang w:val="en-AU"/>
        </w:rPr>
        <w:t>region, which</w:t>
      </w:r>
      <w:r w:rsidRPr="00CF6A7F">
        <w:rPr>
          <w:lang w:val="en-AU"/>
        </w:rPr>
        <w:t xml:space="preserve"> in turn </w:t>
      </w:r>
      <w:r w:rsidR="00B65FC7">
        <w:rPr>
          <w:lang w:val="en-AU"/>
        </w:rPr>
        <w:t>depends</w:t>
      </w:r>
      <w:r w:rsidR="00B65FC7" w:rsidRPr="00CF6A7F">
        <w:rPr>
          <w:lang w:val="en-AU"/>
        </w:rPr>
        <w:t xml:space="preserve"> </w:t>
      </w:r>
      <w:r w:rsidRPr="00CF6A7F">
        <w:rPr>
          <w:lang w:val="en-AU"/>
        </w:rPr>
        <w:t>on offering a range of employment opportunities and access to social infrastructure.</w:t>
      </w:r>
    </w:p>
    <w:p w:rsidR="00B3230A" w:rsidRPr="00CF6A7F" w:rsidRDefault="008B74B6" w:rsidP="00B3230A">
      <w:pPr>
        <w:pStyle w:val="bt"/>
        <w:rPr>
          <w:lang w:val="en-AU"/>
        </w:rPr>
      </w:pPr>
      <w:r w:rsidRPr="00CF6A7F">
        <w:rPr>
          <w:lang w:val="en-AU"/>
        </w:rPr>
        <w:lastRenderedPageBreak/>
        <w:t xml:space="preserve">A key aim of this </w:t>
      </w:r>
      <w:r w:rsidR="004C2E21" w:rsidRPr="00CF6A7F">
        <w:rPr>
          <w:lang w:val="en-AU"/>
        </w:rPr>
        <w:t>p</w:t>
      </w:r>
      <w:r w:rsidR="00B3230A" w:rsidRPr="00CF6A7F">
        <w:rPr>
          <w:lang w:val="en-AU"/>
        </w:rPr>
        <w:t>lan is to attract a diverse population to the region</w:t>
      </w:r>
      <w:r w:rsidR="00004612" w:rsidRPr="00CF6A7F">
        <w:rPr>
          <w:lang w:val="en-AU"/>
        </w:rPr>
        <w:t>,</w:t>
      </w:r>
      <w:r w:rsidR="008E028A" w:rsidRPr="00CF6A7F">
        <w:rPr>
          <w:lang w:val="en-AU"/>
        </w:rPr>
        <w:t xml:space="preserve"> </w:t>
      </w:r>
      <w:r w:rsidR="00004612" w:rsidRPr="00CF6A7F">
        <w:rPr>
          <w:lang w:val="en-AU"/>
        </w:rPr>
        <w:t>i</w:t>
      </w:r>
      <w:r w:rsidR="008E028A" w:rsidRPr="00CF6A7F">
        <w:rPr>
          <w:lang w:val="en-AU"/>
        </w:rPr>
        <w:t>n particular people of working age</w:t>
      </w:r>
      <w:r w:rsidR="00004612" w:rsidRPr="00CF6A7F">
        <w:rPr>
          <w:lang w:val="en-AU"/>
        </w:rPr>
        <w:t>.</w:t>
      </w:r>
      <w:r w:rsidR="008E028A" w:rsidRPr="00CF6A7F">
        <w:rPr>
          <w:lang w:val="en-AU"/>
        </w:rPr>
        <w:t xml:space="preserve"> </w:t>
      </w:r>
      <w:r w:rsidR="00004612" w:rsidRPr="00CF6A7F">
        <w:rPr>
          <w:lang w:val="en-AU"/>
        </w:rPr>
        <w:t xml:space="preserve">This </w:t>
      </w:r>
      <w:r w:rsidR="001E5C35" w:rsidRPr="00CF6A7F">
        <w:rPr>
          <w:lang w:val="en-AU"/>
        </w:rPr>
        <w:t xml:space="preserve">can be </w:t>
      </w:r>
      <w:r w:rsidR="00B3230A" w:rsidRPr="00CF6A7F">
        <w:rPr>
          <w:lang w:val="en-AU"/>
        </w:rPr>
        <w:t>achieved by improving secondary a</w:t>
      </w:r>
      <w:r w:rsidR="001445E5" w:rsidRPr="00CF6A7F">
        <w:rPr>
          <w:lang w:val="en-AU"/>
        </w:rPr>
        <w:t xml:space="preserve">nd tertiary education access, </w:t>
      </w:r>
      <w:r w:rsidR="00B3230A" w:rsidRPr="00CF6A7F">
        <w:rPr>
          <w:lang w:val="en-AU"/>
        </w:rPr>
        <w:t xml:space="preserve">providing a range of housing and </w:t>
      </w:r>
      <w:r w:rsidRPr="00CF6A7F">
        <w:rPr>
          <w:lang w:val="en-AU"/>
        </w:rPr>
        <w:t>lifestyle options</w:t>
      </w:r>
      <w:r w:rsidR="0006625F" w:rsidRPr="00CF6A7F">
        <w:rPr>
          <w:lang w:val="en-AU"/>
        </w:rPr>
        <w:t>,</w:t>
      </w:r>
      <w:r w:rsidRPr="00CF6A7F">
        <w:rPr>
          <w:lang w:val="en-AU"/>
        </w:rPr>
        <w:t xml:space="preserve"> along with economic diversification and growth.</w:t>
      </w:r>
      <w:r w:rsidR="008A7BCC" w:rsidRPr="00CF6A7F">
        <w:rPr>
          <w:lang w:val="en-AU"/>
        </w:rPr>
        <w:t xml:space="preserve"> </w:t>
      </w:r>
    </w:p>
    <w:p w:rsidR="00D156F9" w:rsidRDefault="0087037D">
      <w:pPr>
        <w:pStyle w:val="Heading4"/>
      </w:pPr>
      <w:r w:rsidRPr="00CF6A7F">
        <w:t xml:space="preserve">Regional </w:t>
      </w:r>
      <w:r w:rsidR="004C2E21" w:rsidRPr="00CF6A7F">
        <w:t>l</w:t>
      </w:r>
      <w:r w:rsidRPr="00CF6A7F">
        <w:t xml:space="preserve">and </w:t>
      </w:r>
      <w:r w:rsidR="004C2E21" w:rsidRPr="00CF6A7F">
        <w:t>u</w:t>
      </w:r>
      <w:r w:rsidRPr="00CF6A7F">
        <w:t xml:space="preserve">se </w:t>
      </w:r>
      <w:r w:rsidR="00B74250" w:rsidRPr="00CF6A7F">
        <w:t xml:space="preserve">strategies </w:t>
      </w:r>
      <w:r w:rsidRPr="00CF6A7F">
        <w:t xml:space="preserve">and </w:t>
      </w:r>
      <w:r w:rsidR="004C2E21" w:rsidRPr="00CF6A7F">
        <w:t>a</w:t>
      </w:r>
      <w:r w:rsidRPr="00CF6A7F">
        <w:t>ctions</w:t>
      </w:r>
    </w:p>
    <w:p w:rsidR="00F6677C" w:rsidRPr="00CF6A7F" w:rsidRDefault="00F6677C" w:rsidP="00F6677C">
      <w:pPr>
        <w:pStyle w:val="btbullet"/>
        <w:rPr>
          <w:lang w:val="en-AU"/>
        </w:rPr>
      </w:pPr>
      <w:r w:rsidRPr="00CF6A7F">
        <w:rPr>
          <w:lang w:val="en-AU"/>
        </w:rPr>
        <w:t>Plan strategically for the most appropriate locations for rural residential growth in the hinterland areas of Mildura, Swan Hill and Echuca to maintain environmental sustainability and avoid impacts on future agricultural export potential</w:t>
      </w:r>
    </w:p>
    <w:p w:rsidR="00F6677C" w:rsidRPr="00CF6A7F" w:rsidRDefault="00F6677C" w:rsidP="00F6677C">
      <w:pPr>
        <w:pStyle w:val="btbullet"/>
        <w:rPr>
          <w:lang w:val="en-AU"/>
        </w:rPr>
      </w:pPr>
      <w:r w:rsidRPr="00CF6A7F">
        <w:rPr>
          <w:lang w:val="en-AU"/>
        </w:rPr>
        <w:t>Recognise and build on relationships between the Loddon Mallee North region and communities of interest in southern New South Wales, South Australia and adjoining Victorian regions</w:t>
      </w:r>
    </w:p>
    <w:p w:rsidR="00F6677C" w:rsidRPr="00CF6A7F" w:rsidRDefault="00F6677C" w:rsidP="00F6677C">
      <w:pPr>
        <w:pStyle w:val="btbullet"/>
        <w:rPr>
          <w:lang w:val="en-AU"/>
        </w:rPr>
      </w:pPr>
      <w:r w:rsidRPr="00CF6A7F">
        <w:rPr>
          <w:lang w:val="en-AU"/>
        </w:rPr>
        <w:t>Recognise and foster networks between smaller townships and communities to leverage access to regional services and investment</w:t>
      </w:r>
    </w:p>
    <w:p w:rsidR="0087037D" w:rsidRPr="00CF6A7F" w:rsidRDefault="0087037D" w:rsidP="0087037D">
      <w:pPr>
        <w:pStyle w:val="btbullet"/>
        <w:rPr>
          <w:lang w:val="en-AU"/>
        </w:rPr>
      </w:pPr>
      <w:r w:rsidRPr="00CF6A7F">
        <w:rPr>
          <w:lang w:val="en-AU"/>
        </w:rPr>
        <w:t>Recognise and support towns that are well located to provide an ongoing service centre role to maximise access to services for surrounding smaller settlements and rural areas</w:t>
      </w:r>
    </w:p>
    <w:p w:rsidR="00322AFE" w:rsidRPr="00CF6A7F" w:rsidRDefault="0087037D" w:rsidP="00322AFE">
      <w:pPr>
        <w:pStyle w:val="btbullet"/>
        <w:rPr>
          <w:lang w:val="en-AU"/>
        </w:rPr>
      </w:pPr>
      <w:r w:rsidRPr="00CF6A7F">
        <w:rPr>
          <w:lang w:val="en-AU"/>
        </w:rPr>
        <w:t>Ensure local planning policy frameworks identify regional, cross</w:t>
      </w:r>
      <w:r w:rsidR="00004612" w:rsidRPr="00CF6A7F">
        <w:rPr>
          <w:lang w:val="en-AU"/>
        </w:rPr>
        <w:t>-</w:t>
      </w:r>
      <w:r w:rsidRPr="00CF6A7F">
        <w:rPr>
          <w:lang w:val="en-AU"/>
        </w:rPr>
        <w:t>border and inter</w:t>
      </w:r>
      <w:r w:rsidR="00004612" w:rsidRPr="00CF6A7F">
        <w:rPr>
          <w:lang w:val="en-AU"/>
        </w:rPr>
        <w:t>-</w:t>
      </w:r>
      <w:r w:rsidRPr="00CF6A7F">
        <w:rPr>
          <w:lang w:val="en-AU"/>
        </w:rPr>
        <w:t>regional relationships and include measures to manage pressures, opportunities or constraints associated with these relationships and influences</w:t>
      </w:r>
    </w:p>
    <w:p w:rsidR="00322AFE" w:rsidRPr="00CF6A7F" w:rsidRDefault="00322AFE" w:rsidP="00322AFE">
      <w:pPr>
        <w:pStyle w:val="btbullet"/>
        <w:rPr>
          <w:lang w:val="en-AU"/>
        </w:rPr>
      </w:pPr>
      <w:r w:rsidRPr="00CF6A7F">
        <w:rPr>
          <w:lang w:val="en-AU"/>
        </w:rPr>
        <w:t>Support innovative approaches to the provision of housing that respond to the characteristics and requirements of populations</w:t>
      </w:r>
    </w:p>
    <w:p w:rsidR="00322AFE" w:rsidRPr="00CF6A7F" w:rsidRDefault="00322AFE" w:rsidP="00322AFE">
      <w:pPr>
        <w:pStyle w:val="btbullet"/>
        <w:rPr>
          <w:lang w:val="en-AU"/>
        </w:rPr>
      </w:pPr>
      <w:r w:rsidRPr="00CF6A7F">
        <w:rPr>
          <w:lang w:val="en-AU"/>
        </w:rPr>
        <w:t>Encourage community-based planning approaches in conjunction with land use planning policy to support and manage change in areas of population decrease, to capitalise on local opportunities and respond to constraints</w:t>
      </w:r>
    </w:p>
    <w:p w:rsidR="0087037D" w:rsidRPr="00CF6A7F" w:rsidRDefault="0087037D" w:rsidP="0087037D">
      <w:pPr>
        <w:pStyle w:val="Heading2"/>
        <w:rPr>
          <w:lang w:val="en-AU"/>
        </w:rPr>
      </w:pPr>
      <w:bookmarkStart w:id="72" w:name="_Toc358363409"/>
      <w:bookmarkStart w:id="73" w:name="_Toc358363553"/>
      <w:bookmarkStart w:id="74" w:name="_Toc358363689"/>
      <w:bookmarkStart w:id="75" w:name="_Toc358363991"/>
      <w:bookmarkStart w:id="76" w:name="_Toc377031461"/>
      <w:bookmarkEnd w:id="72"/>
      <w:bookmarkEnd w:id="73"/>
      <w:bookmarkEnd w:id="74"/>
      <w:bookmarkEnd w:id="75"/>
      <w:r w:rsidRPr="00CF6A7F">
        <w:rPr>
          <w:lang w:val="en-AU"/>
        </w:rPr>
        <w:t xml:space="preserve">Mallee </w:t>
      </w:r>
      <w:r w:rsidR="004C2E21" w:rsidRPr="00CF6A7F">
        <w:rPr>
          <w:lang w:val="en-AU"/>
        </w:rPr>
        <w:t>c</w:t>
      </w:r>
      <w:r w:rsidRPr="00CF6A7F">
        <w:rPr>
          <w:lang w:val="en-AU"/>
        </w:rPr>
        <w:t xml:space="preserve">ommunity of </w:t>
      </w:r>
      <w:r w:rsidR="004C2E21" w:rsidRPr="00CF6A7F">
        <w:rPr>
          <w:lang w:val="en-AU"/>
        </w:rPr>
        <w:t>i</w:t>
      </w:r>
      <w:r w:rsidRPr="00CF6A7F">
        <w:rPr>
          <w:lang w:val="en-AU"/>
        </w:rPr>
        <w:t>nterest</w:t>
      </w:r>
      <w:bookmarkEnd w:id="76"/>
    </w:p>
    <w:p w:rsidR="0087037D" w:rsidRPr="00CF6A7F" w:rsidRDefault="003C67DD" w:rsidP="00933BAB">
      <w:pPr>
        <w:pStyle w:val="Heading3"/>
        <w:rPr>
          <w:lang w:val="en-AU"/>
        </w:rPr>
      </w:pPr>
      <w:r w:rsidRPr="00CF6A7F">
        <w:rPr>
          <w:lang w:val="en-AU"/>
        </w:rPr>
        <w:t xml:space="preserve">Mildura </w:t>
      </w:r>
      <w:r w:rsidR="0071021D">
        <w:rPr>
          <w:lang w:val="en-AU"/>
        </w:rPr>
        <w:t>–</w:t>
      </w:r>
      <w:r w:rsidR="0071021D" w:rsidRPr="00CF6A7F">
        <w:rPr>
          <w:lang w:val="en-AU"/>
        </w:rPr>
        <w:t xml:space="preserve"> </w:t>
      </w:r>
      <w:r w:rsidRPr="00CF6A7F">
        <w:rPr>
          <w:lang w:val="en-AU"/>
        </w:rPr>
        <w:t>regional c</w:t>
      </w:r>
      <w:r w:rsidR="0087037D" w:rsidRPr="00CF6A7F">
        <w:rPr>
          <w:lang w:val="en-AU"/>
        </w:rPr>
        <w:t>ity</w:t>
      </w:r>
    </w:p>
    <w:p w:rsidR="0087037D" w:rsidRPr="00CF6A7F" w:rsidRDefault="0087037D" w:rsidP="0087037D">
      <w:pPr>
        <w:pStyle w:val="bt"/>
        <w:rPr>
          <w:lang w:val="en-AU"/>
        </w:rPr>
      </w:pPr>
      <w:r w:rsidRPr="00CF6A7F">
        <w:rPr>
          <w:lang w:val="en-AU"/>
        </w:rPr>
        <w:t xml:space="preserve">Mildura is a regional city of state </w:t>
      </w:r>
      <w:r w:rsidR="009F0010" w:rsidRPr="00CF6A7F">
        <w:rPr>
          <w:lang w:val="en-AU"/>
        </w:rPr>
        <w:t>significance</w:t>
      </w:r>
      <w:r w:rsidR="008C6669" w:rsidRPr="00CF6A7F">
        <w:rPr>
          <w:lang w:val="en-AU"/>
        </w:rPr>
        <w:t xml:space="preserve"> </w:t>
      </w:r>
      <w:r w:rsidRPr="00CF6A7F">
        <w:rPr>
          <w:lang w:val="en-AU"/>
        </w:rPr>
        <w:t xml:space="preserve">that commands a substantial hinterland. It is strategically located on the Murray River between Melbourne, Adelaide and Sydney at the junction of the Calder and Sturt </w:t>
      </w:r>
      <w:r w:rsidR="004C2E21" w:rsidRPr="00CF6A7F">
        <w:rPr>
          <w:lang w:val="en-AU"/>
        </w:rPr>
        <w:t>h</w:t>
      </w:r>
      <w:r w:rsidRPr="00CF6A7F">
        <w:rPr>
          <w:lang w:val="en-AU"/>
        </w:rPr>
        <w:t xml:space="preserve">ighways. It has connections to the rail freight network for Victorian and interstate services and to the ports of Melbourne, Geelong and Portland. It is also the location of a major regional airport. </w:t>
      </w:r>
    </w:p>
    <w:p w:rsidR="0087037D" w:rsidRPr="00CF6A7F" w:rsidRDefault="0087037D" w:rsidP="0087037D">
      <w:pPr>
        <w:pStyle w:val="bt"/>
        <w:rPr>
          <w:lang w:val="en-AU"/>
        </w:rPr>
      </w:pPr>
      <w:r w:rsidRPr="00CF6A7F">
        <w:rPr>
          <w:lang w:val="en-AU"/>
        </w:rPr>
        <w:t>Mildura’s sphere of influence extends to Broken Hill, Robinvale, Ouyen and the South Australian border. The city will remain the primary urban centre in the Mallee community of intere</w:t>
      </w:r>
      <w:r w:rsidR="003C67DD" w:rsidRPr="00CF6A7F">
        <w:rPr>
          <w:lang w:val="en-AU"/>
        </w:rPr>
        <w:t>st and the Loddon Mallee North r</w:t>
      </w:r>
      <w:r w:rsidRPr="00CF6A7F">
        <w:rPr>
          <w:lang w:val="en-AU"/>
        </w:rPr>
        <w:t xml:space="preserve">egion, providing higher order health, education, retail and government services. Smaller centres in close proximity to Mildura such as Red Cliffs, Irymple and Merbein in Victoria and Wentworth, Buronga and </w:t>
      </w:r>
      <w:proofErr w:type="spellStart"/>
      <w:r w:rsidRPr="00CF6A7F">
        <w:rPr>
          <w:lang w:val="en-AU"/>
        </w:rPr>
        <w:t>Gol</w:t>
      </w:r>
      <w:proofErr w:type="spellEnd"/>
      <w:r w:rsidRPr="00CF6A7F">
        <w:rPr>
          <w:lang w:val="en-AU"/>
        </w:rPr>
        <w:t xml:space="preserve"> </w:t>
      </w:r>
      <w:proofErr w:type="spellStart"/>
      <w:r w:rsidRPr="00CF6A7F">
        <w:rPr>
          <w:lang w:val="en-AU"/>
        </w:rPr>
        <w:t>Gol</w:t>
      </w:r>
      <w:proofErr w:type="spellEnd"/>
      <w:r w:rsidRPr="00CF6A7F">
        <w:rPr>
          <w:lang w:val="en-AU"/>
        </w:rPr>
        <w:t xml:space="preserve"> in New South Wales will continue to service their local communities while maintaining strong linkages with Mildura. </w:t>
      </w:r>
    </w:p>
    <w:p w:rsidR="0087037D" w:rsidRPr="00CF6A7F" w:rsidRDefault="0087037D" w:rsidP="0087037D">
      <w:pPr>
        <w:pStyle w:val="bt"/>
        <w:rPr>
          <w:lang w:val="en-AU"/>
        </w:rPr>
      </w:pPr>
      <w:r w:rsidRPr="00CF6A7F">
        <w:rPr>
          <w:lang w:val="en-AU"/>
        </w:rPr>
        <w:t xml:space="preserve">Mildura </w:t>
      </w:r>
      <w:r w:rsidR="0006625F" w:rsidRPr="00CF6A7F">
        <w:rPr>
          <w:lang w:val="en-AU"/>
        </w:rPr>
        <w:t>A</w:t>
      </w:r>
      <w:r w:rsidRPr="00CF6A7F">
        <w:rPr>
          <w:lang w:val="en-AU"/>
        </w:rPr>
        <w:t xml:space="preserve">irport is the third busiest </w:t>
      </w:r>
      <w:r w:rsidR="003F7260" w:rsidRPr="00CF6A7F">
        <w:rPr>
          <w:lang w:val="en-AU"/>
        </w:rPr>
        <w:t xml:space="preserve">airport </w:t>
      </w:r>
      <w:r w:rsidRPr="00CF6A7F">
        <w:rPr>
          <w:lang w:val="en-AU"/>
        </w:rPr>
        <w:t xml:space="preserve">in the state. The accessibility of Mildura to Melbourne and Adelaide via daily scheduled passenger services enhances relationships with these </w:t>
      </w:r>
      <w:r w:rsidR="0006625F" w:rsidRPr="00CF6A7F">
        <w:rPr>
          <w:lang w:val="en-AU"/>
        </w:rPr>
        <w:t>capital cities</w:t>
      </w:r>
      <w:r w:rsidRPr="00CF6A7F">
        <w:rPr>
          <w:lang w:val="en-AU"/>
        </w:rPr>
        <w:t xml:space="preserve"> and increases opportunities for integration </w:t>
      </w:r>
      <w:r w:rsidR="0006625F" w:rsidRPr="00CF6A7F">
        <w:rPr>
          <w:lang w:val="en-AU"/>
        </w:rPr>
        <w:t>with</w:t>
      </w:r>
      <w:r w:rsidRPr="00CF6A7F">
        <w:rPr>
          <w:lang w:val="en-AU"/>
        </w:rPr>
        <w:t xml:space="preserve"> the economy and workforce of Mildura and the Mallee community of interest. Agriculture and associated industry will continue to be a key economic driver. </w:t>
      </w:r>
    </w:p>
    <w:p w:rsidR="0087037D" w:rsidRPr="00CF6A7F" w:rsidRDefault="0087037D" w:rsidP="0087037D">
      <w:pPr>
        <w:pStyle w:val="bt"/>
        <w:rPr>
          <w:lang w:val="en-AU"/>
        </w:rPr>
      </w:pPr>
      <w:r w:rsidRPr="00CF6A7F">
        <w:rPr>
          <w:lang w:val="en-AU"/>
        </w:rPr>
        <w:t>In the future</w:t>
      </w:r>
      <w:r w:rsidR="003F7260" w:rsidRPr="00CF6A7F">
        <w:rPr>
          <w:lang w:val="en-AU"/>
        </w:rPr>
        <w:t>,</w:t>
      </w:r>
      <w:r w:rsidRPr="00CF6A7F">
        <w:rPr>
          <w:lang w:val="en-AU"/>
        </w:rPr>
        <w:t xml:space="preserve"> Mildura will have an expanded role as a tourism destination, recreation centre and service provider. Expansion of health and education services should be encouraged and attracting new business and employment will be important. An adequate supply of serviced industrial land has been provided through implementation of the </w:t>
      </w:r>
      <w:r w:rsidR="003B55D4" w:rsidRPr="00CF6A7F">
        <w:rPr>
          <w:lang w:val="en-AU"/>
        </w:rPr>
        <w:t>Industrial Land Strategy Update (2006)</w:t>
      </w:r>
      <w:r w:rsidRPr="00CF6A7F">
        <w:rPr>
          <w:lang w:val="en-AU"/>
        </w:rPr>
        <w:t xml:space="preserve"> at </w:t>
      </w:r>
      <w:proofErr w:type="spellStart"/>
      <w:r w:rsidRPr="00CF6A7F">
        <w:rPr>
          <w:lang w:val="en-AU"/>
        </w:rPr>
        <w:t>Benetook</w:t>
      </w:r>
      <w:proofErr w:type="spellEnd"/>
      <w:r w:rsidRPr="00CF6A7F">
        <w:rPr>
          <w:lang w:val="en-AU"/>
        </w:rPr>
        <w:t xml:space="preserve"> Avenue, in the Mildura Airport Business Park precinct and at the </w:t>
      </w:r>
      <w:proofErr w:type="spellStart"/>
      <w:r w:rsidRPr="00CF6A7F">
        <w:rPr>
          <w:lang w:val="en-AU"/>
        </w:rPr>
        <w:t>Thurla</w:t>
      </w:r>
      <w:proofErr w:type="spellEnd"/>
      <w:r w:rsidRPr="00CF6A7F">
        <w:rPr>
          <w:lang w:val="en-AU"/>
        </w:rPr>
        <w:t xml:space="preserve"> Industrial Estate in Red Cliffs.</w:t>
      </w:r>
    </w:p>
    <w:p w:rsidR="00C90600" w:rsidRPr="00CF6A7F" w:rsidRDefault="00961F86" w:rsidP="0087037D">
      <w:pPr>
        <w:pStyle w:val="bt"/>
        <w:rPr>
          <w:lang w:val="en-AU"/>
        </w:rPr>
      </w:pPr>
      <w:r w:rsidRPr="00CF6A7F">
        <w:rPr>
          <w:lang w:val="en-AU"/>
        </w:rPr>
        <w:lastRenderedPageBreak/>
        <w:t xml:space="preserve">As part of the Urban Development Program, a </w:t>
      </w:r>
      <w:r w:rsidR="00E34AE7">
        <w:rPr>
          <w:lang w:val="en-AU"/>
        </w:rPr>
        <w:t>r</w:t>
      </w:r>
      <w:r w:rsidR="00E34AE7" w:rsidRPr="00CF6A7F">
        <w:rPr>
          <w:lang w:val="en-AU"/>
        </w:rPr>
        <w:t xml:space="preserve">egional </w:t>
      </w:r>
      <w:r w:rsidR="00E34AE7">
        <w:rPr>
          <w:lang w:val="en-AU"/>
        </w:rPr>
        <w:t>r</w:t>
      </w:r>
      <w:r w:rsidR="00E34AE7" w:rsidRPr="00CF6A7F">
        <w:rPr>
          <w:lang w:val="en-AU"/>
        </w:rPr>
        <w:t xml:space="preserve">esidential </w:t>
      </w:r>
      <w:r w:rsidR="00E34AE7">
        <w:rPr>
          <w:lang w:val="en-AU"/>
        </w:rPr>
        <w:t>r</w:t>
      </w:r>
      <w:r w:rsidR="00E34AE7" w:rsidRPr="00CF6A7F">
        <w:rPr>
          <w:lang w:val="en-AU"/>
        </w:rPr>
        <w:t>eport</w:t>
      </w:r>
      <w:r w:rsidR="00A45C0C" w:rsidRPr="00CF6A7F">
        <w:rPr>
          <w:rStyle w:val="FootnoteReference"/>
          <w:lang w:val="en-AU"/>
        </w:rPr>
        <w:footnoteReference w:id="11"/>
      </w:r>
      <w:r w:rsidR="00A45C0C" w:rsidRPr="00CF6A7F">
        <w:rPr>
          <w:lang w:val="en-AU"/>
        </w:rPr>
        <w:t xml:space="preserve"> has been prepared document</w:t>
      </w:r>
      <w:r w:rsidR="0006625F" w:rsidRPr="00CF6A7F">
        <w:rPr>
          <w:lang w:val="en-AU"/>
        </w:rPr>
        <w:t>ing</w:t>
      </w:r>
      <w:r w:rsidR="00A45C0C" w:rsidRPr="00CF6A7F">
        <w:rPr>
          <w:lang w:val="en-AU"/>
        </w:rPr>
        <w:t xml:space="preserve"> the findings of an analysis of supply and demand for residential land in Mildura. Based on </w:t>
      </w:r>
      <w:r w:rsidR="003B55D4" w:rsidRPr="00CF6A7F">
        <w:rPr>
          <w:lang w:val="en-AU"/>
        </w:rPr>
        <w:t>Victoria in Future 2012</w:t>
      </w:r>
      <w:r w:rsidR="00A45C0C" w:rsidRPr="00CF6A7F">
        <w:rPr>
          <w:lang w:val="en-AU"/>
        </w:rPr>
        <w:t xml:space="preserve"> projections, the Rural City of Mildura currently has in excess of 15 years</w:t>
      </w:r>
      <w:r w:rsidR="00D01757">
        <w:rPr>
          <w:lang w:val="en-AU"/>
        </w:rPr>
        <w:t>’</w:t>
      </w:r>
      <w:r w:rsidR="00A45C0C" w:rsidRPr="00CF6A7F">
        <w:rPr>
          <w:lang w:val="en-AU"/>
        </w:rPr>
        <w:t xml:space="preserve"> supply of zoned residential land stocks across the municipality</w:t>
      </w:r>
      <w:r w:rsidR="0006625F" w:rsidRPr="00CF6A7F">
        <w:rPr>
          <w:lang w:val="en-AU"/>
        </w:rPr>
        <w:t xml:space="preserve">, </w:t>
      </w:r>
      <w:r w:rsidR="00A6167A" w:rsidRPr="00CF6A7F">
        <w:rPr>
          <w:lang w:val="en-AU"/>
        </w:rPr>
        <w:t>although it</w:t>
      </w:r>
      <w:r w:rsidR="00A45C0C" w:rsidRPr="00CF6A7F">
        <w:rPr>
          <w:lang w:val="en-AU"/>
        </w:rPr>
        <w:t xml:space="preserve"> only </w:t>
      </w:r>
      <w:r w:rsidR="0006625F" w:rsidRPr="00CF6A7F">
        <w:rPr>
          <w:lang w:val="en-AU"/>
        </w:rPr>
        <w:t>has seven</w:t>
      </w:r>
      <w:r w:rsidR="00A45C0C" w:rsidRPr="00CF6A7F">
        <w:rPr>
          <w:lang w:val="en-AU"/>
        </w:rPr>
        <w:t xml:space="preserve"> years of future or unzoned land stocks.</w:t>
      </w:r>
      <w:r w:rsidR="00C90600" w:rsidRPr="00CF6A7F">
        <w:rPr>
          <w:lang w:val="en-AU"/>
        </w:rPr>
        <w:t xml:space="preserve"> </w:t>
      </w:r>
    </w:p>
    <w:p w:rsidR="0087037D" w:rsidRPr="00CF6A7F" w:rsidRDefault="003F7260" w:rsidP="0087037D">
      <w:pPr>
        <w:pStyle w:val="bt"/>
        <w:rPr>
          <w:lang w:val="en-AU"/>
        </w:rPr>
      </w:pPr>
      <w:r w:rsidRPr="00CF6A7F">
        <w:rPr>
          <w:lang w:val="en-AU"/>
        </w:rPr>
        <w:t>Major projects r</w:t>
      </w:r>
      <w:r w:rsidR="0087037D" w:rsidRPr="00CF6A7F">
        <w:rPr>
          <w:lang w:val="en-AU"/>
        </w:rPr>
        <w:t xml:space="preserve">ecently completed </w:t>
      </w:r>
      <w:r w:rsidRPr="00CF6A7F">
        <w:rPr>
          <w:lang w:val="en-AU"/>
        </w:rPr>
        <w:t>or currently underway</w:t>
      </w:r>
      <w:r w:rsidR="0087037D" w:rsidRPr="00CF6A7F">
        <w:rPr>
          <w:lang w:val="en-AU"/>
        </w:rPr>
        <w:t xml:space="preserve"> include:</w:t>
      </w:r>
    </w:p>
    <w:p w:rsidR="0087037D" w:rsidRPr="00CF6A7F" w:rsidRDefault="0006625F" w:rsidP="0087037D">
      <w:pPr>
        <w:pStyle w:val="btbullet"/>
        <w:rPr>
          <w:lang w:val="en-AU"/>
        </w:rPr>
      </w:pPr>
      <w:r w:rsidRPr="00CF6A7F">
        <w:rPr>
          <w:lang w:val="en-AU"/>
        </w:rPr>
        <w:t>u</w:t>
      </w:r>
      <w:r w:rsidR="0087037D" w:rsidRPr="00CF6A7F">
        <w:rPr>
          <w:lang w:val="en-AU"/>
        </w:rPr>
        <w:t>pgrade of the Mildura Base Hospital</w:t>
      </w:r>
    </w:p>
    <w:p w:rsidR="0087037D" w:rsidRPr="00CF6A7F" w:rsidRDefault="0006625F" w:rsidP="0087037D">
      <w:pPr>
        <w:pStyle w:val="btbullet"/>
        <w:rPr>
          <w:lang w:val="en-AU"/>
        </w:rPr>
      </w:pPr>
      <w:r w:rsidRPr="00CF6A7F">
        <w:rPr>
          <w:lang w:val="en-AU"/>
        </w:rPr>
        <w:t>c</w:t>
      </w:r>
      <w:r w:rsidR="0087037D" w:rsidRPr="00CF6A7F">
        <w:rPr>
          <w:lang w:val="en-AU"/>
        </w:rPr>
        <w:t xml:space="preserve">onstruction of a grid-connected solar power station </w:t>
      </w:r>
    </w:p>
    <w:p w:rsidR="0087037D" w:rsidRPr="00CF6A7F" w:rsidRDefault="0087037D" w:rsidP="0087037D">
      <w:pPr>
        <w:pStyle w:val="btbullet"/>
        <w:rPr>
          <w:lang w:val="en-AU"/>
        </w:rPr>
      </w:pPr>
      <w:r w:rsidRPr="00CF6A7F">
        <w:rPr>
          <w:lang w:val="en-AU"/>
        </w:rPr>
        <w:t xml:space="preserve">Mildura </w:t>
      </w:r>
      <w:r w:rsidR="0006625F" w:rsidRPr="00CF6A7F">
        <w:rPr>
          <w:lang w:val="en-AU"/>
        </w:rPr>
        <w:t>A</w:t>
      </w:r>
      <w:r w:rsidRPr="00CF6A7F">
        <w:rPr>
          <w:lang w:val="en-AU"/>
        </w:rPr>
        <w:t>irport upgrade.</w:t>
      </w:r>
    </w:p>
    <w:p w:rsidR="001114ED" w:rsidRPr="00CF6A7F" w:rsidRDefault="004C2E21" w:rsidP="0087037D">
      <w:pPr>
        <w:pStyle w:val="bt"/>
        <w:rPr>
          <w:lang w:val="en-AU"/>
        </w:rPr>
      </w:pPr>
      <w:r w:rsidRPr="00CF6A7F">
        <w:rPr>
          <w:lang w:val="en-AU"/>
        </w:rPr>
        <w:t>High g</w:t>
      </w:r>
      <w:r w:rsidR="0087037D" w:rsidRPr="00CF6A7F">
        <w:rPr>
          <w:lang w:val="en-AU"/>
        </w:rPr>
        <w:t>rowth</w:t>
      </w:r>
      <w:r w:rsidRPr="00CF6A7F">
        <w:rPr>
          <w:lang w:val="en-AU"/>
        </w:rPr>
        <w:t xml:space="preserve"> scenario</w:t>
      </w:r>
      <w:r w:rsidR="0095148A" w:rsidRPr="00CF6A7F">
        <w:rPr>
          <w:lang w:val="en-AU"/>
        </w:rPr>
        <w:t xml:space="preserve"> projections to 2030 indicate</w:t>
      </w:r>
      <w:r w:rsidR="0087037D" w:rsidRPr="00CF6A7F">
        <w:rPr>
          <w:lang w:val="en-AU"/>
        </w:rPr>
        <w:t xml:space="preserve"> Mildura will need an additional 500 dwellings per annum. The majority of this residential growth will be in the existing and expanded urban area in Mildura, Mildura South and Irymple. Irymple, Merbein and Red Cliffs have sufficient zoned land to meet long</w:t>
      </w:r>
      <w:r w:rsidR="0006625F" w:rsidRPr="00CF6A7F">
        <w:rPr>
          <w:lang w:val="en-AU"/>
        </w:rPr>
        <w:t>-</w:t>
      </w:r>
      <w:r w:rsidR="0087037D" w:rsidRPr="00CF6A7F">
        <w:rPr>
          <w:lang w:val="en-AU"/>
        </w:rPr>
        <w:t xml:space="preserve">term growth projections. </w:t>
      </w:r>
      <w:r w:rsidR="00D01757" w:rsidRPr="00CF6A7F">
        <w:rPr>
          <w:lang w:val="en-AU"/>
        </w:rPr>
        <w:t>Long</w:t>
      </w:r>
      <w:r w:rsidR="00D01757">
        <w:rPr>
          <w:lang w:val="en-AU"/>
        </w:rPr>
        <w:t>-</w:t>
      </w:r>
      <w:r w:rsidR="0087037D" w:rsidRPr="00CF6A7F">
        <w:rPr>
          <w:lang w:val="en-AU"/>
        </w:rPr>
        <w:t xml:space="preserve">term opportunities for population growth </w:t>
      </w:r>
      <w:r w:rsidR="00B65FC7">
        <w:rPr>
          <w:lang w:val="en-AU"/>
        </w:rPr>
        <w:t>will be</w:t>
      </w:r>
      <w:r w:rsidR="0087037D" w:rsidRPr="00CF6A7F">
        <w:rPr>
          <w:lang w:val="en-AU"/>
        </w:rPr>
        <w:t xml:space="preserve"> iden</w:t>
      </w:r>
      <w:r w:rsidR="00D22A2A" w:rsidRPr="00CF6A7F">
        <w:rPr>
          <w:lang w:val="en-AU"/>
        </w:rPr>
        <w:t xml:space="preserve">tified in the </w:t>
      </w:r>
      <w:r w:rsidR="003B55D4" w:rsidRPr="00CF6A7F">
        <w:rPr>
          <w:lang w:val="en-AU"/>
        </w:rPr>
        <w:t>Mildura Housing and Settlement Strategy</w:t>
      </w:r>
      <w:r w:rsidR="00B65FC7">
        <w:rPr>
          <w:lang w:val="en-AU"/>
        </w:rPr>
        <w:t xml:space="preserve"> (currently under preparation)</w:t>
      </w:r>
      <w:r w:rsidR="0087037D" w:rsidRPr="00CF6A7F">
        <w:rPr>
          <w:lang w:val="en-AU"/>
        </w:rPr>
        <w:t xml:space="preserve">. </w:t>
      </w:r>
    </w:p>
    <w:p w:rsidR="0087037D" w:rsidRPr="00CF6A7F" w:rsidRDefault="0087037D" w:rsidP="0087037D">
      <w:pPr>
        <w:pStyle w:val="bt"/>
        <w:rPr>
          <w:lang w:val="en-AU"/>
        </w:rPr>
      </w:pPr>
      <w:r w:rsidRPr="00CF6A7F">
        <w:rPr>
          <w:lang w:val="en-AU"/>
        </w:rPr>
        <w:t>Land use planning that considers these centres as a strongly networked community should be supported. Expansion of the urban area will need to consider the timing and provision of appropriate infrastructure, particularly stormwater</w:t>
      </w:r>
      <w:r w:rsidR="003F7260" w:rsidRPr="00CF6A7F">
        <w:rPr>
          <w:lang w:val="en-AU"/>
        </w:rPr>
        <w:t xml:space="preserve"> drainage</w:t>
      </w:r>
      <w:r w:rsidRPr="00CF6A7F">
        <w:rPr>
          <w:lang w:val="en-AU"/>
        </w:rPr>
        <w:t xml:space="preserve">, protecting the operations of the Mildura </w:t>
      </w:r>
      <w:r w:rsidR="0006625F" w:rsidRPr="00CF6A7F">
        <w:rPr>
          <w:lang w:val="en-AU"/>
        </w:rPr>
        <w:t>A</w:t>
      </w:r>
      <w:r w:rsidRPr="00CF6A7F">
        <w:rPr>
          <w:lang w:val="en-AU"/>
        </w:rPr>
        <w:t>irport and the</w:t>
      </w:r>
      <w:r w:rsidR="00AB2EEE" w:rsidRPr="00CF6A7F">
        <w:rPr>
          <w:lang w:val="en-AU"/>
        </w:rPr>
        <w:t xml:space="preserve"> needs of an ageing population.</w:t>
      </w:r>
      <w:r w:rsidR="006E15ED" w:rsidRPr="00CF6A7F">
        <w:rPr>
          <w:lang w:val="en-AU"/>
        </w:rPr>
        <w:t xml:space="preserve"> It will also need to consider the natural hazards associated with the urban area, in particular </w:t>
      </w:r>
      <w:r w:rsidR="00BE3F0D">
        <w:rPr>
          <w:lang w:val="en-AU"/>
        </w:rPr>
        <w:t>flood</w:t>
      </w:r>
      <w:r w:rsidR="006E15ED" w:rsidRPr="00CF6A7F">
        <w:rPr>
          <w:lang w:val="en-AU"/>
        </w:rPr>
        <w:t xml:space="preserve"> and salinity.</w:t>
      </w:r>
    </w:p>
    <w:p w:rsidR="00F164FB" w:rsidRPr="00BA45FA" w:rsidRDefault="00D81C28" w:rsidP="00134771">
      <w:pPr>
        <w:pStyle w:val="bt"/>
        <w:rPr>
          <w:b/>
          <w:lang w:val="en-AU"/>
        </w:rPr>
      </w:pPr>
      <w:bookmarkStart w:id="77" w:name="_Ref229928956"/>
      <w:bookmarkStart w:id="78" w:name="_Toc358365468"/>
      <w:bookmarkStart w:id="79" w:name="_Toc375052102"/>
      <w:r w:rsidRPr="00CF6A7F">
        <w:rPr>
          <w:lang w:val="en-AU"/>
        </w:rPr>
        <w:t xml:space="preserve">Map </w:t>
      </w:r>
      <w:bookmarkEnd w:id="77"/>
      <w:r w:rsidR="003652DE">
        <w:rPr>
          <w:lang w:val="en-AU"/>
        </w:rPr>
        <w:t xml:space="preserve">8 </w:t>
      </w:r>
      <w:r w:rsidR="00134771">
        <w:t xml:space="preserve">is located here in the document and it shows </w:t>
      </w:r>
      <w:r w:rsidR="00134771" w:rsidRPr="00CF6A7F">
        <w:rPr>
          <w:lang w:val="en-AU"/>
        </w:rPr>
        <w:t>future land use directions for Mildura</w:t>
      </w:r>
      <w:r w:rsidR="00134771">
        <w:t xml:space="preserve"> -</w:t>
      </w:r>
      <w:r w:rsidR="00AE2979">
        <w:rPr>
          <w:lang w:val="en-AU"/>
        </w:rPr>
        <w:t xml:space="preserve"> </w:t>
      </w:r>
      <w:r w:rsidR="003F3C49" w:rsidRPr="00BA45FA">
        <w:rPr>
          <w:lang w:val="en-AU"/>
        </w:rPr>
        <w:t xml:space="preserve">Mildura </w:t>
      </w:r>
      <w:r w:rsidR="00F164FB" w:rsidRPr="00BA45FA">
        <w:rPr>
          <w:lang w:val="en-AU"/>
        </w:rPr>
        <w:t>framework</w:t>
      </w:r>
      <w:r w:rsidR="0006625F" w:rsidRPr="00BA45FA">
        <w:rPr>
          <w:lang w:val="en-AU"/>
        </w:rPr>
        <w:t xml:space="preserve"> </w:t>
      </w:r>
      <w:bookmarkEnd w:id="78"/>
      <w:r w:rsidR="003F3C49" w:rsidRPr="00BA45FA">
        <w:rPr>
          <w:lang w:val="en-AU"/>
        </w:rPr>
        <w:t>plan</w:t>
      </w:r>
      <w:bookmarkEnd w:id="79"/>
    </w:p>
    <w:p w:rsidR="0087037D" w:rsidRPr="00CF6A7F" w:rsidRDefault="0087037D" w:rsidP="00933BAB">
      <w:pPr>
        <w:pStyle w:val="Heading3"/>
        <w:rPr>
          <w:lang w:val="en-AU"/>
        </w:rPr>
      </w:pPr>
      <w:r w:rsidRPr="00CF6A7F">
        <w:rPr>
          <w:lang w:val="en-AU"/>
        </w:rPr>
        <w:t>Mallee towns and rural settlements</w:t>
      </w:r>
    </w:p>
    <w:p w:rsidR="0087037D" w:rsidRPr="00CF6A7F" w:rsidRDefault="0087037D" w:rsidP="0087037D">
      <w:pPr>
        <w:pStyle w:val="bt"/>
        <w:rPr>
          <w:lang w:val="en-AU"/>
        </w:rPr>
      </w:pPr>
      <w:r w:rsidRPr="00CF6A7F">
        <w:rPr>
          <w:lang w:val="en-AU"/>
        </w:rPr>
        <w:t>Ouyen is located south of Mildura in the heart of the Mallee and is a service hub for a number of small rural settlements and a widely dispersed farming community. It is also a base for accessing and exploring the nearby Wyperfeld, Hattah-Kulkyne and Murray</w:t>
      </w:r>
      <w:r w:rsidR="002A74FB">
        <w:rPr>
          <w:lang w:val="en-AU"/>
        </w:rPr>
        <w:t>-</w:t>
      </w:r>
      <w:r w:rsidRPr="00CF6A7F">
        <w:rPr>
          <w:lang w:val="en-AU"/>
        </w:rPr>
        <w:t xml:space="preserve">Sunset </w:t>
      </w:r>
      <w:r w:rsidR="00495299" w:rsidRPr="00CF6A7F">
        <w:rPr>
          <w:lang w:val="en-AU"/>
        </w:rPr>
        <w:t>n</w:t>
      </w:r>
      <w:r w:rsidRPr="00CF6A7F">
        <w:rPr>
          <w:lang w:val="en-AU"/>
        </w:rPr>
        <w:t xml:space="preserve">ational </w:t>
      </w:r>
      <w:r w:rsidR="00495299" w:rsidRPr="00CF6A7F">
        <w:rPr>
          <w:lang w:val="en-AU"/>
        </w:rPr>
        <w:t>p</w:t>
      </w:r>
      <w:r w:rsidRPr="00CF6A7F">
        <w:rPr>
          <w:lang w:val="en-AU"/>
        </w:rPr>
        <w:t xml:space="preserve">arks. </w:t>
      </w:r>
    </w:p>
    <w:p w:rsidR="0087037D" w:rsidRPr="00CF6A7F" w:rsidRDefault="0087037D" w:rsidP="0087037D">
      <w:pPr>
        <w:pStyle w:val="bt"/>
        <w:rPr>
          <w:lang w:val="en-AU"/>
        </w:rPr>
      </w:pPr>
      <w:r w:rsidRPr="00CF6A7F">
        <w:rPr>
          <w:lang w:val="en-AU"/>
        </w:rPr>
        <w:t>Transportation and freight movement play a key role in the economy of Ouyen, which is an important transport node at the confluence of the Mallee Highway between Adelaide and Sydney and the Calder Highway from Melbourne to Mildura. Freight includes agricultural inputs, grain and mineral sands from mines close to Ouyen destined for processing near Hamilton. Maintenance and enhancement of transport and freight infrastructure will be important for the future of these industries.</w:t>
      </w:r>
    </w:p>
    <w:p w:rsidR="0087037D" w:rsidRPr="00CF6A7F" w:rsidRDefault="0087037D" w:rsidP="0087037D">
      <w:pPr>
        <w:pStyle w:val="bt"/>
        <w:rPr>
          <w:lang w:val="en-AU"/>
        </w:rPr>
      </w:pPr>
      <w:r w:rsidRPr="00CF6A7F">
        <w:rPr>
          <w:lang w:val="en-AU"/>
        </w:rPr>
        <w:t xml:space="preserve">Ouyen has a more than adequate supply of land to accommodate projected </w:t>
      </w:r>
      <w:r w:rsidR="00C52C96" w:rsidRPr="00CF6A7F">
        <w:rPr>
          <w:lang w:val="en-AU"/>
        </w:rPr>
        <w:t xml:space="preserve">low </w:t>
      </w:r>
      <w:r w:rsidRPr="00CF6A7F">
        <w:rPr>
          <w:lang w:val="en-AU"/>
        </w:rPr>
        <w:t>demand to 2030. A key challenge for Ouyen is a mismatch between the available housing stock and the needs of an ageing population. There is a need to provide affordable, safe and suitable housing, particularly rental stock, for new and current residents. Lack of return on capital investment is a significant barrier to refurbishment of the existing housing stock or investment in housing for the aged.</w:t>
      </w:r>
    </w:p>
    <w:p w:rsidR="0087037D" w:rsidRPr="00CF6A7F" w:rsidRDefault="0087037D" w:rsidP="0087037D">
      <w:pPr>
        <w:pStyle w:val="bt"/>
        <w:rPr>
          <w:lang w:val="en-AU"/>
        </w:rPr>
      </w:pPr>
      <w:r w:rsidRPr="00CF6A7F">
        <w:rPr>
          <w:lang w:val="en-AU"/>
        </w:rPr>
        <w:t>Murrayville, Underbool and Walpeup are small rural settlements with minimal services between 1.5 and 2.5 hours south</w:t>
      </w:r>
      <w:r w:rsidR="00B65FC7">
        <w:rPr>
          <w:lang w:val="en-AU"/>
        </w:rPr>
        <w:t>-</w:t>
      </w:r>
      <w:r w:rsidRPr="00CF6A7F">
        <w:rPr>
          <w:lang w:val="en-AU"/>
        </w:rPr>
        <w:t xml:space="preserve">west of Mildura. </w:t>
      </w:r>
      <w:r w:rsidR="00A6167A" w:rsidRPr="00CF6A7F">
        <w:rPr>
          <w:lang w:val="en-AU"/>
        </w:rPr>
        <w:t xml:space="preserve">The populations of these settlements are decreasing and further decrease is inevitable due to their remote locations and the scale of surrounding agricultural enterprises. </w:t>
      </w:r>
      <w:r w:rsidRPr="00CF6A7F">
        <w:rPr>
          <w:lang w:val="en-AU"/>
        </w:rPr>
        <w:t xml:space="preserve">Community planning </w:t>
      </w:r>
      <w:r w:rsidR="00495299" w:rsidRPr="00CF6A7F">
        <w:rPr>
          <w:lang w:val="en-AU"/>
        </w:rPr>
        <w:t>is encouraged to support</w:t>
      </w:r>
      <w:r w:rsidRPr="00CF6A7F">
        <w:rPr>
          <w:lang w:val="en-AU"/>
        </w:rPr>
        <w:t xml:space="preserve"> these communities to adapt to </w:t>
      </w:r>
      <w:r w:rsidR="00495299" w:rsidRPr="00CF6A7F">
        <w:rPr>
          <w:lang w:val="en-AU"/>
        </w:rPr>
        <w:t>future</w:t>
      </w:r>
      <w:r w:rsidRPr="00CF6A7F">
        <w:rPr>
          <w:lang w:val="en-AU"/>
        </w:rPr>
        <w:t xml:space="preserve"> changes.</w:t>
      </w:r>
    </w:p>
    <w:p w:rsidR="00D156F9" w:rsidRDefault="0087037D">
      <w:pPr>
        <w:pStyle w:val="Heading4"/>
      </w:pPr>
      <w:r w:rsidRPr="00CF6A7F">
        <w:t xml:space="preserve">Mallee </w:t>
      </w:r>
      <w:r w:rsidR="008C3A92" w:rsidRPr="00CF6A7F">
        <w:t>f</w:t>
      </w:r>
      <w:r w:rsidRPr="00CF6A7F">
        <w:t xml:space="preserve">uture </w:t>
      </w:r>
      <w:r w:rsidR="008C3A92" w:rsidRPr="00CF6A7F">
        <w:t>l</w:t>
      </w:r>
      <w:r w:rsidRPr="00CF6A7F">
        <w:t xml:space="preserve">and </w:t>
      </w:r>
      <w:r w:rsidR="008C3A92" w:rsidRPr="00CF6A7F">
        <w:t>u</w:t>
      </w:r>
      <w:r w:rsidRPr="00CF6A7F">
        <w:t xml:space="preserve">se </w:t>
      </w:r>
      <w:r w:rsidR="00B74250" w:rsidRPr="00CF6A7F">
        <w:t>strategies</w:t>
      </w:r>
      <w:r w:rsidRPr="00CF6A7F">
        <w:t xml:space="preserve"> and </w:t>
      </w:r>
      <w:r w:rsidR="008C3A92" w:rsidRPr="00CF6A7F">
        <w:t>a</w:t>
      </w:r>
      <w:r w:rsidRPr="00CF6A7F">
        <w:t>ctions</w:t>
      </w:r>
    </w:p>
    <w:p w:rsidR="00D81C28" w:rsidRPr="00CF6A7F" w:rsidRDefault="0087037D">
      <w:pPr>
        <w:pStyle w:val="btbullet"/>
        <w:shd w:val="clear" w:color="auto" w:fill="FFFFFF" w:themeFill="background1"/>
        <w:rPr>
          <w:lang w:val="en-AU"/>
        </w:rPr>
      </w:pPr>
      <w:r w:rsidRPr="00CF6A7F">
        <w:rPr>
          <w:lang w:val="en-AU"/>
        </w:rPr>
        <w:lastRenderedPageBreak/>
        <w:t xml:space="preserve">Facilitate growth of Mildura </w:t>
      </w:r>
      <w:r w:rsidR="007366F4" w:rsidRPr="00CF6A7F">
        <w:rPr>
          <w:lang w:val="en-AU"/>
        </w:rPr>
        <w:t>as a regional city,</w:t>
      </w:r>
      <w:r w:rsidRPr="00CF6A7F">
        <w:rPr>
          <w:lang w:val="en-AU"/>
        </w:rPr>
        <w:t xml:space="preserve"> through planned development incorporating the nearby settlements of Red Cliffs, Irymple and Merbein</w:t>
      </w:r>
    </w:p>
    <w:p w:rsidR="0087037D" w:rsidRPr="00CF6A7F" w:rsidRDefault="0087037D" w:rsidP="0087037D">
      <w:pPr>
        <w:pStyle w:val="btbullet"/>
        <w:rPr>
          <w:lang w:val="en-AU"/>
        </w:rPr>
      </w:pPr>
      <w:r w:rsidRPr="00CF6A7F">
        <w:rPr>
          <w:lang w:val="en-AU"/>
        </w:rPr>
        <w:t>Encourage urban consolidation, particularly in Mildura</w:t>
      </w:r>
      <w:r w:rsidR="00B65FC7">
        <w:rPr>
          <w:lang w:val="en-AU"/>
        </w:rPr>
        <w:t>’s Central Business District</w:t>
      </w:r>
    </w:p>
    <w:p w:rsidR="0087037D" w:rsidRPr="00CF6A7F" w:rsidRDefault="0087037D" w:rsidP="0087037D">
      <w:pPr>
        <w:pStyle w:val="btbullet"/>
        <w:rPr>
          <w:lang w:val="en-AU"/>
        </w:rPr>
      </w:pPr>
      <w:r w:rsidRPr="00CF6A7F">
        <w:rPr>
          <w:lang w:val="en-AU"/>
        </w:rPr>
        <w:t xml:space="preserve">Ensure growth of Mildura does not compromise the future operation </w:t>
      </w:r>
      <w:r w:rsidR="008C3A92" w:rsidRPr="00CF6A7F">
        <w:rPr>
          <w:lang w:val="en-AU"/>
        </w:rPr>
        <w:t xml:space="preserve">or </w:t>
      </w:r>
      <w:r w:rsidRPr="00CF6A7F">
        <w:rPr>
          <w:lang w:val="en-AU"/>
        </w:rPr>
        <w:t>potential for expansion of Mildura</w:t>
      </w:r>
      <w:r w:rsidR="00EE6C9D" w:rsidRPr="00CF6A7F">
        <w:rPr>
          <w:lang w:val="en-AU"/>
        </w:rPr>
        <w:t xml:space="preserve"> </w:t>
      </w:r>
      <w:r w:rsidR="00495299" w:rsidRPr="00CF6A7F">
        <w:rPr>
          <w:lang w:val="en-AU"/>
        </w:rPr>
        <w:t>A</w:t>
      </w:r>
      <w:r w:rsidRPr="00CF6A7F">
        <w:rPr>
          <w:lang w:val="en-AU"/>
        </w:rPr>
        <w:t>irport</w:t>
      </w:r>
    </w:p>
    <w:p w:rsidR="0087037D" w:rsidRPr="00CF6A7F" w:rsidRDefault="0087037D" w:rsidP="0087037D">
      <w:pPr>
        <w:pStyle w:val="btbullet"/>
        <w:rPr>
          <w:lang w:val="en-AU"/>
        </w:rPr>
      </w:pPr>
      <w:r w:rsidRPr="00CF6A7F">
        <w:rPr>
          <w:lang w:val="en-AU"/>
        </w:rPr>
        <w:t>Recognise and rein</w:t>
      </w:r>
      <w:r w:rsidR="001151CB" w:rsidRPr="00CF6A7F">
        <w:rPr>
          <w:lang w:val="en-AU"/>
        </w:rPr>
        <w:t>force Ouyen’s role as a</w:t>
      </w:r>
      <w:r w:rsidRPr="00CF6A7F">
        <w:rPr>
          <w:lang w:val="en-AU"/>
        </w:rPr>
        <w:t xml:space="preserve"> town providing services to isolated and dispersed rural settlements and regionally important rural industr</w:t>
      </w:r>
      <w:r w:rsidR="008C6669" w:rsidRPr="00CF6A7F">
        <w:rPr>
          <w:lang w:val="en-AU"/>
        </w:rPr>
        <w:t>ies</w:t>
      </w:r>
    </w:p>
    <w:p w:rsidR="0087037D" w:rsidRPr="00CF6A7F" w:rsidRDefault="0087037D" w:rsidP="0087037D">
      <w:pPr>
        <w:pStyle w:val="btbullet"/>
        <w:rPr>
          <w:lang w:val="en-AU"/>
        </w:rPr>
      </w:pPr>
      <w:r w:rsidRPr="00CF6A7F">
        <w:rPr>
          <w:lang w:val="en-AU"/>
        </w:rPr>
        <w:t>Enable opportunities for economic growth in Ouyen by supporting infrastructure improvements for the expansion of mineral sands mining, agriculture, tourism and other economic diversification opportunities</w:t>
      </w:r>
    </w:p>
    <w:p w:rsidR="00751744" w:rsidRPr="00CF6A7F" w:rsidRDefault="00751744" w:rsidP="0087037D">
      <w:pPr>
        <w:pStyle w:val="btbullet"/>
        <w:rPr>
          <w:lang w:val="en-AU"/>
        </w:rPr>
      </w:pPr>
      <w:r w:rsidRPr="00CF6A7F">
        <w:rPr>
          <w:lang w:val="en-AU"/>
        </w:rPr>
        <w:t>Support walking and cycling in urban areas to enhance accessibility</w:t>
      </w:r>
    </w:p>
    <w:p w:rsidR="0087037D" w:rsidRPr="00CF6A7F" w:rsidRDefault="0087037D" w:rsidP="0087037D">
      <w:pPr>
        <w:pStyle w:val="btbullet"/>
        <w:rPr>
          <w:lang w:val="en-AU"/>
        </w:rPr>
      </w:pPr>
      <w:r w:rsidRPr="00CF6A7F">
        <w:rPr>
          <w:lang w:val="en-AU"/>
        </w:rPr>
        <w:t>Support public transport connections between towns within the Mallee community of interest and Mildura to facilitate access to services</w:t>
      </w:r>
    </w:p>
    <w:p w:rsidR="0087037D" w:rsidRPr="00CF6A7F" w:rsidRDefault="0087037D" w:rsidP="0087037D">
      <w:pPr>
        <w:pStyle w:val="Heading2"/>
        <w:rPr>
          <w:lang w:val="en-AU"/>
        </w:rPr>
      </w:pPr>
      <w:bookmarkStart w:id="80" w:name="_Toc377031462"/>
      <w:r w:rsidRPr="00CF6A7F">
        <w:rPr>
          <w:lang w:val="en-AU"/>
        </w:rPr>
        <w:t>Campaspe community of interest</w:t>
      </w:r>
      <w:bookmarkEnd w:id="80"/>
    </w:p>
    <w:p w:rsidR="0087037D" w:rsidRPr="00CF6A7F" w:rsidRDefault="003C67DD" w:rsidP="00933BAB">
      <w:pPr>
        <w:pStyle w:val="Heading3"/>
        <w:rPr>
          <w:lang w:val="en-AU"/>
        </w:rPr>
      </w:pPr>
      <w:r w:rsidRPr="00CF6A7F">
        <w:rPr>
          <w:lang w:val="en-AU"/>
        </w:rPr>
        <w:t>Echuca – regional c</w:t>
      </w:r>
      <w:r w:rsidR="0087037D" w:rsidRPr="00CF6A7F">
        <w:rPr>
          <w:lang w:val="en-AU"/>
        </w:rPr>
        <w:t>entre</w:t>
      </w:r>
    </w:p>
    <w:p w:rsidR="00881739" w:rsidRPr="00CF6A7F" w:rsidRDefault="0087037D" w:rsidP="00881739">
      <w:pPr>
        <w:pStyle w:val="bt"/>
        <w:rPr>
          <w:lang w:val="en-AU"/>
        </w:rPr>
      </w:pPr>
      <w:r w:rsidRPr="00CF6A7F">
        <w:rPr>
          <w:lang w:val="en-AU"/>
        </w:rPr>
        <w:t>Echuca is located on the Murray River and forms part of the cross</w:t>
      </w:r>
      <w:r w:rsidR="00BF3168">
        <w:rPr>
          <w:lang w:val="en-AU"/>
        </w:rPr>
        <w:t>-</w:t>
      </w:r>
      <w:r w:rsidRPr="00CF6A7F">
        <w:rPr>
          <w:lang w:val="en-AU"/>
        </w:rPr>
        <w:t>border twin town of Echuca</w:t>
      </w:r>
      <w:r w:rsidR="008C6669" w:rsidRPr="00CF6A7F">
        <w:rPr>
          <w:lang w:val="en-AU"/>
        </w:rPr>
        <w:t>-</w:t>
      </w:r>
      <w:r w:rsidRPr="00CF6A7F">
        <w:rPr>
          <w:lang w:val="en-AU"/>
        </w:rPr>
        <w:t>Moama. Echu</w:t>
      </w:r>
      <w:r w:rsidR="00214609" w:rsidRPr="00CF6A7F">
        <w:rPr>
          <w:lang w:val="en-AU"/>
        </w:rPr>
        <w:t>ca is the main service provider and together with</w:t>
      </w:r>
      <w:r w:rsidRPr="00CF6A7F">
        <w:rPr>
          <w:lang w:val="en-AU"/>
        </w:rPr>
        <w:t xml:space="preserve"> Moama is currently experiencing significant residential growth. Echuca forms an important industrial, community, health, recreational, transport and tourism hub for northern Victoria and southern New South Wales and is a </w:t>
      </w:r>
      <w:r w:rsidR="00881739" w:rsidRPr="00CF6A7F">
        <w:rPr>
          <w:lang w:val="en-AU"/>
        </w:rPr>
        <w:t xml:space="preserve">significant </w:t>
      </w:r>
      <w:r w:rsidRPr="00CF6A7F">
        <w:rPr>
          <w:lang w:val="en-AU"/>
        </w:rPr>
        <w:t xml:space="preserve">tourist destination. </w:t>
      </w:r>
      <w:r w:rsidR="00881739" w:rsidRPr="00CF6A7F">
        <w:rPr>
          <w:lang w:val="en-AU"/>
        </w:rPr>
        <w:t xml:space="preserve">Planning is also underway for a second river crossing for Echuca-Moama to improve accessibility. </w:t>
      </w:r>
      <w:r w:rsidRPr="00CF6A7F">
        <w:rPr>
          <w:lang w:val="en-AU"/>
        </w:rPr>
        <w:t>Major urban, industrial and commercial growth and development in the Campaspe community of i</w:t>
      </w:r>
      <w:r w:rsidR="00214609" w:rsidRPr="00CF6A7F">
        <w:rPr>
          <w:lang w:val="en-AU"/>
        </w:rPr>
        <w:t>nterest</w:t>
      </w:r>
      <w:r w:rsidRPr="00CF6A7F">
        <w:rPr>
          <w:lang w:val="en-AU"/>
        </w:rPr>
        <w:t xml:space="preserve"> will be focused on Echuca.</w:t>
      </w:r>
    </w:p>
    <w:p w:rsidR="0087037D" w:rsidRPr="00CF6A7F" w:rsidRDefault="0087037D" w:rsidP="0087037D">
      <w:pPr>
        <w:pStyle w:val="bt"/>
        <w:rPr>
          <w:lang w:val="en-AU"/>
        </w:rPr>
      </w:pPr>
      <w:r w:rsidRPr="00CF6A7F">
        <w:rPr>
          <w:lang w:val="en-AU"/>
        </w:rPr>
        <w:t>Future population growth in Echuca will be accommodated by a combination of infill housing and regeneration within established areas of Echuca and new residential development through the expansion of Echuca West</w:t>
      </w:r>
      <w:r w:rsidR="009A3990" w:rsidRPr="00CF6A7F">
        <w:rPr>
          <w:lang w:val="en-AU"/>
        </w:rPr>
        <w:t>,</w:t>
      </w:r>
      <w:r w:rsidRPr="00CF6A7F">
        <w:rPr>
          <w:lang w:val="en-AU"/>
        </w:rPr>
        <w:t xml:space="preserve"> to the west of the Northern Highway. The </w:t>
      </w:r>
      <w:r w:rsidR="003B55D4" w:rsidRPr="00CF6A7F">
        <w:rPr>
          <w:lang w:val="en-AU"/>
        </w:rPr>
        <w:t>Echuca Housing Strategy (2011)</w:t>
      </w:r>
      <w:r w:rsidRPr="00CF6A7F">
        <w:rPr>
          <w:lang w:val="en-AU"/>
        </w:rPr>
        <w:t xml:space="preserve"> provides a framework to guide the location, sequencing and character of future housing and identifies more than 40 years</w:t>
      </w:r>
      <w:r w:rsidR="00A51E5C">
        <w:rPr>
          <w:lang w:val="en-AU"/>
        </w:rPr>
        <w:t xml:space="preserve"> of</w:t>
      </w:r>
      <w:r w:rsidRPr="00CF6A7F">
        <w:rPr>
          <w:lang w:val="en-AU"/>
        </w:rPr>
        <w:t xml:space="preserve"> residential supply.</w:t>
      </w:r>
    </w:p>
    <w:p w:rsidR="0087037D" w:rsidRPr="00CF6A7F" w:rsidRDefault="0087037D" w:rsidP="0087037D">
      <w:pPr>
        <w:pStyle w:val="bt"/>
        <w:rPr>
          <w:lang w:val="en-AU"/>
        </w:rPr>
      </w:pPr>
      <w:r w:rsidRPr="00CF6A7F">
        <w:rPr>
          <w:lang w:val="en-AU"/>
        </w:rPr>
        <w:t xml:space="preserve">Echuca’s economy will continue to be largely reliant on agriculture and associated processing, manufacturing and services. However, health services, tourism and transport and logistics will be important sectors </w:t>
      </w:r>
      <w:r w:rsidR="00495299" w:rsidRPr="00CF6A7F">
        <w:rPr>
          <w:lang w:val="en-AU"/>
        </w:rPr>
        <w:t>for</w:t>
      </w:r>
      <w:r w:rsidRPr="00CF6A7F">
        <w:rPr>
          <w:lang w:val="en-AU"/>
        </w:rPr>
        <w:t xml:space="preserve"> the future.</w:t>
      </w:r>
    </w:p>
    <w:p w:rsidR="0087037D" w:rsidRPr="00CF6A7F" w:rsidRDefault="0087037D" w:rsidP="0087037D">
      <w:pPr>
        <w:pStyle w:val="bt"/>
        <w:rPr>
          <w:lang w:val="en-AU"/>
        </w:rPr>
      </w:pPr>
      <w:r w:rsidRPr="00CF6A7F">
        <w:rPr>
          <w:lang w:val="en-AU"/>
        </w:rPr>
        <w:t xml:space="preserve">The </w:t>
      </w:r>
      <w:r w:rsidR="003B55D4" w:rsidRPr="00CF6A7F">
        <w:rPr>
          <w:lang w:val="en-AU"/>
        </w:rPr>
        <w:t>Echuca South East Industrial and Commercial Growth Corridor Land Strategy</w:t>
      </w:r>
      <w:r w:rsidRPr="00CF6A7F">
        <w:rPr>
          <w:lang w:val="en-AU"/>
        </w:rPr>
        <w:t xml:space="preserve"> </w:t>
      </w:r>
      <w:r w:rsidR="002D0991" w:rsidRPr="00CF6A7F">
        <w:rPr>
          <w:lang w:val="en-AU"/>
        </w:rPr>
        <w:t xml:space="preserve">(2011) </w:t>
      </w:r>
      <w:r w:rsidRPr="00CF6A7F">
        <w:rPr>
          <w:lang w:val="en-AU"/>
        </w:rPr>
        <w:t xml:space="preserve">found there is sufficient zoned land for industrial and commercial purposes until at least 2026. The </w:t>
      </w:r>
      <w:r w:rsidR="00495299" w:rsidRPr="00CF6A7F">
        <w:rPr>
          <w:lang w:val="en-AU"/>
        </w:rPr>
        <w:t>s</w:t>
      </w:r>
      <w:r w:rsidRPr="00CF6A7F">
        <w:rPr>
          <w:lang w:val="en-AU"/>
        </w:rPr>
        <w:t>trategy details a long</w:t>
      </w:r>
      <w:r w:rsidR="00A51E5C">
        <w:rPr>
          <w:lang w:val="en-AU"/>
        </w:rPr>
        <w:t>-</w:t>
      </w:r>
      <w:r w:rsidRPr="00CF6A7F">
        <w:rPr>
          <w:lang w:val="en-AU"/>
        </w:rPr>
        <w:t xml:space="preserve">term implementation plan for development of the corridor. </w:t>
      </w:r>
      <w:r w:rsidR="005D1204" w:rsidRPr="00CF6A7F">
        <w:rPr>
          <w:lang w:val="en-AU"/>
        </w:rPr>
        <w:t>Future planning for growth will need to take into account natural hazards, in particular flood and bushfire.</w:t>
      </w:r>
    </w:p>
    <w:p w:rsidR="0087037D" w:rsidRPr="00CF6A7F" w:rsidRDefault="0087037D" w:rsidP="0087037D">
      <w:pPr>
        <w:pStyle w:val="bt"/>
        <w:rPr>
          <w:lang w:val="en-AU"/>
        </w:rPr>
      </w:pPr>
      <w:r w:rsidRPr="00CF6A7F">
        <w:rPr>
          <w:lang w:val="en-AU"/>
        </w:rPr>
        <w:t xml:space="preserve">The Port of Echuca Revitalisation Project </w:t>
      </w:r>
      <w:r w:rsidR="002D0991" w:rsidRPr="00CF6A7F">
        <w:rPr>
          <w:lang w:val="en-AU"/>
        </w:rPr>
        <w:t xml:space="preserve">(2010) </w:t>
      </w:r>
      <w:r w:rsidR="00FD5526" w:rsidRPr="00CF6A7F">
        <w:rPr>
          <w:lang w:val="en-AU"/>
        </w:rPr>
        <w:t>has seen</w:t>
      </w:r>
      <w:r w:rsidRPr="00CF6A7F">
        <w:rPr>
          <w:lang w:val="en-AU"/>
        </w:rPr>
        <w:t xml:space="preserve"> the refurbishment of the Echuca Wharf and </w:t>
      </w:r>
      <w:r w:rsidR="00FD5526" w:rsidRPr="00CF6A7F">
        <w:rPr>
          <w:lang w:val="en-AU"/>
        </w:rPr>
        <w:t xml:space="preserve">the </w:t>
      </w:r>
      <w:r w:rsidRPr="00CF6A7F">
        <w:rPr>
          <w:lang w:val="en-AU"/>
        </w:rPr>
        <w:t xml:space="preserve">establishment of additional </w:t>
      </w:r>
      <w:r w:rsidR="00A51E5C" w:rsidRPr="00CF6A7F">
        <w:rPr>
          <w:lang w:val="en-AU"/>
        </w:rPr>
        <w:t>value</w:t>
      </w:r>
      <w:r w:rsidR="00A51E5C">
        <w:rPr>
          <w:lang w:val="en-AU"/>
        </w:rPr>
        <w:t>-</w:t>
      </w:r>
      <w:r w:rsidRPr="00CF6A7F">
        <w:rPr>
          <w:lang w:val="en-AU"/>
        </w:rPr>
        <w:t xml:space="preserve">added tourism infrastructure </w:t>
      </w:r>
      <w:r w:rsidR="00495299" w:rsidRPr="00CF6A7F">
        <w:rPr>
          <w:lang w:val="en-AU"/>
        </w:rPr>
        <w:t>to</w:t>
      </w:r>
      <w:r w:rsidRPr="00CF6A7F">
        <w:rPr>
          <w:lang w:val="en-AU"/>
        </w:rPr>
        <w:t xml:space="preserve"> enhance and secure this regionally significant tourism precinct.</w:t>
      </w:r>
    </w:p>
    <w:p w:rsidR="00F164FB" w:rsidRPr="00BA45FA" w:rsidRDefault="00D81C28" w:rsidP="00134771">
      <w:pPr>
        <w:pStyle w:val="bt"/>
        <w:rPr>
          <w:b/>
          <w:lang w:val="en-AU"/>
        </w:rPr>
      </w:pPr>
      <w:bookmarkStart w:id="81" w:name="_Ref373923032"/>
      <w:bookmarkStart w:id="82" w:name="_Ref229929010"/>
      <w:bookmarkStart w:id="83" w:name="_Toc358365469"/>
      <w:bookmarkStart w:id="84" w:name="_Toc375052103"/>
      <w:r w:rsidRPr="00CF6A7F">
        <w:rPr>
          <w:lang w:val="en-AU"/>
        </w:rPr>
        <w:t xml:space="preserve">Map </w:t>
      </w:r>
      <w:bookmarkEnd w:id="81"/>
      <w:bookmarkEnd w:id="82"/>
      <w:r w:rsidR="003652DE">
        <w:rPr>
          <w:lang w:val="en-AU"/>
        </w:rPr>
        <w:t xml:space="preserve">9 </w:t>
      </w:r>
      <w:r w:rsidR="00134771">
        <w:t xml:space="preserve">is located here in the document and it shows </w:t>
      </w:r>
      <w:r w:rsidR="00134771" w:rsidRPr="00CF6A7F">
        <w:rPr>
          <w:lang w:val="en-AU"/>
        </w:rPr>
        <w:t xml:space="preserve">future land use directions for </w:t>
      </w:r>
      <w:r w:rsidR="00134771">
        <w:rPr>
          <w:lang w:val="en-AU"/>
        </w:rPr>
        <w:t xml:space="preserve">Echuca - </w:t>
      </w:r>
      <w:r w:rsidR="003F3C49" w:rsidRPr="00BA45FA">
        <w:rPr>
          <w:lang w:val="en-AU"/>
        </w:rPr>
        <w:t xml:space="preserve">Echuca </w:t>
      </w:r>
      <w:r w:rsidR="00F164FB" w:rsidRPr="00BA45FA">
        <w:rPr>
          <w:lang w:val="en-AU"/>
        </w:rPr>
        <w:t>framework</w:t>
      </w:r>
      <w:r w:rsidR="00A637AA" w:rsidRPr="00BA45FA">
        <w:rPr>
          <w:lang w:val="en-AU"/>
        </w:rPr>
        <w:t xml:space="preserve"> </w:t>
      </w:r>
      <w:bookmarkEnd w:id="83"/>
      <w:r w:rsidR="003F3C49" w:rsidRPr="00BA45FA">
        <w:rPr>
          <w:lang w:val="en-AU"/>
        </w:rPr>
        <w:t>plan</w:t>
      </w:r>
      <w:bookmarkEnd w:id="84"/>
    </w:p>
    <w:p w:rsidR="0087037D" w:rsidRPr="00CF6A7F" w:rsidRDefault="0087037D" w:rsidP="00933BAB">
      <w:pPr>
        <w:pStyle w:val="Heading3"/>
        <w:rPr>
          <w:lang w:val="en-AU"/>
        </w:rPr>
      </w:pPr>
      <w:r w:rsidRPr="00CF6A7F">
        <w:rPr>
          <w:lang w:val="en-AU"/>
        </w:rPr>
        <w:t xml:space="preserve">Campaspe </w:t>
      </w:r>
      <w:r w:rsidR="008C3A92" w:rsidRPr="00CF6A7F">
        <w:rPr>
          <w:lang w:val="en-AU"/>
        </w:rPr>
        <w:t>t</w:t>
      </w:r>
      <w:r w:rsidRPr="00CF6A7F">
        <w:rPr>
          <w:lang w:val="en-AU"/>
        </w:rPr>
        <w:t xml:space="preserve">owns and </w:t>
      </w:r>
      <w:r w:rsidR="008C3A92" w:rsidRPr="00CF6A7F">
        <w:rPr>
          <w:lang w:val="en-AU"/>
        </w:rPr>
        <w:t>r</w:t>
      </w:r>
      <w:r w:rsidRPr="00CF6A7F">
        <w:rPr>
          <w:lang w:val="en-AU"/>
        </w:rPr>
        <w:t xml:space="preserve">ural </w:t>
      </w:r>
      <w:r w:rsidR="008C3A92" w:rsidRPr="00CF6A7F">
        <w:rPr>
          <w:lang w:val="en-AU"/>
        </w:rPr>
        <w:t>s</w:t>
      </w:r>
      <w:r w:rsidRPr="00CF6A7F">
        <w:rPr>
          <w:lang w:val="en-AU"/>
        </w:rPr>
        <w:t>ettlements</w:t>
      </w:r>
    </w:p>
    <w:p w:rsidR="0087037D" w:rsidRPr="00CF6A7F" w:rsidRDefault="0087037D" w:rsidP="0087037D">
      <w:pPr>
        <w:pStyle w:val="bt"/>
        <w:rPr>
          <w:lang w:val="en-AU"/>
        </w:rPr>
      </w:pPr>
      <w:r w:rsidRPr="00CF6A7F">
        <w:rPr>
          <w:lang w:val="en-AU"/>
        </w:rPr>
        <w:t>Other urban localities will continue to accommodate some growth including Kyabram, Tongala, Rushworth and Rochester. These towns will continue to provide services and support to surrounding rural communities and offer affordable housing alternatives for commuters to Bendigo, Echuca and Shepparton. The</w:t>
      </w:r>
      <w:r w:rsidR="00495299" w:rsidRPr="00CF6A7F">
        <w:rPr>
          <w:lang w:val="en-AU"/>
        </w:rPr>
        <w:t>y</w:t>
      </w:r>
      <w:r w:rsidRPr="00CF6A7F">
        <w:rPr>
          <w:lang w:val="en-AU"/>
        </w:rPr>
        <w:t xml:space="preserve"> have sufficient </w:t>
      </w:r>
      <w:r w:rsidRPr="00CF6A7F">
        <w:rPr>
          <w:lang w:val="en-AU"/>
        </w:rPr>
        <w:lastRenderedPageBreak/>
        <w:t xml:space="preserve">land to meet demand for new housing and industrial uses. The current strategy for new residential development is infill and </w:t>
      </w:r>
      <w:r w:rsidR="008C6669" w:rsidRPr="00CF6A7F">
        <w:rPr>
          <w:lang w:val="en-AU"/>
        </w:rPr>
        <w:t>utilising the</w:t>
      </w:r>
      <w:r w:rsidRPr="00CF6A7F">
        <w:rPr>
          <w:lang w:val="en-AU"/>
        </w:rPr>
        <w:t xml:space="preserve"> existing</w:t>
      </w:r>
      <w:r w:rsidR="008C6669" w:rsidRPr="00CF6A7F">
        <w:rPr>
          <w:lang w:val="en-AU"/>
        </w:rPr>
        <w:t xml:space="preserve"> supply of</w:t>
      </w:r>
      <w:r w:rsidRPr="00CF6A7F">
        <w:rPr>
          <w:lang w:val="en-AU"/>
        </w:rPr>
        <w:t xml:space="preserve"> zoned land. </w:t>
      </w:r>
    </w:p>
    <w:p w:rsidR="0087037D" w:rsidRPr="00CF6A7F" w:rsidRDefault="0087037D" w:rsidP="0087037D">
      <w:pPr>
        <w:pStyle w:val="bt"/>
        <w:rPr>
          <w:lang w:val="en-AU"/>
        </w:rPr>
      </w:pPr>
      <w:r w:rsidRPr="00CF6A7F">
        <w:rPr>
          <w:lang w:val="en-AU"/>
        </w:rPr>
        <w:t xml:space="preserve">Girgarre, Stanhope, Lockington and Gunbower are small towns and rural settlements with limited services. These towns are developing as commuter towns, providing affordable housing alternatives for employees in Shepparton and Echuca. </w:t>
      </w:r>
    </w:p>
    <w:p w:rsidR="00D156F9" w:rsidRDefault="0087037D">
      <w:pPr>
        <w:pStyle w:val="Heading4"/>
      </w:pPr>
      <w:r w:rsidRPr="00CF6A7F">
        <w:t xml:space="preserve">Campaspe </w:t>
      </w:r>
      <w:r w:rsidR="008C3A92" w:rsidRPr="00CF6A7F">
        <w:t>f</w:t>
      </w:r>
      <w:r w:rsidRPr="00CF6A7F">
        <w:t xml:space="preserve">uture </w:t>
      </w:r>
      <w:r w:rsidR="008C3A92" w:rsidRPr="00CF6A7F">
        <w:t>l</w:t>
      </w:r>
      <w:r w:rsidRPr="00CF6A7F">
        <w:t xml:space="preserve">and </w:t>
      </w:r>
      <w:r w:rsidR="008C3A92" w:rsidRPr="00CF6A7F">
        <w:t>u</w:t>
      </w:r>
      <w:r w:rsidRPr="00CF6A7F">
        <w:t xml:space="preserve">se </w:t>
      </w:r>
      <w:r w:rsidR="00B74250" w:rsidRPr="00CF6A7F">
        <w:t xml:space="preserve">strategies </w:t>
      </w:r>
      <w:r w:rsidRPr="00CF6A7F">
        <w:t xml:space="preserve">and </w:t>
      </w:r>
      <w:r w:rsidR="008C3A92" w:rsidRPr="00CF6A7F">
        <w:t>a</w:t>
      </w:r>
      <w:r w:rsidRPr="00CF6A7F">
        <w:t>ctions</w:t>
      </w:r>
    </w:p>
    <w:p w:rsidR="00887259" w:rsidRPr="00CF6A7F" w:rsidRDefault="00887259" w:rsidP="00887259">
      <w:pPr>
        <w:pStyle w:val="btbullet"/>
        <w:rPr>
          <w:lang w:val="en-AU"/>
        </w:rPr>
      </w:pPr>
      <w:r w:rsidRPr="00CF6A7F">
        <w:rPr>
          <w:lang w:val="en-AU"/>
        </w:rPr>
        <w:t xml:space="preserve">Facilitate growth of Echuca through planned development </w:t>
      </w:r>
      <w:r w:rsidR="008A4DDC" w:rsidRPr="00CF6A7F">
        <w:rPr>
          <w:lang w:val="en-AU"/>
        </w:rPr>
        <w:t>while considering</w:t>
      </w:r>
      <w:r w:rsidR="001A3A75" w:rsidRPr="00CF6A7F">
        <w:rPr>
          <w:lang w:val="en-AU"/>
        </w:rPr>
        <w:t xml:space="preserve"> </w:t>
      </w:r>
      <w:r w:rsidRPr="00CF6A7F">
        <w:rPr>
          <w:lang w:val="en-AU"/>
        </w:rPr>
        <w:t>population change and settlement planning in Moama</w:t>
      </w:r>
    </w:p>
    <w:p w:rsidR="00D81C28" w:rsidRPr="00CF6A7F" w:rsidRDefault="0087037D">
      <w:pPr>
        <w:pStyle w:val="btbullet"/>
        <w:shd w:val="clear" w:color="auto" w:fill="FFFFFF" w:themeFill="background1"/>
        <w:rPr>
          <w:lang w:val="en-AU"/>
        </w:rPr>
      </w:pPr>
      <w:r w:rsidRPr="00CF6A7F">
        <w:rPr>
          <w:lang w:val="en-AU"/>
        </w:rPr>
        <w:t>Reinforce Echuca’s role as a regional</w:t>
      </w:r>
      <w:r w:rsidR="005A67B2" w:rsidRPr="00CF6A7F">
        <w:rPr>
          <w:lang w:val="en-AU"/>
        </w:rPr>
        <w:t xml:space="preserve"> centre and </w:t>
      </w:r>
      <w:r w:rsidRPr="00CF6A7F">
        <w:rPr>
          <w:lang w:val="en-AU"/>
        </w:rPr>
        <w:t xml:space="preserve">important tourism </w:t>
      </w:r>
      <w:r w:rsidR="00D373A1" w:rsidRPr="00CF6A7F">
        <w:rPr>
          <w:lang w:val="en-AU"/>
        </w:rPr>
        <w:t>destination</w:t>
      </w:r>
    </w:p>
    <w:p w:rsidR="00FD5526" w:rsidRPr="00CF6A7F" w:rsidRDefault="00FD5526" w:rsidP="00D41888">
      <w:pPr>
        <w:pStyle w:val="btbullet"/>
        <w:rPr>
          <w:lang w:val="en-AU"/>
        </w:rPr>
      </w:pPr>
      <w:r w:rsidRPr="00CF6A7F">
        <w:rPr>
          <w:lang w:val="en-AU"/>
        </w:rPr>
        <w:t>Support the role of other urban localities to provide services and support to surrounding rural communities</w:t>
      </w:r>
    </w:p>
    <w:p w:rsidR="00FD5526" w:rsidRPr="00CF6A7F" w:rsidRDefault="00FD5526" w:rsidP="00D41888">
      <w:pPr>
        <w:pStyle w:val="btbullet"/>
        <w:rPr>
          <w:lang w:val="en-AU"/>
        </w:rPr>
      </w:pPr>
      <w:r w:rsidRPr="00CF6A7F">
        <w:rPr>
          <w:lang w:val="en-AU"/>
        </w:rPr>
        <w:t>Support the role of rural settlements to act as commuter towns within the wider network of Campaspe community of interest settlements and for neighbouring regions</w:t>
      </w:r>
      <w:r w:rsidR="00D96486" w:rsidRPr="00CF6A7F">
        <w:rPr>
          <w:lang w:val="en-AU"/>
        </w:rPr>
        <w:t>,</w:t>
      </w:r>
      <w:r w:rsidRPr="00CF6A7F">
        <w:rPr>
          <w:lang w:val="en-AU"/>
        </w:rPr>
        <w:t xml:space="preserve"> for example to Bendigo or Shepparton</w:t>
      </w:r>
    </w:p>
    <w:p w:rsidR="00751744" w:rsidRPr="00CF6A7F" w:rsidRDefault="00751744" w:rsidP="00D41888">
      <w:pPr>
        <w:pStyle w:val="btbullet"/>
        <w:rPr>
          <w:lang w:val="en-AU"/>
        </w:rPr>
      </w:pPr>
      <w:r w:rsidRPr="00CF6A7F">
        <w:rPr>
          <w:lang w:val="en-AU"/>
        </w:rPr>
        <w:t>Support walking and cycling in urban areas to enhance accessibility</w:t>
      </w:r>
    </w:p>
    <w:p w:rsidR="0087037D" w:rsidRPr="00CF6A7F" w:rsidRDefault="00C339F0" w:rsidP="00D41888">
      <w:pPr>
        <w:pStyle w:val="btbullet"/>
        <w:rPr>
          <w:lang w:val="en-AU"/>
        </w:rPr>
      </w:pPr>
      <w:r w:rsidRPr="00CF6A7F">
        <w:rPr>
          <w:lang w:val="en-AU"/>
        </w:rPr>
        <w:t xml:space="preserve">Support </w:t>
      </w:r>
      <w:r w:rsidR="0087037D" w:rsidRPr="00CF6A7F">
        <w:rPr>
          <w:lang w:val="en-AU"/>
        </w:rPr>
        <w:t xml:space="preserve">the </w:t>
      </w:r>
      <w:r w:rsidR="003B55D4" w:rsidRPr="00CF6A7F">
        <w:rPr>
          <w:lang w:val="en-AU"/>
        </w:rPr>
        <w:t>Echuca Housing Strategy (2011),</w:t>
      </w:r>
      <w:r w:rsidR="0087037D" w:rsidRPr="00CF6A7F">
        <w:rPr>
          <w:lang w:val="en-AU"/>
        </w:rPr>
        <w:t xml:space="preserve"> </w:t>
      </w:r>
      <w:r w:rsidR="003B55D4" w:rsidRPr="00CF6A7F">
        <w:rPr>
          <w:lang w:val="en-AU"/>
        </w:rPr>
        <w:t>Echuca South East Industrial and Commercial Growth Corridor Land Strategy (2011)</w:t>
      </w:r>
      <w:r w:rsidR="0087037D" w:rsidRPr="00CF6A7F">
        <w:rPr>
          <w:lang w:val="en-AU"/>
        </w:rPr>
        <w:t xml:space="preserve"> and </w:t>
      </w:r>
      <w:r w:rsidR="00D0403C" w:rsidRPr="00CF6A7F">
        <w:rPr>
          <w:lang w:val="en-AU"/>
        </w:rPr>
        <w:t xml:space="preserve">the </w:t>
      </w:r>
      <w:r w:rsidR="003B55D4" w:rsidRPr="00CF6A7F">
        <w:rPr>
          <w:lang w:val="en-AU"/>
        </w:rPr>
        <w:t>Port of Echuca Revitalisation Project (2010)</w:t>
      </w:r>
    </w:p>
    <w:p w:rsidR="0087037D" w:rsidRPr="00CF6A7F" w:rsidRDefault="0087037D" w:rsidP="00D41888">
      <w:pPr>
        <w:pStyle w:val="Heading2"/>
        <w:rPr>
          <w:lang w:val="en-AU"/>
        </w:rPr>
      </w:pPr>
      <w:bookmarkStart w:id="85" w:name="_Toc377031463"/>
      <w:r w:rsidRPr="00CF6A7F">
        <w:rPr>
          <w:lang w:val="en-AU"/>
        </w:rPr>
        <w:t>Eastern Mallee community of interest</w:t>
      </w:r>
      <w:bookmarkEnd w:id="85"/>
    </w:p>
    <w:p w:rsidR="0087037D" w:rsidRPr="00CF6A7F" w:rsidRDefault="003C67DD" w:rsidP="00933BAB">
      <w:pPr>
        <w:pStyle w:val="Heading3"/>
        <w:rPr>
          <w:lang w:val="en-AU"/>
        </w:rPr>
      </w:pPr>
      <w:r w:rsidRPr="00CF6A7F">
        <w:rPr>
          <w:lang w:val="en-AU"/>
        </w:rPr>
        <w:t>Swan Hill – regional c</w:t>
      </w:r>
      <w:r w:rsidR="0087037D" w:rsidRPr="00CF6A7F">
        <w:rPr>
          <w:lang w:val="en-AU"/>
        </w:rPr>
        <w:t>entre</w:t>
      </w:r>
    </w:p>
    <w:p w:rsidR="00410151" w:rsidRPr="00CF6A7F" w:rsidRDefault="0087037D" w:rsidP="0087037D">
      <w:pPr>
        <w:pStyle w:val="bt"/>
        <w:rPr>
          <w:lang w:val="en-AU"/>
        </w:rPr>
      </w:pPr>
      <w:r w:rsidRPr="00CF6A7F">
        <w:rPr>
          <w:lang w:val="en-AU"/>
        </w:rPr>
        <w:t xml:space="preserve">Swan Hill is located on the Murray River and services a hinterland that takes in the New South Wales southern Riverina and northern areas of Buloke Shire. Services include a range of retail, educational, commercial, </w:t>
      </w:r>
      <w:proofErr w:type="gramStart"/>
      <w:r w:rsidRPr="00CF6A7F">
        <w:rPr>
          <w:lang w:val="en-AU"/>
        </w:rPr>
        <w:t>i</w:t>
      </w:r>
      <w:r w:rsidR="00410151" w:rsidRPr="00CF6A7F">
        <w:rPr>
          <w:lang w:val="en-AU"/>
        </w:rPr>
        <w:t>ndustr</w:t>
      </w:r>
      <w:r w:rsidR="00C571D2" w:rsidRPr="00CF6A7F">
        <w:rPr>
          <w:lang w:val="en-AU"/>
        </w:rPr>
        <w:t>ial</w:t>
      </w:r>
      <w:proofErr w:type="gramEnd"/>
      <w:r w:rsidR="00410151" w:rsidRPr="00CF6A7F">
        <w:rPr>
          <w:lang w:val="en-AU"/>
        </w:rPr>
        <w:t xml:space="preserve"> and community services. The Swan Hill Pioneer Settlement is a long</w:t>
      </w:r>
      <w:r w:rsidR="00D0403C" w:rsidRPr="00CF6A7F">
        <w:rPr>
          <w:lang w:val="en-AU"/>
        </w:rPr>
        <w:t>-</w:t>
      </w:r>
      <w:r w:rsidR="00410151" w:rsidRPr="00CF6A7F">
        <w:rPr>
          <w:lang w:val="en-AU"/>
        </w:rPr>
        <w:t xml:space="preserve">established tourism </w:t>
      </w:r>
      <w:r w:rsidR="00C571D2" w:rsidRPr="00CF6A7F">
        <w:rPr>
          <w:lang w:val="en-AU"/>
        </w:rPr>
        <w:t>venture</w:t>
      </w:r>
      <w:r w:rsidR="00410151" w:rsidRPr="00CF6A7F">
        <w:rPr>
          <w:lang w:val="en-AU"/>
        </w:rPr>
        <w:t xml:space="preserve"> in the town </w:t>
      </w:r>
      <w:r w:rsidR="00F81090" w:rsidRPr="00CF6A7F">
        <w:rPr>
          <w:lang w:val="en-AU"/>
        </w:rPr>
        <w:t>and is currently undergoing revitalisation works</w:t>
      </w:r>
      <w:r w:rsidR="00A7501E" w:rsidRPr="00CF6A7F">
        <w:rPr>
          <w:lang w:val="en-AU"/>
        </w:rPr>
        <w:t>, as is the Riverfront Precinct</w:t>
      </w:r>
      <w:r w:rsidR="00F81090" w:rsidRPr="00CF6A7F">
        <w:rPr>
          <w:lang w:val="en-AU"/>
        </w:rPr>
        <w:t>.</w:t>
      </w:r>
    </w:p>
    <w:p w:rsidR="0087037D" w:rsidRPr="00CF6A7F" w:rsidRDefault="0087037D" w:rsidP="0087037D">
      <w:pPr>
        <w:pStyle w:val="bt"/>
        <w:rPr>
          <w:lang w:val="en-AU"/>
        </w:rPr>
      </w:pPr>
      <w:r w:rsidRPr="00CF6A7F">
        <w:rPr>
          <w:lang w:val="en-AU"/>
        </w:rPr>
        <w:t xml:space="preserve">The </w:t>
      </w:r>
      <w:r w:rsidR="003B55D4" w:rsidRPr="00CF6A7F">
        <w:rPr>
          <w:lang w:val="en-AU"/>
        </w:rPr>
        <w:t>Swan Hill Residential Development Strategy 2006–2030</w:t>
      </w:r>
      <w:r w:rsidRPr="00CF6A7F">
        <w:rPr>
          <w:lang w:val="en-AU"/>
        </w:rPr>
        <w:t xml:space="preserve"> outlines a framework for residential development in Swan Hill to 2030 based on population forecasts and development principles that align with this </w:t>
      </w:r>
      <w:r w:rsidR="008C3A92" w:rsidRPr="00CF6A7F">
        <w:rPr>
          <w:lang w:val="en-AU"/>
        </w:rPr>
        <w:t>p</w:t>
      </w:r>
      <w:r w:rsidRPr="00CF6A7F">
        <w:rPr>
          <w:lang w:val="en-AU"/>
        </w:rPr>
        <w:t xml:space="preserve">lan. The framework recommends a mix of infill development and staged development of rural land within a 2030 </w:t>
      </w:r>
      <w:r w:rsidR="00D0403C" w:rsidRPr="00CF6A7F">
        <w:rPr>
          <w:lang w:val="en-AU"/>
        </w:rPr>
        <w:t>u</w:t>
      </w:r>
      <w:r w:rsidRPr="00CF6A7F">
        <w:rPr>
          <w:lang w:val="en-AU"/>
        </w:rPr>
        <w:t xml:space="preserve">rban </w:t>
      </w:r>
      <w:r w:rsidR="00D0403C" w:rsidRPr="00CF6A7F">
        <w:rPr>
          <w:lang w:val="en-AU"/>
        </w:rPr>
        <w:t>g</w:t>
      </w:r>
      <w:r w:rsidRPr="00CF6A7F">
        <w:rPr>
          <w:lang w:val="en-AU"/>
        </w:rPr>
        <w:t xml:space="preserve">rowth </w:t>
      </w:r>
      <w:r w:rsidR="00D0403C" w:rsidRPr="00CF6A7F">
        <w:rPr>
          <w:lang w:val="en-AU"/>
        </w:rPr>
        <w:t>b</w:t>
      </w:r>
      <w:r w:rsidRPr="00CF6A7F">
        <w:rPr>
          <w:lang w:val="en-AU"/>
        </w:rPr>
        <w:t>oundary</w:t>
      </w:r>
      <w:r w:rsidR="00D0403C" w:rsidRPr="00CF6A7F">
        <w:rPr>
          <w:lang w:val="en-AU"/>
        </w:rPr>
        <w:t>. It</w:t>
      </w:r>
      <w:r w:rsidRPr="00CF6A7F">
        <w:rPr>
          <w:lang w:val="en-AU"/>
        </w:rPr>
        <w:t xml:space="preserve"> offer</w:t>
      </w:r>
      <w:r w:rsidR="00D0403C" w:rsidRPr="00CF6A7F">
        <w:rPr>
          <w:lang w:val="en-AU"/>
        </w:rPr>
        <w:t>s</w:t>
      </w:r>
      <w:r w:rsidRPr="00CF6A7F">
        <w:rPr>
          <w:lang w:val="en-AU"/>
        </w:rPr>
        <w:t xml:space="preserve"> housing choice and diversity by providing for increased residential development in commuter towns</w:t>
      </w:r>
      <w:r w:rsidR="00497198" w:rsidRPr="00CF6A7F">
        <w:rPr>
          <w:lang w:val="en-AU"/>
        </w:rPr>
        <w:t>,</w:t>
      </w:r>
      <w:r w:rsidRPr="00CF6A7F">
        <w:rPr>
          <w:lang w:val="en-AU"/>
        </w:rPr>
        <w:t xml:space="preserve"> including Nyah-Nyah West, Woorinen South and Lake Boga, as well as Murray Downs in New South Wales. </w:t>
      </w:r>
      <w:r w:rsidR="00C339F0" w:rsidRPr="00CF6A7F">
        <w:rPr>
          <w:lang w:val="en-AU"/>
        </w:rPr>
        <w:t xml:space="preserve">Provision of drainage and flood mitigation is a key consideration in future development. </w:t>
      </w:r>
    </w:p>
    <w:p w:rsidR="0087037D" w:rsidRPr="00CF6A7F" w:rsidRDefault="0087037D" w:rsidP="0087037D">
      <w:pPr>
        <w:pStyle w:val="bt"/>
        <w:rPr>
          <w:lang w:val="en-AU"/>
        </w:rPr>
      </w:pPr>
      <w:r w:rsidRPr="00CF6A7F">
        <w:rPr>
          <w:lang w:val="en-AU"/>
        </w:rPr>
        <w:t>Swan Hill’s economy will continue to be largely reliant on agriculture and associated processing, manufacturing and services.</w:t>
      </w:r>
      <w:r w:rsidR="00497198" w:rsidRPr="00CF6A7F">
        <w:rPr>
          <w:lang w:val="en-AU"/>
        </w:rPr>
        <w:t xml:space="preserve"> </w:t>
      </w:r>
      <w:r w:rsidRPr="00CF6A7F">
        <w:rPr>
          <w:lang w:val="en-AU"/>
        </w:rPr>
        <w:t>However, health services, tourism</w:t>
      </w:r>
      <w:r w:rsidR="00D0403C" w:rsidRPr="00CF6A7F">
        <w:rPr>
          <w:lang w:val="en-AU"/>
        </w:rPr>
        <w:t>,</w:t>
      </w:r>
      <w:r w:rsidRPr="00CF6A7F">
        <w:rPr>
          <w:lang w:val="en-AU"/>
        </w:rPr>
        <w:t xml:space="preserve"> transport and logistics</w:t>
      </w:r>
      <w:r w:rsidR="00A7501E" w:rsidRPr="00CF6A7F">
        <w:rPr>
          <w:lang w:val="en-AU"/>
        </w:rPr>
        <w:t>, and renewable energy</w:t>
      </w:r>
      <w:r w:rsidRPr="00CF6A7F">
        <w:rPr>
          <w:lang w:val="en-AU"/>
        </w:rPr>
        <w:t xml:space="preserve"> will be important sectors </w:t>
      </w:r>
      <w:r w:rsidR="00D0403C" w:rsidRPr="00CF6A7F">
        <w:rPr>
          <w:lang w:val="en-AU"/>
        </w:rPr>
        <w:t>for</w:t>
      </w:r>
      <w:r w:rsidRPr="00CF6A7F">
        <w:rPr>
          <w:lang w:val="en-AU"/>
        </w:rPr>
        <w:t xml:space="preserve"> the future.</w:t>
      </w:r>
    </w:p>
    <w:p w:rsidR="00F164FB" w:rsidRPr="00BA45FA" w:rsidRDefault="00D81C28" w:rsidP="00134771">
      <w:pPr>
        <w:pStyle w:val="bt"/>
        <w:rPr>
          <w:b/>
          <w:lang w:val="en-AU"/>
        </w:rPr>
      </w:pPr>
      <w:bookmarkStart w:id="86" w:name="_Ref373923047"/>
      <w:bookmarkStart w:id="87" w:name="_Ref229929036"/>
      <w:bookmarkStart w:id="88" w:name="_Toc358365470"/>
      <w:bookmarkStart w:id="89" w:name="_Toc375052104"/>
      <w:r w:rsidRPr="00CF6A7F">
        <w:rPr>
          <w:lang w:val="en-AU"/>
        </w:rPr>
        <w:t xml:space="preserve">Map </w:t>
      </w:r>
      <w:bookmarkEnd w:id="86"/>
      <w:r w:rsidR="003652DE">
        <w:rPr>
          <w:lang w:val="en-AU"/>
        </w:rPr>
        <w:t>10</w:t>
      </w:r>
      <w:r w:rsidR="00134771" w:rsidRPr="00134771">
        <w:t xml:space="preserve"> </w:t>
      </w:r>
      <w:r w:rsidR="00134771">
        <w:t xml:space="preserve">is located here in the document and it shows </w:t>
      </w:r>
      <w:r w:rsidR="00134771" w:rsidRPr="00CF6A7F">
        <w:rPr>
          <w:lang w:val="en-AU"/>
        </w:rPr>
        <w:t>future land use directions for</w:t>
      </w:r>
      <w:r w:rsidR="00134771">
        <w:rPr>
          <w:lang w:val="en-AU"/>
        </w:rPr>
        <w:t xml:space="preserve"> Swan Hill -</w:t>
      </w:r>
      <w:bookmarkEnd w:id="87"/>
      <w:r w:rsidRPr="00CF6A7F">
        <w:rPr>
          <w:lang w:val="en-AU"/>
        </w:rPr>
        <w:t xml:space="preserve"> </w:t>
      </w:r>
      <w:r w:rsidR="003F3C49" w:rsidRPr="00BA45FA">
        <w:rPr>
          <w:lang w:val="en-AU"/>
        </w:rPr>
        <w:t xml:space="preserve">Swan Hill </w:t>
      </w:r>
      <w:r w:rsidR="00785D08" w:rsidRPr="00BA45FA">
        <w:rPr>
          <w:lang w:val="en-AU"/>
        </w:rPr>
        <w:t>framework</w:t>
      </w:r>
      <w:bookmarkEnd w:id="88"/>
      <w:r w:rsidR="003F3C49" w:rsidRPr="00BA45FA">
        <w:rPr>
          <w:lang w:val="en-AU"/>
        </w:rPr>
        <w:t xml:space="preserve"> plan</w:t>
      </w:r>
      <w:bookmarkEnd w:id="89"/>
    </w:p>
    <w:p w:rsidR="0087037D" w:rsidRPr="00CF6A7F" w:rsidRDefault="0087037D" w:rsidP="00933BAB">
      <w:pPr>
        <w:pStyle w:val="Heading3"/>
        <w:rPr>
          <w:lang w:val="en-AU"/>
        </w:rPr>
      </w:pPr>
      <w:r w:rsidRPr="00CF6A7F">
        <w:rPr>
          <w:lang w:val="en-AU"/>
        </w:rPr>
        <w:t xml:space="preserve">Robinvale – </w:t>
      </w:r>
      <w:r w:rsidR="008C3A92" w:rsidRPr="00CF6A7F">
        <w:rPr>
          <w:lang w:val="en-AU"/>
        </w:rPr>
        <w:t>t</w:t>
      </w:r>
      <w:r w:rsidRPr="00CF6A7F">
        <w:rPr>
          <w:lang w:val="en-AU"/>
        </w:rPr>
        <w:t>own</w:t>
      </w:r>
    </w:p>
    <w:p w:rsidR="0087037D" w:rsidRPr="00CF6A7F" w:rsidRDefault="0087037D" w:rsidP="0087037D">
      <w:pPr>
        <w:pStyle w:val="bt"/>
        <w:rPr>
          <w:lang w:val="en-AU"/>
        </w:rPr>
      </w:pPr>
      <w:r w:rsidRPr="00CF6A7F">
        <w:rPr>
          <w:lang w:val="en-AU"/>
        </w:rPr>
        <w:t>Robinvale is strategically located on the Murray River betwe</w:t>
      </w:r>
      <w:r w:rsidR="00BB64A0" w:rsidRPr="00CF6A7F">
        <w:rPr>
          <w:lang w:val="en-AU"/>
        </w:rPr>
        <w:t>en Mildura and Swan Hill</w:t>
      </w:r>
      <w:r w:rsidRPr="00CF6A7F">
        <w:rPr>
          <w:lang w:val="en-AU"/>
        </w:rPr>
        <w:t>. Robinvale has a twin</w:t>
      </w:r>
      <w:r w:rsidR="00016E3D">
        <w:rPr>
          <w:lang w:val="en-AU"/>
        </w:rPr>
        <w:t xml:space="preserve"> </w:t>
      </w:r>
      <w:r w:rsidRPr="00CF6A7F">
        <w:rPr>
          <w:lang w:val="en-AU"/>
        </w:rPr>
        <w:t>town relationship with Euston across the Murray River in New South Wales</w:t>
      </w:r>
      <w:r w:rsidR="00C571D2" w:rsidRPr="00CF6A7F">
        <w:rPr>
          <w:lang w:val="en-AU"/>
        </w:rPr>
        <w:t>,</w:t>
      </w:r>
      <w:r w:rsidRPr="00CF6A7F">
        <w:rPr>
          <w:lang w:val="en-AU"/>
        </w:rPr>
        <w:t xml:space="preserve"> and together they service an extensive catchment in both states.</w:t>
      </w:r>
    </w:p>
    <w:p w:rsidR="0087037D" w:rsidRPr="00CF6A7F" w:rsidRDefault="0087037D" w:rsidP="0087037D">
      <w:pPr>
        <w:pStyle w:val="bt"/>
        <w:rPr>
          <w:lang w:val="en-AU"/>
        </w:rPr>
      </w:pPr>
      <w:r w:rsidRPr="00CF6A7F">
        <w:rPr>
          <w:lang w:val="en-AU"/>
        </w:rPr>
        <w:t xml:space="preserve">Robinvale will be the preferred location for growth in the northern part of Swan Hill Rural City and along the Murray River corridor between Mildura and Swan Hill. A range of services, including education, retail, medical </w:t>
      </w:r>
      <w:r w:rsidRPr="00CF6A7F">
        <w:rPr>
          <w:lang w:val="en-AU"/>
        </w:rPr>
        <w:lastRenderedPageBreak/>
        <w:t xml:space="preserve">and </w:t>
      </w:r>
      <w:r w:rsidR="00DD4218" w:rsidRPr="00CF6A7F">
        <w:rPr>
          <w:lang w:val="en-AU"/>
        </w:rPr>
        <w:t>recreation</w:t>
      </w:r>
      <w:r w:rsidRPr="00CF6A7F">
        <w:rPr>
          <w:lang w:val="en-AU"/>
        </w:rPr>
        <w:t xml:space="preserve"> will need to be retained and enhanced to support the role of the town and address high levels of disadvantage</w:t>
      </w:r>
      <w:r w:rsidR="00C571D2" w:rsidRPr="00CF6A7F">
        <w:rPr>
          <w:lang w:val="en-AU"/>
        </w:rPr>
        <w:t xml:space="preserve"> within the </w:t>
      </w:r>
      <w:r w:rsidR="007A7893" w:rsidRPr="00CF6A7F">
        <w:rPr>
          <w:lang w:val="en-AU"/>
        </w:rPr>
        <w:t xml:space="preserve">local </w:t>
      </w:r>
      <w:r w:rsidR="00C571D2" w:rsidRPr="00CF6A7F">
        <w:rPr>
          <w:lang w:val="en-AU"/>
        </w:rPr>
        <w:t>community</w:t>
      </w:r>
      <w:r w:rsidRPr="00CF6A7F">
        <w:rPr>
          <w:lang w:val="en-AU"/>
        </w:rPr>
        <w:t>. These services will be important to support the surrounding agricultural district and large</w:t>
      </w:r>
      <w:r w:rsidR="00D0403C" w:rsidRPr="00CF6A7F">
        <w:rPr>
          <w:lang w:val="en-AU"/>
        </w:rPr>
        <w:t>-</w:t>
      </w:r>
      <w:r w:rsidRPr="00CF6A7F">
        <w:rPr>
          <w:lang w:val="en-AU"/>
        </w:rPr>
        <w:t xml:space="preserve">scale horticultural developments. </w:t>
      </w:r>
    </w:p>
    <w:p w:rsidR="0087037D" w:rsidRPr="00CF6A7F" w:rsidRDefault="0087037D" w:rsidP="0087037D">
      <w:pPr>
        <w:pStyle w:val="bt"/>
        <w:rPr>
          <w:lang w:val="en-AU"/>
        </w:rPr>
      </w:pPr>
      <w:r w:rsidRPr="00CF6A7F">
        <w:rPr>
          <w:lang w:val="en-AU"/>
        </w:rPr>
        <w:t>Future employment opportunities in horticulture, food processing, tourism and renewable energy</w:t>
      </w:r>
      <w:r w:rsidR="00C571D2" w:rsidRPr="00CF6A7F">
        <w:rPr>
          <w:lang w:val="en-AU"/>
        </w:rPr>
        <w:t xml:space="preserve"> should be encouraged</w:t>
      </w:r>
      <w:r w:rsidRPr="00CF6A7F">
        <w:rPr>
          <w:lang w:val="en-AU"/>
        </w:rPr>
        <w:t xml:space="preserve">. This will strengthen the town’s ability to support itself and overcome the risk of social exclusion for some of its residents. </w:t>
      </w:r>
    </w:p>
    <w:p w:rsidR="0087037D" w:rsidRPr="00CF6A7F" w:rsidRDefault="0087037D" w:rsidP="0087037D">
      <w:pPr>
        <w:pStyle w:val="bt"/>
        <w:rPr>
          <w:lang w:val="en-AU"/>
        </w:rPr>
      </w:pPr>
      <w:r w:rsidRPr="00CF6A7F">
        <w:rPr>
          <w:lang w:val="en-AU"/>
        </w:rPr>
        <w:t>Robinvale has multiple and complex housing issues</w:t>
      </w:r>
      <w:r w:rsidR="00D0403C" w:rsidRPr="00CF6A7F">
        <w:rPr>
          <w:lang w:val="en-AU"/>
        </w:rPr>
        <w:t xml:space="preserve"> including a</w:t>
      </w:r>
      <w:r w:rsidRPr="00CF6A7F">
        <w:rPr>
          <w:lang w:val="en-AU"/>
        </w:rPr>
        <w:t xml:space="preserve"> lack of suitable housing for professionals and middle management</w:t>
      </w:r>
      <w:r w:rsidR="00D0403C" w:rsidRPr="00CF6A7F">
        <w:rPr>
          <w:lang w:val="en-AU"/>
        </w:rPr>
        <w:t>,</w:t>
      </w:r>
      <w:r w:rsidRPr="00CF6A7F">
        <w:rPr>
          <w:lang w:val="en-AU"/>
        </w:rPr>
        <w:t xml:space="preserve"> shortages of appropriately located accommodation for seasonal horticultural workers</w:t>
      </w:r>
      <w:r w:rsidR="00D0403C" w:rsidRPr="00CF6A7F">
        <w:rPr>
          <w:lang w:val="en-AU"/>
        </w:rPr>
        <w:t>,</w:t>
      </w:r>
      <w:r w:rsidRPr="00CF6A7F">
        <w:rPr>
          <w:lang w:val="en-AU"/>
        </w:rPr>
        <w:t xml:space="preserve"> </w:t>
      </w:r>
      <w:r w:rsidR="00D0403C" w:rsidRPr="00CF6A7F">
        <w:rPr>
          <w:lang w:val="en-AU"/>
        </w:rPr>
        <w:t xml:space="preserve">a </w:t>
      </w:r>
      <w:r w:rsidRPr="00CF6A7F">
        <w:rPr>
          <w:lang w:val="en-AU"/>
        </w:rPr>
        <w:t>lack of affordable housing and shortfalls in public housing to address overcrowding and emergency accommodation</w:t>
      </w:r>
      <w:r w:rsidR="00C571D2" w:rsidRPr="00CF6A7F">
        <w:rPr>
          <w:lang w:val="en-AU"/>
        </w:rPr>
        <w:t xml:space="preserve"> needs</w:t>
      </w:r>
      <w:r w:rsidRPr="00CF6A7F">
        <w:rPr>
          <w:lang w:val="en-AU"/>
        </w:rPr>
        <w:t xml:space="preserve">.  </w:t>
      </w:r>
    </w:p>
    <w:p w:rsidR="0087037D" w:rsidRPr="00CF6A7F" w:rsidRDefault="0087037D" w:rsidP="00933BAB">
      <w:pPr>
        <w:pStyle w:val="Heading3"/>
        <w:rPr>
          <w:lang w:val="en-AU"/>
        </w:rPr>
      </w:pPr>
      <w:r w:rsidRPr="00CF6A7F">
        <w:rPr>
          <w:lang w:val="en-AU"/>
        </w:rPr>
        <w:t xml:space="preserve">Eastern Mallee </w:t>
      </w:r>
      <w:r w:rsidR="008C3A92" w:rsidRPr="00CF6A7F">
        <w:rPr>
          <w:lang w:val="en-AU"/>
        </w:rPr>
        <w:t>t</w:t>
      </w:r>
      <w:r w:rsidRPr="00CF6A7F">
        <w:rPr>
          <w:lang w:val="en-AU"/>
        </w:rPr>
        <w:t xml:space="preserve">owns and </w:t>
      </w:r>
      <w:r w:rsidR="008C3A92" w:rsidRPr="00CF6A7F">
        <w:rPr>
          <w:lang w:val="en-AU"/>
        </w:rPr>
        <w:t>r</w:t>
      </w:r>
      <w:r w:rsidRPr="00CF6A7F">
        <w:rPr>
          <w:lang w:val="en-AU"/>
        </w:rPr>
        <w:t xml:space="preserve">ural </w:t>
      </w:r>
      <w:r w:rsidR="008C3A92" w:rsidRPr="00CF6A7F">
        <w:rPr>
          <w:lang w:val="en-AU"/>
        </w:rPr>
        <w:t>s</w:t>
      </w:r>
      <w:r w:rsidRPr="00CF6A7F">
        <w:rPr>
          <w:lang w:val="en-AU"/>
        </w:rPr>
        <w:t>ettlements</w:t>
      </w:r>
    </w:p>
    <w:p w:rsidR="0087037D" w:rsidRPr="00CF6A7F" w:rsidRDefault="0087037D" w:rsidP="0087037D">
      <w:pPr>
        <w:pStyle w:val="bt"/>
        <w:rPr>
          <w:lang w:val="en-AU"/>
        </w:rPr>
      </w:pPr>
      <w:r w:rsidRPr="00CF6A7F">
        <w:rPr>
          <w:lang w:val="en-AU"/>
        </w:rPr>
        <w:t xml:space="preserve">A number of small towns in close proximity to Swan Hill will act as commuter towns offering housing and lifestyle choice. </w:t>
      </w:r>
      <w:r w:rsidR="00A7501E" w:rsidRPr="00CF6A7F">
        <w:rPr>
          <w:lang w:val="en-AU"/>
        </w:rPr>
        <w:t xml:space="preserve">Many towns also provide employment and housing for horticultural workers. </w:t>
      </w:r>
      <w:r w:rsidRPr="00CF6A7F">
        <w:rPr>
          <w:lang w:val="en-AU"/>
        </w:rPr>
        <w:t xml:space="preserve">Sea Lake provides higher order services than normally expected for a town of its population due to its relative remoteness and distance </w:t>
      </w:r>
      <w:r w:rsidR="00C571D2" w:rsidRPr="00CF6A7F">
        <w:rPr>
          <w:lang w:val="en-AU"/>
        </w:rPr>
        <w:t>from</w:t>
      </w:r>
      <w:r w:rsidRPr="00CF6A7F">
        <w:rPr>
          <w:lang w:val="en-AU"/>
        </w:rPr>
        <w:t xml:space="preserve"> major service centre</w:t>
      </w:r>
      <w:r w:rsidR="00C571D2" w:rsidRPr="00CF6A7F">
        <w:rPr>
          <w:lang w:val="en-AU"/>
        </w:rPr>
        <w:t>s</w:t>
      </w:r>
      <w:r w:rsidRPr="00CF6A7F">
        <w:rPr>
          <w:lang w:val="en-AU"/>
        </w:rPr>
        <w:t>. This role should be supported.</w:t>
      </w:r>
    </w:p>
    <w:p w:rsidR="0087037D" w:rsidRPr="00CF6A7F" w:rsidRDefault="0087037D" w:rsidP="0087037D">
      <w:pPr>
        <w:pStyle w:val="bt"/>
        <w:rPr>
          <w:lang w:val="en-AU"/>
        </w:rPr>
      </w:pPr>
      <w:r w:rsidRPr="00CF6A7F">
        <w:rPr>
          <w:lang w:val="en-AU"/>
        </w:rPr>
        <w:t xml:space="preserve">Manangatang, Piangil and Ultima will service local communities and dispersed rural populations. Communities in these settlements should be supported to adapt to population decrease and </w:t>
      </w:r>
      <w:r w:rsidR="00C14963">
        <w:rPr>
          <w:lang w:val="en-AU"/>
        </w:rPr>
        <w:t>challenges to the viability of service delivery</w:t>
      </w:r>
      <w:r w:rsidRPr="00CF6A7F">
        <w:rPr>
          <w:lang w:val="en-AU"/>
        </w:rPr>
        <w:t>.</w:t>
      </w:r>
    </w:p>
    <w:p w:rsidR="00D156F9" w:rsidRDefault="0087037D">
      <w:pPr>
        <w:pStyle w:val="Heading4"/>
      </w:pPr>
      <w:r w:rsidRPr="00CF6A7F">
        <w:t xml:space="preserve">Eastern Mallee </w:t>
      </w:r>
      <w:r w:rsidR="008C3A92" w:rsidRPr="00CF6A7F">
        <w:t>f</w:t>
      </w:r>
      <w:r w:rsidRPr="00CF6A7F">
        <w:t xml:space="preserve">uture </w:t>
      </w:r>
      <w:r w:rsidR="008C3A92" w:rsidRPr="00CF6A7F">
        <w:t>l</w:t>
      </w:r>
      <w:r w:rsidRPr="00CF6A7F">
        <w:t xml:space="preserve">and </w:t>
      </w:r>
      <w:r w:rsidR="008C3A92" w:rsidRPr="00CF6A7F">
        <w:t>u</w:t>
      </w:r>
      <w:r w:rsidRPr="00CF6A7F">
        <w:t xml:space="preserve">se </w:t>
      </w:r>
      <w:r w:rsidR="00B74250" w:rsidRPr="00CF6A7F">
        <w:t xml:space="preserve">strategies </w:t>
      </w:r>
      <w:r w:rsidRPr="00CF6A7F">
        <w:t xml:space="preserve">and </w:t>
      </w:r>
      <w:r w:rsidR="008C3A92" w:rsidRPr="00CF6A7F">
        <w:t>a</w:t>
      </w:r>
      <w:r w:rsidRPr="00CF6A7F">
        <w:t>ctions</w:t>
      </w:r>
    </w:p>
    <w:p w:rsidR="00887259" w:rsidRPr="00CF6A7F" w:rsidRDefault="00887259" w:rsidP="00887259">
      <w:pPr>
        <w:pStyle w:val="btbullet"/>
        <w:rPr>
          <w:lang w:val="en-AU"/>
        </w:rPr>
      </w:pPr>
      <w:r w:rsidRPr="00CF6A7F">
        <w:rPr>
          <w:lang w:val="en-AU"/>
        </w:rPr>
        <w:t xml:space="preserve">Facilitate </w:t>
      </w:r>
      <w:r w:rsidR="00D0403C" w:rsidRPr="00CF6A7F">
        <w:rPr>
          <w:lang w:val="en-AU"/>
        </w:rPr>
        <w:t xml:space="preserve">the </w:t>
      </w:r>
      <w:r w:rsidRPr="00CF6A7F">
        <w:rPr>
          <w:lang w:val="en-AU"/>
        </w:rPr>
        <w:t>growth of Swan Hill through planned development, incremental expansion and consideration of population change and settlement planning in New South Wales</w:t>
      </w:r>
    </w:p>
    <w:p w:rsidR="00D81C28" w:rsidRPr="00CF6A7F" w:rsidRDefault="0073126E">
      <w:pPr>
        <w:pStyle w:val="btbullet"/>
        <w:shd w:val="clear" w:color="auto" w:fill="FFFFFF" w:themeFill="background1"/>
        <w:rPr>
          <w:lang w:val="en-AU"/>
        </w:rPr>
      </w:pPr>
      <w:r w:rsidRPr="00CF6A7F">
        <w:rPr>
          <w:lang w:val="en-AU"/>
        </w:rPr>
        <w:t xml:space="preserve">Reinforce </w:t>
      </w:r>
      <w:r w:rsidR="0087037D" w:rsidRPr="00CF6A7F">
        <w:rPr>
          <w:lang w:val="en-AU"/>
        </w:rPr>
        <w:t>Swan Hill</w:t>
      </w:r>
      <w:r w:rsidRPr="00CF6A7F">
        <w:rPr>
          <w:lang w:val="en-AU"/>
        </w:rPr>
        <w:t>’s</w:t>
      </w:r>
      <w:r w:rsidR="0087037D" w:rsidRPr="00CF6A7F">
        <w:rPr>
          <w:lang w:val="en-AU"/>
        </w:rPr>
        <w:t xml:space="preserve"> </w:t>
      </w:r>
      <w:r w:rsidRPr="00CF6A7F">
        <w:rPr>
          <w:lang w:val="en-AU"/>
        </w:rPr>
        <w:t>role as a regional centre and important tourism destination</w:t>
      </w:r>
    </w:p>
    <w:p w:rsidR="0087037D" w:rsidRPr="00CF6A7F" w:rsidRDefault="0087037D" w:rsidP="00D41888">
      <w:pPr>
        <w:pStyle w:val="btbullet"/>
        <w:rPr>
          <w:lang w:val="en-AU"/>
        </w:rPr>
      </w:pPr>
      <w:r w:rsidRPr="00CF6A7F">
        <w:rPr>
          <w:lang w:val="en-AU"/>
        </w:rPr>
        <w:t xml:space="preserve">Support </w:t>
      </w:r>
      <w:r w:rsidR="00BF16A8">
        <w:rPr>
          <w:lang w:val="en-AU"/>
        </w:rPr>
        <w:t xml:space="preserve">the </w:t>
      </w:r>
      <w:r w:rsidRPr="00CF6A7F">
        <w:rPr>
          <w:lang w:val="en-AU"/>
        </w:rPr>
        <w:t xml:space="preserve">provision of infrastructure to facilitate </w:t>
      </w:r>
      <w:r w:rsidR="00BF16A8">
        <w:rPr>
          <w:lang w:val="en-AU"/>
        </w:rPr>
        <w:t xml:space="preserve">the </w:t>
      </w:r>
      <w:r w:rsidRPr="00CF6A7F">
        <w:rPr>
          <w:lang w:val="en-AU"/>
        </w:rPr>
        <w:t>growth of Swan Hill and expand its role as a regional centre, including improvements to transport infrastructure to service regional industries</w:t>
      </w:r>
    </w:p>
    <w:p w:rsidR="00751744" w:rsidRPr="00CF6A7F" w:rsidRDefault="00751744" w:rsidP="00D41888">
      <w:pPr>
        <w:pStyle w:val="btbullet"/>
        <w:rPr>
          <w:lang w:val="en-AU"/>
        </w:rPr>
      </w:pPr>
      <w:r w:rsidRPr="00CF6A7F">
        <w:rPr>
          <w:lang w:val="en-AU"/>
        </w:rPr>
        <w:t>Support walking and cycling in urban areas to enhance accessibility</w:t>
      </w:r>
    </w:p>
    <w:p w:rsidR="0087037D" w:rsidRPr="00CF6A7F" w:rsidRDefault="0087037D" w:rsidP="00D41888">
      <w:pPr>
        <w:pStyle w:val="btbullet"/>
        <w:rPr>
          <w:lang w:val="en-AU"/>
        </w:rPr>
      </w:pPr>
      <w:r w:rsidRPr="00CF6A7F">
        <w:rPr>
          <w:lang w:val="en-AU"/>
        </w:rPr>
        <w:t>Recognise and reinforce Robinvale as a town in the Eastern Mallee community of interest and its New South Wales hinterland, providing services to surrounding smaller towns</w:t>
      </w:r>
    </w:p>
    <w:p w:rsidR="0087037D" w:rsidRPr="00CF6A7F" w:rsidRDefault="0087037D" w:rsidP="00D41888">
      <w:pPr>
        <w:pStyle w:val="btbullet"/>
        <w:rPr>
          <w:lang w:val="en-AU"/>
        </w:rPr>
      </w:pPr>
      <w:r w:rsidRPr="00CF6A7F">
        <w:rPr>
          <w:lang w:val="en-AU"/>
        </w:rPr>
        <w:t xml:space="preserve">Facilitate </w:t>
      </w:r>
      <w:r w:rsidR="00D0403C" w:rsidRPr="00CF6A7F">
        <w:rPr>
          <w:lang w:val="en-AU"/>
        </w:rPr>
        <w:t xml:space="preserve">the </w:t>
      </w:r>
      <w:r w:rsidRPr="00CF6A7F">
        <w:rPr>
          <w:lang w:val="en-AU"/>
        </w:rPr>
        <w:t>growth of Robinvale through planned development, incremental expansion and consideration of population change and settlement planning in New South Wales</w:t>
      </w:r>
    </w:p>
    <w:p w:rsidR="0087037D" w:rsidRPr="00CF6A7F" w:rsidRDefault="0087037D" w:rsidP="00D41888">
      <w:pPr>
        <w:pStyle w:val="btbullet"/>
        <w:rPr>
          <w:lang w:val="en-AU"/>
        </w:rPr>
      </w:pPr>
      <w:r w:rsidRPr="00CF6A7F">
        <w:rPr>
          <w:lang w:val="en-AU"/>
        </w:rPr>
        <w:t>Support public transport connections between towns within the Eastern Mallee community of interest</w:t>
      </w:r>
      <w:r w:rsidR="00D0403C" w:rsidRPr="00CF6A7F">
        <w:rPr>
          <w:lang w:val="en-AU"/>
        </w:rPr>
        <w:t>,</w:t>
      </w:r>
      <w:r w:rsidRPr="00CF6A7F">
        <w:rPr>
          <w:lang w:val="en-AU"/>
        </w:rPr>
        <w:t xml:space="preserve"> Swan Hill and Mildura to enable access to services</w:t>
      </w:r>
    </w:p>
    <w:p w:rsidR="0087037D" w:rsidRPr="00CF6A7F" w:rsidRDefault="001114ED" w:rsidP="00D41888">
      <w:pPr>
        <w:pStyle w:val="btbullet"/>
        <w:rPr>
          <w:lang w:val="en-AU"/>
        </w:rPr>
      </w:pPr>
      <w:r w:rsidRPr="00CF6A7F">
        <w:rPr>
          <w:lang w:val="en-AU"/>
        </w:rPr>
        <w:t xml:space="preserve">Implement </w:t>
      </w:r>
      <w:r w:rsidR="0087037D" w:rsidRPr="00CF6A7F">
        <w:rPr>
          <w:lang w:val="en-AU"/>
        </w:rPr>
        <w:t xml:space="preserve">the </w:t>
      </w:r>
      <w:r w:rsidR="003B55D4" w:rsidRPr="00CF6A7F">
        <w:rPr>
          <w:lang w:val="en-AU"/>
        </w:rPr>
        <w:t>Swan Hill Residential Development Strategy 2006–2030</w:t>
      </w:r>
    </w:p>
    <w:p w:rsidR="002706B6" w:rsidRPr="00CF6A7F" w:rsidRDefault="008A7696" w:rsidP="00D41888">
      <w:pPr>
        <w:pStyle w:val="btbullet"/>
        <w:rPr>
          <w:lang w:val="en-AU"/>
        </w:rPr>
      </w:pPr>
      <w:r w:rsidRPr="00CF6A7F">
        <w:rPr>
          <w:lang w:val="en-AU"/>
        </w:rPr>
        <w:t xml:space="preserve">Support </w:t>
      </w:r>
      <w:r w:rsidR="0087037D" w:rsidRPr="00CF6A7F">
        <w:rPr>
          <w:lang w:val="en-AU"/>
        </w:rPr>
        <w:t xml:space="preserve">structure planning </w:t>
      </w:r>
      <w:r w:rsidR="001A3A75" w:rsidRPr="00CF6A7F">
        <w:rPr>
          <w:lang w:val="en-AU"/>
        </w:rPr>
        <w:t xml:space="preserve">for </w:t>
      </w:r>
      <w:r w:rsidR="0087037D" w:rsidRPr="00CF6A7F">
        <w:rPr>
          <w:lang w:val="en-AU"/>
        </w:rPr>
        <w:t>Robinvale</w:t>
      </w:r>
    </w:p>
    <w:p w:rsidR="0087037D" w:rsidRPr="00CF6A7F" w:rsidRDefault="0087037D" w:rsidP="00D41888">
      <w:pPr>
        <w:pStyle w:val="Heading2"/>
        <w:rPr>
          <w:lang w:val="en-AU"/>
        </w:rPr>
      </w:pPr>
      <w:bookmarkStart w:id="90" w:name="_Toc377031464"/>
      <w:r w:rsidRPr="00CF6A7F">
        <w:rPr>
          <w:lang w:val="en-AU"/>
        </w:rPr>
        <w:t>Gannawarra community of interest</w:t>
      </w:r>
      <w:bookmarkEnd w:id="90"/>
    </w:p>
    <w:p w:rsidR="0087037D" w:rsidRPr="00CF6A7F" w:rsidRDefault="0087037D" w:rsidP="00933BAB">
      <w:pPr>
        <w:pStyle w:val="Heading3"/>
        <w:rPr>
          <w:lang w:val="en-AU"/>
        </w:rPr>
      </w:pPr>
      <w:r w:rsidRPr="00CF6A7F">
        <w:rPr>
          <w:lang w:val="en-AU"/>
        </w:rPr>
        <w:t xml:space="preserve">Kerang </w:t>
      </w:r>
      <w:r w:rsidR="00EF49D4">
        <w:rPr>
          <w:lang w:val="en-AU"/>
        </w:rPr>
        <w:t>–</w:t>
      </w:r>
      <w:r w:rsidR="00EF49D4" w:rsidRPr="00CF6A7F">
        <w:rPr>
          <w:lang w:val="en-AU"/>
        </w:rPr>
        <w:t xml:space="preserve"> </w:t>
      </w:r>
      <w:r w:rsidR="008C3A92" w:rsidRPr="00CF6A7F">
        <w:rPr>
          <w:lang w:val="en-AU"/>
        </w:rPr>
        <w:t>t</w:t>
      </w:r>
      <w:r w:rsidRPr="00CF6A7F">
        <w:rPr>
          <w:lang w:val="en-AU"/>
        </w:rPr>
        <w:t>own</w:t>
      </w:r>
    </w:p>
    <w:p w:rsidR="0087037D" w:rsidRPr="00CF6A7F" w:rsidRDefault="0087037D" w:rsidP="0087037D">
      <w:pPr>
        <w:pStyle w:val="bt"/>
        <w:rPr>
          <w:lang w:val="en-AU"/>
        </w:rPr>
      </w:pPr>
      <w:r w:rsidRPr="00CF6A7F">
        <w:rPr>
          <w:lang w:val="en-AU"/>
        </w:rPr>
        <w:t xml:space="preserve">Kerang is located midway between Echuca and Swan Hill at the junction of the Loddon Valley and Murray Valley </w:t>
      </w:r>
      <w:r w:rsidR="00FA0160" w:rsidRPr="00CF6A7F">
        <w:rPr>
          <w:lang w:val="en-AU"/>
        </w:rPr>
        <w:t>h</w:t>
      </w:r>
      <w:r w:rsidRPr="00CF6A7F">
        <w:rPr>
          <w:lang w:val="en-AU"/>
        </w:rPr>
        <w:t>ighways and on the Bendigo to Swan Hill railway line. It performs an important sub-regional and community role as a centre for shopping, employment, health and business services. Similar to other regional towns</w:t>
      </w:r>
      <w:r w:rsidR="00CA74D5" w:rsidRPr="00CF6A7F">
        <w:rPr>
          <w:lang w:val="en-AU"/>
        </w:rPr>
        <w:t>,</w:t>
      </w:r>
      <w:r w:rsidRPr="00CF6A7F">
        <w:rPr>
          <w:lang w:val="en-AU"/>
        </w:rPr>
        <w:t xml:space="preserve"> such as Ouyen, Kerang provides higher order services than would be expected for a town of its population. This reflects the relative remoteness of the town and the number of small towns and rural settlements it supports.</w:t>
      </w:r>
    </w:p>
    <w:p w:rsidR="0087037D" w:rsidRPr="00F63910" w:rsidRDefault="0087037D" w:rsidP="0087037D">
      <w:pPr>
        <w:pStyle w:val="bt"/>
        <w:rPr>
          <w:lang w:val="en-AU"/>
        </w:rPr>
      </w:pPr>
      <w:r w:rsidRPr="00CF6A7F">
        <w:rPr>
          <w:lang w:val="en-AU"/>
        </w:rPr>
        <w:lastRenderedPageBreak/>
        <w:t xml:space="preserve">The residential growth strategy for Kerang, outlined in the </w:t>
      </w:r>
      <w:r w:rsidR="003B55D4" w:rsidRPr="00CF6A7F">
        <w:rPr>
          <w:lang w:val="en-AU"/>
        </w:rPr>
        <w:t>Gannawarra Urban and Rural Strategy</w:t>
      </w:r>
      <w:r w:rsidR="00C571D2" w:rsidRPr="00CF6A7F">
        <w:rPr>
          <w:lang w:val="en-AU"/>
        </w:rPr>
        <w:t xml:space="preserve"> (2007)</w:t>
      </w:r>
      <w:r w:rsidRPr="00CF6A7F">
        <w:rPr>
          <w:lang w:val="en-AU"/>
        </w:rPr>
        <w:t xml:space="preserve">, is based on consolidation and expansion of the existing town, with a focus on encouraging smaller housing forms close to existing amenities to respond to </w:t>
      </w:r>
      <w:r w:rsidR="001040F4" w:rsidRPr="00CF6A7F">
        <w:rPr>
          <w:lang w:val="en-AU"/>
        </w:rPr>
        <w:t>an</w:t>
      </w:r>
      <w:r w:rsidR="00FA0160" w:rsidRPr="00CF6A7F">
        <w:rPr>
          <w:lang w:val="en-AU"/>
        </w:rPr>
        <w:t xml:space="preserve"> </w:t>
      </w:r>
      <w:r w:rsidRPr="00CF6A7F">
        <w:rPr>
          <w:lang w:val="en-AU"/>
        </w:rPr>
        <w:t xml:space="preserve">increase in smaller households and </w:t>
      </w:r>
      <w:r w:rsidR="00FA0160" w:rsidRPr="00CF6A7F">
        <w:rPr>
          <w:lang w:val="en-AU"/>
        </w:rPr>
        <w:t xml:space="preserve">an </w:t>
      </w:r>
      <w:r w:rsidRPr="00CF6A7F">
        <w:rPr>
          <w:lang w:val="en-AU"/>
        </w:rPr>
        <w:t>ageing population.</w:t>
      </w:r>
      <w:r w:rsidR="001040F4" w:rsidRPr="00CF6A7F">
        <w:rPr>
          <w:lang w:val="en-AU"/>
        </w:rPr>
        <w:t xml:space="preserve"> </w:t>
      </w:r>
      <w:r w:rsidRPr="00CF6A7F">
        <w:rPr>
          <w:lang w:val="en-AU"/>
        </w:rPr>
        <w:t>There is sufficient land identified for residential and industrial growth until 2017.</w:t>
      </w:r>
      <w:r w:rsidR="001040F4" w:rsidRPr="00CF6A7F">
        <w:rPr>
          <w:lang w:val="en-AU"/>
        </w:rPr>
        <w:t xml:space="preserve"> </w:t>
      </w:r>
      <w:r w:rsidR="00C34445" w:rsidRPr="00CF6A7F">
        <w:rPr>
          <w:lang w:val="en-AU"/>
        </w:rPr>
        <w:t xml:space="preserve">Gannawarra Shire </w:t>
      </w:r>
      <w:r w:rsidR="00EB0459">
        <w:rPr>
          <w:lang w:val="en-AU"/>
        </w:rPr>
        <w:t>ha</w:t>
      </w:r>
      <w:r w:rsidR="00C34445" w:rsidRPr="00CF6A7F">
        <w:rPr>
          <w:lang w:val="en-AU"/>
        </w:rPr>
        <w:t>s invest</w:t>
      </w:r>
      <w:r w:rsidR="00EB0459">
        <w:rPr>
          <w:lang w:val="en-AU"/>
        </w:rPr>
        <w:t>igated</w:t>
      </w:r>
      <w:r w:rsidR="00C34445" w:rsidRPr="00CF6A7F">
        <w:rPr>
          <w:lang w:val="en-AU"/>
        </w:rPr>
        <w:t xml:space="preserve"> appropriate locations for r</w:t>
      </w:r>
      <w:r w:rsidRPr="00CF6A7F">
        <w:rPr>
          <w:lang w:val="en-AU"/>
        </w:rPr>
        <w:t>ural residential housing through</w:t>
      </w:r>
      <w:r w:rsidR="001040F4" w:rsidRPr="00CF6A7F">
        <w:rPr>
          <w:lang w:val="en-AU"/>
        </w:rPr>
        <w:t xml:space="preserve"> the</w:t>
      </w:r>
      <w:r w:rsidRPr="00CF6A7F">
        <w:rPr>
          <w:lang w:val="en-AU"/>
        </w:rPr>
        <w:t xml:space="preserve"> </w:t>
      </w:r>
      <w:r w:rsidR="003B55D4" w:rsidRPr="00CF6A7F">
        <w:rPr>
          <w:lang w:val="en-AU"/>
        </w:rPr>
        <w:t xml:space="preserve">Lakes Environs </w:t>
      </w:r>
      <w:r w:rsidR="00535DDD" w:rsidRPr="00535DDD">
        <w:rPr>
          <w:lang w:val="en-AU"/>
        </w:rPr>
        <w:t>Strategy</w:t>
      </w:r>
      <w:r w:rsidR="003E4202" w:rsidRPr="003E4202">
        <w:rPr>
          <w:lang w:val="en-AU"/>
        </w:rPr>
        <w:t>.</w:t>
      </w:r>
    </w:p>
    <w:p w:rsidR="0087037D" w:rsidRPr="00F63910" w:rsidRDefault="003E4202" w:rsidP="0087037D">
      <w:pPr>
        <w:pStyle w:val="bt"/>
        <w:rPr>
          <w:lang w:val="en-AU"/>
        </w:rPr>
      </w:pPr>
      <w:r w:rsidRPr="003E4202">
        <w:rPr>
          <w:lang w:val="en-AU"/>
        </w:rPr>
        <w:t>A key challenge in Kerang is a mismatch between the available housing stock, which is largely three bedroom weatherboard family homes, and the needs of an ageing population. This is compounded by a lack of return on investment from new housing for older people or refurbishment of existing housing stock.</w:t>
      </w:r>
    </w:p>
    <w:p w:rsidR="0087037D" w:rsidRPr="00B12316" w:rsidRDefault="003E4202" w:rsidP="0087037D">
      <w:pPr>
        <w:pStyle w:val="bt"/>
        <w:rPr>
          <w:lang w:val="en-AU"/>
        </w:rPr>
      </w:pPr>
      <w:r w:rsidRPr="003E4202">
        <w:rPr>
          <w:lang w:val="en-AU"/>
        </w:rPr>
        <w:t>Agriculture and associated processing and servicing will continue to underpin the local economy. Maintaining and upgrading freight and transport networks will be important to support agriculture and economic diversity initiatives. Opportunities for economic diversity that have been identified include nature-based tourism associated with the Ramsar</w:t>
      </w:r>
      <w:r w:rsidR="007D12A5">
        <w:rPr>
          <w:lang w:val="en-AU"/>
        </w:rPr>
        <w:t xml:space="preserve"> </w:t>
      </w:r>
      <w:r w:rsidR="0087037D" w:rsidRPr="00B12316">
        <w:rPr>
          <w:lang w:val="en-AU"/>
        </w:rPr>
        <w:t>listed Kerang Lakes</w:t>
      </w:r>
      <w:r w:rsidR="00902B08" w:rsidRPr="00B12316">
        <w:rPr>
          <w:lang w:val="en-AU"/>
        </w:rPr>
        <w:t>,</w:t>
      </w:r>
      <w:r w:rsidR="0087037D" w:rsidRPr="00B12316">
        <w:rPr>
          <w:lang w:val="en-AU"/>
        </w:rPr>
        <w:t xml:space="preserve"> and solar power generation. Gannawarra Shire is being proactive in attracting solar powered energy generation.</w:t>
      </w:r>
    </w:p>
    <w:p w:rsidR="0087037D" w:rsidRPr="00B12316" w:rsidRDefault="0087037D" w:rsidP="00933BAB">
      <w:pPr>
        <w:pStyle w:val="Heading3"/>
        <w:rPr>
          <w:lang w:val="en-AU"/>
        </w:rPr>
      </w:pPr>
      <w:r w:rsidRPr="00B12316">
        <w:rPr>
          <w:lang w:val="en-AU"/>
        </w:rPr>
        <w:t xml:space="preserve">Cohuna – </w:t>
      </w:r>
      <w:r w:rsidR="008C3A92" w:rsidRPr="00B12316">
        <w:rPr>
          <w:lang w:val="en-AU"/>
        </w:rPr>
        <w:t>t</w:t>
      </w:r>
      <w:r w:rsidRPr="00B12316">
        <w:rPr>
          <w:lang w:val="en-AU"/>
        </w:rPr>
        <w:t>own</w:t>
      </w:r>
    </w:p>
    <w:p w:rsidR="0087037D" w:rsidRPr="00B12316" w:rsidRDefault="0087037D" w:rsidP="0087037D">
      <w:pPr>
        <w:pStyle w:val="bt"/>
        <w:rPr>
          <w:lang w:val="en-AU"/>
        </w:rPr>
      </w:pPr>
      <w:r w:rsidRPr="00B12316">
        <w:rPr>
          <w:lang w:val="en-AU"/>
        </w:rPr>
        <w:t xml:space="preserve">Cohuna, located on the Murray Valley Highway, performs a service centre role providing shopping, employment and business services. The town’s </w:t>
      </w:r>
      <w:r w:rsidR="00902B08" w:rsidRPr="00B12316">
        <w:rPr>
          <w:lang w:val="en-AU"/>
        </w:rPr>
        <w:t xml:space="preserve">location </w:t>
      </w:r>
      <w:r w:rsidRPr="00B12316">
        <w:rPr>
          <w:lang w:val="en-AU"/>
        </w:rPr>
        <w:t xml:space="preserve">on the Gunbower Creek and </w:t>
      </w:r>
      <w:r w:rsidR="00B12316">
        <w:rPr>
          <w:lang w:val="en-AU"/>
        </w:rPr>
        <w:t>its</w:t>
      </w:r>
      <w:r w:rsidR="00B12316" w:rsidRPr="00B12316">
        <w:rPr>
          <w:lang w:val="en-AU"/>
        </w:rPr>
        <w:t xml:space="preserve"> </w:t>
      </w:r>
      <w:r w:rsidRPr="00B12316">
        <w:rPr>
          <w:lang w:val="en-AU"/>
        </w:rPr>
        <w:t>close proximity to the Gunbower Forest and Murray River make it attractive for retirees and those seeking an alternative lifestyle.</w:t>
      </w:r>
      <w:r w:rsidR="00B74250" w:rsidRPr="00B12316">
        <w:rPr>
          <w:lang w:val="en-AU"/>
        </w:rPr>
        <w:t xml:space="preserve"> It is also a gateway to regionally significant tourist attractions.</w:t>
      </w:r>
    </w:p>
    <w:p w:rsidR="0087037D" w:rsidRPr="00B12316" w:rsidRDefault="0087037D" w:rsidP="0087037D">
      <w:pPr>
        <w:pStyle w:val="bt"/>
        <w:rPr>
          <w:lang w:val="en-AU"/>
        </w:rPr>
      </w:pPr>
      <w:r w:rsidRPr="00B12316">
        <w:rPr>
          <w:lang w:val="en-AU"/>
        </w:rPr>
        <w:t xml:space="preserve">The strategy for residential development in and around Cohuna outlined in the </w:t>
      </w:r>
      <w:r w:rsidR="003B55D4" w:rsidRPr="00B12316">
        <w:rPr>
          <w:lang w:val="en-AU"/>
        </w:rPr>
        <w:t>Gannawarra Urban and Rural Strategy</w:t>
      </w:r>
      <w:r w:rsidR="0052071E" w:rsidRPr="00B12316">
        <w:rPr>
          <w:lang w:val="en-AU"/>
        </w:rPr>
        <w:t xml:space="preserve"> </w:t>
      </w:r>
      <w:r w:rsidR="000D377E" w:rsidRPr="00B12316">
        <w:rPr>
          <w:lang w:val="en-AU"/>
        </w:rPr>
        <w:t>(</w:t>
      </w:r>
      <w:r w:rsidR="0052071E" w:rsidRPr="00B12316">
        <w:rPr>
          <w:lang w:val="en-AU"/>
        </w:rPr>
        <w:t>2007</w:t>
      </w:r>
      <w:r w:rsidR="000D377E" w:rsidRPr="00B12316">
        <w:rPr>
          <w:lang w:val="en-AU"/>
        </w:rPr>
        <w:t>)</w:t>
      </w:r>
      <w:r w:rsidRPr="00B12316">
        <w:rPr>
          <w:lang w:val="en-AU"/>
        </w:rPr>
        <w:t xml:space="preserve"> involves infill </w:t>
      </w:r>
      <w:r w:rsidR="00E97379" w:rsidRPr="00B12316">
        <w:rPr>
          <w:lang w:val="en-AU"/>
        </w:rPr>
        <w:t xml:space="preserve">development </w:t>
      </w:r>
      <w:r w:rsidRPr="00B12316">
        <w:rPr>
          <w:lang w:val="en-AU"/>
        </w:rPr>
        <w:t>and encouraging a range of housing densities in close proximity to urban services</w:t>
      </w:r>
      <w:r w:rsidR="005A6850" w:rsidRPr="00B12316">
        <w:rPr>
          <w:lang w:val="en-AU"/>
        </w:rPr>
        <w:t>,</w:t>
      </w:r>
      <w:r w:rsidRPr="00B12316">
        <w:rPr>
          <w:lang w:val="en-AU"/>
        </w:rPr>
        <w:t xml:space="preserve"> </w:t>
      </w:r>
      <w:r w:rsidR="00E97379" w:rsidRPr="00B12316">
        <w:rPr>
          <w:lang w:val="en-AU"/>
        </w:rPr>
        <w:t xml:space="preserve">as well as </w:t>
      </w:r>
      <w:r w:rsidRPr="00B12316">
        <w:rPr>
          <w:lang w:val="en-AU"/>
        </w:rPr>
        <w:t>providing opportunities to live in a high quality environment on the Gunbower Creek</w:t>
      </w:r>
      <w:r w:rsidR="00902B08" w:rsidRPr="00B12316">
        <w:rPr>
          <w:lang w:val="en-AU"/>
        </w:rPr>
        <w:t>,</w:t>
      </w:r>
      <w:r w:rsidRPr="00B12316">
        <w:rPr>
          <w:lang w:val="en-AU"/>
        </w:rPr>
        <w:t xml:space="preserve"> in a semi</w:t>
      </w:r>
      <w:r w:rsidR="000D377E" w:rsidRPr="00B12316">
        <w:rPr>
          <w:lang w:val="en-AU"/>
        </w:rPr>
        <w:t>-</w:t>
      </w:r>
      <w:r w:rsidRPr="00B12316">
        <w:rPr>
          <w:lang w:val="en-AU"/>
        </w:rPr>
        <w:t>rural setting.</w:t>
      </w:r>
    </w:p>
    <w:p w:rsidR="0087037D" w:rsidRPr="00B12316" w:rsidRDefault="0087037D" w:rsidP="0087037D">
      <w:pPr>
        <w:pStyle w:val="bt"/>
        <w:rPr>
          <w:lang w:val="en-AU"/>
        </w:rPr>
      </w:pPr>
      <w:r w:rsidRPr="00B12316">
        <w:rPr>
          <w:lang w:val="en-AU"/>
        </w:rPr>
        <w:t>Agriculture, associated processing and servicing underpin the economy of the town and this will continue, along with its role as a service centre for surrounding rural settlements.</w:t>
      </w:r>
    </w:p>
    <w:p w:rsidR="0087037D" w:rsidRPr="00B12316" w:rsidRDefault="0087037D" w:rsidP="00933BAB">
      <w:pPr>
        <w:pStyle w:val="Heading3"/>
        <w:rPr>
          <w:lang w:val="en-AU"/>
        </w:rPr>
      </w:pPr>
      <w:r w:rsidRPr="00B12316">
        <w:rPr>
          <w:lang w:val="en-AU"/>
        </w:rPr>
        <w:t xml:space="preserve">Gannawarra </w:t>
      </w:r>
      <w:r w:rsidR="008C3A92" w:rsidRPr="00B12316">
        <w:rPr>
          <w:lang w:val="en-AU"/>
        </w:rPr>
        <w:t>s</w:t>
      </w:r>
      <w:r w:rsidRPr="00B12316">
        <w:rPr>
          <w:lang w:val="en-AU"/>
        </w:rPr>
        <w:t xml:space="preserve">mall </w:t>
      </w:r>
      <w:r w:rsidR="008C3A92" w:rsidRPr="00B12316">
        <w:rPr>
          <w:lang w:val="en-AU"/>
        </w:rPr>
        <w:t>t</w:t>
      </w:r>
      <w:r w:rsidRPr="00B12316">
        <w:rPr>
          <w:lang w:val="en-AU"/>
        </w:rPr>
        <w:t xml:space="preserve">owns and </w:t>
      </w:r>
      <w:r w:rsidR="008C3A92" w:rsidRPr="00B12316">
        <w:rPr>
          <w:lang w:val="en-AU"/>
        </w:rPr>
        <w:t>r</w:t>
      </w:r>
      <w:r w:rsidRPr="00B12316">
        <w:rPr>
          <w:lang w:val="en-AU"/>
        </w:rPr>
        <w:t xml:space="preserve">ural </w:t>
      </w:r>
      <w:r w:rsidR="008C3A92" w:rsidRPr="00B12316">
        <w:rPr>
          <w:lang w:val="en-AU"/>
        </w:rPr>
        <w:t>s</w:t>
      </w:r>
      <w:r w:rsidRPr="00B12316">
        <w:rPr>
          <w:lang w:val="en-AU"/>
        </w:rPr>
        <w:t>ettlements</w:t>
      </w:r>
    </w:p>
    <w:p w:rsidR="0087037D" w:rsidRPr="00B12316" w:rsidRDefault="0087037D" w:rsidP="0087037D">
      <w:pPr>
        <w:pStyle w:val="bt"/>
        <w:rPr>
          <w:lang w:val="en-AU"/>
        </w:rPr>
      </w:pPr>
      <w:r w:rsidRPr="00B12316">
        <w:rPr>
          <w:lang w:val="en-AU"/>
        </w:rPr>
        <w:t>There are a number of small towns and rural settlements close to the Murray River</w:t>
      </w:r>
      <w:r w:rsidR="00E97379" w:rsidRPr="00B12316">
        <w:rPr>
          <w:lang w:val="en-AU"/>
        </w:rPr>
        <w:t xml:space="preserve"> within</w:t>
      </w:r>
      <w:r w:rsidRPr="00B12316">
        <w:rPr>
          <w:lang w:val="en-AU"/>
        </w:rPr>
        <w:t xml:space="preserve"> commuting distance to Kerang, Cohuna and Echuca. While these towns have limited services, they are attractive to active retirees and commuters. The twin towns of Koondrook</w:t>
      </w:r>
      <w:r w:rsidR="00CA74D5" w:rsidRPr="00B12316">
        <w:rPr>
          <w:lang w:val="en-AU"/>
        </w:rPr>
        <w:t xml:space="preserve"> and</w:t>
      </w:r>
      <w:r w:rsidRPr="00B12316">
        <w:rPr>
          <w:lang w:val="en-AU"/>
        </w:rPr>
        <w:t xml:space="preserve"> Barham, Murrabit, Leitchville and Gunbower have steady or slightly increasing populations.</w:t>
      </w:r>
    </w:p>
    <w:p w:rsidR="0087037D" w:rsidRPr="00B12316" w:rsidRDefault="0087037D" w:rsidP="0087037D">
      <w:pPr>
        <w:pStyle w:val="bt"/>
        <w:rPr>
          <w:lang w:val="en-AU"/>
        </w:rPr>
      </w:pPr>
      <w:r w:rsidRPr="00B12316">
        <w:rPr>
          <w:lang w:val="en-AU"/>
        </w:rPr>
        <w:t xml:space="preserve">By contrast the populations of the </w:t>
      </w:r>
      <w:r w:rsidR="00A6167A" w:rsidRPr="00B12316">
        <w:rPr>
          <w:lang w:val="en-AU"/>
        </w:rPr>
        <w:t>dry land</w:t>
      </w:r>
      <w:r w:rsidRPr="00B12316">
        <w:rPr>
          <w:lang w:val="en-AU"/>
        </w:rPr>
        <w:t xml:space="preserve"> towns of Quambatook and Lalbert are expected to decline. However</w:t>
      </w:r>
      <w:r w:rsidR="00E97379" w:rsidRPr="00B12316">
        <w:rPr>
          <w:lang w:val="en-AU"/>
        </w:rPr>
        <w:t>,</w:t>
      </w:r>
      <w:r w:rsidRPr="00B12316">
        <w:rPr>
          <w:lang w:val="en-AU"/>
        </w:rPr>
        <w:t xml:space="preserve"> Quambatook has been identified by Gannawarra Shire as the place for future local government service provision due to its location and potential catchment. </w:t>
      </w:r>
    </w:p>
    <w:p w:rsidR="00D156F9" w:rsidRDefault="0087037D">
      <w:pPr>
        <w:pStyle w:val="Heading4"/>
      </w:pPr>
      <w:r w:rsidRPr="00B12316">
        <w:t xml:space="preserve">Gannawarra </w:t>
      </w:r>
      <w:r w:rsidR="008C3A92" w:rsidRPr="00B12316">
        <w:t>f</w:t>
      </w:r>
      <w:r w:rsidRPr="00B12316">
        <w:t xml:space="preserve">uture </w:t>
      </w:r>
      <w:r w:rsidR="008C3A92" w:rsidRPr="00B12316">
        <w:t>l</w:t>
      </w:r>
      <w:r w:rsidRPr="00B12316">
        <w:t xml:space="preserve">and </w:t>
      </w:r>
      <w:r w:rsidR="008C3A92" w:rsidRPr="00B12316">
        <w:t>u</w:t>
      </w:r>
      <w:r w:rsidRPr="00B12316">
        <w:t xml:space="preserve">se </w:t>
      </w:r>
      <w:r w:rsidR="00B74250" w:rsidRPr="00B12316">
        <w:t xml:space="preserve">strategies </w:t>
      </w:r>
      <w:r w:rsidRPr="00B12316">
        <w:t xml:space="preserve">and </w:t>
      </w:r>
      <w:r w:rsidR="008C3A92" w:rsidRPr="00B12316">
        <w:t>a</w:t>
      </w:r>
      <w:r w:rsidRPr="00B12316">
        <w:t>ctions</w:t>
      </w:r>
    </w:p>
    <w:p w:rsidR="0087037D" w:rsidRPr="00B12316" w:rsidRDefault="0087037D" w:rsidP="00D41888">
      <w:pPr>
        <w:pStyle w:val="btbullet"/>
        <w:rPr>
          <w:lang w:val="en-AU"/>
        </w:rPr>
      </w:pPr>
      <w:r w:rsidRPr="00B12316">
        <w:rPr>
          <w:lang w:val="en-AU"/>
        </w:rPr>
        <w:t>Recognise and reinforce Kerang’s role as the main service centre for the Gannawarra community of interest</w:t>
      </w:r>
    </w:p>
    <w:p w:rsidR="0087037D" w:rsidRPr="00B12316" w:rsidRDefault="0087037D" w:rsidP="00D41888">
      <w:pPr>
        <w:pStyle w:val="btbullet"/>
        <w:rPr>
          <w:lang w:val="en-AU"/>
        </w:rPr>
      </w:pPr>
      <w:r w:rsidRPr="00B12316">
        <w:rPr>
          <w:lang w:val="en-AU"/>
        </w:rPr>
        <w:t xml:space="preserve">Support </w:t>
      </w:r>
      <w:r w:rsidR="00016E3D">
        <w:rPr>
          <w:lang w:val="en-AU"/>
        </w:rPr>
        <w:t xml:space="preserve">the </w:t>
      </w:r>
      <w:r w:rsidRPr="00B12316">
        <w:rPr>
          <w:lang w:val="en-AU"/>
        </w:rPr>
        <w:t>growth of Kerang through planned development, incremental expansion and infrastructure investment</w:t>
      </w:r>
    </w:p>
    <w:p w:rsidR="0087037D" w:rsidRPr="00B12316" w:rsidRDefault="0087037D" w:rsidP="00D41888">
      <w:pPr>
        <w:pStyle w:val="btbullet"/>
        <w:rPr>
          <w:lang w:val="en-AU"/>
        </w:rPr>
      </w:pPr>
      <w:r w:rsidRPr="00B12316">
        <w:rPr>
          <w:lang w:val="en-AU"/>
        </w:rPr>
        <w:t>Recognise and support Cohuna to continue its role as a town that services its local community and surrounding rural settlements</w:t>
      </w:r>
    </w:p>
    <w:p w:rsidR="0087037D" w:rsidRPr="00B12316" w:rsidRDefault="0087037D" w:rsidP="00D41888">
      <w:pPr>
        <w:pStyle w:val="btbullet"/>
        <w:rPr>
          <w:lang w:val="en-AU"/>
        </w:rPr>
      </w:pPr>
      <w:r w:rsidRPr="00B12316">
        <w:rPr>
          <w:lang w:val="en-AU"/>
        </w:rPr>
        <w:t xml:space="preserve">Recognise and support the future role of Quambatook </w:t>
      </w:r>
      <w:r w:rsidR="00E97379" w:rsidRPr="00B12316">
        <w:rPr>
          <w:lang w:val="en-AU"/>
        </w:rPr>
        <w:t>to</w:t>
      </w:r>
      <w:r w:rsidRPr="00B12316">
        <w:rPr>
          <w:lang w:val="en-AU"/>
        </w:rPr>
        <w:t xml:space="preserve"> provid</w:t>
      </w:r>
      <w:r w:rsidR="00E97379" w:rsidRPr="00B12316">
        <w:rPr>
          <w:lang w:val="en-AU"/>
        </w:rPr>
        <w:t>e</w:t>
      </w:r>
      <w:r w:rsidRPr="00B12316">
        <w:rPr>
          <w:lang w:val="en-AU"/>
        </w:rPr>
        <w:t xml:space="preserve"> services to surrounding rural areas</w:t>
      </w:r>
    </w:p>
    <w:p w:rsidR="00751744" w:rsidRPr="00B12316" w:rsidRDefault="00751744" w:rsidP="00D41888">
      <w:pPr>
        <w:pStyle w:val="btbullet"/>
        <w:rPr>
          <w:lang w:val="en-AU"/>
        </w:rPr>
      </w:pPr>
      <w:r w:rsidRPr="00B12316">
        <w:rPr>
          <w:lang w:val="en-AU"/>
        </w:rPr>
        <w:t>Support walking and cycling in urban areas to enhance accessibility</w:t>
      </w:r>
    </w:p>
    <w:p w:rsidR="0087037D" w:rsidRPr="00B12316" w:rsidRDefault="0087037D" w:rsidP="00D41888">
      <w:pPr>
        <w:pStyle w:val="btbullet"/>
        <w:rPr>
          <w:lang w:val="en-AU"/>
        </w:rPr>
      </w:pPr>
      <w:r w:rsidRPr="00B12316">
        <w:rPr>
          <w:lang w:val="en-AU"/>
        </w:rPr>
        <w:lastRenderedPageBreak/>
        <w:t>Support public transport connections between towns within the Gannawarra community of interest</w:t>
      </w:r>
      <w:r w:rsidR="00E97379" w:rsidRPr="00B12316">
        <w:rPr>
          <w:lang w:val="en-AU"/>
        </w:rPr>
        <w:t>,</w:t>
      </w:r>
      <w:r w:rsidRPr="00B12316">
        <w:rPr>
          <w:lang w:val="en-AU"/>
        </w:rPr>
        <w:t xml:space="preserve"> Kerang and Bendigo</w:t>
      </w:r>
    </w:p>
    <w:p w:rsidR="0095148A" w:rsidRPr="00B12316" w:rsidRDefault="00C339F0" w:rsidP="00887259">
      <w:pPr>
        <w:pStyle w:val="btbullet"/>
        <w:rPr>
          <w:lang w:val="en-AU"/>
        </w:rPr>
      </w:pPr>
      <w:r w:rsidRPr="00B12316">
        <w:rPr>
          <w:lang w:val="en-AU"/>
        </w:rPr>
        <w:t xml:space="preserve">Support </w:t>
      </w:r>
      <w:r w:rsidR="0087037D" w:rsidRPr="00B12316">
        <w:rPr>
          <w:lang w:val="en-AU"/>
        </w:rPr>
        <w:t xml:space="preserve">the </w:t>
      </w:r>
      <w:r w:rsidR="003B55D4" w:rsidRPr="00B12316">
        <w:rPr>
          <w:lang w:val="en-AU"/>
        </w:rPr>
        <w:t xml:space="preserve">Gannawarra Urban and Rural Strategy </w:t>
      </w:r>
      <w:r w:rsidR="000D377E" w:rsidRPr="00B12316">
        <w:rPr>
          <w:lang w:val="en-AU"/>
        </w:rPr>
        <w:t>(</w:t>
      </w:r>
      <w:r w:rsidR="003B55D4" w:rsidRPr="00B12316">
        <w:rPr>
          <w:lang w:val="en-AU"/>
        </w:rPr>
        <w:t>2007</w:t>
      </w:r>
      <w:r w:rsidR="000D377E" w:rsidRPr="00B12316">
        <w:rPr>
          <w:lang w:val="en-AU"/>
        </w:rPr>
        <w:t>)</w:t>
      </w:r>
    </w:p>
    <w:p w:rsidR="0087037D" w:rsidRPr="00B12316" w:rsidRDefault="00E56843" w:rsidP="00D41888">
      <w:pPr>
        <w:pStyle w:val="Heading2"/>
        <w:rPr>
          <w:lang w:val="en-AU"/>
        </w:rPr>
      </w:pPr>
      <w:bookmarkStart w:id="91" w:name="_Toc377031465"/>
      <w:r w:rsidRPr="00B12316">
        <w:rPr>
          <w:lang w:val="en-AU"/>
        </w:rPr>
        <w:t>Buloke</w:t>
      </w:r>
      <w:r w:rsidR="00BB64A0" w:rsidRPr="00B12316">
        <w:rPr>
          <w:lang w:val="en-AU"/>
        </w:rPr>
        <w:t xml:space="preserve"> </w:t>
      </w:r>
      <w:r w:rsidR="0087037D" w:rsidRPr="00B12316">
        <w:rPr>
          <w:lang w:val="en-AU"/>
        </w:rPr>
        <w:t>community of interest</w:t>
      </w:r>
      <w:bookmarkEnd w:id="91"/>
    </w:p>
    <w:p w:rsidR="00075BDC" w:rsidRPr="00B12316" w:rsidRDefault="0087037D" w:rsidP="0087037D">
      <w:pPr>
        <w:pStyle w:val="bt"/>
        <w:rPr>
          <w:lang w:val="en-AU"/>
        </w:rPr>
      </w:pPr>
      <w:r w:rsidRPr="00B12316">
        <w:rPr>
          <w:lang w:val="en-AU"/>
        </w:rPr>
        <w:t xml:space="preserve">The </w:t>
      </w:r>
      <w:r w:rsidR="00E56843" w:rsidRPr="00B12316">
        <w:rPr>
          <w:lang w:val="en-AU"/>
        </w:rPr>
        <w:t xml:space="preserve">Buloke </w:t>
      </w:r>
      <w:r w:rsidRPr="00B12316">
        <w:rPr>
          <w:lang w:val="en-AU"/>
        </w:rPr>
        <w:t>community of interest comprises a network of towns, small towns and rural settlements</w:t>
      </w:r>
      <w:r w:rsidR="000D072D" w:rsidRPr="00B12316">
        <w:rPr>
          <w:lang w:val="en-AU"/>
        </w:rPr>
        <w:t>. H</w:t>
      </w:r>
      <w:r w:rsidRPr="00B12316">
        <w:rPr>
          <w:lang w:val="en-AU"/>
        </w:rPr>
        <w:t xml:space="preserve">igher order services </w:t>
      </w:r>
      <w:r w:rsidR="000D072D" w:rsidRPr="00B12316">
        <w:rPr>
          <w:lang w:val="en-AU"/>
        </w:rPr>
        <w:t xml:space="preserve">are accessed </w:t>
      </w:r>
      <w:r w:rsidR="00157C84" w:rsidRPr="00B12316">
        <w:rPr>
          <w:lang w:val="en-AU"/>
        </w:rPr>
        <w:t xml:space="preserve">at </w:t>
      </w:r>
      <w:r w:rsidRPr="00B12316">
        <w:rPr>
          <w:lang w:val="en-AU"/>
        </w:rPr>
        <w:t>major centres</w:t>
      </w:r>
      <w:r w:rsidR="00E17BE5" w:rsidRPr="00B12316">
        <w:rPr>
          <w:lang w:val="en-AU"/>
        </w:rPr>
        <w:t>,</w:t>
      </w:r>
      <w:r w:rsidRPr="00B12316">
        <w:rPr>
          <w:lang w:val="en-AU"/>
        </w:rPr>
        <w:t xml:space="preserve"> primarily outside the Loddon Mallee North region</w:t>
      </w:r>
      <w:r w:rsidR="00E17BE5" w:rsidRPr="00B12316">
        <w:rPr>
          <w:lang w:val="en-AU"/>
        </w:rPr>
        <w:t>,</w:t>
      </w:r>
      <w:r w:rsidRPr="00B12316">
        <w:rPr>
          <w:lang w:val="en-AU"/>
        </w:rPr>
        <w:t xml:space="preserve"> including Horsham and Bendigo. </w:t>
      </w:r>
      <w:r w:rsidR="00157C84" w:rsidRPr="00B12316">
        <w:rPr>
          <w:lang w:val="en-AU"/>
        </w:rPr>
        <w:t>The</w:t>
      </w:r>
      <w:r w:rsidRPr="00B12316">
        <w:rPr>
          <w:lang w:val="en-AU"/>
        </w:rPr>
        <w:t xml:space="preserve"> four larger towns within this community of interest</w:t>
      </w:r>
      <w:r w:rsidR="00157C84" w:rsidRPr="00B12316">
        <w:rPr>
          <w:lang w:val="en-AU"/>
        </w:rPr>
        <w:t>, Donald, Charlton, Wycheproof and Birchip,</w:t>
      </w:r>
      <w:r w:rsidRPr="00B12316">
        <w:rPr>
          <w:lang w:val="en-AU"/>
        </w:rPr>
        <w:t xml:space="preserve"> are within Buloke Shire.</w:t>
      </w:r>
      <w:r w:rsidR="00F81090" w:rsidRPr="00B12316">
        <w:rPr>
          <w:lang w:val="en-AU"/>
        </w:rPr>
        <w:t xml:space="preserve"> </w:t>
      </w:r>
      <w:r w:rsidR="000D072D" w:rsidRPr="00B12316">
        <w:rPr>
          <w:lang w:val="en-AU"/>
        </w:rPr>
        <w:t>The area has demonstrated i</w:t>
      </w:r>
      <w:r w:rsidR="00075BDC" w:rsidRPr="00B12316">
        <w:rPr>
          <w:lang w:val="en-AU"/>
        </w:rPr>
        <w:t xml:space="preserve">nnovation and adaptation with </w:t>
      </w:r>
      <w:r w:rsidR="00FD47D3" w:rsidRPr="00B12316">
        <w:rPr>
          <w:lang w:val="en-AU"/>
        </w:rPr>
        <w:t>an agricultural research group and significant manufacturers based within the community of interest.</w:t>
      </w:r>
    </w:p>
    <w:p w:rsidR="00075BDC" w:rsidRPr="00B12316" w:rsidRDefault="005E4200" w:rsidP="00075BDC">
      <w:pPr>
        <w:pStyle w:val="bt"/>
        <w:rPr>
          <w:lang w:val="en-AU"/>
        </w:rPr>
      </w:pPr>
      <w:r w:rsidRPr="00B12316">
        <w:rPr>
          <w:lang w:val="en-AU"/>
        </w:rPr>
        <w:t>The Birchip Cropping Group is a not-for-profit agricultural research and extension organisation led by farmers from across the Wimmera and Mallee.</w:t>
      </w:r>
      <w:r w:rsidR="00354854" w:rsidRPr="00B12316">
        <w:rPr>
          <w:lang w:val="en-AU"/>
        </w:rPr>
        <w:t xml:space="preserve"> The </w:t>
      </w:r>
      <w:r w:rsidR="00F65770" w:rsidRPr="00B12316">
        <w:rPr>
          <w:lang w:val="en-AU"/>
        </w:rPr>
        <w:t>g</w:t>
      </w:r>
      <w:r w:rsidR="00354854" w:rsidRPr="00B12316">
        <w:rPr>
          <w:lang w:val="en-AU"/>
        </w:rPr>
        <w:t>roup undertakes research and extension on agronomic and farming systems, climate research, social research and deve</w:t>
      </w:r>
      <w:r w:rsidR="00075BDC" w:rsidRPr="00B12316">
        <w:rPr>
          <w:lang w:val="en-AU"/>
        </w:rPr>
        <w:t>lopment and livestock research.</w:t>
      </w:r>
      <w:r w:rsidR="00F443E7" w:rsidRPr="00B12316">
        <w:rPr>
          <w:lang w:val="en-AU"/>
        </w:rPr>
        <w:t xml:space="preserve"> A biscuit manufacturer supplying biscuits to </w:t>
      </w:r>
      <w:r w:rsidR="00075BDC" w:rsidRPr="00B12316">
        <w:rPr>
          <w:lang w:val="en-AU"/>
        </w:rPr>
        <w:t>supermarket chains and food di</w:t>
      </w:r>
      <w:r w:rsidR="00F443E7" w:rsidRPr="00B12316">
        <w:rPr>
          <w:lang w:val="en-AU"/>
        </w:rPr>
        <w:t>stributors throughout Australia is based in Donald and an agricultura</w:t>
      </w:r>
      <w:r w:rsidR="00BB64A0" w:rsidRPr="00B12316">
        <w:rPr>
          <w:lang w:val="en-AU"/>
        </w:rPr>
        <w:t>l engineering business</w:t>
      </w:r>
      <w:r w:rsidR="00F443E7" w:rsidRPr="00B12316">
        <w:rPr>
          <w:lang w:val="en-AU"/>
        </w:rPr>
        <w:t xml:space="preserve"> with dealerships in three states is based in Birchip.</w:t>
      </w:r>
    </w:p>
    <w:p w:rsidR="0087037D" w:rsidRPr="00B12316" w:rsidRDefault="0087037D" w:rsidP="0087037D">
      <w:pPr>
        <w:pStyle w:val="bt"/>
        <w:rPr>
          <w:lang w:val="en-AU"/>
        </w:rPr>
      </w:pPr>
      <w:r w:rsidRPr="00B12316">
        <w:rPr>
          <w:lang w:val="en-AU"/>
        </w:rPr>
        <w:t xml:space="preserve">Buloke </w:t>
      </w:r>
      <w:r w:rsidR="00CA74D5" w:rsidRPr="00B12316">
        <w:rPr>
          <w:lang w:val="en-AU"/>
        </w:rPr>
        <w:t xml:space="preserve">Shire Council </w:t>
      </w:r>
      <w:r w:rsidRPr="00B12316">
        <w:rPr>
          <w:lang w:val="en-AU"/>
        </w:rPr>
        <w:t xml:space="preserve">has undertaken a significant body of strategic work on settlements, industry and community infrastructure. This has a strong focus on addressing population decrease and ageing and improving the viability of service provision in partnership with the community. Donald, Charlton, Wycheproof and Birchip will be the key service centres and the focus of residential, industrial and commercial development. They will service surrounding small settlements and rural areas. </w:t>
      </w:r>
    </w:p>
    <w:p w:rsidR="007554F0" w:rsidRPr="00B12316" w:rsidRDefault="0087037D" w:rsidP="0087037D">
      <w:pPr>
        <w:pStyle w:val="bt"/>
        <w:rPr>
          <w:lang w:val="en-AU"/>
        </w:rPr>
      </w:pPr>
      <w:r w:rsidRPr="00B12316">
        <w:rPr>
          <w:lang w:val="en-AU"/>
        </w:rPr>
        <w:t xml:space="preserve">Service provision in small settlements will undergo a process of consolidation and rationalisation. Multi-use facilities will be preferred to maximise use and minimise ongoing maintenance costs. This process will be undertaken following extensive community engagement and </w:t>
      </w:r>
      <w:r w:rsidR="008C3A92" w:rsidRPr="00B12316">
        <w:rPr>
          <w:lang w:val="en-AU"/>
        </w:rPr>
        <w:t>is</w:t>
      </w:r>
      <w:r w:rsidRPr="00B12316">
        <w:rPr>
          <w:lang w:val="en-AU"/>
        </w:rPr>
        <w:t xml:space="preserve"> supported by the </w:t>
      </w:r>
      <w:r w:rsidR="008C3A92" w:rsidRPr="00B12316">
        <w:rPr>
          <w:lang w:val="en-AU"/>
        </w:rPr>
        <w:t>plan</w:t>
      </w:r>
      <w:r w:rsidRPr="00B12316">
        <w:rPr>
          <w:lang w:val="en-AU"/>
        </w:rPr>
        <w:t>.</w:t>
      </w:r>
    </w:p>
    <w:p w:rsidR="00D156F9" w:rsidRDefault="00E56843">
      <w:pPr>
        <w:pStyle w:val="Heading4"/>
      </w:pPr>
      <w:r w:rsidRPr="00B12316">
        <w:t xml:space="preserve">Buloke </w:t>
      </w:r>
      <w:r w:rsidR="008C3A92" w:rsidRPr="00B12316">
        <w:t>f</w:t>
      </w:r>
      <w:r w:rsidR="0087037D" w:rsidRPr="00B12316">
        <w:t xml:space="preserve">uture </w:t>
      </w:r>
      <w:r w:rsidR="008C3A92" w:rsidRPr="00B12316">
        <w:t>l</w:t>
      </w:r>
      <w:r w:rsidR="0087037D" w:rsidRPr="00B12316">
        <w:t xml:space="preserve">and </w:t>
      </w:r>
      <w:r w:rsidR="008C3A92" w:rsidRPr="00B12316">
        <w:t>u</w:t>
      </w:r>
      <w:r w:rsidR="0087037D" w:rsidRPr="00B12316">
        <w:t xml:space="preserve">se </w:t>
      </w:r>
      <w:r w:rsidR="00B74250" w:rsidRPr="00B12316">
        <w:t xml:space="preserve">strategies </w:t>
      </w:r>
      <w:r w:rsidR="0087037D" w:rsidRPr="00B12316">
        <w:t xml:space="preserve">and </w:t>
      </w:r>
      <w:r w:rsidR="008C3A92" w:rsidRPr="00B12316">
        <w:t>a</w:t>
      </w:r>
      <w:r w:rsidR="0087037D" w:rsidRPr="00B12316">
        <w:t>ctions</w:t>
      </w:r>
    </w:p>
    <w:p w:rsidR="0087037D" w:rsidRPr="00B12316" w:rsidRDefault="0087037D" w:rsidP="00D41888">
      <w:pPr>
        <w:pStyle w:val="btbullet"/>
        <w:rPr>
          <w:lang w:val="en-AU"/>
        </w:rPr>
      </w:pPr>
      <w:r w:rsidRPr="00B12316">
        <w:rPr>
          <w:lang w:val="en-AU"/>
        </w:rPr>
        <w:t>Recognise and support the role</w:t>
      </w:r>
      <w:r w:rsidR="00016E3D">
        <w:rPr>
          <w:lang w:val="en-AU"/>
        </w:rPr>
        <w:t>s</w:t>
      </w:r>
      <w:r w:rsidRPr="00B12316">
        <w:rPr>
          <w:lang w:val="en-AU"/>
        </w:rPr>
        <w:t xml:space="preserve"> of Donald, Charlton, Wycheproof and Birchip as towns providing services to isolated and dispersed rural settlements and regionally important rural industr</w:t>
      </w:r>
      <w:r w:rsidR="00157C84" w:rsidRPr="00B12316">
        <w:rPr>
          <w:lang w:val="en-AU"/>
        </w:rPr>
        <w:t>ies</w:t>
      </w:r>
    </w:p>
    <w:p w:rsidR="002706B6" w:rsidRPr="00B12316" w:rsidRDefault="0087037D" w:rsidP="00D41888">
      <w:pPr>
        <w:pStyle w:val="btbullet"/>
        <w:rPr>
          <w:lang w:val="en-AU"/>
        </w:rPr>
      </w:pPr>
      <w:r w:rsidRPr="00B12316">
        <w:rPr>
          <w:lang w:val="en-AU"/>
        </w:rPr>
        <w:t xml:space="preserve">Support settlements to adjust to ongoing population </w:t>
      </w:r>
      <w:r w:rsidR="00D373A1" w:rsidRPr="00B12316">
        <w:rPr>
          <w:lang w:val="en-AU"/>
        </w:rPr>
        <w:t>decrease</w:t>
      </w:r>
    </w:p>
    <w:p w:rsidR="00D41888" w:rsidRPr="00B12316" w:rsidRDefault="00D41888" w:rsidP="00FF2BCB">
      <w:pPr>
        <w:pStyle w:val="Heading11"/>
      </w:pPr>
      <w:bookmarkStart w:id="92" w:name="_Toc377031466"/>
      <w:r w:rsidRPr="00B12316">
        <w:t xml:space="preserve">Regional </w:t>
      </w:r>
      <w:r w:rsidR="008C3A92" w:rsidRPr="00B12316">
        <w:t>i</w:t>
      </w:r>
      <w:r w:rsidRPr="00B12316">
        <w:t>nfrastructure</w:t>
      </w:r>
      <w:bookmarkEnd w:id="92"/>
    </w:p>
    <w:p w:rsidR="00D156F9" w:rsidRDefault="00D41888">
      <w:pPr>
        <w:pStyle w:val="Heading4"/>
      </w:pPr>
      <w:r w:rsidRPr="00B12316">
        <w:t xml:space="preserve">Future </w:t>
      </w:r>
      <w:r w:rsidR="008C3A92" w:rsidRPr="00B12316">
        <w:t>d</w:t>
      </w:r>
      <w:r w:rsidRPr="00B12316">
        <w:t>irections</w:t>
      </w:r>
    </w:p>
    <w:p w:rsidR="00DC59E5" w:rsidRPr="00B12316" w:rsidRDefault="00DC59E5" w:rsidP="00DC59E5">
      <w:pPr>
        <w:pStyle w:val="btbullet"/>
        <w:rPr>
          <w:lang w:val="en-AU"/>
        </w:rPr>
      </w:pPr>
      <w:r w:rsidRPr="00B12316">
        <w:rPr>
          <w:lang w:val="en-AU"/>
        </w:rPr>
        <w:t>Support health, education</w:t>
      </w:r>
      <w:r w:rsidR="00C339F0" w:rsidRPr="00B12316">
        <w:rPr>
          <w:lang w:val="en-AU"/>
        </w:rPr>
        <w:t>, cultural</w:t>
      </w:r>
      <w:r w:rsidRPr="00B12316">
        <w:rPr>
          <w:lang w:val="en-AU"/>
        </w:rPr>
        <w:t xml:space="preserve"> and sporting facilities to meet local needs and promote social inclusion and community cohesion</w:t>
      </w:r>
    </w:p>
    <w:p w:rsidR="00D41888" w:rsidRPr="00B12316" w:rsidRDefault="00D41888" w:rsidP="00D41888">
      <w:pPr>
        <w:pStyle w:val="btbullet"/>
        <w:rPr>
          <w:lang w:val="en-AU"/>
        </w:rPr>
      </w:pPr>
      <w:r w:rsidRPr="00B12316">
        <w:rPr>
          <w:lang w:val="en-AU"/>
        </w:rPr>
        <w:t xml:space="preserve">Work with utility and service agencies to optimise access to gas, electricity, drainage, water, </w:t>
      </w:r>
      <w:r w:rsidR="00303EE3" w:rsidRPr="00B12316">
        <w:rPr>
          <w:lang w:val="en-AU"/>
        </w:rPr>
        <w:t xml:space="preserve">waste, </w:t>
      </w:r>
      <w:r w:rsidRPr="00B12316">
        <w:rPr>
          <w:lang w:val="en-AU"/>
        </w:rPr>
        <w:t xml:space="preserve">sewerage and telecommunications </w:t>
      </w:r>
      <w:r w:rsidR="00480722">
        <w:rPr>
          <w:lang w:val="en-AU"/>
        </w:rPr>
        <w:t>to</w:t>
      </w:r>
      <w:r w:rsidRPr="00B12316">
        <w:rPr>
          <w:lang w:val="en-AU"/>
        </w:rPr>
        <w:t xml:space="preserve"> cater for the population and economic needs of the region</w:t>
      </w:r>
    </w:p>
    <w:p w:rsidR="00D41888" w:rsidRPr="00B12316" w:rsidRDefault="00D41888" w:rsidP="00D41888">
      <w:pPr>
        <w:pStyle w:val="btbullet"/>
        <w:rPr>
          <w:lang w:val="en-AU"/>
        </w:rPr>
      </w:pPr>
      <w:r w:rsidRPr="00B12316">
        <w:rPr>
          <w:lang w:val="en-AU"/>
        </w:rPr>
        <w:t>Support road, rail and logistics improvements to support economic growth and accessibility</w:t>
      </w:r>
    </w:p>
    <w:p w:rsidR="00D41888" w:rsidRPr="00B12316" w:rsidRDefault="00D41888" w:rsidP="00933BAB">
      <w:pPr>
        <w:pStyle w:val="Heading3"/>
        <w:rPr>
          <w:lang w:val="en-AU"/>
        </w:rPr>
      </w:pPr>
      <w:r w:rsidRPr="00B12316">
        <w:rPr>
          <w:lang w:val="en-AU"/>
        </w:rPr>
        <w:t>Overview</w:t>
      </w:r>
    </w:p>
    <w:p w:rsidR="00D41888" w:rsidRPr="00B12316" w:rsidRDefault="00D41888" w:rsidP="00D41888">
      <w:pPr>
        <w:pStyle w:val="bt"/>
        <w:rPr>
          <w:lang w:val="en-AU"/>
        </w:rPr>
      </w:pPr>
      <w:r w:rsidRPr="00B12316">
        <w:rPr>
          <w:lang w:val="en-AU"/>
        </w:rPr>
        <w:t>The transport network and other infrastructure will be critical in catering for projected future growth and population change. Population or settlement growth will place relatively small pressures on the existing transport network in comparison to the movement of freight within and through the region supporting agriculture</w:t>
      </w:r>
      <w:r w:rsidR="00E138D8" w:rsidRPr="00B12316">
        <w:rPr>
          <w:lang w:val="en-AU"/>
        </w:rPr>
        <w:t xml:space="preserve">, </w:t>
      </w:r>
      <w:r w:rsidRPr="00B12316">
        <w:rPr>
          <w:lang w:val="en-AU"/>
        </w:rPr>
        <w:t>particularly grain growing, food processing, mineral sands extraction and other industries.</w:t>
      </w:r>
    </w:p>
    <w:p w:rsidR="00D41888" w:rsidRPr="00B12316" w:rsidRDefault="00D41888" w:rsidP="00FE6C74">
      <w:pPr>
        <w:pStyle w:val="Heading2"/>
        <w:rPr>
          <w:lang w:val="en-AU"/>
        </w:rPr>
      </w:pPr>
      <w:bookmarkStart w:id="93" w:name="_Toc377031467"/>
      <w:r w:rsidRPr="00B12316">
        <w:rPr>
          <w:lang w:val="en-AU"/>
        </w:rPr>
        <w:lastRenderedPageBreak/>
        <w:t xml:space="preserve">Transport </w:t>
      </w:r>
      <w:r w:rsidR="008C3A92" w:rsidRPr="00B12316">
        <w:rPr>
          <w:lang w:val="en-AU"/>
        </w:rPr>
        <w:t>n</w:t>
      </w:r>
      <w:r w:rsidRPr="00B12316">
        <w:rPr>
          <w:lang w:val="en-AU"/>
        </w:rPr>
        <w:t>etworks</w:t>
      </w:r>
      <w:bookmarkEnd w:id="93"/>
    </w:p>
    <w:p w:rsidR="00D41888" w:rsidRPr="00B12316" w:rsidRDefault="00831ABF" w:rsidP="00D41888">
      <w:pPr>
        <w:pStyle w:val="bt"/>
        <w:rPr>
          <w:lang w:val="en-AU"/>
        </w:rPr>
      </w:pPr>
      <w:r>
        <w:rPr>
          <w:lang w:val="en-AU"/>
        </w:rPr>
        <w:t xml:space="preserve">The </w:t>
      </w:r>
      <w:r w:rsidR="00D41888" w:rsidRPr="00B12316">
        <w:rPr>
          <w:lang w:val="en-AU"/>
        </w:rPr>
        <w:t xml:space="preserve">Loddon Mallee North </w:t>
      </w:r>
      <w:r w:rsidR="00DA0A59" w:rsidRPr="00B12316">
        <w:rPr>
          <w:lang w:val="en-AU"/>
        </w:rPr>
        <w:t xml:space="preserve">region </w:t>
      </w:r>
      <w:r w:rsidR="00D41888" w:rsidRPr="00B12316">
        <w:rPr>
          <w:lang w:val="en-AU"/>
        </w:rPr>
        <w:t xml:space="preserve">has freight networks of national significance providing transportation of goods and produce between the Murray Darling Basin and </w:t>
      </w:r>
      <w:r w:rsidR="00DA0A59" w:rsidRPr="00B12316">
        <w:rPr>
          <w:lang w:val="en-AU"/>
        </w:rPr>
        <w:t xml:space="preserve">the </w:t>
      </w:r>
      <w:r w:rsidR="00D41888" w:rsidRPr="00B12316">
        <w:rPr>
          <w:lang w:val="en-AU"/>
        </w:rPr>
        <w:t>ports of Melbourne, Geelong, Hastings and Portland. These freight networks need to be adaptable to increasing and changing freight tasks and protected from urban encroachment. This region is planning for an increased freight task, from mining activity as well as increased productivity from existing and planned horticultural and industry development.</w:t>
      </w:r>
    </w:p>
    <w:p w:rsidR="00D41888" w:rsidRPr="00B12316" w:rsidRDefault="00D41888" w:rsidP="00D41888">
      <w:pPr>
        <w:pStyle w:val="bt"/>
        <w:rPr>
          <w:lang w:val="en-AU"/>
        </w:rPr>
      </w:pPr>
      <w:r w:rsidRPr="00B12316">
        <w:rPr>
          <w:lang w:val="en-AU"/>
        </w:rPr>
        <w:t xml:space="preserve">Industry needs in </w:t>
      </w:r>
      <w:r w:rsidR="00C14963" w:rsidRPr="00B12316">
        <w:rPr>
          <w:lang w:val="en-AU"/>
        </w:rPr>
        <w:t>th</w:t>
      </w:r>
      <w:r w:rsidR="00C14963">
        <w:rPr>
          <w:lang w:val="en-AU"/>
        </w:rPr>
        <w:t>e</w:t>
      </w:r>
      <w:r w:rsidR="00C14963" w:rsidRPr="00B12316">
        <w:rPr>
          <w:lang w:val="en-AU"/>
        </w:rPr>
        <w:t xml:space="preserve"> </w:t>
      </w:r>
      <w:r w:rsidRPr="00B12316">
        <w:rPr>
          <w:lang w:val="en-AU"/>
        </w:rPr>
        <w:t xml:space="preserve">region are for more efficient freight movement. This means that freight vehicles are likely to be larger and more numerous, with implications for road maintenance and upgrades. For example, road trains may be used in and around Mildura for transporting fruit. There are opportunities to encourage more freight to be transported by rail if this is a competitive and efficient transport option. Land use planning that integrates major logistics and freight precincts in the region in conjunction with the transport network has been considered with a view to the </w:t>
      </w:r>
      <w:r w:rsidR="00831ABF" w:rsidRPr="00B12316">
        <w:rPr>
          <w:lang w:val="en-AU"/>
        </w:rPr>
        <w:t>long</w:t>
      </w:r>
      <w:r w:rsidR="00831ABF">
        <w:rPr>
          <w:lang w:val="en-AU"/>
        </w:rPr>
        <w:t>-</w:t>
      </w:r>
      <w:r w:rsidRPr="00B12316">
        <w:rPr>
          <w:lang w:val="en-AU"/>
        </w:rPr>
        <w:t>term freight demand of the region.</w:t>
      </w:r>
    </w:p>
    <w:p w:rsidR="00D41888" w:rsidRPr="00B12316" w:rsidRDefault="00D41888" w:rsidP="00D41888">
      <w:pPr>
        <w:pStyle w:val="bt"/>
        <w:rPr>
          <w:lang w:val="en-AU"/>
        </w:rPr>
      </w:pPr>
      <w:r w:rsidRPr="00B12316">
        <w:rPr>
          <w:lang w:val="en-AU"/>
        </w:rPr>
        <w:t>Challenges for the urban transport network are to encourage use of public and active transport in growing urban centres, and to support access to services from smaller</w:t>
      </w:r>
      <w:r w:rsidR="00DA0A59" w:rsidRPr="00B12316">
        <w:rPr>
          <w:lang w:val="en-AU"/>
        </w:rPr>
        <w:t>,</w:t>
      </w:r>
      <w:r w:rsidRPr="00B12316">
        <w:rPr>
          <w:lang w:val="en-AU"/>
        </w:rPr>
        <w:t xml:space="preserve"> declining populations. Land use planning </w:t>
      </w:r>
      <w:r w:rsidR="00157C84" w:rsidRPr="00B12316">
        <w:rPr>
          <w:lang w:val="en-AU"/>
        </w:rPr>
        <w:t xml:space="preserve">should </w:t>
      </w:r>
      <w:r w:rsidRPr="00B12316">
        <w:rPr>
          <w:lang w:val="en-AU"/>
        </w:rPr>
        <w:t xml:space="preserve">support the urban transport network by encouraging housing development that is accessible and of sufficient urban density to support a viable urban public transport system. </w:t>
      </w:r>
      <w:r w:rsidR="00157C84" w:rsidRPr="00B12316">
        <w:rPr>
          <w:lang w:val="en-AU"/>
        </w:rPr>
        <w:t>T</w:t>
      </w:r>
      <w:r w:rsidRPr="00B12316">
        <w:rPr>
          <w:lang w:val="en-AU"/>
        </w:rPr>
        <w:t xml:space="preserve">his plan gives consideration to critical mass </w:t>
      </w:r>
      <w:r w:rsidR="00157C84" w:rsidRPr="00B12316">
        <w:rPr>
          <w:lang w:val="en-AU"/>
        </w:rPr>
        <w:t xml:space="preserve">needed across the region </w:t>
      </w:r>
      <w:r w:rsidRPr="00B12316">
        <w:rPr>
          <w:lang w:val="en-AU"/>
        </w:rPr>
        <w:t>to support public transport systems and access to services.</w:t>
      </w:r>
    </w:p>
    <w:p w:rsidR="00FE3AA7" w:rsidRPr="00016E3D" w:rsidRDefault="00FE3AA7" w:rsidP="00D41888">
      <w:pPr>
        <w:pStyle w:val="bt"/>
        <w:rPr>
          <w:rFonts w:asciiTheme="minorHAnsi" w:hAnsiTheme="minorHAnsi" w:cstheme="minorHAnsi"/>
          <w:lang w:val="en-AU"/>
        </w:rPr>
      </w:pPr>
      <w:r w:rsidRPr="00B12316">
        <w:rPr>
          <w:rFonts w:asciiTheme="minorHAnsi" w:hAnsiTheme="minorHAnsi" w:cstheme="minorHAnsi"/>
          <w:color w:val="000000"/>
          <w:szCs w:val="20"/>
          <w:lang w:val="en-AU"/>
        </w:rPr>
        <w:t>Murray River bridge crossings are an essential part of the transport network. There are cross</w:t>
      </w:r>
      <w:r w:rsidR="00BF3168">
        <w:rPr>
          <w:rFonts w:asciiTheme="minorHAnsi" w:hAnsiTheme="minorHAnsi" w:cstheme="minorHAnsi"/>
          <w:color w:val="000000"/>
          <w:szCs w:val="20"/>
          <w:lang w:val="en-AU"/>
        </w:rPr>
        <w:t>-</w:t>
      </w:r>
      <w:r w:rsidRPr="00016E3D">
        <w:rPr>
          <w:rFonts w:asciiTheme="minorHAnsi" w:hAnsiTheme="minorHAnsi" w:cstheme="minorHAnsi"/>
          <w:color w:val="000000"/>
          <w:szCs w:val="20"/>
          <w:lang w:val="en-AU"/>
        </w:rPr>
        <w:t xml:space="preserve">border communities that rely on access to goods, services, education and employment on the other side of the river. Murray River crossings </w:t>
      </w:r>
      <w:r w:rsidRPr="00016E3D">
        <w:rPr>
          <w:rFonts w:asciiTheme="minorHAnsi" w:hAnsiTheme="minorHAnsi" w:cstheme="minorHAnsi"/>
          <w:bCs/>
          <w:color w:val="000000"/>
          <w:szCs w:val="20"/>
          <w:lang w:val="en-AU"/>
        </w:rPr>
        <w:t>are also import</w:t>
      </w:r>
      <w:r w:rsidR="00FF10FB" w:rsidRPr="00016E3D">
        <w:rPr>
          <w:rFonts w:asciiTheme="minorHAnsi" w:hAnsiTheme="minorHAnsi" w:cstheme="minorHAnsi"/>
          <w:bCs/>
          <w:color w:val="000000"/>
          <w:szCs w:val="20"/>
          <w:lang w:val="en-AU"/>
        </w:rPr>
        <w:t>ant for</w:t>
      </w:r>
      <w:r w:rsidRPr="00016E3D">
        <w:rPr>
          <w:rFonts w:asciiTheme="minorHAnsi" w:hAnsiTheme="minorHAnsi" w:cstheme="minorHAnsi"/>
          <w:bCs/>
          <w:color w:val="000000"/>
          <w:szCs w:val="20"/>
          <w:lang w:val="en-AU"/>
        </w:rPr>
        <w:t xml:space="preserve"> </w:t>
      </w:r>
      <w:r w:rsidRPr="00016E3D">
        <w:rPr>
          <w:rFonts w:asciiTheme="minorHAnsi" w:hAnsiTheme="minorHAnsi" w:cstheme="minorHAnsi"/>
          <w:color w:val="000000"/>
          <w:szCs w:val="20"/>
          <w:lang w:val="en-AU"/>
        </w:rPr>
        <w:t>support</w:t>
      </w:r>
      <w:r w:rsidRPr="00016E3D">
        <w:rPr>
          <w:rFonts w:asciiTheme="minorHAnsi" w:hAnsiTheme="minorHAnsi" w:cstheme="minorHAnsi"/>
          <w:bCs/>
          <w:color w:val="000000"/>
          <w:szCs w:val="20"/>
          <w:lang w:val="en-AU"/>
        </w:rPr>
        <w:t>ing</w:t>
      </w:r>
      <w:r w:rsidRPr="00016E3D">
        <w:rPr>
          <w:rFonts w:asciiTheme="minorHAnsi" w:hAnsiTheme="minorHAnsi" w:cstheme="minorHAnsi"/>
          <w:color w:val="000000"/>
          <w:szCs w:val="20"/>
          <w:lang w:val="en-AU"/>
        </w:rPr>
        <w:t xml:space="preserve"> the national freight network. </w:t>
      </w:r>
      <w:r w:rsidRPr="00016E3D">
        <w:rPr>
          <w:rFonts w:asciiTheme="minorHAnsi" w:hAnsiTheme="minorHAnsi" w:cstheme="minorHAnsi"/>
          <w:bCs/>
          <w:color w:val="000000"/>
          <w:szCs w:val="20"/>
          <w:lang w:val="en-AU"/>
        </w:rPr>
        <w:t>Planning is currently underway for upgrades to Murray River crossings</w:t>
      </w:r>
      <w:r w:rsidR="00E138D8" w:rsidRPr="00016E3D">
        <w:rPr>
          <w:rFonts w:asciiTheme="minorHAnsi" w:hAnsiTheme="minorHAnsi" w:cstheme="minorHAnsi"/>
          <w:bCs/>
          <w:color w:val="000000"/>
          <w:szCs w:val="20"/>
          <w:lang w:val="en-AU"/>
        </w:rPr>
        <w:t>,</w:t>
      </w:r>
      <w:r w:rsidRPr="00016E3D">
        <w:rPr>
          <w:rFonts w:asciiTheme="minorHAnsi" w:hAnsiTheme="minorHAnsi" w:cstheme="minorHAnsi"/>
          <w:bCs/>
          <w:color w:val="000000"/>
          <w:szCs w:val="20"/>
          <w:lang w:val="en-AU"/>
        </w:rPr>
        <w:t xml:space="preserve"> including sequenced construction of new bridges at Echuca, Swan Hill and Yarrawonga, with the initial priority at Echuca. These crossings are a key priority</w:t>
      </w:r>
      <w:r w:rsidR="00E138D8" w:rsidRPr="00016E3D">
        <w:rPr>
          <w:rFonts w:asciiTheme="minorHAnsi" w:hAnsiTheme="minorHAnsi" w:cstheme="minorHAnsi"/>
          <w:bCs/>
          <w:color w:val="000000"/>
          <w:szCs w:val="20"/>
          <w:lang w:val="en-AU"/>
        </w:rPr>
        <w:t xml:space="preserve"> </w:t>
      </w:r>
      <w:r w:rsidRPr="00016E3D">
        <w:rPr>
          <w:rFonts w:asciiTheme="minorHAnsi" w:hAnsiTheme="minorHAnsi" w:cstheme="minorHAnsi"/>
          <w:bCs/>
          <w:color w:val="000000"/>
          <w:szCs w:val="20"/>
          <w:lang w:val="en-AU"/>
        </w:rPr>
        <w:t>over the medium to long term outlined in Victoria’s 2012 submission to Infrastructure Australia.</w:t>
      </w:r>
    </w:p>
    <w:p w:rsidR="00D41888" w:rsidRPr="00016E3D" w:rsidRDefault="00D41888" w:rsidP="00D41888">
      <w:pPr>
        <w:pStyle w:val="bt"/>
        <w:rPr>
          <w:lang w:val="en-AU"/>
        </w:rPr>
      </w:pPr>
      <w:r w:rsidRPr="00016E3D">
        <w:rPr>
          <w:lang w:val="en-AU"/>
        </w:rPr>
        <w:t xml:space="preserve">Mildura </w:t>
      </w:r>
      <w:r w:rsidR="00FF10FB" w:rsidRPr="00016E3D">
        <w:rPr>
          <w:lang w:val="en-AU"/>
        </w:rPr>
        <w:t>A</w:t>
      </w:r>
      <w:r w:rsidRPr="00016E3D">
        <w:rPr>
          <w:lang w:val="en-AU"/>
        </w:rPr>
        <w:t xml:space="preserve">irport is well </w:t>
      </w:r>
      <w:r w:rsidR="00FF10FB" w:rsidRPr="00016E3D">
        <w:rPr>
          <w:lang w:val="en-AU"/>
        </w:rPr>
        <w:t xml:space="preserve">patronised </w:t>
      </w:r>
      <w:r w:rsidRPr="00016E3D">
        <w:rPr>
          <w:lang w:val="en-AU"/>
        </w:rPr>
        <w:t xml:space="preserve">for passenger and freight movement. The </w:t>
      </w:r>
      <w:r w:rsidR="00C14963">
        <w:rPr>
          <w:lang w:val="en-AU"/>
        </w:rPr>
        <w:t xml:space="preserve">multi-million dollar upgrade of </w:t>
      </w:r>
      <w:r w:rsidRPr="00016E3D">
        <w:rPr>
          <w:lang w:val="en-AU"/>
        </w:rPr>
        <w:t xml:space="preserve">Mildura </w:t>
      </w:r>
      <w:r w:rsidR="00FF10FB" w:rsidRPr="00016E3D">
        <w:rPr>
          <w:lang w:val="en-AU"/>
        </w:rPr>
        <w:t>A</w:t>
      </w:r>
      <w:r w:rsidRPr="00016E3D">
        <w:rPr>
          <w:lang w:val="en-AU"/>
        </w:rPr>
        <w:t xml:space="preserve">irport will support overall growth and development in Mildura and the broader Sunraysia </w:t>
      </w:r>
      <w:r w:rsidR="00E138D8" w:rsidRPr="00016E3D">
        <w:rPr>
          <w:lang w:val="en-AU"/>
        </w:rPr>
        <w:t>area</w:t>
      </w:r>
      <w:r w:rsidRPr="00016E3D">
        <w:rPr>
          <w:lang w:val="en-AU"/>
        </w:rPr>
        <w:t>.</w:t>
      </w:r>
    </w:p>
    <w:p w:rsidR="00D41888" w:rsidRPr="00016E3D" w:rsidRDefault="00D41888" w:rsidP="00D41888">
      <w:pPr>
        <w:pStyle w:val="bt"/>
        <w:rPr>
          <w:lang w:val="en-AU"/>
        </w:rPr>
      </w:pPr>
      <w:r w:rsidRPr="00016E3D">
        <w:rPr>
          <w:lang w:val="en-AU"/>
        </w:rPr>
        <w:t xml:space="preserve">This </w:t>
      </w:r>
      <w:r w:rsidR="008C3A92" w:rsidRPr="00016E3D">
        <w:rPr>
          <w:lang w:val="en-AU"/>
        </w:rPr>
        <w:t>p</w:t>
      </w:r>
      <w:r w:rsidRPr="00016E3D">
        <w:rPr>
          <w:lang w:val="en-AU"/>
        </w:rPr>
        <w:t>lan seeks to optimise the region’s freight</w:t>
      </w:r>
      <w:r w:rsidR="00FF10FB" w:rsidRPr="00016E3D">
        <w:rPr>
          <w:lang w:val="en-AU"/>
        </w:rPr>
        <w:t>-</w:t>
      </w:r>
      <w:r w:rsidRPr="00016E3D">
        <w:rPr>
          <w:lang w:val="en-AU"/>
        </w:rPr>
        <w:t>related activities and support efficient and effective operations. It seeks to achieve efficiencies and apply sustainable practices while achieving economic and social benefits. The use of airports now and over the 30</w:t>
      </w:r>
      <w:r w:rsidR="00FF10FB" w:rsidRPr="00016E3D">
        <w:rPr>
          <w:lang w:val="en-AU"/>
        </w:rPr>
        <w:t>-</w:t>
      </w:r>
      <w:r w:rsidRPr="00016E3D">
        <w:rPr>
          <w:lang w:val="en-AU"/>
        </w:rPr>
        <w:t>year planning period has also been considered, along with appropriate land use and buffers around these critical facilities.</w:t>
      </w:r>
    </w:p>
    <w:p w:rsidR="00D41888" w:rsidRPr="00016E3D" w:rsidRDefault="00D41888" w:rsidP="00D41888">
      <w:pPr>
        <w:pStyle w:val="bt"/>
        <w:rPr>
          <w:lang w:val="en-AU"/>
        </w:rPr>
      </w:pPr>
      <w:r w:rsidRPr="00016E3D">
        <w:rPr>
          <w:lang w:val="en-AU"/>
        </w:rPr>
        <w:t xml:space="preserve">The transport network is critical </w:t>
      </w:r>
      <w:r w:rsidR="00FF10FB" w:rsidRPr="00016E3D">
        <w:rPr>
          <w:lang w:val="en-AU"/>
        </w:rPr>
        <w:t>for</w:t>
      </w:r>
      <w:r w:rsidRPr="00016E3D">
        <w:rPr>
          <w:lang w:val="en-AU"/>
        </w:rPr>
        <w:t xml:space="preserve"> supporting regional growth. Strategic decisions regarding locations for growth will need to be aware of transport constraints and opportunities. Maximising sustainable transport options has been a central consideration in developing this plan and its future directions.</w:t>
      </w:r>
    </w:p>
    <w:p w:rsidR="00134771" w:rsidRDefault="00D41888" w:rsidP="00134771">
      <w:pPr>
        <w:pStyle w:val="bt"/>
        <w:rPr>
          <w:lang w:val="en-AU"/>
        </w:rPr>
      </w:pPr>
      <w:r w:rsidRPr="00016E3D">
        <w:rPr>
          <w:lang w:val="en-AU"/>
        </w:rPr>
        <w:t>The following directions provide examples and insight as to how improved transport linkages</w:t>
      </w:r>
      <w:r w:rsidR="00FF10FB" w:rsidRPr="00016E3D">
        <w:rPr>
          <w:lang w:val="en-AU"/>
        </w:rPr>
        <w:t xml:space="preserve"> and</w:t>
      </w:r>
      <w:r w:rsidRPr="00016E3D">
        <w:rPr>
          <w:lang w:val="en-AU"/>
        </w:rPr>
        <w:t xml:space="preserve"> infrastructure could be considered.</w:t>
      </w:r>
      <w:r w:rsidR="008C3A92" w:rsidRPr="00016E3D">
        <w:rPr>
          <w:lang w:val="en-AU"/>
        </w:rPr>
        <w:t xml:space="preserve"> These are illustrated </w:t>
      </w:r>
      <w:r w:rsidR="003B55D4" w:rsidRPr="00016E3D">
        <w:rPr>
          <w:lang w:val="en-AU"/>
        </w:rPr>
        <w:t>on</w:t>
      </w:r>
      <w:r w:rsidR="00E17B80">
        <w:rPr>
          <w:lang w:val="en-AU"/>
        </w:rPr>
        <w:t xml:space="preserve"> </w:t>
      </w:r>
      <w:r w:rsidR="003652DE">
        <w:rPr>
          <w:lang w:val="en-AU"/>
        </w:rPr>
        <w:t>Map 11</w:t>
      </w:r>
      <w:r w:rsidR="008C3A92" w:rsidRPr="00016E3D">
        <w:rPr>
          <w:lang w:val="en-AU"/>
        </w:rPr>
        <w:t>.</w:t>
      </w:r>
      <w:bookmarkStart w:id="94" w:name="_Ref373923065"/>
      <w:bookmarkStart w:id="95" w:name="_Toc358365471"/>
      <w:bookmarkStart w:id="96" w:name="_Toc375052105"/>
    </w:p>
    <w:p w:rsidR="00D81C28" w:rsidRDefault="00D81C28" w:rsidP="00134771">
      <w:pPr>
        <w:pStyle w:val="bt"/>
        <w:rPr>
          <w:b/>
          <w:lang w:val="en-AU"/>
        </w:rPr>
      </w:pPr>
      <w:r w:rsidRPr="00016E3D">
        <w:rPr>
          <w:lang w:val="en-AU"/>
        </w:rPr>
        <w:t xml:space="preserve">Map </w:t>
      </w:r>
      <w:bookmarkEnd w:id="94"/>
      <w:r w:rsidR="003652DE">
        <w:rPr>
          <w:lang w:val="en-AU"/>
        </w:rPr>
        <w:t>11</w:t>
      </w:r>
      <w:r w:rsidR="00134771" w:rsidRPr="00134771">
        <w:t xml:space="preserve"> </w:t>
      </w:r>
      <w:r w:rsidR="00134771">
        <w:t xml:space="preserve">is located here in the document and it shows - </w:t>
      </w:r>
      <w:r w:rsidR="00E138D8" w:rsidRPr="00BA45FA">
        <w:rPr>
          <w:lang w:val="en-AU"/>
        </w:rPr>
        <w:t>Future directions for transport</w:t>
      </w:r>
      <w:bookmarkEnd w:id="95"/>
      <w:bookmarkEnd w:id="96"/>
    </w:p>
    <w:p w:rsidR="00D41888" w:rsidRPr="00F63910" w:rsidRDefault="003E4202" w:rsidP="00933BAB">
      <w:pPr>
        <w:pStyle w:val="Heading3"/>
        <w:rPr>
          <w:lang w:val="en-AU"/>
        </w:rPr>
      </w:pPr>
      <w:r w:rsidRPr="003E4202">
        <w:rPr>
          <w:lang w:val="en-AU"/>
        </w:rPr>
        <w:t>Improve the capacity and functioning of the transport network</w:t>
      </w:r>
    </w:p>
    <w:p w:rsidR="00D41888" w:rsidRPr="00F63910" w:rsidRDefault="003E4202" w:rsidP="00D41888">
      <w:pPr>
        <w:pStyle w:val="bt"/>
        <w:rPr>
          <w:lang w:val="en-AU"/>
        </w:rPr>
      </w:pPr>
      <w:r w:rsidRPr="003E4202">
        <w:rPr>
          <w:lang w:val="en-AU"/>
        </w:rPr>
        <w:t xml:space="preserve">Ensuring connectivity to growth areas such as Mildura and Bendigo will be important. Improvements to bridge crossing points on the Murray River, such as at Echuca and Swan Hill, will improve access interstate for people and freight movements. It will also be important to consider other opportunities to mitigate traffic congestion through to walking, cycling and public transport infrastructure upgrades in key centres. </w:t>
      </w:r>
    </w:p>
    <w:p w:rsidR="00D41888" w:rsidRPr="00F63910" w:rsidRDefault="003E4202" w:rsidP="00D41888">
      <w:pPr>
        <w:pStyle w:val="bt"/>
        <w:rPr>
          <w:lang w:val="en-AU"/>
        </w:rPr>
      </w:pPr>
      <w:r w:rsidRPr="003E4202">
        <w:rPr>
          <w:lang w:val="en-AU"/>
        </w:rPr>
        <w:t>The following are examples of transport implementation opportunities for improving network capacity:</w:t>
      </w:r>
    </w:p>
    <w:p w:rsidR="00751744" w:rsidRPr="00F63910" w:rsidRDefault="003E4202" w:rsidP="006206CA">
      <w:pPr>
        <w:pStyle w:val="btbullet"/>
        <w:rPr>
          <w:lang w:val="en-AU"/>
        </w:rPr>
      </w:pPr>
      <w:r w:rsidRPr="003E4202">
        <w:rPr>
          <w:lang w:val="en-AU"/>
        </w:rPr>
        <w:lastRenderedPageBreak/>
        <w:t>improving and modifying the network of public transport services to better meet market needs</w:t>
      </w:r>
    </w:p>
    <w:p w:rsidR="00D41888" w:rsidRPr="00F63910" w:rsidRDefault="003E4202" w:rsidP="006206CA">
      <w:pPr>
        <w:pStyle w:val="btbullet"/>
        <w:rPr>
          <w:lang w:val="en-AU"/>
        </w:rPr>
      </w:pPr>
      <w:r w:rsidRPr="003E4202">
        <w:rPr>
          <w:lang w:val="en-AU"/>
        </w:rPr>
        <w:t>enabling or managing diverse travel choices such as walking and cycling links</w:t>
      </w:r>
    </w:p>
    <w:p w:rsidR="00D41888" w:rsidRPr="00F63910" w:rsidRDefault="003E4202" w:rsidP="006206CA">
      <w:pPr>
        <w:pStyle w:val="btbullet"/>
        <w:rPr>
          <w:lang w:val="en-AU"/>
        </w:rPr>
      </w:pPr>
      <w:r w:rsidRPr="003E4202">
        <w:rPr>
          <w:lang w:val="en-AU"/>
        </w:rPr>
        <w:t>expanding road space through widening, sealed shoulders, duplication, clearways and cycle paths</w:t>
      </w:r>
    </w:p>
    <w:p w:rsidR="00D41888" w:rsidRPr="002A2167" w:rsidRDefault="003E4202" w:rsidP="006206CA">
      <w:pPr>
        <w:pStyle w:val="btbullet"/>
        <w:rPr>
          <w:lang w:val="en-AU"/>
        </w:rPr>
      </w:pPr>
      <w:proofErr w:type="gramStart"/>
      <w:r w:rsidRPr="003E4202">
        <w:rPr>
          <w:lang w:val="en-AU"/>
        </w:rPr>
        <w:t>enhancing</w:t>
      </w:r>
      <w:proofErr w:type="gramEnd"/>
      <w:r w:rsidRPr="003E4202">
        <w:rPr>
          <w:lang w:val="en-AU"/>
        </w:rPr>
        <w:t xml:space="preserve"> rail services, which potentially could include passing loops and increased track axle loads </w:t>
      </w:r>
      <w:r w:rsidR="00D41888" w:rsidRPr="002A2167">
        <w:rPr>
          <w:lang w:val="en-AU"/>
        </w:rPr>
        <w:t>to enable heavier loads to be transported.</w:t>
      </w:r>
    </w:p>
    <w:p w:rsidR="00D41888" w:rsidRPr="002A2167" w:rsidRDefault="00D41888" w:rsidP="00933BAB">
      <w:pPr>
        <w:pStyle w:val="Heading3"/>
        <w:rPr>
          <w:lang w:val="en-AU"/>
        </w:rPr>
      </w:pPr>
      <w:r w:rsidRPr="002A2167">
        <w:rPr>
          <w:lang w:val="en-AU"/>
        </w:rPr>
        <w:t>Enable access and connectivity between settlements within and external to the region</w:t>
      </w:r>
    </w:p>
    <w:p w:rsidR="00D41888" w:rsidRPr="002A2167" w:rsidRDefault="00D41888" w:rsidP="00D41888">
      <w:pPr>
        <w:pStyle w:val="bt"/>
        <w:rPr>
          <w:lang w:val="en-AU"/>
        </w:rPr>
      </w:pPr>
      <w:r w:rsidRPr="002A2167">
        <w:rPr>
          <w:lang w:val="en-AU"/>
        </w:rPr>
        <w:t>The region anticipates an increase in passenger movements within major urban centres and between urban centres. With an ageing population, increased use of public transport to access higher order services is anticipated.</w:t>
      </w:r>
    </w:p>
    <w:p w:rsidR="00D41888" w:rsidRPr="002A2167" w:rsidRDefault="00D41888" w:rsidP="00D41888">
      <w:pPr>
        <w:pStyle w:val="bt"/>
        <w:rPr>
          <w:lang w:val="en-AU"/>
        </w:rPr>
      </w:pPr>
      <w:r w:rsidRPr="002A2167">
        <w:rPr>
          <w:lang w:val="en-AU"/>
        </w:rPr>
        <w:t xml:space="preserve">This </w:t>
      </w:r>
      <w:r w:rsidR="008C3A92" w:rsidRPr="002A2167">
        <w:rPr>
          <w:lang w:val="en-AU"/>
        </w:rPr>
        <w:t>p</w:t>
      </w:r>
      <w:r w:rsidRPr="002A2167">
        <w:rPr>
          <w:lang w:val="en-AU"/>
        </w:rPr>
        <w:t>lan outlines a hierarchy of settlements, with smaller settlements encouraged to plan as a cluster to maintain critical mass and maximise opportunities for public transport and increased access to services.</w:t>
      </w:r>
    </w:p>
    <w:p w:rsidR="00D41888" w:rsidRPr="002A2167" w:rsidRDefault="00D41888" w:rsidP="00D41888">
      <w:pPr>
        <w:pStyle w:val="bt"/>
        <w:rPr>
          <w:lang w:val="en-AU"/>
        </w:rPr>
      </w:pPr>
      <w:r w:rsidRPr="002A2167">
        <w:rPr>
          <w:lang w:val="en-AU"/>
        </w:rPr>
        <w:t>For example</w:t>
      </w:r>
      <w:r w:rsidR="001114ED" w:rsidRPr="002A2167">
        <w:rPr>
          <w:lang w:val="en-AU"/>
        </w:rPr>
        <w:t>,</w:t>
      </w:r>
      <w:r w:rsidRPr="002A2167">
        <w:rPr>
          <w:lang w:val="en-AU"/>
        </w:rPr>
        <w:t xml:space="preserve"> some transport implementation opportunities for ensuring access </w:t>
      </w:r>
      <w:r w:rsidR="00FF10FB" w:rsidRPr="002A2167">
        <w:rPr>
          <w:lang w:val="en-AU"/>
        </w:rPr>
        <w:t>and</w:t>
      </w:r>
      <w:r w:rsidRPr="002A2167">
        <w:rPr>
          <w:lang w:val="en-AU"/>
        </w:rPr>
        <w:t xml:space="preserve"> connectivity exist around:</w:t>
      </w:r>
    </w:p>
    <w:p w:rsidR="00D41888" w:rsidRPr="002A2167" w:rsidRDefault="00030B19" w:rsidP="00FE6C74">
      <w:pPr>
        <w:pStyle w:val="btbullet"/>
        <w:rPr>
          <w:lang w:val="en-AU"/>
        </w:rPr>
      </w:pPr>
      <w:r w:rsidRPr="002A2167">
        <w:rPr>
          <w:lang w:val="en-AU"/>
        </w:rPr>
        <w:t xml:space="preserve">linking </w:t>
      </w:r>
      <w:r w:rsidR="00D41888" w:rsidRPr="002A2167">
        <w:rPr>
          <w:lang w:val="en-AU"/>
        </w:rPr>
        <w:t xml:space="preserve">to cities outside </w:t>
      </w:r>
      <w:r w:rsidRPr="002A2167">
        <w:rPr>
          <w:lang w:val="en-AU"/>
        </w:rPr>
        <w:t xml:space="preserve">the </w:t>
      </w:r>
      <w:r w:rsidR="00D41888" w:rsidRPr="002A2167">
        <w:rPr>
          <w:lang w:val="en-AU"/>
        </w:rPr>
        <w:t xml:space="preserve">region </w:t>
      </w:r>
      <w:r w:rsidR="003E46BD" w:rsidRPr="002A2167">
        <w:rPr>
          <w:lang w:val="en-AU"/>
        </w:rPr>
        <w:t>such as</w:t>
      </w:r>
      <w:r w:rsidR="00D41888" w:rsidRPr="002A2167">
        <w:rPr>
          <w:lang w:val="en-AU"/>
        </w:rPr>
        <w:t xml:space="preserve"> Melbourne, interstate capitals, Bendigo, Shepparton, Horsham and Ballarat</w:t>
      </w:r>
    </w:p>
    <w:p w:rsidR="00D41888" w:rsidRPr="002A2167" w:rsidRDefault="00FF10FB" w:rsidP="00FE6C74">
      <w:pPr>
        <w:pStyle w:val="btbullet"/>
        <w:rPr>
          <w:lang w:val="en-AU"/>
        </w:rPr>
      </w:pPr>
      <w:r w:rsidRPr="002A2167">
        <w:rPr>
          <w:lang w:val="en-AU"/>
        </w:rPr>
        <w:t>i</w:t>
      </w:r>
      <w:r w:rsidR="00D41888" w:rsidRPr="002A2167">
        <w:rPr>
          <w:lang w:val="en-AU"/>
        </w:rPr>
        <w:t xml:space="preserve">ntra-regional </w:t>
      </w:r>
      <w:r w:rsidRPr="002A2167">
        <w:rPr>
          <w:lang w:val="en-AU"/>
        </w:rPr>
        <w:t xml:space="preserve">transport </w:t>
      </w:r>
      <w:r w:rsidR="003E46BD" w:rsidRPr="002A2167">
        <w:rPr>
          <w:lang w:val="en-AU"/>
        </w:rPr>
        <w:t>such as</w:t>
      </w:r>
      <w:r w:rsidR="00D41888" w:rsidRPr="002A2167">
        <w:rPr>
          <w:lang w:val="en-AU"/>
        </w:rPr>
        <w:t xml:space="preserve"> urban bus networks in the regional city and regional centres, including hinterland and small communit</w:t>
      </w:r>
      <w:r w:rsidR="00E34AE7">
        <w:rPr>
          <w:lang w:val="en-AU"/>
        </w:rPr>
        <w:t>y</w:t>
      </w:r>
      <w:r w:rsidR="00D41888" w:rsidRPr="002A2167">
        <w:rPr>
          <w:lang w:val="en-AU"/>
        </w:rPr>
        <w:t xml:space="preserve"> links</w:t>
      </w:r>
    </w:p>
    <w:p w:rsidR="00D41888" w:rsidRPr="002A2167" w:rsidRDefault="00FF10FB" w:rsidP="00FE6C74">
      <w:pPr>
        <w:pStyle w:val="btbullet"/>
        <w:rPr>
          <w:lang w:val="en-AU"/>
        </w:rPr>
      </w:pPr>
      <w:r w:rsidRPr="002A2167">
        <w:rPr>
          <w:lang w:val="en-AU"/>
        </w:rPr>
        <w:t>c</w:t>
      </w:r>
      <w:r w:rsidR="00D41888" w:rsidRPr="002A2167">
        <w:rPr>
          <w:lang w:val="en-AU"/>
        </w:rPr>
        <w:t xml:space="preserve">ross-border connections </w:t>
      </w:r>
      <w:r w:rsidR="003E46BD" w:rsidRPr="002A2167">
        <w:rPr>
          <w:lang w:val="en-AU"/>
        </w:rPr>
        <w:t>including</w:t>
      </w:r>
      <w:r w:rsidR="00D41888" w:rsidRPr="002A2167">
        <w:rPr>
          <w:lang w:val="en-AU"/>
        </w:rPr>
        <w:t xml:space="preserve"> </w:t>
      </w:r>
      <w:r w:rsidRPr="002A2167">
        <w:rPr>
          <w:lang w:val="en-AU"/>
        </w:rPr>
        <w:t xml:space="preserve">to </w:t>
      </w:r>
      <w:r w:rsidR="00D41888" w:rsidRPr="002A2167">
        <w:rPr>
          <w:lang w:val="en-AU"/>
        </w:rPr>
        <w:t>Adelaide</w:t>
      </w:r>
      <w:r w:rsidRPr="002A2167">
        <w:rPr>
          <w:lang w:val="en-AU"/>
        </w:rPr>
        <w:t xml:space="preserve"> and</w:t>
      </w:r>
      <w:r w:rsidR="00D41888" w:rsidRPr="002A2167">
        <w:rPr>
          <w:lang w:val="en-AU"/>
        </w:rPr>
        <w:t xml:space="preserve"> southern p</w:t>
      </w:r>
      <w:r w:rsidR="00FE6C74" w:rsidRPr="002A2167">
        <w:rPr>
          <w:lang w:val="en-AU"/>
        </w:rPr>
        <w:t xml:space="preserve">arts of </w:t>
      </w:r>
      <w:r w:rsidR="00D41888" w:rsidRPr="002A2167">
        <w:rPr>
          <w:lang w:val="en-AU"/>
        </w:rPr>
        <w:t>New South Wales</w:t>
      </w:r>
    </w:p>
    <w:p w:rsidR="00D41888" w:rsidRPr="002A2167" w:rsidRDefault="00FF10FB" w:rsidP="00FE6C74">
      <w:pPr>
        <w:pStyle w:val="btbullet"/>
        <w:rPr>
          <w:lang w:val="en-AU"/>
        </w:rPr>
      </w:pPr>
      <w:r w:rsidRPr="002A2167">
        <w:rPr>
          <w:lang w:val="en-AU"/>
        </w:rPr>
        <w:t>f</w:t>
      </w:r>
      <w:r w:rsidR="00D41888" w:rsidRPr="002A2167">
        <w:rPr>
          <w:lang w:val="en-AU"/>
        </w:rPr>
        <w:t>lexible public transport</w:t>
      </w:r>
      <w:r w:rsidR="00030B19" w:rsidRPr="002A2167">
        <w:rPr>
          <w:lang w:val="en-AU"/>
        </w:rPr>
        <w:t>,</w:t>
      </w:r>
      <w:r w:rsidR="00D41888" w:rsidRPr="002A2167">
        <w:rPr>
          <w:lang w:val="en-AU"/>
        </w:rPr>
        <w:t xml:space="preserve"> </w:t>
      </w:r>
      <w:r w:rsidR="003E46BD" w:rsidRPr="002A2167">
        <w:rPr>
          <w:lang w:val="en-AU"/>
        </w:rPr>
        <w:t>such as</w:t>
      </w:r>
      <w:r w:rsidR="00D41888" w:rsidRPr="002A2167">
        <w:rPr>
          <w:lang w:val="en-AU"/>
        </w:rPr>
        <w:t xml:space="preserve"> improvements to existing bus services and intermodal connections to rail at Swan Hill and Echuca</w:t>
      </w:r>
    </w:p>
    <w:p w:rsidR="00D41888" w:rsidRPr="002A2167" w:rsidRDefault="005267CC" w:rsidP="00FE6C74">
      <w:pPr>
        <w:pStyle w:val="btbullet"/>
        <w:rPr>
          <w:lang w:val="en-AU"/>
        </w:rPr>
      </w:pPr>
      <w:proofErr w:type="gramStart"/>
      <w:r w:rsidRPr="002A2167">
        <w:rPr>
          <w:lang w:val="en-AU"/>
        </w:rPr>
        <w:t>accessibility</w:t>
      </w:r>
      <w:proofErr w:type="gramEnd"/>
      <w:r w:rsidRPr="002A2167">
        <w:rPr>
          <w:lang w:val="en-AU"/>
        </w:rPr>
        <w:t xml:space="preserve">, including </w:t>
      </w:r>
      <w:r w:rsidR="00344892" w:rsidRPr="002A2167">
        <w:rPr>
          <w:i/>
          <w:lang w:val="en-AU"/>
        </w:rPr>
        <w:t>Disability Discrimination Act 1992</w:t>
      </w:r>
      <w:r w:rsidRPr="002A2167">
        <w:rPr>
          <w:lang w:val="en-AU"/>
        </w:rPr>
        <w:t xml:space="preserve"> compliance of public transport facilities and services and cycle access.</w:t>
      </w:r>
    </w:p>
    <w:p w:rsidR="00D41888" w:rsidRPr="002A2167" w:rsidRDefault="00D41888" w:rsidP="00933BAB">
      <w:pPr>
        <w:pStyle w:val="Heading3"/>
        <w:rPr>
          <w:lang w:val="en-AU"/>
        </w:rPr>
      </w:pPr>
      <w:r w:rsidRPr="002A2167">
        <w:rPr>
          <w:lang w:val="en-AU"/>
        </w:rPr>
        <w:t>Provide for a safe, reliable and resilient network</w:t>
      </w:r>
    </w:p>
    <w:p w:rsidR="00D41888" w:rsidRPr="002A2167" w:rsidRDefault="00D41888" w:rsidP="00D41888">
      <w:pPr>
        <w:pStyle w:val="bt"/>
        <w:rPr>
          <w:lang w:val="en-AU"/>
        </w:rPr>
      </w:pPr>
      <w:r w:rsidRPr="002A2167">
        <w:rPr>
          <w:lang w:val="en-AU"/>
        </w:rPr>
        <w:t>Continued planning and infrastructure investment in highways, local roads and rail is required to ensure passenger and freight demand can be accommodated.</w:t>
      </w:r>
      <w:r w:rsidR="00030B19" w:rsidRPr="002A2167">
        <w:rPr>
          <w:lang w:val="en-AU"/>
        </w:rPr>
        <w:t xml:space="preserve"> </w:t>
      </w:r>
      <w:r w:rsidRPr="002A2167">
        <w:rPr>
          <w:lang w:val="en-AU"/>
        </w:rPr>
        <w:t xml:space="preserve">Investing in arterial and local roads is important </w:t>
      </w:r>
      <w:r w:rsidR="00FF10FB" w:rsidRPr="002A2167">
        <w:rPr>
          <w:lang w:val="en-AU"/>
        </w:rPr>
        <w:t xml:space="preserve">to </w:t>
      </w:r>
      <w:r w:rsidR="00157C84" w:rsidRPr="002A2167">
        <w:rPr>
          <w:lang w:val="en-AU"/>
        </w:rPr>
        <w:t xml:space="preserve">support </w:t>
      </w:r>
      <w:r w:rsidR="00FF10FB" w:rsidRPr="002A2167">
        <w:rPr>
          <w:lang w:val="en-AU"/>
        </w:rPr>
        <w:t>a flexible</w:t>
      </w:r>
      <w:r w:rsidRPr="002A2167">
        <w:rPr>
          <w:lang w:val="en-AU"/>
        </w:rPr>
        <w:t xml:space="preserve"> transport system </w:t>
      </w:r>
      <w:r w:rsidR="00FF10FB" w:rsidRPr="002A2167">
        <w:rPr>
          <w:lang w:val="en-AU"/>
        </w:rPr>
        <w:t xml:space="preserve">that enables buses and coaches to service rural and remote settlements and provide access to </w:t>
      </w:r>
      <w:r w:rsidRPr="002A2167">
        <w:rPr>
          <w:lang w:val="en-AU"/>
        </w:rPr>
        <w:t>services and facilities</w:t>
      </w:r>
      <w:r w:rsidR="00157C84" w:rsidRPr="002A2167">
        <w:rPr>
          <w:lang w:val="en-AU"/>
        </w:rPr>
        <w:t xml:space="preserve"> in towns and centres such as</w:t>
      </w:r>
      <w:r w:rsidRPr="002A2167">
        <w:rPr>
          <w:lang w:val="en-AU"/>
        </w:rPr>
        <w:t xml:space="preserve"> Ouyen and Swan Hill</w:t>
      </w:r>
      <w:r w:rsidR="00157C84" w:rsidRPr="002A2167">
        <w:rPr>
          <w:lang w:val="en-AU"/>
        </w:rPr>
        <w:t>,</w:t>
      </w:r>
      <w:r w:rsidRPr="002A2167">
        <w:rPr>
          <w:lang w:val="en-AU"/>
        </w:rPr>
        <w:t xml:space="preserve"> </w:t>
      </w:r>
      <w:r w:rsidR="00157C84" w:rsidRPr="002A2167">
        <w:rPr>
          <w:lang w:val="en-AU"/>
        </w:rPr>
        <w:t>and other services and facilities in</w:t>
      </w:r>
      <w:r w:rsidR="00030B19" w:rsidRPr="002A2167">
        <w:rPr>
          <w:lang w:val="en-AU"/>
        </w:rPr>
        <w:t xml:space="preserve"> </w:t>
      </w:r>
      <w:r w:rsidR="00FF10FB" w:rsidRPr="002A2167">
        <w:rPr>
          <w:lang w:val="en-AU"/>
        </w:rPr>
        <w:t>major</w:t>
      </w:r>
      <w:r w:rsidRPr="002A2167">
        <w:rPr>
          <w:lang w:val="en-AU"/>
        </w:rPr>
        <w:t xml:space="preserve"> centres like Bendigo and Melbourne. </w:t>
      </w:r>
      <w:r w:rsidR="00FF10FB" w:rsidRPr="002A2167">
        <w:rPr>
          <w:lang w:val="en-AU"/>
        </w:rPr>
        <w:t>I</w:t>
      </w:r>
      <w:r w:rsidRPr="002A2167">
        <w:rPr>
          <w:lang w:val="en-AU"/>
        </w:rPr>
        <w:t xml:space="preserve">t is also important </w:t>
      </w:r>
      <w:r w:rsidR="00FF10FB" w:rsidRPr="002A2167">
        <w:rPr>
          <w:lang w:val="en-AU"/>
        </w:rPr>
        <w:t>for</w:t>
      </w:r>
      <w:r w:rsidRPr="002A2167">
        <w:rPr>
          <w:lang w:val="en-AU"/>
        </w:rPr>
        <w:t xml:space="preserve"> the transport network as a whole </w:t>
      </w:r>
      <w:r w:rsidR="00FF10FB" w:rsidRPr="002A2167">
        <w:rPr>
          <w:lang w:val="en-AU"/>
        </w:rPr>
        <w:t xml:space="preserve">to be resilient to future </w:t>
      </w:r>
      <w:r w:rsidRPr="002A2167">
        <w:rPr>
          <w:lang w:val="en-AU"/>
        </w:rPr>
        <w:t xml:space="preserve">disruptions </w:t>
      </w:r>
      <w:r w:rsidR="00FF10FB" w:rsidRPr="002A2167">
        <w:rPr>
          <w:lang w:val="en-AU"/>
        </w:rPr>
        <w:t>caused by flood and bushfir</w:t>
      </w:r>
      <w:r w:rsidR="00E34AE7">
        <w:rPr>
          <w:lang w:val="en-AU"/>
        </w:rPr>
        <w:t>e</w:t>
      </w:r>
      <w:r w:rsidR="00FF10FB" w:rsidRPr="002A2167">
        <w:rPr>
          <w:lang w:val="en-AU"/>
        </w:rPr>
        <w:t>.</w:t>
      </w:r>
    </w:p>
    <w:p w:rsidR="00D41888" w:rsidRPr="002A2167" w:rsidRDefault="00D41888" w:rsidP="00D41888">
      <w:pPr>
        <w:pStyle w:val="bt"/>
        <w:rPr>
          <w:lang w:val="en-AU"/>
        </w:rPr>
      </w:pPr>
      <w:r w:rsidRPr="002A2167">
        <w:rPr>
          <w:lang w:val="en-AU"/>
        </w:rPr>
        <w:t>Examples of transport implementation opportunities for providing a reliable and resilient network exist around:</w:t>
      </w:r>
    </w:p>
    <w:p w:rsidR="00D41888" w:rsidRPr="002A2167" w:rsidRDefault="00FF10FB" w:rsidP="00FE6C74">
      <w:pPr>
        <w:pStyle w:val="btbullet"/>
        <w:rPr>
          <w:lang w:val="en-AU"/>
        </w:rPr>
      </w:pPr>
      <w:r w:rsidRPr="002A2167">
        <w:rPr>
          <w:lang w:val="en-AU"/>
        </w:rPr>
        <w:t>m</w:t>
      </w:r>
      <w:r w:rsidR="00D41888" w:rsidRPr="002A2167">
        <w:rPr>
          <w:lang w:val="en-AU"/>
        </w:rPr>
        <w:t xml:space="preserve">aintenance and upgrading of rail and road networks </w:t>
      </w:r>
      <w:r w:rsidR="003E46BD" w:rsidRPr="002A2167">
        <w:rPr>
          <w:lang w:val="en-AU"/>
        </w:rPr>
        <w:t>including</w:t>
      </w:r>
      <w:r w:rsidR="00D41888" w:rsidRPr="002A2167">
        <w:rPr>
          <w:lang w:val="en-AU"/>
        </w:rPr>
        <w:t xml:space="preserve"> </w:t>
      </w:r>
      <w:r w:rsidR="00E34AE7">
        <w:rPr>
          <w:lang w:val="en-AU"/>
        </w:rPr>
        <w:t>railway</w:t>
      </w:r>
      <w:r w:rsidR="00D41888" w:rsidRPr="002A2167">
        <w:rPr>
          <w:lang w:val="en-AU"/>
        </w:rPr>
        <w:t xml:space="preserve"> crossings and overtaking opportunities</w:t>
      </w:r>
    </w:p>
    <w:p w:rsidR="00D41888" w:rsidRPr="002A2167" w:rsidRDefault="00FF10FB" w:rsidP="00FE6C74">
      <w:pPr>
        <w:pStyle w:val="btbullet"/>
        <w:rPr>
          <w:lang w:val="en-AU"/>
        </w:rPr>
      </w:pPr>
      <w:r w:rsidRPr="002A2167">
        <w:rPr>
          <w:lang w:val="en-AU"/>
        </w:rPr>
        <w:t>c</w:t>
      </w:r>
      <w:r w:rsidR="00D41888" w:rsidRPr="002A2167">
        <w:rPr>
          <w:lang w:val="en-AU"/>
        </w:rPr>
        <w:t xml:space="preserve">ontingency plans for major disruption </w:t>
      </w:r>
      <w:r w:rsidR="003E46BD" w:rsidRPr="002A2167">
        <w:rPr>
          <w:lang w:val="en-AU"/>
        </w:rPr>
        <w:t>such as</w:t>
      </w:r>
      <w:r w:rsidR="00D41888" w:rsidRPr="002A2167">
        <w:rPr>
          <w:lang w:val="en-AU"/>
        </w:rPr>
        <w:t xml:space="preserve"> flood</w:t>
      </w:r>
      <w:r w:rsidRPr="002A2167">
        <w:rPr>
          <w:lang w:val="en-AU"/>
        </w:rPr>
        <w:t xml:space="preserve"> and</w:t>
      </w:r>
      <w:r w:rsidR="00D41888" w:rsidRPr="002A2167">
        <w:rPr>
          <w:lang w:val="en-AU"/>
        </w:rPr>
        <w:t xml:space="preserve"> bushfire</w:t>
      </w:r>
    </w:p>
    <w:p w:rsidR="00D41888" w:rsidRPr="002A2167" w:rsidRDefault="00FF10FB" w:rsidP="00FE6C74">
      <w:pPr>
        <w:pStyle w:val="btbullet"/>
        <w:rPr>
          <w:lang w:val="en-AU"/>
        </w:rPr>
      </w:pPr>
      <w:proofErr w:type="gramStart"/>
      <w:r w:rsidRPr="002A2167">
        <w:rPr>
          <w:lang w:val="en-AU"/>
        </w:rPr>
        <w:t>i</w:t>
      </w:r>
      <w:r w:rsidR="00592B87" w:rsidRPr="002A2167">
        <w:rPr>
          <w:lang w:val="en-AU"/>
        </w:rPr>
        <w:t>ncreased</w:t>
      </w:r>
      <w:proofErr w:type="gramEnd"/>
      <w:r w:rsidR="00592B87" w:rsidRPr="002A2167">
        <w:rPr>
          <w:lang w:val="en-AU"/>
        </w:rPr>
        <w:t xml:space="preserve"> truck capacity to improve reliability and reduce delays</w:t>
      </w:r>
      <w:r w:rsidR="00D41888" w:rsidRPr="002A2167">
        <w:rPr>
          <w:lang w:val="en-AU"/>
        </w:rPr>
        <w:t>.</w:t>
      </w:r>
    </w:p>
    <w:p w:rsidR="00D41888" w:rsidRPr="002A2167" w:rsidRDefault="00D41888" w:rsidP="00933BAB">
      <w:pPr>
        <w:pStyle w:val="Heading3"/>
        <w:rPr>
          <w:lang w:val="en-AU"/>
        </w:rPr>
      </w:pPr>
      <w:r w:rsidRPr="002A2167">
        <w:rPr>
          <w:lang w:val="en-AU"/>
        </w:rPr>
        <w:t>Consider technological advancements in the transport provision mix</w:t>
      </w:r>
    </w:p>
    <w:p w:rsidR="00D41888" w:rsidRPr="002A2167" w:rsidRDefault="00D41888" w:rsidP="00D41888">
      <w:pPr>
        <w:pStyle w:val="bt"/>
        <w:rPr>
          <w:lang w:val="en-AU"/>
        </w:rPr>
      </w:pPr>
      <w:r w:rsidRPr="002A2167">
        <w:rPr>
          <w:lang w:val="en-AU"/>
        </w:rPr>
        <w:t xml:space="preserve">The region has a number of larger and smaller settlements that require access to services and facilities such as health and education. Business opportunities may also be found with the rollout of the National Broadband Network. The rollout and use of new technological devices may mean that work patterns change and the need to travel every day to work </w:t>
      </w:r>
      <w:r w:rsidR="00FF10FB" w:rsidRPr="002A2167">
        <w:rPr>
          <w:lang w:val="en-AU"/>
        </w:rPr>
        <w:t xml:space="preserve">is negated </w:t>
      </w:r>
      <w:r w:rsidRPr="002A2167">
        <w:rPr>
          <w:lang w:val="en-AU"/>
        </w:rPr>
        <w:t>as</w:t>
      </w:r>
      <w:r w:rsidR="00030B19" w:rsidRPr="002A2167">
        <w:rPr>
          <w:lang w:val="en-AU"/>
        </w:rPr>
        <w:t xml:space="preserve"> many</w:t>
      </w:r>
      <w:r w:rsidRPr="002A2167">
        <w:rPr>
          <w:lang w:val="en-AU"/>
        </w:rPr>
        <w:t xml:space="preserve"> people work from home.</w:t>
      </w:r>
      <w:r w:rsidR="00030B19" w:rsidRPr="002A2167">
        <w:rPr>
          <w:lang w:val="en-AU"/>
        </w:rPr>
        <w:t xml:space="preserve"> </w:t>
      </w:r>
      <w:r w:rsidRPr="002A2167">
        <w:rPr>
          <w:lang w:val="en-AU"/>
        </w:rPr>
        <w:t>The health and education sectors are leading the way in using this technology for online course</w:t>
      </w:r>
      <w:r w:rsidR="003E46BD" w:rsidRPr="002A2167">
        <w:rPr>
          <w:lang w:val="en-AU"/>
        </w:rPr>
        <w:t>s</w:t>
      </w:r>
      <w:r w:rsidRPr="002A2167">
        <w:rPr>
          <w:lang w:val="en-AU"/>
        </w:rPr>
        <w:t xml:space="preserve"> and rehabilitation of patients. In the future there will be opportunities to enhance and make use of new technologies.</w:t>
      </w:r>
    </w:p>
    <w:p w:rsidR="00D41888" w:rsidRPr="002A2167" w:rsidRDefault="00D41888" w:rsidP="00D41888">
      <w:pPr>
        <w:pStyle w:val="bt"/>
        <w:rPr>
          <w:lang w:val="en-AU"/>
        </w:rPr>
      </w:pPr>
      <w:r w:rsidRPr="002A2167">
        <w:rPr>
          <w:lang w:val="en-AU"/>
        </w:rPr>
        <w:lastRenderedPageBreak/>
        <w:t>Some examples of transport implementation opportunities for considering technological advancements could include:</w:t>
      </w:r>
    </w:p>
    <w:p w:rsidR="00030B19" w:rsidRPr="002A2167" w:rsidRDefault="00030B19" w:rsidP="00FE6C74">
      <w:pPr>
        <w:pStyle w:val="btbullet"/>
        <w:rPr>
          <w:lang w:val="en-AU"/>
        </w:rPr>
      </w:pPr>
      <w:r w:rsidRPr="002A2167">
        <w:rPr>
          <w:lang w:val="en-AU"/>
        </w:rPr>
        <w:t>t</w:t>
      </w:r>
      <w:r w:rsidR="00732314" w:rsidRPr="002A2167">
        <w:rPr>
          <w:lang w:val="en-AU"/>
        </w:rPr>
        <w:t>he National Broadband Network</w:t>
      </w:r>
      <w:r w:rsidR="00BA5567" w:rsidRPr="002A2167">
        <w:rPr>
          <w:lang w:val="en-AU"/>
        </w:rPr>
        <w:t xml:space="preserve"> and its rollout</w:t>
      </w:r>
      <w:r w:rsidR="001A5B99" w:rsidRPr="002A2167">
        <w:rPr>
          <w:lang w:val="en-AU"/>
        </w:rPr>
        <w:t xml:space="preserve"> including access and utilisation</w:t>
      </w:r>
    </w:p>
    <w:p w:rsidR="00D41888" w:rsidRPr="002A2167" w:rsidRDefault="00732314" w:rsidP="00FE6C74">
      <w:pPr>
        <w:pStyle w:val="btbullet"/>
        <w:rPr>
          <w:lang w:val="en-AU"/>
        </w:rPr>
      </w:pPr>
      <w:r w:rsidRPr="002A2167">
        <w:rPr>
          <w:lang w:val="en-AU"/>
        </w:rPr>
        <w:t>e</w:t>
      </w:r>
      <w:r w:rsidR="00D41888" w:rsidRPr="002A2167">
        <w:rPr>
          <w:lang w:val="en-AU"/>
        </w:rPr>
        <w:t xml:space="preserve">lectronic devices </w:t>
      </w:r>
      <w:r w:rsidR="003E46BD" w:rsidRPr="002A2167">
        <w:rPr>
          <w:lang w:val="en-AU"/>
        </w:rPr>
        <w:t>such as</w:t>
      </w:r>
      <w:r w:rsidR="00D41888" w:rsidRPr="002A2167">
        <w:rPr>
          <w:lang w:val="en-AU"/>
        </w:rPr>
        <w:t xml:space="preserve"> tablets, </w:t>
      </w:r>
      <w:r w:rsidR="00DD4218" w:rsidRPr="002A2167">
        <w:rPr>
          <w:lang w:val="en-AU"/>
        </w:rPr>
        <w:t>smart phones</w:t>
      </w:r>
      <w:r w:rsidR="00AB0226">
        <w:rPr>
          <w:lang w:val="en-AU"/>
        </w:rPr>
        <w:t xml:space="preserve"> and</w:t>
      </w:r>
      <w:r w:rsidR="00AB0226" w:rsidRPr="002A2167">
        <w:rPr>
          <w:lang w:val="en-AU"/>
        </w:rPr>
        <w:t xml:space="preserve"> </w:t>
      </w:r>
      <w:r w:rsidR="00D41888" w:rsidRPr="002A2167">
        <w:rPr>
          <w:lang w:val="en-AU"/>
        </w:rPr>
        <w:t>portable computers</w:t>
      </w:r>
    </w:p>
    <w:p w:rsidR="00D41888" w:rsidRPr="002A2167" w:rsidRDefault="00732314" w:rsidP="00FE6C74">
      <w:pPr>
        <w:pStyle w:val="btbullet"/>
        <w:rPr>
          <w:lang w:val="en-AU"/>
        </w:rPr>
      </w:pPr>
      <w:r w:rsidRPr="002A2167">
        <w:rPr>
          <w:lang w:val="en-AU"/>
        </w:rPr>
        <w:t>a</w:t>
      </w:r>
      <w:r w:rsidR="00D41888" w:rsidRPr="002A2167">
        <w:rPr>
          <w:lang w:val="en-AU"/>
        </w:rPr>
        <w:t>lternative fuelled vehicles</w:t>
      </w:r>
    </w:p>
    <w:p w:rsidR="00D41888" w:rsidRPr="002A2167" w:rsidRDefault="00732314" w:rsidP="00FE6C74">
      <w:pPr>
        <w:pStyle w:val="btbullet"/>
        <w:rPr>
          <w:lang w:val="en-AU"/>
        </w:rPr>
      </w:pPr>
      <w:proofErr w:type="gramStart"/>
      <w:r w:rsidRPr="002A2167">
        <w:rPr>
          <w:lang w:val="en-AU"/>
        </w:rPr>
        <w:t>n</w:t>
      </w:r>
      <w:r w:rsidR="00D41888" w:rsidRPr="002A2167">
        <w:rPr>
          <w:lang w:val="en-AU"/>
        </w:rPr>
        <w:t>ew</w:t>
      </w:r>
      <w:proofErr w:type="gramEnd"/>
      <w:r w:rsidR="00D41888" w:rsidRPr="002A2167">
        <w:rPr>
          <w:lang w:val="en-AU"/>
        </w:rPr>
        <w:t xml:space="preserve"> vehicle designs.</w:t>
      </w:r>
    </w:p>
    <w:p w:rsidR="00D41888" w:rsidRPr="002A2167" w:rsidRDefault="00D41888" w:rsidP="00933BAB">
      <w:pPr>
        <w:pStyle w:val="Heading3"/>
        <w:rPr>
          <w:lang w:val="en-AU"/>
        </w:rPr>
      </w:pPr>
      <w:r w:rsidRPr="002A2167">
        <w:rPr>
          <w:lang w:val="en-AU"/>
        </w:rPr>
        <w:t>Ensure transport network amenity, accessibility and useability</w:t>
      </w:r>
    </w:p>
    <w:p w:rsidR="00D41888" w:rsidRPr="002A2167" w:rsidRDefault="00D41888" w:rsidP="00D41888">
      <w:pPr>
        <w:pStyle w:val="bt"/>
        <w:rPr>
          <w:lang w:val="en-AU"/>
        </w:rPr>
      </w:pPr>
      <w:r w:rsidRPr="002A2167">
        <w:rPr>
          <w:lang w:val="en-AU"/>
        </w:rPr>
        <w:t xml:space="preserve">The </w:t>
      </w:r>
      <w:r w:rsidR="007E0FF2" w:rsidRPr="002A2167">
        <w:rPr>
          <w:lang w:val="en-AU"/>
        </w:rPr>
        <w:t xml:space="preserve">region’s </w:t>
      </w:r>
      <w:r w:rsidRPr="002A2167">
        <w:rPr>
          <w:lang w:val="en-AU"/>
        </w:rPr>
        <w:t xml:space="preserve">transport network is used by a variety of people for both business and pleasure. </w:t>
      </w:r>
      <w:r w:rsidR="00B74250" w:rsidRPr="002A2167">
        <w:rPr>
          <w:lang w:val="en-AU"/>
        </w:rPr>
        <w:t>Long road transport distances</w:t>
      </w:r>
      <w:r w:rsidR="00976C49" w:rsidRPr="002A2167">
        <w:rPr>
          <w:lang w:val="en-AU"/>
        </w:rPr>
        <w:t xml:space="preserve"> in this region highlight the need for rest stops and fatigue management for both passenger and business drivers. </w:t>
      </w:r>
      <w:r w:rsidR="004127B0" w:rsidRPr="002A2167">
        <w:rPr>
          <w:lang w:val="en-AU"/>
        </w:rPr>
        <w:t>Ensuring the</w:t>
      </w:r>
      <w:r w:rsidRPr="002A2167">
        <w:rPr>
          <w:lang w:val="en-AU"/>
        </w:rPr>
        <w:t xml:space="preserve"> network is maintained in a useable condition will be important </w:t>
      </w:r>
      <w:r w:rsidR="00F07D0F" w:rsidRPr="002A2167">
        <w:rPr>
          <w:lang w:val="en-AU"/>
        </w:rPr>
        <w:t>for</w:t>
      </w:r>
      <w:r w:rsidRPr="002A2167">
        <w:rPr>
          <w:lang w:val="en-AU"/>
        </w:rPr>
        <w:t xml:space="preserve"> the future. This will be necessary to support a more diverse economy and make best use of tourism products and opportunities. </w:t>
      </w:r>
      <w:r w:rsidR="00821DE4" w:rsidRPr="002A2167">
        <w:rPr>
          <w:lang w:val="en-AU"/>
        </w:rPr>
        <w:t>One</w:t>
      </w:r>
      <w:r w:rsidRPr="002A2167">
        <w:rPr>
          <w:lang w:val="en-AU"/>
        </w:rPr>
        <w:t xml:space="preserve"> example</w:t>
      </w:r>
      <w:r w:rsidR="00821DE4" w:rsidRPr="002A2167">
        <w:rPr>
          <w:lang w:val="en-AU"/>
        </w:rPr>
        <w:t xml:space="preserve"> might be</w:t>
      </w:r>
      <w:r w:rsidRPr="002A2167">
        <w:rPr>
          <w:lang w:val="en-AU"/>
        </w:rPr>
        <w:t xml:space="preserve"> </w:t>
      </w:r>
      <w:r w:rsidR="00E036F3" w:rsidRPr="002A2167">
        <w:rPr>
          <w:lang w:val="en-AU"/>
        </w:rPr>
        <w:t xml:space="preserve">to </w:t>
      </w:r>
      <w:r w:rsidRPr="002A2167">
        <w:rPr>
          <w:lang w:val="en-AU"/>
        </w:rPr>
        <w:t>expan</w:t>
      </w:r>
      <w:r w:rsidR="00821DE4" w:rsidRPr="002A2167">
        <w:rPr>
          <w:lang w:val="en-AU"/>
        </w:rPr>
        <w:t>d the use</w:t>
      </w:r>
      <w:r w:rsidRPr="002A2167">
        <w:rPr>
          <w:lang w:val="en-AU"/>
        </w:rPr>
        <w:t xml:space="preserve"> of rail trails by improving connections between </w:t>
      </w:r>
      <w:r w:rsidR="00821DE4" w:rsidRPr="002A2167">
        <w:rPr>
          <w:lang w:val="en-AU"/>
        </w:rPr>
        <w:t xml:space="preserve">them as well as improving </w:t>
      </w:r>
      <w:r w:rsidRPr="002A2167">
        <w:rPr>
          <w:lang w:val="en-AU"/>
        </w:rPr>
        <w:t xml:space="preserve">access to </w:t>
      </w:r>
      <w:r w:rsidR="00821DE4" w:rsidRPr="002A2167">
        <w:rPr>
          <w:lang w:val="en-AU"/>
        </w:rPr>
        <w:t xml:space="preserve">these </w:t>
      </w:r>
      <w:r w:rsidRPr="002A2167">
        <w:rPr>
          <w:lang w:val="en-AU"/>
        </w:rPr>
        <w:t>trails. It could also involve reviewing freight routes in high amenity tourist areas</w:t>
      </w:r>
      <w:r w:rsidR="003E46BD" w:rsidRPr="002A2167">
        <w:rPr>
          <w:lang w:val="en-AU"/>
        </w:rPr>
        <w:t xml:space="preserve"> to</w:t>
      </w:r>
      <w:r w:rsidRPr="002A2167">
        <w:rPr>
          <w:lang w:val="en-AU"/>
        </w:rPr>
        <w:t xml:space="preserve"> reduc</w:t>
      </w:r>
      <w:r w:rsidR="003E46BD" w:rsidRPr="002A2167">
        <w:rPr>
          <w:lang w:val="en-AU"/>
        </w:rPr>
        <w:t>e</w:t>
      </w:r>
      <w:r w:rsidRPr="002A2167">
        <w:rPr>
          <w:lang w:val="en-AU"/>
        </w:rPr>
        <w:t xml:space="preserve"> conflicts and in so doing provide an improved tourism experience. </w:t>
      </w:r>
      <w:r w:rsidR="00821DE4" w:rsidRPr="002A2167">
        <w:rPr>
          <w:lang w:val="en-AU"/>
        </w:rPr>
        <w:t xml:space="preserve">One </w:t>
      </w:r>
      <w:r w:rsidRPr="002A2167">
        <w:rPr>
          <w:lang w:val="en-AU"/>
        </w:rPr>
        <w:t>example</w:t>
      </w:r>
      <w:r w:rsidR="00E036F3" w:rsidRPr="002A2167">
        <w:rPr>
          <w:lang w:val="en-AU"/>
        </w:rPr>
        <w:t xml:space="preserve"> </w:t>
      </w:r>
      <w:r w:rsidR="00821DE4" w:rsidRPr="002A2167">
        <w:rPr>
          <w:lang w:val="en-AU"/>
        </w:rPr>
        <w:t>is</w:t>
      </w:r>
      <w:r w:rsidRPr="002A2167">
        <w:rPr>
          <w:lang w:val="en-AU"/>
        </w:rPr>
        <w:t xml:space="preserve"> the proposed truck bypass of Mildura on the Sturt Highway.</w:t>
      </w:r>
    </w:p>
    <w:p w:rsidR="00D41888" w:rsidRPr="002A2167" w:rsidRDefault="00D41888" w:rsidP="00D41888">
      <w:pPr>
        <w:pStyle w:val="bt"/>
        <w:rPr>
          <w:lang w:val="en-AU"/>
        </w:rPr>
      </w:pPr>
      <w:r w:rsidRPr="002A2167">
        <w:rPr>
          <w:lang w:val="en-AU"/>
        </w:rPr>
        <w:t>The following are some examples of transport implementation opportunities for ensuring amenity and useability:</w:t>
      </w:r>
    </w:p>
    <w:p w:rsidR="00D41888" w:rsidRPr="002A2167" w:rsidRDefault="00821DE4" w:rsidP="00FE6C74">
      <w:pPr>
        <w:pStyle w:val="btbullet"/>
        <w:rPr>
          <w:lang w:val="en-AU"/>
        </w:rPr>
      </w:pPr>
      <w:r w:rsidRPr="002A2167">
        <w:rPr>
          <w:lang w:val="en-AU"/>
        </w:rPr>
        <w:t>t</w:t>
      </w:r>
      <w:r w:rsidR="00D41888" w:rsidRPr="002A2167">
        <w:rPr>
          <w:lang w:val="en-AU"/>
        </w:rPr>
        <w:t>ourist routes, including walking and cycling</w:t>
      </w:r>
      <w:r w:rsidR="00751744" w:rsidRPr="002A2167">
        <w:rPr>
          <w:lang w:val="en-AU"/>
        </w:rPr>
        <w:t xml:space="preserve"> tracks and trails</w:t>
      </w:r>
    </w:p>
    <w:p w:rsidR="00D41888" w:rsidRPr="002A2167" w:rsidRDefault="00821DE4" w:rsidP="00FE6C74">
      <w:pPr>
        <w:pStyle w:val="btbullet"/>
        <w:rPr>
          <w:lang w:val="en-AU"/>
        </w:rPr>
      </w:pPr>
      <w:r w:rsidRPr="002A2167">
        <w:rPr>
          <w:lang w:val="en-AU"/>
        </w:rPr>
        <w:t>f</w:t>
      </w:r>
      <w:r w:rsidR="00D41888" w:rsidRPr="002A2167">
        <w:rPr>
          <w:lang w:val="en-AU"/>
        </w:rPr>
        <w:t xml:space="preserve">acilities </w:t>
      </w:r>
      <w:r w:rsidR="003E46BD" w:rsidRPr="002A2167">
        <w:rPr>
          <w:lang w:val="en-AU"/>
        </w:rPr>
        <w:t>including</w:t>
      </w:r>
      <w:r w:rsidR="00D41888" w:rsidRPr="002A2167">
        <w:rPr>
          <w:lang w:val="en-AU"/>
        </w:rPr>
        <w:t xml:space="preserve"> wayside rest areas, signage</w:t>
      </w:r>
      <w:r w:rsidR="00AB0226">
        <w:rPr>
          <w:lang w:val="en-AU"/>
        </w:rPr>
        <w:t xml:space="preserve"> and</w:t>
      </w:r>
      <w:r w:rsidR="00AB0226" w:rsidRPr="002A2167">
        <w:rPr>
          <w:lang w:val="en-AU"/>
        </w:rPr>
        <w:t xml:space="preserve"> </w:t>
      </w:r>
      <w:r w:rsidR="00D41888" w:rsidRPr="002A2167">
        <w:rPr>
          <w:lang w:val="en-AU"/>
        </w:rPr>
        <w:t>information hubs</w:t>
      </w:r>
    </w:p>
    <w:p w:rsidR="00AD01B3" w:rsidRPr="002A2167" w:rsidRDefault="00821DE4" w:rsidP="00933BAB">
      <w:pPr>
        <w:pStyle w:val="btbullet"/>
        <w:rPr>
          <w:lang w:val="en-AU"/>
        </w:rPr>
      </w:pPr>
      <w:proofErr w:type="gramStart"/>
      <w:r w:rsidRPr="002A2167">
        <w:rPr>
          <w:lang w:val="en-AU"/>
        </w:rPr>
        <w:t>m</w:t>
      </w:r>
      <w:r w:rsidR="00D41888" w:rsidRPr="002A2167">
        <w:rPr>
          <w:lang w:val="en-AU"/>
        </w:rPr>
        <w:t>arketing</w:t>
      </w:r>
      <w:proofErr w:type="gramEnd"/>
      <w:r w:rsidR="00D41888" w:rsidRPr="002A2167">
        <w:rPr>
          <w:lang w:val="en-AU"/>
        </w:rPr>
        <w:t xml:space="preserve"> </w:t>
      </w:r>
      <w:r w:rsidR="003E46BD" w:rsidRPr="002A2167">
        <w:rPr>
          <w:lang w:val="en-AU"/>
        </w:rPr>
        <w:t xml:space="preserve">such </w:t>
      </w:r>
      <w:r w:rsidR="00D373A1" w:rsidRPr="002A2167">
        <w:rPr>
          <w:lang w:val="en-AU"/>
        </w:rPr>
        <w:t>as package</w:t>
      </w:r>
      <w:r w:rsidR="00D41888" w:rsidRPr="002A2167">
        <w:rPr>
          <w:lang w:val="en-AU"/>
        </w:rPr>
        <w:t xml:space="preserve"> tours for day trips.</w:t>
      </w:r>
    </w:p>
    <w:p w:rsidR="00D41888" w:rsidRPr="002A2167" w:rsidRDefault="00D41888" w:rsidP="00933BAB">
      <w:pPr>
        <w:pStyle w:val="Heading3"/>
        <w:rPr>
          <w:lang w:val="en-AU"/>
        </w:rPr>
      </w:pPr>
      <w:r w:rsidRPr="002A2167">
        <w:rPr>
          <w:lang w:val="en-AU"/>
        </w:rPr>
        <w:t>Develop freight and logistics precincts for collection and distribution of goods</w:t>
      </w:r>
    </w:p>
    <w:p w:rsidR="001D10DF" w:rsidRPr="002A2167" w:rsidRDefault="00D41888" w:rsidP="00D41888">
      <w:pPr>
        <w:pStyle w:val="bt"/>
        <w:rPr>
          <w:lang w:val="en-AU"/>
        </w:rPr>
      </w:pPr>
      <w:r w:rsidRPr="002A2167">
        <w:rPr>
          <w:lang w:val="en-AU"/>
        </w:rPr>
        <w:t>Understanding freight movements and relationships will be important with potential changes to commodities being carried as the economy diversifies.</w:t>
      </w:r>
      <w:r w:rsidR="00E036F3" w:rsidRPr="002A2167">
        <w:rPr>
          <w:lang w:val="en-AU"/>
        </w:rPr>
        <w:t xml:space="preserve"> </w:t>
      </w:r>
      <w:r w:rsidRPr="002A2167">
        <w:rPr>
          <w:lang w:val="en-AU"/>
        </w:rPr>
        <w:t>Therefore key transport spines and associated infrastructure, such as freight facilities</w:t>
      </w:r>
      <w:r w:rsidR="00E036F3" w:rsidRPr="002A2167">
        <w:rPr>
          <w:lang w:val="en-AU"/>
        </w:rPr>
        <w:t>,</w:t>
      </w:r>
      <w:r w:rsidRPr="002A2167">
        <w:rPr>
          <w:lang w:val="en-AU"/>
        </w:rPr>
        <w:t xml:space="preserve"> will require good connections </w:t>
      </w:r>
      <w:r w:rsidR="00821DE4" w:rsidRPr="002A2167">
        <w:rPr>
          <w:lang w:val="en-AU"/>
        </w:rPr>
        <w:t>to</w:t>
      </w:r>
      <w:r w:rsidRPr="002A2167">
        <w:rPr>
          <w:lang w:val="en-AU"/>
        </w:rPr>
        <w:t xml:space="preserve"> other parts of the </w:t>
      </w:r>
      <w:r w:rsidR="003E46BD" w:rsidRPr="002A2167">
        <w:rPr>
          <w:lang w:val="en-AU"/>
        </w:rPr>
        <w:t>s</w:t>
      </w:r>
      <w:r w:rsidRPr="002A2167">
        <w:rPr>
          <w:lang w:val="en-AU"/>
        </w:rPr>
        <w:t xml:space="preserve">tate and </w:t>
      </w:r>
      <w:r w:rsidR="005267CC" w:rsidRPr="002A2167">
        <w:rPr>
          <w:lang w:val="en-AU"/>
        </w:rPr>
        <w:t>interstate to</w:t>
      </w:r>
      <w:r w:rsidRPr="002A2167">
        <w:rPr>
          <w:lang w:val="en-AU"/>
        </w:rPr>
        <w:t xml:space="preserve"> provide </w:t>
      </w:r>
      <w:r w:rsidR="00E036F3" w:rsidRPr="002A2167">
        <w:rPr>
          <w:lang w:val="en-AU"/>
        </w:rPr>
        <w:t xml:space="preserve">for </w:t>
      </w:r>
      <w:r w:rsidRPr="002A2167">
        <w:rPr>
          <w:lang w:val="en-AU"/>
        </w:rPr>
        <w:t xml:space="preserve">efficient freight movements to ports, airports and domestic and global markets. </w:t>
      </w:r>
    </w:p>
    <w:p w:rsidR="00D41888" w:rsidRPr="002A2167" w:rsidRDefault="00D41888" w:rsidP="00D41888">
      <w:pPr>
        <w:pStyle w:val="bt"/>
        <w:rPr>
          <w:lang w:val="en-AU"/>
        </w:rPr>
      </w:pPr>
      <w:r w:rsidRPr="002A2167">
        <w:rPr>
          <w:lang w:val="en-AU"/>
        </w:rPr>
        <w:t>A study is currently underway to understand future freight demand and infrastructure needs for the Murray Basin region. This study will inform locations for new or enhanced freight precincts</w:t>
      </w:r>
      <w:r w:rsidR="003E46BD" w:rsidRPr="002A2167">
        <w:rPr>
          <w:lang w:val="en-AU"/>
        </w:rPr>
        <w:t xml:space="preserve"> </w:t>
      </w:r>
      <w:r w:rsidR="00D373A1" w:rsidRPr="002A2167">
        <w:rPr>
          <w:lang w:val="en-AU"/>
        </w:rPr>
        <w:t>and new</w:t>
      </w:r>
      <w:r w:rsidRPr="002A2167">
        <w:rPr>
          <w:lang w:val="en-AU"/>
        </w:rPr>
        <w:t xml:space="preserve"> or enhanced road and rail networks. </w:t>
      </w:r>
    </w:p>
    <w:p w:rsidR="00D41888" w:rsidRPr="002A2167" w:rsidRDefault="00D41888" w:rsidP="00D41888">
      <w:pPr>
        <w:pStyle w:val="bt"/>
        <w:rPr>
          <w:lang w:val="en-AU"/>
        </w:rPr>
      </w:pPr>
      <w:r w:rsidRPr="002A2167">
        <w:rPr>
          <w:lang w:val="en-AU"/>
        </w:rPr>
        <w:t xml:space="preserve">Mildura </w:t>
      </w:r>
      <w:r w:rsidR="00821DE4" w:rsidRPr="002A2167">
        <w:rPr>
          <w:lang w:val="en-AU"/>
        </w:rPr>
        <w:t>A</w:t>
      </w:r>
      <w:r w:rsidRPr="002A2167">
        <w:rPr>
          <w:lang w:val="en-AU"/>
        </w:rPr>
        <w:t>irport plays an important role in moving people and goods in the north west of the region.</w:t>
      </w:r>
      <w:r w:rsidR="00E036F3" w:rsidRPr="002A2167">
        <w:rPr>
          <w:lang w:val="en-AU"/>
        </w:rPr>
        <w:t xml:space="preserve"> </w:t>
      </w:r>
      <w:r w:rsidRPr="002A2167">
        <w:rPr>
          <w:lang w:val="en-AU"/>
        </w:rPr>
        <w:t xml:space="preserve">The airport is </w:t>
      </w:r>
      <w:r w:rsidR="003E46BD" w:rsidRPr="002A2167">
        <w:rPr>
          <w:lang w:val="en-AU"/>
        </w:rPr>
        <w:t xml:space="preserve">the </w:t>
      </w:r>
      <w:r w:rsidRPr="002A2167">
        <w:rPr>
          <w:lang w:val="en-AU"/>
        </w:rPr>
        <w:t xml:space="preserve">third </w:t>
      </w:r>
      <w:r w:rsidR="00157C84" w:rsidRPr="002A2167">
        <w:rPr>
          <w:lang w:val="en-AU"/>
        </w:rPr>
        <w:t xml:space="preserve">busiest passenger airport </w:t>
      </w:r>
      <w:r w:rsidRPr="002A2167">
        <w:rPr>
          <w:lang w:val="en-AU"/>
        </w:rPr>
        <w:t>in Victoria</w:t>
      </w:r>
      <w:r w:rsidR="00821DE4" w:rsidRPr="002A2167">
        <w:rPr>
          <w:lang w:val="en-AU"/>
        </w:rPr>
        <w:t>,</w:t>
      </w:r>
      <w:r w:rsidRPr="002A2167">
        <w:rPr>
          <w:lang w:val="en-AU"/>
        </w:rPr>
        <w:t xml:space="preserve"> </w:t>
      </w:r>
      <w:r w:rsidR="00157C84" w:rsidRPr="002A2167">
        <w:rPr>
          <w:lang w:val="en-AU"/>
        </w:rPr>
        <w:t>behind</w:t>
      </w:r>
      <w:r w:rsidRPr="002A2167">
        <w:rPr>
          <w:lang w:val="en-AU"/>
        </w:rPr>
        <w:t xml:space="preserve"> Melbourne</w:t>
      </w:r>
      <w:r w:rsidR="00157C84" w:rsidRPr="002A2167">
        <w:rPr>
          <w:lang w:val="en-AU"/>
        </w:rPr>
        <w:t xml:space="preserve"> and Avalon</w:t>
      </w:r>
      <w:r w:rsidRPr="002A2167">
        <w:rPr>
          <w:lang w:val="en-AU"/>
        </w:rPr>
        <w:t xml:space="preserve">. Connections are </w:t>
      </w:r>
      <w:r w:rsidR="00821DE4" w:rsidRPr="002A2167">
        <w:rPr>
          <w:lang w:val="en-AU"/>
        </w:rPr>
        <w:t>provided</w:t>
      </w:r>
      <w:r w:rsidRPr="002A2167">
        <w:rPr>
          <w:lang w:val="en-AU"/>
        </w:rPr>
        <w:t xml:space="preserve"> to Melbourne</w:t>
      </w:r>
      <w:r w:rsidR="004A5A83" w:rsidRPr="002A2167">
        <w:rPr>
          <w:lang w:val="en-AU"/>
        </w:rPr>
        <w:t>, Adelaide</w:t>
      </w:r>
      <w:r w:rsidRPr="002A2167">
        <w:rPr>
          <w:lang w:val="en-AU"/>
        </w:rPr>
        <w:t xml:space="preserve"> and Sydney. There may be opportunities in the future to </w:t>
      </w:r>
      <w:r w:rsidR="00821DE4" w:rsidRPr="002A2167">
        <w:rPr>
          <w:lang w:val="en-AU"/>
        </w:rPr>
        <w:t>expand</w:t>
      </w:r>
      <w:r w:rsidRPr="002A2167">
        <w:rPr>
          <w:lang w:val="en-AU"/>
        </w:rPr>
        <w:t xml:space="preserve"> airfreight services</w:t>
      </w:r>
      <w:r w:rsidR="00821DE4" w:rsidRPr="002A2167">
        <w:rPr>
          <w:lang w:val="en-AU"/>
        </w:rPr>
        <w:t>,</w:t>
      </w:r>
      <w:r w:rsidRPr="002A2167">
        <w:rPr>
          <w:lang w:val="en-AU"/>
        </w:rPr>
        <w:t xml:space="preserve"> particularly for perishable products that need rapid access to markets. Future agricultural products may include fish and pheasants.  </w:t>
      </w:r>
    </w:p>
    <w:p w:rsidR="00D41888" w:rsidRPr="002A2167" w:rsidRDefault="00D41888" w:rsidP="00D41888">
      <w:pPr>
        <w:pStyle w:val="bt"/>
        <w:rPr>
          <w:lang w:val="en-AU"/>
        </w:rPr>
      </w:pPr>
      <w:r w:rsidRPr="002A2167">
        <w:rPr>
          <w:lang w:val="en-AU"/>
        </w:rPr>
        <w:t>Some transport implementation opportunities for developing freight and logistics precincts could include hubs around:</w:t>
      </w:r>
    </w:p>
    <w:p w:rsidR="00D41888" w:rsidRPr="002A2167" w:rsidRDefault="00821DE4" w:rsidP="00FE6C74">
      <w:pPr>
        <w:pStyle w:val="btbullet"/>
        <w:rPr>
          <w:lang w:val="en-AU"/>
        </w:rPr>
      </w:pPr>
      <w:r w:rsidRPr="002A2167">
        <w:rPr>
          <w:lang w:val="en-AU"/>
        </w:rPr>
        <w:t>a</w:t>
      </w:r>
      <w:r w:rsidR="00D41888" w:rsidRPr="002A2167">
        <w:rPr>
          <w:lang w:val="en-AU"/>
        </w:rPr>
        <w:t>irport</w:t>
      </w:r>
      <w:r w:rsidRPr="002A2167">
        <w:rPr>
          <w:lang w:val="en-AU"/>
        </w:rPr>
        <w:t>s</w:t>
      </w:r>
      <w:r w:rsidR="00D41888" w:rsidRPr="002A2167">
        <w:rPr>
          <w:lang w:val="en-AU"/>
        </w:rPr>
        <w:t xml:space="preserve"> </w:t>
      </w:r>
      <w:r w:rsidR="003E46BD" w:rsidRPr="002A2167">
        <w:rPr>
          <w:lang w:val="en-AU"/>
        </w:rPr>
        <w:t>including</w:t>
      </w:r>
      <w:r w:rsidR="00D41888" w:rsidRPr="002A2167">
        <w:rPr>
          <w:lang w:val="en-AU"/>
        </w:rPr>
        <w:t xml:space="preserve"> interstate</w:t>
      </w:r>
      <w:r w:rsidR="003E46BD" w:rsidRPr="002A2167">
        <w:rPr>
          <w:lang w:val="en-AU"/>
        </w:rPr>
        <w:t xml:space="preserve"> </w:t>
      </w:r>
      <w:r w:rsidR="00D373A1" w:rsidRPr="002A2167">
        <w:rPr>
          <w:lang w:val="en-AU"/>
        </w:rPr>
        <w:t>and regional</w:t>
      </w:r>
      <w:r w:rsidR="003E46BD" w:rsidRPr="002A2167">
        <w:rPr>
          <w:lang w:val="en-AU"/>
        </w:rPr>
        <w:t xml:space="preserve"> service growth</w:t>
      </w:r>
    </w:p>
    <w:p w:rsidR="00D41888" w:rsidRPr="002A2167" w:rsidRDefault="00821DE4" w:rsidP="00FE6C74">
      <w:pPr>
        <w:pStyle w:val="btbullet"/>
        <w:rPr>
          <w:lang w:val="en-AU"/>
        </w:rPr>
      </w:pPr>
      <w:r w:rsidRPr="002A2167">
        <w:rPr>
          <w:lang w:val="en-AU"/>
        </w:rPr>
        <w:t>i</w:t>
      </w:r>
      <w:r w:rsidR="006206CA" w:rsidRPr="002A2167">
        <w:rPr>
          <w:lang w:val="en-AU"/>
        </w:rPr>
        <w:t>ntermodal freight te</w:t>
      </w:r>
      <w:r w:rsidR="00D41888" w:rsidRPr="002A2167">
        <w:rPr>
          <w:lang w:val="en-AU"/>
        </w:rPr>
        <w:t>rminal</w:t>
      </w:r>
      <w:r w:rsidRPr="002A2167">
        <w:rPr>
          <w:lang w:val="en-AU"/>
        </w:rPr>
        <w:t>s</w:t>
      </w:r>
      <w:r w:rsidR="00D41888" w:rsidRPr="002A2167">
        <w:rPr>
          <w:lang w:val="en-AU"/>
        </w:rPr>
        <w:t xml:space="preserve"> </w:t>
      </w:r>
    </w:p>
    <w:p w:rsidR="00D41888" w:rsidRPr="002A2167" w:rsidRDefault="00821DE4" w:rsidP="00FE6C74">
      <w:pPr>
        <w:pStyle w:val="btbullet"/>
        <w:rPr>
          <w:lang w:val="en-AU"/>
        </w:rPr>
      </w:pPr>
      <w:proofErr w:type="gramStart"/>
      <w:r w:rsidRPr="002A2167">
        <w:rPr>
          <w:lang w:val="en-AU"/>
        </w:rPr>
        <w:t>a</w:t>
      </w:r>
      <w:r w:rsidR="00D41888" w:rsidRPr="002A2167">
        <w:rPr>
          <w:lang w:val="en-AU"/>
        </w:rPr>
        <w:t>ctivity</w:t>
      </w:r>
      <w:r w:rsidRPr="002A2167">
        <w:rPr>
          <w:lang w:val="en-AU"/>
        </w:rPr>
        <w:t>-</w:t>
      </w:r>
      <w:r w:rsidR="00D41888" w:rsidRPr="002A2167">
        <w:rPr>
          <w:lang w:val="en-AU"/>
        </w:rPr>
        <w:t>specific</w:t>
      </w:r>
      <w:proofErr w:type="gramEnd"/>
      <w:r w:rsidR="00D41888" w:rsidRPr="002A2167">
        <w:rPr>
          <w:lang w:val="en-AU"/>
        </w:rPr>
        <w:t xml:space="preserve"> centres </w:t>
      </w:r>
      <w:r w:rsidR="003E46BD" w:rsidRPr="002A2167">
        <w:rPr>
          <w:lang w:val="en-AU"/>
        </w:rPr>
        <w:t>such as</w:t>
      </w:r>
      <w:r w:rsidR="00D41888" w:rsidRPr="002A2167">
        <w:rPr>
          <w:lang w:val="en-AU"/>
        </w:rPr>
        <w:t xml:space="preserve"> distribution warehouse</w:t>
      </w:r>
      <w:r w:rsidR="003E46BD" w:rsidRPr="002A2167">
        <w:rPr>
          <w:lang w:val="en-AU"/>
        </w:rPr>
        <w:t>s or</w:t>
      </w:r>
      <w:r w:rsidR="00D41888" w:rsidRPr="002A2167">
        <w:rPr>
          <w:lang w:val="en-AU"/>
        </w:rPr>
        <w:t xml:space="preserve"> processing plant</w:t>
      </w:r>
      <w:r w:rsidR="003E46BD" w:rsidRPr="002A2167">
        <w:rPr>
          <w:lang w:val="en-AU"/>
        </w:rPr>
        <w:t>s.</w:t>
      </w:r>
    </w:p>
    <w:p w:rsidR="00D41888" w:rsidRPr="002A2167" w:rsidRDefault="00D41888" w:rsidP="00933BAB">
      <w:pPr>
        <w:pStyle w:val="Heading3"/>
        <w:rPr>
          <w:lang w:val="en-AU"/>
        </w:rPr>
      </w:pPr>
      <w:r w:rsidRPr="002A2167">
        <w:rPr>
          <w:lang w:val="en-AU"/>
        </w:rPr>
        <w:t>Understand and provide for an efficient and sustainable freight network for industry to access markets for export commodities</w:t>
      </w:r>
    </w:p>
    <w:p w:rsidR="00D41888" w:rsidRPr="002A2167" w:rsidRDefault="00D41888" w:rsidP="00D41888">
      <w:pPr>
        <w:pStyle w:val="bt"/>
        <w:rPr>
          <w:lang w:val="en-AU"/>
        </w:rPr>
      </w:pPr>
      <w:r w:rsidRPr="002A2167">
        <w:rPr>
          <w:lang w:val="en-AU"/>
        </w:rPr>
        <w:lastRenderedPageBreak/>
        <w:t>The region is well served by road networks. However</w:t>
      </w:r>
      <w:r w:rsidR="005A6850" w:rsidRPr="002A2167">
        <w:rPr>
          <w:lang w:val="en-AU"/>
        </w:rPr>
        <w:t>,</w:t>
      </w:r>
      <w:r w:rsidRPr="002A2167">
        <w:rPr>
          <w:lang w:val="en-AU"/>
        </w:rPr>
        <w:t xml:space="preserve"> due to </w:t>
      </w:r>
      <w:r w:rsidR="00821DE4" w:rsidRPr="002A2167">
        <w:rPr>
          <w:lang w:val="en-AU"/>
        </w:rPr>
        <w:t>its</w:t>
      </w:r>
      <w:r w:rsidRPr="002A2167">
        <w:rPr>
          <w:lang w:val="en-AU"/>
        </w:rPr>
        <w:t xml:space="preserve"> agricultural economic base</w:t>
      </w:r>
      <w:r w:rsidR="00821DE4" w:rsidRPr="002A2167">
        <w:rPr>
          <w:lang w:val="en-AU"/>
        </w:rPr>
        <w:t>,</w:t>
      </w:r>
      <w:r w:rsidRPr="002A2167">
        <w:rPr>
          <w:lang w:val="en-AU"/>
        </w:rPr>
        <w:t xml:space="preserve"> the impacts of freight vehicles on local roads and bridges </w:t>
      </w:r>
      <w:r w:rsidR="00821DE4" w:rsidRPr="002A2167">
        <w:rPr>
          <w:lang w:val="en-AU"/>
        </w:rPr>
        <w:t xml:space="preserve">will need to be reviewed into the future, </w:t>
      </w:r>
      <w:r w:rsidRPr="002A2167">
        <w:rPr>
          <w:lang w:val="en-AU"/>
        </w:rPr>
        <w:t xml:space="preserve">particularly </w:t>
      </w:r>
      <w:r w:rsidR="0093104C">
        <w:rPr>
          <w:lang w:val="en-AU"/>
        </w:rPr>
        <w:t xml:space="preserve">for </w:t>
      </w:r>
      <w:r w:rsidRPr="002A2167">
        <w:rPr>
          <w:lang w:val="en-AU"/>
        </w:rPr>
        <w:t>those that form crossing points over the Murray River</w:t>
      </w:r>
      <w:r w:rsidR="00821DE4" w:rsidRPr="002A2167">
        <w:rPr>
          <w:lang w:val="en-AU"/>
        </w:rPr>
        <w:t>. This will be important</w:t>
      </w:r>
      <w:r w:rsidRPr="002A2167">
        <w:rPr>
          <w:lang w:val="en-AU"/>
        </w:rPr>
        <w:t xml:space="preserve"> to assess </w:t>
      </w:r>
      <w:r w:rsidR="00821DE4" w:rsidRPr="002A2167">
        <w:rPr>
          <w:lang w:val="en-AU"/>
        </w:rPr>
        <w:t xml:space="preserve">infrastructure </w:t>
      </w:r>
      <w:r w:rsidRPr="002A2167">
        <w:rPr>
          <w:lang w:val="en-AU"/>
        </w:rPr>
        <w:t xml:space="preserve">suitability and maintenance as much of the </w:t>
      </w:r>
      <w:r w:rsidR="00821DE4" w:rsidRPr="002A2167">
        <w:rPr>
          <w:lang w:val="en-AU"/>
        </w:rPr>
        <w:t xml:space="preserve">region’s </w:t>
      </w:r>
      <w:r w:rsidRPr="002A2167">
        <w:rPr>
          <w:lang w:val="en-AU"/>
        </w:rPr>
        <w:t xml:space="preserve">agricultural product is collected at the farm gate.  </w:t>
      </w:r>
    </w:p>
    <w:p w:rsidR="00D41888" w:rsidRPr="002A2167" w:rsidRDefault="00D41888" w:rsidP="00D41888">
      <w:pPr>
        <w:pStyle w:val="bt"/>
        <w:rPr>
          <w:lang w:val="en-AU"/>
        </w:rPr>
      </w:pPr>
      <w:r w:rsidRPr="002A2167">
        <w:rPr>
          <w:lang w:val="en-AU"/>
        </w:rPr>
        <w:t>The road network in particular will need to stand up to the freight task</w:t>
      </w:r>
      <w:r w:rsidR="00821DE4" w:rsidRPr="002A2167">
        <w:rPr>
          <w:lang w:val="en-AU"/>
        </w:rPr>
        <w:t>, which</w:t>
      </w:r>
      <w:r w:rsidRPr="002A2167">
        <w:rPr>
          <w:lang w:val="en-AU"/>
        </w:rPr>
        <w:t xml:space="preserve"> may see a change in </w:t>
      </w:r>
      <w:r w:rsidR="00821DE4" w:rsidRPr="002A2167">
        <w:rPr>
          <w:lang w:val="en-AU"/>
        </w:rPr>
        <w:t xml:space="preserve">the type of </w:t>
      </w:r>
      <w:r w:rsidRPr="002A2167">
        <w:rPr>
          <w:lang w:val="en-AU"/>
        </w:rPr>
        <w:t xml:space="preserve">commodities carried or more of the same commodities carried in </w:t>
      </w:r>
      <w:r w:rsidR="00821DE4" w:rsidRPr="002A2167">
        <w:rPr>
          <w:lang w:val="en-AU"/>
        </w:rPr>
        <w:t>larger</w:t>
      </w:r>
      <w:r w:rsidRPr="002A2167">
        <w:rPr>
          <w:lang w:val="en-AU"/>
        </w:rPr>
        <w:t xml:space="preserve"> freight vehicles. The construction of a truck bypass of Mildura on the Sturt </w:t>
      </w:r>
      <w:r w:rsidR="003E46BD" w:rsidRPr="002A2167">
        <w:rPr>
          <w:lang w:val="en-AU"/>
        </w:rPr>
        <w:t>H</w:t>
      </w:r>
      <w:r w:rsidRPr="002A2167">
        <w:rPr>
          <w:lang w:val="en-AU"/>
        </w:rPr>
        <w:t>ighway</w:t>
      </w:r>
      <w:r w:rsidR="00E7582E" w:rsidRPr="002A2167">
        <w:rPr>
          <w:lang w:val="en-AU"/>
        </w:rPr>
        <w:t>,</w:t>
      </w:r>
      <w:r w:rsidRPr="002A2167">
        <w:rPr>
          <w:lang w:val="en-AU"/>
        </w:rPr>
        <w:t xml:space="preserve"> for example</w:t>
      </w:r>
      <w:r w:rsidR="00821DE4" w:rsidRPr="002A2167">
        <w:rPr>
          <w:lang w:val="en-AU"/>
        </w:rPr>
        <w:t>,</w:t>
      </w:r>
      <w:r w:rsidRPr="002A2167">
        <w:rPr>
          <w:lang w:val="en-AU"/>
        </w:rPr>
        <w:t xml:space="preserve"> could enhance efficient and effective movements of freight.</w:t>
      </w:r>
    </w:p>
    <w:p w:rsidR="00D41888" w:rsidRPr="002A2167" w:rsidRDefault="00D41888" w:rsidP="00D41888">
      <w:pPr>
        <w:pStyle w:val="bt"/>
        <w:rPr>
          <w:lang w:val="en-AU"/>
        </w:rPr>
      </w:pPr>
      <w:r w:rsidRPr="002A2167">
        <w:rPr>
          <w:lang w:val="en-AU"/>
        </w:rPr>
        <w:t xml:space="preserve">The region is well serviced by freight rail. However, there is the potential to encourage more freight onto rail, </w:t>
      </w:r>
      <w:r w:rsidR="00592B87" w:rsidRPr="002A2167">
        <w:rPr>
          <w:lang w:val="en-AU"/>
        </w:rPr>
        <w:t xml:space="preserve">which requires industry demand and a competitive rail network. </w:t>
      </w:r>
      <w:r w:rsidRPr="002A2167">
        <w:rPr>
          <w:lang w:val="en-AU"/>
        </w:rPr>
        <w:t>The Murray Basin Transcontinental Rail Link</w:t>
      </w:r>
      <w:r w:rsidR="00CA74D5" w:rsidRPr="002A2167">
        <w:rPr>
          <w:lang w:val="en-AU"/>
        </w:rPr>
        <w:t>, which</w:t>
      </w:r>
      <w:r w:rsidRPr="002A2167">
        <w:rPr>
          <w:lang w:val="en-AU"/>
        </w:rPr>
        <w:t xml:space="preserve"> would </w:t>
      </w:r>
      <w:r w:rsidR="00CA74D5" w:rsidRPr="002A2167">
        <w:rPr>
          <w:lang w:val="en-AU"/>
        </w:rPr>
        <w:t xml:space="preserve">link Mildura to the Sydney </w:t>
      </w:r>
      <w:r w:rsidR="00E34AE7">
        <w:rPr>
          <w:lang w:val="en-AU"/>
        </w:rPr>
        <w:t>-</w:t>
      </w:r>
      <w:r w:rsidR="00E34AE7" w:rsidRPr="002A2167">
        <w:rPr>
          <w:lang w:val="en-AU"/>
        </w:rPr>
        <w:t xml:space="preserve"> </w:t>
      </w:r>
      <w:r w:rsidR="00CA74D5" w:rsidRPr="002A2167">
        <w:rPr>
          <w:lang w:val="en-AU"/>
        </w:rPr>
        <w:t xml:space="preserve">Perth rail line, would </w:t>
      </w:r>
      <w:r w:rsidRPr="002A2167">
        <w:rPr>
          <w:lang w:val="en-AU"/>
        </w:rPr>
        <w:t>support the anticipated freight task.</w:t>
      </w:r>
    </w:p>
    <w:p w:rsidR="00D41888" w:rsidRPr="002A2167" w:rsidRDefault="00D41888" w:rsidP="00D41888">
      <w:pPr>
        <w:pStyle w:val="bt"/>
        <w:rPr>
          <w:lang w:val="en-AU"/>
        </w:rPr>
      </w:pPr>
      <w:r w:rsidRPr="002A2167">
        <w:rPr>
          <w:lang w:val="en-AU"/>
        </w:rPr>
        <w:t>Some transport implementation opportunities for efficient commodity supply chains exist around:</w:t>
      </w:r>
    </w:p>
    <w:p w:rsidR="00D41888" w:rsidRPr="002A2167" w:rsidRDefault="00821DE4" w:rsidP="00FE6C74">
      <w:pPr>
        <w:pStyle w:val="btbullet"/>
        <w:rPr>
          <w:lang w:val="en-AU"/>
        </w:rPr>
      </w:pPr>
      <w:r w:rsidRPr="002A2167">
        <w:rPr>
          <w:lang w:val="en-AU"/>
        </w:rPr>
        <w:t>u</w:t>
      </w:r>
      <w:r w:rsidR="00D41888" w:rsidRPr="002A2167">
        <w:rPr>
          <w:lang w:val="en-AU"/>
        </w:rPr>
        <w:t xml:space="preserve">nderstanding relationships, evidence base, industry need, movements and modes </w:t>
      </w:r>
      <w:r w:rsidR="003E46BD" w:rsidRPr="002A2167">
        <w:rPr>
          <w:lang w:val="en-AU"/>
        </w:rPr>
        <w:t>such as</w:t>
      </w:r>
      <w:r w:rsidR="00D41888" w:rsidRPr="002A2167">
        <w:rPr>
          <w:lang w:val="en-AU"/>
        </w:rPr>
        <w:t xml:space="preserve"> </w:t>
      </w:r>
      <w:r w:rsidR="003E46BD" w:rsidRPr="002A2167">
        <w:rPr>
          <w:lang w:val="en-AU"/>
        </w:rPr>
        <w:t>f</w:t>
      </w:r>
      <w:r w:rsidR="00D41888" w:rsidRPr="002A2167">
        <w:rPr>
          <w:lang w:val="en-AU"/>
        </w:rPr>
        <w:t>arm</w:t>
      </w:r>
      <w:r w:rsidR="00E34AE7">
        <w:rPr>
          <w:lang w:val="en-AU"/>
        </w:rPr>
        <w:t xml:space="preserve"> </w:t>
      </w:r>
      <w:r w:rsidR="00D41888" w:rsidRPr="002A2167">
        <w:rPr>
          <w:lang w:val="en-AU"/>
        </w:rPr>
        <w:t>gate</w:t>
      </w:r>
      <w:r w:rsidR="003E46BD" w:rsidRPr="002A2167">
        <w:rPr>
          <w:lang w:val="en-AU"/>
        </w:rPr>
        <w:t xml:space="preserve"> to</w:t>
      </w:r>
      <w:r w:rsidR="00D41888" w:rsidRPr="002A2167">
        <w:rPr>
          <w:lang w:val="en-AU"/>
        </w:rPr>
        <w:t xml:space="preserve"> market</w:t>
      </w:r>
      <w:r w:rsidR="003E46BD" w:rsidRPr="002A2167">
        <w:rPr>
          <w:lang w:val="en-AU"/>
        </w:rPr>
        <w:t>s</w:t>
      </w:r>
      <w:r w:rsidR="00D41888" w:rsidRPr="002A2167">
        <w:rPr>
          <w:lang w:val="en-AU"/>
        </w:rPr>
        <w:t>, distribution centre</w:t>
      </w:r>
      <w:r w:rsidR="003E46BD" w:rsidRPr="002A2167">
        <w:rPr>
          <w:lang w:val="en-AU"/>
        </w:rPr>
        <w:t>s and</w:t>
      </w:r>
      <w:r w:rsidR="00D41888" w:rsidRPr="002A2167">
        <w:rPr>
          <w:lang w:val="en-AU"/>
        </w:rPr>
        <w:t xml:space="preserve"> gateway</w:t>
      </w:r>
      <w:r w:rsidR="001D10DF" w:rsidRPr="002A2167">
        <w:rPr>
          <w:lang w:val="en-AU"/>
        </w:rPr>
        <w:t>s</w:t>
      </w:r>
      <w:r w:rsidR="001A5B99" w:rsidRPr="002A2167">
        <w:rPr>
          <w:lang w:val="en-AU"/>
        </w:rPr>
        <w:t xml:space="preserve"> for various commodities such as </w:t>
      </w:r>
      <w:r w:rsidR="008F3ADA" w:rsidRPr="002A2167">
        <w:rPr>
          <w:lang w:val="en-AU"/>
        </w:rPr>
        <w:t>mineral</w:t>
      </w:r>
      <w:r w:rsidR="000364FA" w:rsidRPr="002A2167">
        <w:rPr>
          <w:lang w:val="en-AU"/>
        </w:rPr>
        <w:t xml:space="preserve">s </w:t>
      </w:r>
      <w:r w:rsidR="008F3ADA" w:rsidRPr="002A2167">
        <w:rPr>
          <w:lang w:val="en-AU"/>
        </w:rPr>
        <w:t xml:space="preserve">and </w:t>
      </w:r>
      <w:r w:rsidR="001A5B99" w:rsidRPr="002A2167">
        <w:rPr>
          <w:lang w:val="en-AU"/>
        </w:rPr>
        <w:t>extractive industr</w:t>
      </w:r>
      <w:r w:rsidR="00C339F0" w:rsidRPr="002A2167">
        <w:rPr>
          <w:lang w:val="en-AU"/>
        </w:rPr>
        <w:t>y</w:t>
      </w:r>
      <w:r w:rsidR="001A5B99" w:rsidRPr="002A2167">
        <w:rPr>
          <w:lang w:val="en-AU"/>
        </w:rPr>
        <w:t xml:space="preserve"> and agricultural products</w:t>
      </w:r>
    </w:p>
    <w:p w:rsidR="00D41888" w:rsidRPr="002A2167" w:rsidRDefault="00821DE4" w:rsidP="00FE6C74">
      <w:pPr>
        <w:pStyle w:val="btbullet"/>
        <w:rPr>
          <w:lang w:val="en-AU"/>
        </w:rPr>
      </w:pPr>
      <w:r w:rsidRPr="002A2167">
        <w:rPr>
          <w:lang w:val="en-AU"/>
        </w:rPr>
        <w:t>t</w:t>
      </w:r>
      <w:r w:rsidR="00D41888" w:rsidRPr="002A2167">
        <w:rPr>
          <w:lang w:val="en-AU"/>
        </w:rPr>
        <w:t>echnological advancements</w:t>
      </w:r>
    </w:p>
    <w:p w:rsidR="00D41888" w:rsidRPr="002A2167" w:rsidRDefault="00821DE4" w:rsidP="00FE6C74">
      <w:pPr>
        <w:pStyle w:val="btbullet"/>
        <w:rPr>
          <w:lang w:val="en-AU"/>
        </w:rPr>
      </w:pPr>
      <w:r w:rsidRPr="002A2167">
        <w:rPr>
          <w:lang w:val="en-AU"/>
        </w:rPr>
        <w:t>i</w:t>
      </w:r>
      <w:r w:rsidR="00D41888" w:rsidRPr="002A2167">
        <w:rPr>
          <w:lang w:val="en-AU"/>
        </w:rPr>
        <w:t>nvestment</w:t>
      </w:r>
      <w:r w:rsidR="00091BFF" w:rsidRPr="002A2167">
        <w:rPr>
          <w:lang w:val="en-AU"/>
        </w:rPr>
        <w:t xml:space="preserve"> in</w:t>
      </w:r>
      <w:r w:rsidRPr="002A2167">
        <w:rPr>
          <w:lang w:val="en-AU"/>
        </w:rPr>
        <w:t xml:space="preserve"> the </w:t>
      </w:r>
      <w:r w:rsidR="00091BFF" w:rsidRPr="002A2167">
        <w:rPr>
          <w:lang w:val="en-AU"/>
        </w:rPr>
        <w:t>rail</w:t>
      </w:r>
      <w:r w:rsidRPr="002A2167">
        <w:rPr>
          <w:lang w:val="en-AU"/>
        </w:rPr>
        <w:t xml:space="preserve"> network</w:t>
      </w:r>
      <w:r w:rsidR="00091BFF" w:rsidRPr="002A2167">
        <w:rPr>
          <w:lang w:val="en-AU"/>
        </w:rPr>
        <w:t>,</w:t>
      </w:r>
      <w:r w:rsidRPr="002A2167">
        <w:rPr>
          <w:lang w:val="en-AU"/>
        </w:rPr>
        <w:t xml:space="preserve"> such as standardisation,</w:t>
      </w:r>
      <w:r w:rsidR="00D41888" w:rsidRPr="002A2167">
        <w:rPr>
          <w:lang w:val="en-AU"/>
        </w:rPr>
        <w:t xml:space="preserve"> as identified through sound business cases </w:t>
      </w:r>
    </w:p>
    <w:p w:rsidR="00C21B5A" w:rsidRPr="002A2167" w:rsidRDefault="00821DE4" w:rsidP="0095148A">
      <w:pPr>
        <w:pStyle w:val="btbullet"/>
        <w:rPr>
          <w:lang w:val="en-AU"/>
        </w:rPr>
      </w:pPr>
      <w:proofErr w:type="gramStart"/>
      <w:r w:rsidRPr="002A2167">
        <w:rPr>
          <w:lang w:val="en-AU"/>
        </w:rPr>
        <w:t>i</w:t>
      </w:r>
      <w:r w:rsidR="00D41888" w:rsidRPr="002A2167">
        <w:rPr>
          <w:lang w:val="en-AU"/>
        </w:rPr>
        <w:t>mprovements</w:t>
      </w:r>
      <w:proofErr w:type="gramEnd"/>
      <w:r w:rsidR="00D41888" w:rsidRPr="002A2167">
        <w:rPr>
          <w:lang w:val="en-AU"/>
        </w:rPr>
        <w:t xml:space="preserve"> to the road network to reduce bottlenecks in the supply chain</w:t>
      </w:r>
      <w:r w:rsidR="00091BFF" w:rsidRPr="002A2167">
        <w:rPr>
          <w:lang w:val="en-AU"/>
        </w:rPr>
        <w:t>.</w:t>
      </w:r>
      <w:r w:rsidR="00D41888" w:rsidRPr="002A2167">
        <w:rPr>
          <w:lang w:val="en-AU"/>
        </w:rPr>
        <w:t xml:space="preserve"> </w:t>
      </w:r>
    </w:p>
    <w:p w:rsidR="00D41888" w:rsidRPr="002A2167" w:rsidRDefault="00D41888" w:rsidP="00933BAB">
      <w:pPr>
        <w:pStyle w:val="Heading3"/>
        <w:rPr>
          <w:lang w:val="en-AU"/>
        </w:rPr>
      </w:pPr>
      <w:r w:rsidRPr="002A2167">
        <w:rPr>
          <w:lang w:val="en-AU"/>
        </w:rPr>
        <w:t xml:space="preserve">Future </w:t>
      </w:r>
      <w:r w:rsidR="003E46BD" w:rsidRPr="002A2167">
        <w:rPr>
          <w:lang w:val="en-AU"/>
        </w:rPr>
        <w:t>t</w:t>
      </w:r>
      <w:r w:rsidRPr="002A2167">
        <w:rPr>
          <w:lang w:val="en-AU"/>
        </w:rPr>
        <w:t xml:space="preserve">ransport </w:t>
      </w:r>
      <w:r w:rsidR="003E46BD" w:rsidRPr="002A2167">
        <w:rPr>
          <w:lang w:val="en-AU"/>
        </w:rPr>
        <w:t>l</w:t>
      </w:r>
      <w:r w:rsidRPr="002A2167">
        <w:rPr>
          <w:lang w:val="en-AU"/>
        </w:rPr>
        <w:t xml:space="preserve">and use </w:t>
      </w:r>
      <w:r w:rsidR="00B87452" w:rsidRPr="002A2167">
        <w:rPr>
          <w:lang w:val="en-AU"/>
        </w:rPr>
        <w:t>strategies</w:t>
      </w:r>
      <w:r w:rsidRPr="002A2167">
        <w:rPr>
          <w:lang w:val="en-AU"/>
        </w:rPr>
        <w:t xml:space="preserve"> and actions</w:t>
      </w:r>
    </w:p>
    <w:p w:rsidR="00D41888" w:rsidRPr="002A2167" w:rsidRDefault="00D41888" w:rsidP="00FE6C74">
      <w:pPr>
        <w:pStyle w:val="btbullet"/>
        <w:rPr>
          <w:lang w:val="en-AU"/>
        </w:rPr>
      </w:pPr>
      <w:r w:rsidRPr="002A2167">
        <w:rPr>
          <w:lang w:val="en-AU"/>
        </w:rPr>
        <w:t>Encourage flexible and adaptable freight connectivity to the transport network to cater for changes in commodities to be carried</w:t>
      </w:r>
      <w:r w:rsidR="00C14963">
        <w:rPr>
          <w:lang w:val="en-AU"/>
        </w:rPr>
        <w:t>,</w:t>
      </w:r>
      <w:r w:rsidRPr="002A2167">
        <w:rPr>
          <w:lang w:val="en-AU"/>
        </w:rPr>
        <w:t xml:space="preserve"> changes to truck weights and volumes and other logistical advances into the future</w:t>
      </w:r>
    </w:p>
    <w:p w:rsidR="00D41888" w:rsidRPr="002A2167" w:rsidRDefault="00D41888" w:rsidP="00FE6C74">
      <w:pPr>
        <w:pStyle w:val="btbullet"/>
        <w:rPr>
          <w:lang w:val="en-AU"/>
        </w:rPr>
      </w:pPr>
      <w:r w:rsidRPr="002A2167">
        <w:rPr>
          <w:lang w:val="en-AU"/>
        </w:rPr>
        <w:t xml:space="preserve">Incorporate this </w:t>
      </w:r>
      <w:r w:rsidR="003E46BD" w:rsidRPr="002A2167">
        <w:rPr>
          <w:lang w:val="en-AU"/>
        </w:rPr>
        <w:t>p</w:t>
      </w:r>
      <w:r w:rsidRPr="002A2167">
        <w:rPr>
          <w:lang w:val="en-AU"/>
        </w:rPr>
        <w:t xml:space="preserve">lan’s </w:t>
      </w:r>
      <w:r w:rsidR="003E46BD" w:rsidRPr="002A2167">
        <w:rPr>
          <w:lang w:val="en-AU"/>
        </w:rPr>
        <w:t>f</w:t>
      </w:r>
      <w:r w:rsidRPr="002A2167">
        <w:rPr>
          <w:lang w:val="en-AU"/>
        </w:rPr>
        <w:t xml:space="preserve">uture </w:t>
      </w:r>
      <w:r w:rsidR="003E46BD" w:rsidRPr="002A2167">
        <w:rPr>
          <w:lang w:val="en-AU"/>
        </w:rPr>
        <w:t>d</w:t>
      </w:r>
      <w:r w:rsidRPr="002A2167">
        <w:rPr>
          <w:lang w:val="en-AU"/>
        </w:rPr>
        <w:t>irections into local and regional structure</w:t>
      </w:r>
      <w:r w:rsidR="004A33F8" w:rsidRPr="002A2167">
        <w:rPr>
          <w:lang w:val="en-AU"/>
        </w:rPr>
        <w:t xml:space="preserve"> plans and planning schemes</w:t>
      </w:r>
      <w:r w:rsidRPr="002A2167">
        <w:rPr>
          <w:lang w:val="en-AU"/>
        </w:rPr>
        <w:t xml:space="preserve"> to ensure infrastructure keeps pace with changes in demography, land use and with economic and social development</w:t>
      </w:r>
    </w:p>
    <w:p w:rsidR="00D41888" w:rsidRPr="002A2167" w:rsidRDefault="00D41888" w:rsidP="00FE6C74">
      <w:pPr>
        <w:pStyle w:val="btbullet"/>
        <w:rPr>
          <w:lang w:val="en-AU"/>
        </w:rPr>
      </w:pPr>
      <w:r w:rsidRPr="002A2167">
        <w:rPr>
          <w:lang w:val="en-AU"/>
        </w:rPr>
        <w:t>Set aside land to provide corridors for future strategic road and rail linkages using zoning and overlays</w:t>
      </w:r>
    </w:p>
    <w:p w:rsidR="00D41888" w:rsidRPr="002A2167" w:rsidRDefault="00D41888" w:rsidP="00FE6C74">
      <w:pPr>
        <w:pStyle w:val="btbullet"/>
        <w:rPr>
          <w:lang w:val="en-AU"/>
        </w:rPr>
      </w:pPr>
      <w:r w:rsidRPr="002A2167">
        <w:rPr>
          <w:lang w:val="en-AU"/>
        </w:rPr>
        <w:t>Maximise the strategic position of the transport network to encourage settlement and economic growth along existing transport routes</w:t>
      </w:r>
    </w:p>
    <w:p w:rsidR="00D41888" w:rsidRPr="002A2167" w:rsidRDefault="00FD1717" w:rsidP="00FE6C74">
      <w:pPr>
        <w:pStyle w:val="btbullet"/>
        <w:rPr>
          <w:lang w:val="en-AU"/>
        </w:rPr>
      </w:pPr>
      <w:r w:rsidRPr="002A2167">
        <w:rPr>
          <w:lang w:val="en-AU"/>
        </w:rPr>
        <w:t>S</w:t>
      </w:r>
      <w:r w:rsidR="00D41888" w:rsidRPr="002A2167">
        <w:rPr>
          <w:lang w:val="en-AU"/>
        </w:rPr>
        <w:t>upport infrastructure projects to assist in managing growth</w:t>
      </w:r>
    </w:p>
    <w:p w:rsidR="00D81C28" w:rsidRPr="002A2167" w:rsidRDefault="0052071E">
      <w:pPr>
        <w:pStyle w:val="btbullet"/>
        <w:shd w:val="clear" w:color="auto" w:fill="FFFFFF" w:themeFill="background1"/>
        <w:rPr>
          <w:lang w:val="en-AU"/>
        </w:rPr>
      </w:pPr>
      <w:r w:rsidRPr="002A2167">
        <w:rPr>
          <w:lang w:val="en-AU"/>
        </w:rPr>
        <w:t>Support freight and logistics precincts,</w:t>
      </w:r>
      <w:r w:rsidR="008F0961" w:rsidRPr="002A2167">
        <w:rPr>
          <w:lang w:val="en-AU"/>
        </w:rPr>
        <w:t xml:space="preserve"> as part of</w:t>
      </w:r>
      <w:r w:rsidRPr="002A2167">
        <w:rPr>
          <w:lang w:val="en-AU"/>
        </w:rPr>
        <w:t xml:space="preserve"> road and rail freight transport networks, with the capacity to grow and adapt to changing needs</w:t>
      </w:r>
    </w:p>
    <w:p w:rsidR="00D41888" w:rsidRPr="002A2167" w:rsidRDefault="00D41888" w:rsidP="00FE6C74">
      <w:pPr>
        <w:pStyle w:val="btbullet"/>
        <w:rPr>
          <w:lang w:val="en-AU"/>
        </w:rPr>
      </w:pPr>
      <w:r w:rsidRPr="002A2167">
        <w:rPr>
          <w:lang w:val="en-AU"/>
        </w:rPr>
        <w:t>Encourage and support the capacity and functioning of the transport network</w:t>
      </w:r>
    </w:p>
    <w:p w:rsidR="00D41888" w:rsidRPr="002A2167" w:rsidRDefault="00D41888" w:rsidP="00FE6C74">
      <w:pPr>
        <w:pStyle w:val="Heading2"/>
        <w:rPr>
          <w:lang w:val="en-AU"/>
        </w:rPr>
      </w:pPr>
      <w:bookmarkStart w:id="97" w:name="_Toc358305068"/>
      <w:bookmarkStart w:id="98" w:name="_Toc358363417"/>
      <w:bookmarkStart w:id="99" w:name="_Toc358363557"/>
      <w:bookmarkStart w:id="100" w:name="_Toc358363697"/>
      <w:bookmarkStart w:id="101" w:name="_Toc358363995"/>
      <w:bookmarkStart w:id="102" w:name="_Toc377031468"/>
      <w:bookmarkEnd w:id="97"/>
      <w:bookmarkEnd w:id="98"/>
      <w:bookmarkEnd w:id="99"/>
      <w:bookmarkEnd w:id="100"/>
      <w:bookmarkEnd w:id="101"/>
      <w:r w:rsidRPr="002A2167">
        <w:rPr>
          <w:lang w:val="en-AU"/>
        </w:rPr>
        <w:t xml:space="preserve">Social </w:t>
      </w:r>
      <w:r w:rsidR="003E46BD" w:rsidRPr="002A2167">
        <w:rPr>
          <w:lang w:val="en-AU"/>
        </w:rPr>
        <w:t>i</w:t>
      </w:r>
      <w:r w:rsidRPr="002A2167">
        <w:rPr>
          <w:lang w:val="en-AU"/>
        </w:rPr>
        <w:t>nfrastructure</w:t>
      </w:r>
      <w:bookmarkEnd w:id="102"/>
    </w:p>
    <w:p w:rsidR="00D41888" w:rsidRPr="002A2167" w:rsidRDefault="00D41888" w:rsidP="00D41888">
      <w:pPr>
        <w:pStyle w:val="bt"/>
        <w:rPr>
          <w:lang w:val="en-AU"/>
        </w:rPr>
      </w:pPr>
      <w:r w:rsidRPr="002A2167">
        <w:rPr>
          <w:lang w:val="en-AU"/>
        </w:rPr>
        <w:t>Social infrastructure includes community</w:t>
      </w:r>
      <w:r w:rsidR="001A5B99" w:rsidRPr="002A2167">
        <w:rPr>
          <w:lang w:val="en-AU"/>
        </w:rPr>
        <w:t xml:space="preserve"> and cultural</w:t>
      </w:r>
      <w:r w:rsidRPr="002A2167">
        <w:rPr>
          <w:lang w:val="en-AU"/>
        </w:rPr>
        <w:t xml:space="preserve"> facilities, services and networks that help communities to meet their social needs and max</w:t>
      </w:r>
      <w:r w:rsidR="007B74EA" w:rsidRPr="002A2167">
        <w:rPr>
          <w:lang w:val="en-AU"/>
        </w:rPr>
        <w:t>imise their potential</w:t>
      </w:r>
      <w:r w:rsidRPr="002A2167">
        <w:rPr>
          <w:lang w:val="en-AU"/>
        </w:rPr>
        <w:t xml:space="preserve">. Provision of high quality social facilities and living environments that meet education, healthcare and </w:t>
      </w:r>
      <w:r w:rsidR="00C14963">
        <w:rPr>
          <w:lang w:val="en-AU"/>
        </w:rPr>
        <w:t>lifestyle</w:t>
      </w:r>
      <w:r w:rsidR="00C14963" w:rsidRPr="002A2167">
        <w:rPr>
          <w:lang w:val="en-AU"/>
        </w:rPr>
        <w:t xml:space="preserve"> </w:t>
      </w:r>
      <w:r w:rsidRPr="002A2167">
        <w:rPr>
          <w:lang w:val="en-AU"/>
        </w:rPr>
        <w:t>needs will support res</w:t>
      </w:r>
      <w:r w:rsidR="007B74EA" w:rsidRPr="002A2167">
        <w:rPr>
          <w:lang w:val="en-AU"/>
        </w:rPr>
        <w:t>ilient and liveable communities and tourism.</w:t>
      </w:r>
    </w:p>
    <w:p w:rsidR="00D41888" w:rsidRPr="002A2167" w:rsidRDefault="00D41888" w:rsidP="00D41888">
      <w:pPr>
        <w:pStyle w:val="bt"/>
        <w:rPr>
          <w:lang w:val="en-AU"/>
        </w:rPr>
      </w:pPr>
      <w:r w:rsidRPr="002A2167">
        <w:rPr>
          <w:lang w:val="en-AU"/>
        </w:rPr>
        <w:t xml:space="preserve">Integrating land use and infrastructure planning is important </w:t>
      </w:r>
      <w:r w:rsidR="00821DE4" w:rsidRPr="002A2167">
        <w:rPr>
          <w:lang w:val="en-AU"/>
        </w:rPr>
        <w:t>for</w:t>
      </w:r>
      <w:r w:rsidRPr="002A2167">
        <w:rPr>
          <w:lang w:val="en-AU"/>
        </w:rPr>
        <w:t xml:space="preserve"> building strong</w:t>
      </w:r>
      <w:r w:rsidR="004127B0" w:rsidRPr="002A2167">
        <w:rPr>
          <w:lang w:val="en-AU"/>
        </w:rPr>
        <w:t>, healthy</w:t>
      </w:r>
      <w:r w:rsidRPr="002A2167">
        <w:rPr>
          <w:lang w:val="en-AU"/>
        </w:rPr>
        <w:t xml:space="preserve"> communities</w:t>
      </w:r>
      <w:r w:rsidR="00821DE4" w:rsidRPr="002A2167">
        <w:rPr>
          <w:lang w:val="en-AU"/>
        </w:rPr>
        <w:t xml:space="preserve"> and addressing disadvantage</w:t>
      </w:r>
      <w:r w:rsidRPr="002A2167">
        <w:rPr>
          <w:lang w:val="en-AU"/>
        </w:rPr>
        <w:t xml:space="preserve">. It will be necessary as the region grows to make best use of existing infrastructure capacity and ensure new infrastructure and services are strategically planned and developed in a timely manner.  </w:t>
      </w:r>
    </w:p>
    <w:p w:rsidR="00D41888" w:rsidRPr="002A2167" w:rsidRDefault="00D41888" w:rsidP="00D41888">
      <w:pPr>
        <w:pStyle w:val="bt"/>
        <w:rPr>
          <w:lang w:val="en-AU"/>
        </w:rPr>
      </w:pPr>
      <w:r w:rsidRPr="002A2167">
        <w:rPr>
          <w:lang w:val="en-AU"/>
        </w:rPr>
        <w:lastRenderedPageBreak/>
        <w:t>Community liveability includes a number of interrelated elements, including safety, provision of health services, education services, mobility</w:t>
      </w:r>
      <w:r w:rsidR="00821DE4" w:rsidRPr="002A2167">
        <w:rPr>
          <w:lang w:val="en-AU"/>
        </w:rPr>
        <w:t>,</w:t>
      </w:r>
      <w:r w:rsidRPr="002A2167">
        <w:rPr>
          <w:lang w:val="en-AU"/>
        </w:rPr>
        <w:t xml:space="preserve"> accessibility and a ‘sense of place’. Community liveability is a concept that relates to the unique combinations of these assets, the provision of services and the ways in which they make a positive contribution to the community’s quality of life.</w:t>
      </w:r>
    </w:p>
    <w:p w:rsidR="00D41888" w:rsidRPr="002A2167" w:rsidRDefault="00D41888" w:rsidP="00D41888">
      <w:pPr>
        <w:pStyle w:val="bt"/>
        <w:rPr>
          <w:lang w:val="en-AU"/>
        </w:rPr>
      </w:pPr>
      <w:r w:rsidRPr="002A2167">
        <w:rPr>
          <w:lang w:val="en-AU"/>
        </w:rPr>
        <w:t xml:space="preserve">It will be necessary to consider the different growth projections of settlements in the region and the importance of social infrastructure </w:t>
      </w:r>
      <w:r w:rsidR="00821DE4" w:rsidRPr="002A2167">
        <w:rPr>
          <w:lang w:val="en-AU"/>
        </w:rPr>
        <w:t>for</w:t>
      </w:r>
      <w:r w:rsidRPr="002A2167">
        <w:rPr>
          <w:lang w:val="en-AU"/>
        </w:rPr>
        <w:t xml:space="preserve"> retaining and attracting workers and new residents</w:t>
      </w:r>
      <w:r w:rsidR="00821DE4" w:rsidRPr="002A2167">
        <w:rPr>
          <w:lang w:val="en-AU"/>
        </w:rPr>
        <w:t>. It will also be important to</w:t>
      </w:r>
      <w:r w:rsidR="006B3468" w:rsidRPr="002A2167">
        <w:rPr>
          <w:lang w:val="en-AU"/>
        </w:rPr>
        <w:t xml:space="preserve"> </w:t>
      </w:r>
      <w:r w:rsidR="00821DE4" w:rsidRPr="002A2167">
        <w:rPr>
          <w:lang w:val="en-AU"/>
        </w:rPr>
        <w:t>ensure</w:t>
      </w:r>
      <w:r w:rsidRPr="002A2167">
        <w:rPr>
          <w:lang w:val="en-AU"/>
        </w:rPr>
        <w:t xml:space="preserve"> </w:t>
      </w:r>
      <w:r w:rsidR="006B3468" w:rsidRPr="002A2167">
        <w:rPr>
          <w:lang w:val="en-AU"/>
        </w:rPr>
        <w:t xml:space="preserve">that </w:t>
      </w:r>
      <w:r w:rsidRPr="002A2167">
        <w:rPr>
          <w:lang w:val="en-AU"/>
        </w:rPr>
        <w:t>new infrastructure and services are strategically planned and developed in a timely manner.</w:t>
      </w:r>
    </w:p>
    <w:p w:rsidR="00D41888" w:rsidRPr="002A2167" w:rsidRDefault="006D0323" w:rsidP="00D41888">
      <w:pPr>
        <w:pStyle w:val="bt"/>
        <w:rPr>
          <w:lang w:val="en-AU"/>
        </w:rPr>
      </w:pPr>
      <w:r w:rsidRPr="002A2167">
        <w:rPr>
          <w:lang w:val="en-AU"/>
        </w:rPr>
        <w:t>C</w:t>
      </w:r>
      <w:r w:rsidR="00D41888" w:rsidRPr="002A2167">
        <w:rPr>
          <w:lang w:val="en-AU"/>
        </w:rPr>
        <w:t>hallenges for the provision of social infrastructure include:</w:t>
      </w:r>
    </w:p>
    <w:p w:rsidR="00D41888" w:rsidRPr="002A2167" w:rsidRDefault="00821DE4" w:rsidP="00FE6C74">
      <w:pPr>
        <w:pStyle w:val="btbullet"/>
        <w:rPr>
          <w:lang w:val="en-AU"/>
        </w:rPr>
      </w:pPr>
      <w:r w:rsidRPr="002A2167">
        <w:rPr>
          <w:lang w:val="en-AU"/>
        </w:rPr>
        <w:t>c</w:t>
      </w:r>
      <w:r w:rsidR="00D41888" w:rsidRPr="002A2167">
        <w:rPr>
          <w:lang w:val="en-AU"/>
        </w:rPr>
        <w:t>hanging demands for facilities and services as a result of population decrease and ageing</w:t>
      </w:r>
    </w:p>
    <w:p w:rsidR="00D41888" w:rsidRPr="002A2167" w:rsidRDefault="00821DE4" w:rsidP="00FE6C74">
      <w:pPr>
        <w:pStyle w:val="btbullet"/>
        <w:rPr>
          <w:lang w:val="en-AU"/>
        </w:rPr>
      </w:pPr>
      <w:r w:rsidRPr="002A2167">
        <w:rPr>
          <w:lang w:val="en-AU"/>
        </w:rPr>
        <w:t>p</w:t>
      </w:r>
      <w:r w:rsidR="00D41888" w:rsidRPr="002A2167">
        <w:rPr>
          <w:lang w:val="en-AU"/>
        </w:rPr>
        <w:t>rovi</w:t>
      </w:r>
      <w:r w:rsidR="006B3468" w:rsidRPr="002A2167">
        <w:rPr>
          <w:lang w:val="en-AU"/>
        </w:rPr>
        <w:t>ding</w:t>
      </w:r>
      <w:r w:rsidR="00D41888" w:rsidRPr="002A2167">
        <w:rPr>
          <w:lang w:val="en-AU"/>
        </w:rPr>
        <w:t xml:space="preserve"> an appropriate mix of housing types located close to public transport, commercial centres, community </w:t>
      </w:r>
      <w:r w:rsidR="001A5B99" w:rsidRPr="002A2167">
        <w:rPr>
          <w:lang w:val="en-AU"/>
        </w:rPr>
        <w:t xml:space="preserve">and cultural </w:t>
      </w:r>
      <w:r w:rsidR="00D41888" w:rsidRPr="002A2167">
        <w:rPr>
          <w:lang w:val="en-AU"/>
        </w:rPr>
        <w:t>facilities and entertainment</w:t>
      </w:r>
    </w:p>
    <w:p w:rsidR="0001459D" w:rsidRPr="002A2167" w:rsidRDefault="00821DE4" w:rsidP="00FE6C74">
      <w:pPr>
        <w:pStyle w:val="btbullet"/>
        <w:rPr>
          <w:lang w:val="en-AU"/>
        </w:rPr>
      </w:pPr>
      <w:r w:rsidRPr="002A2167">
        <w:rPr>
          <w:lang w:val="en-AU"/>
        </w:rPr>
        <w:t>l</w:t>
      </w:r>
      <w:r w:rsidR="00D41888" w:rsidRPr="002A2167">
        <w:rPr>
          <w:lang w:val="en-AU"/>
        </w:rPr>
        <w:t>ong distances to access or deliver services</w:t>
      </w:r>
    </w:p>
    <w:p w:rsidR="00D41888" w:rsidRPr="002A2167" w:rsidRDefault="00821DE4" w:rsidP="00FE6C74">
      <w:pPr>
        <w:pStyle w:val="btbullet"/>
        <w:rPr>
          <w:lang w:val="en-AU"/>
        </w:rPr>
      </w:pPr>
      <w:proofErr w:type="gramStart"/>
      <w:r w:rsidRPr="002A2167">
        <w:rPr>
          <w:lang w:val="en-AU"/>
        </w:rPr>
        <w:t>e</w:t>
      </w:r>
      <w:r w:rsidR="0001459D" w:rsidRPr="002A2167">
        <w:rPr>
          <w:lang w:val="en-AU"/>
        </w:rPr>
        <w:t>nhancing</w:t>
      </w:r>
      <w:proofErr w:type="gramEnd"/>
      <w:r w:rsidR="0001459D" w:rsidRPr="002A2167">
        <w:rPr>
          <w:lang w:val="en-AU"/>
        </w:rPr>
        <w:t xml:space="preserve"> liveability for locals and visitors</w:t>
      </w:r>
      <w:r w:rsidR="00D41888" w:rsidRPr="002A2167">
        <w:rPr>
          <w:lang w:val="en-AU"/>
        </w:rPr>
        <w:t>.</w:t>
      </w:r>
    </w:p>
    <w:p w:rsidR="00D41888" w:rsidRPr="002A2167" w:rsidRDefault="00D41888" w:rsidP="00933BAB">
      <w:pPr>
        <w:pStyle w:val="Heading3"/>
        <w:rPr>
          <w:lang w:val="en-AU"/>
        </w:rPr>
      </w:pPr>
      <w:r w:rsidRPr="002A2167">
        <w:rPr>
          <w:lang w:val="en-AU"/>
        </w:rPr>
        <w:t>Education and skills</w:t>
      </w:r>
    </w:p>
    <w:p w:rsidR="001D10DF" w:rsidRPr="002A2167" w:rsidRDefault="00D41888" w:rsidP="00D41888">
      <w:pPr>
        <w:pStyle w:val="bt"/>
        <w:rPr>
          <w:lang w:val="en-AU"/>
        </w:rPr>
      </w:pPr>
      <w:r w:rsidRPr="002A2167">
        <w:rPr>
          <w:lang w:val="en-AU"/>
        </w:rPr>
        <w:t xml:space="preserve">Education and a skilled workforce </w:t>
      </w:r>
      <w:r w:rsidR="006D0323" w:rsidRPr="002A2167">
        <w:rPr>
          <w:lang w:val="en-AU"/>
        </w:rPr>
        <w:t>are</w:t>
      </w:r>
      <w:r w:rsidRPr="002A2167">
        <w:rPr>
          <w:lang w:val="en-AU"/>
        </w:rPr>
        <w:t xml:space="preserve"> key component</w:t>
      </w:r>
      <w:r w:rsidR="006D0323" w:rsidRPr="002A2167">
        <w:rPr>
          <w:lang w:val="en-AU"/>
        </w:rPr>
        <w:t>s</w:t>
      </w:r>
      <w:r w:rsidRPr="002A2167">
        <w:rPr>
          <w:lang w:val="en-AU"/>
        </w:rPr>
        <w:t xml:space="preserve"> of the region’s future develo</w:t>
      </w:r>
      <w:r w:rsidR="00266B9D" w:rsidRPr="002A2167">
        <w:rPr>
          <w:lang w:val="en-AU"/>
        </w:rPr>
        <w:t>pment. The r</w:t>
      </w:r>
      <w:r w:rsidRPr="002A2167">
        <w:rPr>
          <w:lang w:val="en-AU"/>
        </w:rPr>
        <w:t xml:space="preserve">egion currently experiences skills shortages in the health, education, construction and manufacturing industries. Equitable access to education services from early childhood through to vocational and tertiary is not available across the region and is compounded by poor public transport. </w:t>
      </w:r>
    </w:p>
    <w:p w:rsidR="00D41888" w:rsidRPr="002A2167" w:rsidRDefault="00D41888" w:rsidP="00D41888">
      <w:pPr>
        <w:pStyle w:val="bt"/>
        <w:rPr>
          <w:lang w:val="en-AU"/>
        </w:rPr>
      </w:pPr>
      <w:r w:rsidRPr="002A2167">
        <w:rPr>
          <w:lang w:val="en-AU"/>
        </w:rPr>
        <w:t xml:space="preserve">The region experiences significant youth migration </w:t>
      </w:r>
      <w:r w:rsidR="006B3468" w:rsidRPr="002A2167">
        <w:rPr>
          <w:lang w:val="en-AU"/>
        </w:rPr>
        <w:t xml:space="preserve">to </w:t>
      </w:r>
      <w:r w:rsidRPr="002A2167">
        <w:rPr>
          <w:lang w:val="en-AU"/>
        </w:rPr>
        <w:t>regional and capital cities</w:t>
      </w:r>
      <w:r w:rsidR="006B3468" w:rsidRPr="002A2167">
        <w:rPr>
          <w:lang w:val="en-AU"/>
        </w:rPr>
        <w:t xml:space="preserve"> for tertiary and vocational education</w:t>
      </w:r>
      <w:r w:rsidRPr="002A2167">
        <w:rPr>
          <w:lang w:val="en-AU"/>
        </w:rPr>
        <w:t xml:space="preserve">. There are pockets of significant and complex disadvantage in the region and education is critical </w:t>
      </w:r>
      <w:r w:rsidR="00F9589C" w:rsidRPr="002A2167">
        <w:rPr>
          <w:lang w:val="en-AU"/>
        </w:rPr>
        <w:t>for</w:t>
      </w:r>
      <w:r w:rsidRPr="002A2167">
        <w:rPr>
          <w:lang w:val="en-AU"/>
        </w:rPr>
        <w:t xml:space="preserve"> improving </w:t>
      </w:r>
      <w:r w:rsidR="00F9589C" w:rsidRPr="002A2167">
        <w:rPr>
          <w:lang w:val="en-AU"/>
        </w:rPr>
        <w:t>people’s</w:t>
      </w:r>
      <w:r w:rsidRPr="002A2167">
        <w:rPr>
          <w:lang w:val="en-AU"/>
        </w:rPr>
        <w:t xml:space="preserve"> life outcomes.</w:t>
      </w:r>
    </w:p>
    <w:p w:rsidR="00D41888" w:rsidRPr="002A2167" w:rsidRDefault="00D41888" w:rsidP="00D41888">
      <w:pPr>
        <w:pStyle w:val="bt"/>
        <w:rPr>
          <w:lang w:val="en-AU"/>
        </w:rPr>
      </w:pPr>
      <w:r w:rsidRPr="002A2167">
        <w:rPr>
          <w:lang w:val="en-AU"/>
        </w:rPr>
        <w:t xml:space="preserve">Increasing educational attainment and skills development within the region will help to address skills shortages, support diversification of the economy and address disadvantage. </w:t>
      </w:r>
    </w:p>
    <w:p w:rsidR="00D41888" w:rsidRPr="002A2167" w:rsidRDefault="00D41888" w:rsidP="00933BAB">
      <w:pPr>
        <w:pStyle w:val="Heading3"/>
        <w:rPr>
          <w:lang w:val="en-AU"/>
        </w:rPr>
      </w:pPr>
      <w:r w:rsidRPr="002A2167">
        <w:rPr>
          <w:lang w:val="en-AU"/>
        </w:rPr>
        <w:t>Planning for health</w:t>
      </w:r>
    </w:p>
    <w:p w:rsidR="00BF5745" w:rsidRPr="002A2167" w:rsidRDefault="006D0323" w:rsidP="00D41888">
      <w:pPr>
        <w:pStyle w:val="bt"/>
        <w:rPr>
          <w:lang w:val="en-AU"/>
        </w:rPr>
      </w:pPr>
      <w:r w:rsidRPr="002A2167">
        <w:rPr>
          <w:lang w:val="en-AU"/>
        </w:rPr>
        <w:t>B</w:t>
      </w:r>
      <w:r w:rsidR="00D41888" w:rsidRPr="002A2167">
        <w:rPr>
          <w:lang w:val="en-AU"/>
        </w:rPr>
        <w:t>uilt form, economic and social infrastructure</w:t>
      </w:r>
      <w:r w:rsidRPr="002A2167">
        <w:rPr>
          <w:lang w:val="en-AU"/>
        </w:rPr>
        <w:t>,</w:t>
      </w:r>
      <w:r w:rsidR="00D41888" w:rsidRPr="002A2167">
        <w:rPr>
          <w:lang w:val="en-AU"/>
        </w:rPr>
        <w:t xml:space="preserve"> and </w:t>
      </w:r>
      <w:r w:rsidR="00F9589C" w:rsidRPr="002A2167">
        <w:rPr>
          <w:lang w:val="en-AU"/>
        </w:rPr>
        <w:t xml:space="preserve">the </w:t>
      </w:r>
      <w:r w:rsidR="00D41888" w:rsidRPr="002A2167">
        <w:rPr>
          <w:lang w:val="en-AU"/>
        </w:rPr>
        <w:t xml:space="preserve">natural environment </w:t>
      </w:r>
      <w:r w:rsidRPr="002A2167">
        <w:rPr>
          <w:lang w:val="en-AU"/>
        </w:rPr>
        <w:t>can impact on the health of individuals and communities</w:t>
      </w:r>
      <w:r w:rsidR="00D41888" w:rsidRPr="002A2167">
        <w:rPr>
          <w:lang w:val="en-AU"/>
        </w:rPr>
        <w:t xml:space="preserve">. A particular issue for </w:t>
      </w:r>
      <w:r w:rsidR="006131FF" w:rsidRPr="002A2167">
        <w:rPr>
          <w:lang w:val="en-AU"/>
        </w:rPr>
        <w:t>the region</w:t>
      </w:r>
      <w:r w:rsidR="00D41888" w:rsidRPr="002A2167">
        <w:rPr>
          <w:lang w:val="en-AU"/>
        </w:rPr>
        <w:t xml:space="preserve"> is how to expand health services in the few centres with growing populations, while at the same time maintaining services in the many small or remote settlements and rural areas with steady or decreasing populations</w:t>
      </w:r>
      <w:r w:rsidR="00BF5745" w:rsidRPr="002A2167">
        <w:rPr>
          <w:lang w:val="en-AU"/>
        </w:rPr>
        <w:t xml:space="preserve"> and an ageing demographic</w:t>
      </w:r>
      <w:r w:rsidR="006131FF" w:rsidRPr="002A2167">
        <w:rPr>
          <w:lang w:val="en-AU"/>
        </w:rPr>
        <w:t xml:space="preserve"> profile</w:t>
      </w:r>
      <w:r w:rsidR="00D41888" w:rsidRPr="002A2167">
        <w:rPr>
          <w:lang w:val="en-AU"/>
        </w:rPr>
        <w:t>.</w:t>
      </w:r>
    </w:p>
    <w:p w:rsidR="00C61075" w:rsidRPr="002A2167" w:rsidRDefault="00D41888" w:rsidP="00D41888">
      <w:pPr>
        <w:pStyle w:val="bt"/>
        <w:rPr>
          <w:lang w:val="en-AU"/>
        </w:rPr>
      </w:pPr>
      <w:r w:rsidRPr="002A2167">
        <w:rPr>
          <w:lang w:val="en-AU"/>
        </w:rPr>
        <w:t xml:space="preserve">Mildura provides high level health services for the Mallee and Eastern Mallee communities. </w:t>
      </w:r>
      <w:r w:rsidR="001A5B99" w:rsidRPr="002A2167">
        <w:rPr>
          <w:lang w:val="en-AU"/>
        </w:rPr>
        <w:t>For the communities of Campaspe and Ga</w:t>
      </w:r>
      <w:r w:rsidR="00C64B0E" w:rsidRPr="002A2167">
        <w:rPr>
          <w:lang w:val="en-AU"/>
        </w:rPr>
        <w:t>n</w:t>
      </w:r>
      <w:r w:rsidR="001A5B99" w:rsidRPr="002A2167">
        <w:rPr>
          <w:lang w:val="en-AU"/>
        </w:rPr>
        <w:t xml:space="preserve">nawarra the redevelopment of the Echuca Regional Hospital will provide upgraded healthcare facilities. </w:t>
      </w:r>
      <w:r w:rsidRPr="002A2167">
        <w:rPr>
          <w:lang w:val="en-AU"/>
        </w:rPr>
        <w:t xml:space="preserve">Access to high level services for other settlements is provided in centres outside the region including Ballarat, Bendigo and Shepparton. </w:t>
      </w:r>
      <w:r w:rsidR="005267CC" w:rsidRPr="002A2167">
        <w:rPr>
          <w:lang w:val="en-AU"/>
        </w:rPr>
        <w:t xml:space="preserve">Health services are dispersed across the region providing a mix of services. However, there is uncertainty about the long-term viability of maintaining some of these services for decreasing populations. </w:t>
      </w:r>
      <w:r w:rsidR="00DE726B" w:rsidRPr="002A2167">
        <w:rPr>
          <w:lang w:val="en-AU"/>
        </w:rPr>
        <w:t>Planning to meet</w:t>
      </w:r>
      <w:r w:rsidR="00D667D1" w:rsidRPr="002A2167">
        <w:rPr>
          <w:lang w:val="en-AU"/>
        </w:rPr>
        <w:t xml:space="preserve"> the health needs of an ageing demographic </w:t>
      </w:r>
      <w:r w:rsidR="00DE726B" w:rsidRPr="002A2167">
        <w:rPr>
          <w:lang w:val="en-AU"/>
        </w:rPr>
        <w:t>in towns and rural settlements with decreasing populations is a significant challenge.</w:t>
      </w:r>
    </w:p>
    <w:p w:rsidR="00D41888" w:rsidRPr="002A2167" w:rsidRDefault="00D41888" w:rsidP="00D41888">
      <w:pPr>
        <w:pStyle w:val="bt"/>
        <w:rPr>
          <w:lang w:val="en-AU"/>
        </w:rPr>
      </w:pPr>
      <w:r w:rsidRPr="002A2167">
        <w:rPr>
          <w:lang w:val="en-AU"/>
        </w:rPr>
        <w:t>Other challenges impacting on the overall health of the community are</w:t>
      </w:r>
      <w:r w:rsidR="00F9589C" w:rsidRPr="002A2167">
        <w:rPr>
          <w:lang w:val="en-AU"/>
        </w:rPr>
        <w:t xml:space="preserve"> the</w:t>
      </w:r>
      <w:r w:rsidR="006131FF" w:rsidRPr="002A2167">
        <w:rPr>
          <w:lang w:val="en-AU"/>
        </w:rPr>
        <w:t xml:space="preserve"> </w:t>
      </w:r>
      <w:r w:rsidRPr="002A2167">
        <w:rPr>
          <w:lang w:val="en-AU"/>
        </w:rPr>
        <w:t xml:space="preserve">provision of quality affordable housing, </w:t>
      </w:r>
      <w:r w:rsidR="00F9589C" w:rsidRPr="002A2167">
        <w:rPr>
          <w:lang w:val="en-AU"/>
        </w:rPr>
        <w:t xml:space="preserve">the provision of </w:t>
      </w:r>
      <w:r w:rsidRPr="002A2167">
        <w:rPr>
          <w:lang w:val="en-AU"/>
        </w:rPr>
        <w:t>public and emergency housing</w:t>
      </w:r>
      <w:r w:rsidR="00F9589C" w:rsidRPr="002A2167">
        <w:rPr>
          <w:lang w:val="en-AU"/>
        </w:rPr>
        <w:t>,</w:t>
      </w:r>
      <w:r w:rsidRPr="002A2167">
        <w:rPr>
          <w:lang w:val="en-AU"/>
        </w:rPr>
        <w:t xml:space="preserve"> access to training and employment opportunities</w:t>
      </w:r>
      <w:r w:rsidR="00F9589C" w:rsidRPr="002A2167">
        <w:rPr>
          <w:lang w:val="en-AU"/>
        </w:rPr>
        <w:t>, the</w:t>
      </w:r>
      <w:r w:rsidRPr="002A2167">
        <w:rPr>
          <w:lang w:val="en-AU"/>
        </w:rPr>
        <w:t xml:space="preserve"> lack of public transport and reliance on the car.</w:t>
      </w:r>
    </w:p>
    <w:p w:rsidR="00D41888" w:rsidRPr="002A2167" w:rsidRDefault="00D41888" w:rsidP="00D41888">
      <w:pPr>
        <w:pStyle w:val="bt"/>
        <w:rPr>
          <w:lang w:val="en-AU"/>
        </w:rPr>
      </w:pPr>
      <w:r w:rsidRPr="002A2167">
        <w:rPr>
          <w:lang w:val="en-AU"/>
        </w:rPr>
        <w:t>Land use planning can improve community health outcomes by</w:t>
      </w:r>
      <w:r w:rsidR="003E46BD" w:rsidRPr="002A2167">
        <w:rPr>
          <w:lang w:val="en-AU"/>
        </w:rPr>
        <w:t>:</w:t>
      </w:r>
      <w:r w:rsidRPr="002A2167">
        <w:rPr>
          <w:lang w:val="en-AU"/>
        </w:rPr>
        <w:t xml:space="preserve"> </w:t>
      </w:r>
    </w:p>
    <w:p w:rsidR="00D41888" w:rsidRPr="002A2167" w:rsidRDefault="00F9589C" w:rsidP="00B06ABF">
      <w:pPr>
        <w:pStyle w:val="btbullet"/>
        <w:rPr>
          <w:lang w:val="en-AU"/>
        </w:rPr>
      </w:pPr>
      <w:r w:rsidRPr="002A2167">
        <w:rPr>
          <w:lang w:val="en-AU"/>
        </w:rPr>
        <w:t>r</w:t>
      </w:r>
      <w:r w:rsidR="0001459D" w:rsidRPr="002A2167">
        <w:rPr>
          <w:lang w:val="en-AU"/>
        </w:rPr>
        <w:t xml:space="preserve">ecommending </w:t>
      </w:r>
      <w:r w:rsidR="00D41888" w:rsidRPr="002A2167">
        <w:rPr>
          <w:lang w:val="en-AU"/>
        </w:rPr>
        <w:t xml:space="preserve">infrastructure and services </w:t>
      </w:r>
      <w:r w:rsidR="0001459D" w:rsidRPr="002A2167">
        <w:rPr>
          <w:lang w:val="en-AU"/>
        </w:rPr>
        <w:t xml:space="preserve">that </w:t>
      </w:r>
      <w:r w:rsidR="00D41888" w:rsidRPr="002A2167">
        <w:rPr>
          <w:lang w:val="en-AU"/>
        </w:rPr>
        <w:t xml:space="preserve">are appropriately located </w:t>
      </w:r>
      <w:r w:rsidR="00887259" w:rsidRPr="002A2167">
        <w:rPr>
          <w:lang w:val="en-AU"/>
        </w:rPr>
        <w:t xml:space="preserve">in </w:t>
      </w:r>
      <w:r w:rsidR="00D41888" w:rsidRPr="002A2167">
        <w:rPr>
          <w:lang w:val="en-AU"/>
        </w:rPr>
        <w:t>Loddon Mallee North</w:t>
      </w:r>
    </w:p>
    <w:p w:rsidR="00D41888" w:rsidRPr="002A2167" w:rsidRDefault="00F9589C" w:rsidP="00B06ABF">
      <w:pPr>
        <w:pStyle w:val="btbullet"/>
        <w:rPr>
          <w:lang w:val="en-AU"/>
        </w:rPr>
      </w:pPr>
      <w:r w:rsidRPr="002A2167">
        <w:rPr>
          <w:lang w:val="en-AU"/>
        </w:rPr>
        <w:lastRenderedPageBreak/>
        <w:t>s</w:t>
      </w:r>
      <w:r w:rsidR="00903153" w:rsidRPr="002A2167">
        <w:rPr>
          <w:lang w:val="en-AU"/>
        </w:rPr>
        <w:t>upport</w:t>
      </w:r>
      <w:r w:rsidRPr="002A2167">
        <w:rPr>
          <w:lang w:val="en-AU"/>
        </w:rPr>
        <w:t>ing</w:t>
      </w:r>
      <w:r w:rsidR="00903153" w:rsidRPr="002A2167">
        <w:rPr>
          <w:lang w:val="en-AU"/>
        </w:rPr>
        <w:t xml:space="preserve"> t</w:t>
      </w:r>
      <w:r w:rsidR="00D41888" w:rsidRPr="002A2167">
        <w:rPr>
          <w:lang w:val="en-AU"/>
        </w:rPr>
        <w:t xml:space="preserve">he creation of safe built environments </w:t>
      </w:r>
    </w:p>
    <w:p w:rsidR="00D41888" w:rsidRPr="002A2167" w:rsidRDefault="00F9589C" w:rsidP="00B06ABF">
      <w:pPr>
        <w:pStyle w:val="btbullet"/>
        <w:rPr>
          <w:lang w:val="en-AU"/>
        </w:rPr>
      </w:pPr>
      <w:r w:rsidRPr="002A2167">
        <w:rPr>
          <w:lang w:val="en-AU"/>
        </w:rPr>
        <w:t>e</w:t>
      </w:r>
      <w:r w:rsidR="0014078F" w:rsidRPr="002A2167">
        <w:rPr>
          <w:lang w:val="en-AU"/>
        </w:rPr>
        <w:t>ncouraging appropriate locations for</w:t>
      </w:r>
      <w:r w:rsidR="00D41888" w:rsidRPr="002A2167">
        <w:rPr>
          <w:lang w:val="en-AU"/>
        </w:rPr>
        <w:t xml:space="preserve"> residential development</w:t>
      </w:r>
      <w:r w:rsidR="00903153" w:rsidRPr="002A2167">
        <w:rPr>
          <w:lang w:val="en-AU"/>
        </w:rPr>
        <w:t xml:space="preserve"> and facilit</w:t>
      </w:r>
      <w:r w:rsidR="00B012BD" w:rsidRPr="002A2167">
        <w:rPr>
          <w:lang w:val="en-AU"/>
        </w:rPr>
        <w:t>i</w:t>
      </w:r>
      <w:r w:rsidR="00903153" w:rsidRPr="002A2167">
        <w:rPr>
          <w:lang w:val="en-AU"/>
        </w:rPr>
        <w:t>es for the aged</w:t>
      </w:r>
      <w:r w:rsidR="00D41888" w:rsidRPr="002A2167">
        <w:rPr>
          <w:lang w:val="en-AU"/>
        </w:rPr>
        <w:t xml:space="preserve"> in proximity to services</w:t>
      </w:r>
    </w:p>
    <w:p w:rsidR="00D41888" w:rsidRPr="002A2167" w:rsidRDefault="00F9589C" w:rsidP="00B06ABF">
      <w:pPr>
        <w:pStyle w:val="btbullet"/>
        <w:rPr>
          <w:lang w:val="en-AU"/>
        </w:rPr>
      </w:pPr>
      <w:r w:rsidRPr="002A2167">
        <w:rPr>
          <w:lang w:val="en-AU"/>
        </w:rPr>
        <w:t>i</w:t>
      </w:r>
      <w:r w:rsidR="00D41888" w:rsidRPr="002A2167">
        <w:rPr>
          <w:lang w:val="en-AU"/>
        </w:rPr>
        <w:t>ntegrating new residential devel</w:t>
      </w:r>
      <w:r w:rsidR="00891439" w:rsidRPr="002A2167">
        <w:rPr>
          <w:lang w:val="en-AU"/>
        </w:rPr>
        <w:t>opment with public transport</w:t>
      </w:r>
      <w:r w:rsidR="00D41888" w:rsidRPr="002A2167">
        <w:rPr>
          <w:lang w:val="en-AU"/>
        </w:rPr>
        <w:t xml:space="preserve"> </w:t>
      </w:r>
      <w:r w:rsidR="00891439" w:rsidRPr="002A2167">
        <w:rPr>
          <w:lang w:val="en-AU"/>
        </w:rPr>
        <w:t>and walking and cycling networks to enhance accessibility</w:t>
      </w:r>
    </w:p>
    <w:p w:rsidR="00D41888" w:rsidRPr="002A2167" w:rsidRDefault="00F9589C" w:rsidP="00B06ABF">
      <w:pPr>
        <w:pStyle w:val="btbullet"/>
        <w:rPr>
          <w:lang w:val="en-AU"/>
        </w:rPr>
      </w:pPr>
      <w:r w:rsidRPr="002A2167">
        <w:rPr>
          <w:lang w:val="en-AU"/>
        </w:rPr>
        <w:t>e</w:t>
      </w:r>
      <w:r w:rsidR="00D41888" w:rsidRPr="002A2167">
        <w:rPr>
          <w:lang w:val="en-AU"/>
        </w:rPr>
        <w:t xml:space="preserve">ncouraging new residential development to contribute to greater housing </w:t>
      </w:r>
      <w:r w:rsidR="0014078F" w:rsidRPr="002A2167">
        <w:rPr>
          <w:lang w:val="en-AU"/>
        </w:rPr>
        <w:t xml:space="preserve">affordability, </w:t>
      </w:r>
      <w:r w:rsidR="00D41888" w:rsidRPr="002A2167">
        <w:rPr>
          <w:lang w:val="en-AU"/>
        </w:rPr>
        <w:t>diversity and choice</w:t>
      </w:r>
    </w:p>
    <w:p w:rsidR="00D41888" w:rsidRPr="002A2167" w:rsidRDefault="00F9589C" w:rsidP="00B06ABF">
      <w:pPr>
        <w:pStyle w:val="btbullet"/>
        <w:rPr>
          <w:lang w:val="en-AU"/>
        </w:rPr>
      </w:pPr>
      <w:proofErr w:type="gramStart"/>
      <w:r w:rsidRPr="002A2167">
        <w:rPr>
          <w:lang w:val="en-AU"/>
        </w:rPr>
        <w:t>p</w:t>
      </w:r>
      <w:r w:rsidR="00D41888" w:rsidRPr="002A2167">
        <w:rPr>
          <w:lang w:val="en-AU"/>
        </w:rPr>
        <w:t>lanning</w:t>
      </w:r>
      <w:proofErr w:type="gramEnd"/>
      <w:r w:rsidR="00D41888" w:rsidRPr="002A2167">
        <w:rPr>
          <w:lang w:val="en-AU"/>
        </w:rPr>
        <w:t xml:space="preserve"> for residential development to facilitate healthy lifestyles, community connectedness and social cohesion.</w:t>
      </w:r>
    </w:p>
    <w:p w:rsidR="00D41888" w:rsidRPr="002A2167" w:rsidRDefault="00D41888" w:rsidP="00933BAB">
      <w:pPr>
        <w:pStyle w:val="Heading3"/>
        <w:rPr>
          <w:lang w:val="en-AU"/>
        </w:rPr>
      </w:pPr>
      <w:r w:rsidRPr="002A2167">
        <w:rPr>
          <w:lang w:val="en-AU"/>
        </w:rPr>
        <w:t>Priorities for social infrastructure planning</w:t>
      </w:r>
    </w:p>
    <w:p w:rsidR="00D41888" w:rsidRPr="002A2167" w:rsidRDefault="00D41888" w:rsidP="00A738FF">
      <w:pPr>
        <w:pStyle w:val="bt"/>
        <w:spacing w:before="120" w:after="120"/>
        <w:rPr>
          <w:lang w:val="en-AU"/>
        </w:rPr>
      </w:pPr>
      <w:r w:rsidRPr="002A2167">
        <w:rPr>
          <w:lang w:val="en-AU"/>
        </w:rPr>
        <w:t xml:space="preserve">Social infrastructure planning in </w:t>
      </w:r>
      <w:r w:rsidR="00221346" w:rsidRPr="002A2167">
        <w:rPr>
          <w:lang w:val="en-AU"/>
        </w:rPr>
        <w:t>the</w:t>
      </w:r>
      <w:r w:rsidRPr="002A2167">
        <w:rPr>
          <w:lang w:val="en-AU"/>
        </w:rPr>
        <w:t xml:space="preserve"> </w:t>
      </w:r>
      <w:r w:rsidR="00F9589C" w:rsidRPr="002A2167">
        <w:rPr>
          <w:lang w:val="en-AU"/>
        </w:rPr>
        <w:t xml:space="preserve">region </w:t>
      </w:r>
      <w:r w:rsidRPr="002A2167">
        <w:rPr>
          <w:lang w:val="en-AU"/>
        </w:rPr>
        <w:t>will centr</w:t>
      </w:r>
      <w:r w:rsidR="00A75F7B" w:rsidRPr="002A2167">
        <w:rPr>
          <w:lang w:val="en-AU"/>
        </w:rPr>
        <w:t>e on</w:t>
      </w:r>
      <w:r w:rsidRPr="002A2167">
        <w:rPr>
          <w:lang w:val="en-AU"/>
        </w:rPr>
        <w:t xml:space="preserve"> encouraging:</w:t>
      </w:r>
    </w:p>
    <w:p w:rsidR="00D41888" w:rsidRPr="002A2167" w:rsidRDefault="00F9589C" w:rsidP="00B06ABF">
      <w:pPr>
        <w:pStyle w:val="btbullet"/>
        <w:rPr>
          <w:lang w:val="en-AU"/>
        </w:rPr>
      </w:pPr>
      <w:r w:rsidRPr="002A2167">
        <w:rPr>
          <w:lang w:val="en-AU"/>
        </w:rPr>
        <w:t>b</w:t>
      </w:r>
      <w:r w:rsidR="00D41888" w:rsidRPr="002A2167">
        <w:rPr>
          <w:lang w:val="en-AU"/>
        </w:rPr>
        <w:t>uilding on the higher order services provided in Mildura</w:t>
      </w:r>
    </w:p>
    <w:p w:rsidR="00D41888" w:rsidRPr="002A2167" w:rsidRDefault="00F9589C" w:rsidP="00B06ABF">
      <w:pPr>
        <w:pStyle w:val="btbullet"/>
        <w:rPr>
          <w:lang w:val="en-AU"/>
        </w:rPr>
      </w:pPr>
      <w:r w:rsidRPr="002A2167">
        <w:rPr>
          <w:lang w:val="en-AU"/>
        </w:rPr>
        <w:t>m</w:t>
      </w:r>
      <w:r w:rsidR="00D41888" w:rsidRPr="002A2167">
        <w:rPr>
          <w:lang w:val="en-AU"/>
        </w:rPr>
        <w:t>aintaining services at key locations across the region</w:t>
      </w:r>
    </w:p>
    <w:p w:rsidR="00D41888" w:rsidRPr="002A2167" w:rsidRDefault="00F9589C" w:rsidP="00B06ABF">
      <w:pPr>
        <w:pStyle w:val="btbullet"/>
        <w:rPr>
          <w:lang w:val="en-AU"/>
        </w:rPr>
      </w:pPr>
      <w:proofErr w:type="gramStart"/>
      <w:r w:rsidRPr="002A2167">
        <w:rPr>
          <w:lang w:val="en-AU"/>
        </w:rPr>
        <w:t>a</w:t>
      </w:r>
      <w:r w:rsidR="00D41888" w:rsidRPr="002A2167">
        <w:rPr>
          <w:lang w:val="en-AU"/>
        </w:rPr>
        <w:t>ligning</w:t>
      </w:r>
      <w:proofErr w:type="gramEnd"/>
      <w:r w:rsidR="00D41888" w:rsidRPr="002A2167">
        <w:rPr>
          <w:lang w:val="en-AU"/>
        </w:rPr>
        <w:t xml:space="preserve"> social infrastructure with communities of interest</w:t>
      </w:r>
      <w:r w:rsidR="00221346" w:rsidRPr="002A2167">
        <w:rPr>
          <w:lang w:val="en-AU"/>
        </w:rPr>
        <w:t>.</w:t>
      </w:r>
    </w:p>
    <w:p w:rsidR="00D156F9" w:rsidRDefault="00D41888">
      <w:pPr>
        <w:pStyle w:val="Heading4"/>
      </w:pPr>
      <w:r w:rsidRPr="002A2167">
        <w:t xml:space="preserve">Future </w:t>
      </w:r>
      <w:r w:rsidR="003E46BD" w:rsidRPr="002A2167">
        <w:t>s</w:t>
      </w:r>
      <w:r w:rsidRPr="002A2167">
        <w:t xml:space="preserve">ocial </w:t>
      </w:r>
      <w:r w:rsidR="003E46BD" w:rsidRPr="002A2167">
        <w:t>i</w:t>
      </w:r>
      <w:r w:rsidRPr="002A2167">
        <w:t xml:space="preserve">nfrastructure land use </w:t>
      </w:r>
      <w:r w:rsidR="00B87452" w:rsidRPr="002A2167">
        <w:t xml:space="preserve">strategies </w:t>
      </w:r>
      <w:r w:rsidRPr="002A2167">
        <w:t>and actions</w:t>
      </w:r>
    </w:p>
    <w:p w:rsidR="00D41888" w:rsidRPr="002A2167" w:rsidRDefault="00D41888" w:rsidP="00B06ABF">
      <w:pPr>
        <w:pStyle w:val="btbullet"/>
        <w:rPr>
          <w:lang w:val="en-AU"/>
        </w:rPr>
      </w:pPr>
      <w:r w:rsidRPr="002A2167">
        <w:rPr>
          <w:lang w:val="en-AU"/>
        </w:rPr>
        <w:t xml:space="preserve">Ensure </w:t>
      </w:r>
      <w:r w:rsidR="00F9589C" w:rsidRPr="002A2167">
        <w:rPr>
          <w:lang w:val="en-AU"/>
        </w:rPr>
        <w:t>l</w:t>
      </w:r>
      <w:r w:rsidRPr="002A2167">
        <w:rPr>
          <w:lang w:val="en-AU"/>
        </w:rPr>
        <w:t xml:space="preserve">ocal </w:t>
      </w:r>
      <w:r w:rsidR="00F9589C" w:rsidRPr="002A2167">
        <w:rPr>
          <w:lang w:val="en-AU"/>
        </w:rPr>
        <w:t>p</w:t>
      </w:r>
      <w:r w:rsidRPr="002A2167">
        <w:rPr>
          <w:lang w:val="en-AU"/>
        </w:rPr>
        <w:t xml:space="preserve">lanning </w:t>
      </w:r>
      <w:r w:rsidR="00F9589C" w:rsidRPr="002A2167">
        <w:rPr>
          <w:lang w:val="en-AU"/>
        </w:rPr>
        <w:t>p</w:t>
      </w:r>
      <w:r w:rsidRPr="002A2167">
        <w:rPr>
          <w:lang w:val="en-AU"/>
        </w:rPr>
        <w:t xml:space="preserve">olicy </w:t>
      </w:r>
      <w:r w:rsidR="00F9589C" w:rsidRPr="002A2167">
        <w:rPr>
          <w:lang w:val="en-AU"/>
        </w:rPr>
        <w:t>f</w:t>
      </w:r>
      <w:r w:rsidRPr="002A2167">
        <w:rPr>
          <w:lang w:val="en-AU"/>
        </w:rPr>
        <w:t>rameworks recognise chang</w:t>
      </w:r>
      <w:r w:rsidR="00F9589C" w:rsidRPr="002A2167">
        <w:rPr>
          <w:lang w:val="en-AU"/>
        </w:rPr>
        <w:t>ing</w:t>
      </w:r>
      <w:r w:rsidRPr="002A2167">
        <w:rPr>
          <w:lang w:val="en-AU"/>
        </w:rPr>
        <w:t xml:space="preserve"> population needs</w:t>
      </w:r>
      <w:r w:rsidR="00461C84" w:rsidRPr="002A2167">
        <w:rPr>
          <w:lang w:val="en-AU"/>
        </w:rPr>
        <w:t xml:space="preserve">, </w:t>
      </w:r>
      <w:r w:rsidRPr="002A2167">
        <w:rPr>
          <w:lang w:val="en-AU"/>
        </w:rPr>
        <w:t xml:space="preserve">social infrastructure </w:t>
      </w:r>
      <w:r w:rsidR="00461C84" w:rsidRPr="002A2167">
        <w:rPr>
          <w:lang w:val="en-AU"/>
        </w:rPr>
        <w:t xml:space="preserve">requirements </w:t>
      </w:r>
      <w:r w:rsidRPr="002A2167">
        <w:rPr>
          <w:lang w:val="en-AU"/>
        </w:rPr>
        <w:t xml:space="preserve">and consider </w:t>
      </w:r>
      <w:r w:rsidR="00461C84" w:rsidRPr="002A2167">
        <w:rPr>
          <w:lang w:val="en-AU"/>
        </w:rPr>
        <w:t xml:space="preserve">broader </w:t>
      </w:r>
      <w:r w:rsidRPr="002A2167">
        <w:rPr>
          <w:lang w:val="en-AU"/>
        </w:rPr>
        <w:t>climate change impacts</w:t>
      </w:r>
      <w:r w:rsidR="00461C84" w:rsidRPr="002A2167">
        <w:rPr>
          <w:lang w:val="en-AU"/>
        </w:rPr>
        <w:t xml:space="preserve"> on communities</w:t>
      </w:r>
    </w:p>
    <w:p w:rsidR="00D41888" w:rsidRPr="002A2167" w:rsidRDefault="00D41888" w:rsidP="00B06ABF">
      <w:pPr>
        <w:pStyle w:val="btbullet"/>
        <w:rPr>
          <w:lang w:val="en-AU"/>
        </w:rPr>
      </w:pPr>
      <w:r w:rsidRPr="002A2167">
        <w:rPr>
          <w:lang w:val="en-AU"/>
        </w:rPr>
        <w:t>Work with agencies and government to investigate social infrastructure needs for the region and target facilities to particular settlements where the need is greatest or planning identifies a strategic direction to grow</w:t>
      </w:r>
      <w:r w:rsidR="003E46BD" w:rsidRPr="002A2167">
        <w:rPr>
          <w:lang w:val="en-AU"/>
        </w:rPr>
        <w:t xml:space="preserve"> </w:t>
      </w:r>
      <w:r w:rsidR="00D373A1" w:rsidRPr="002A2167">
        <w:rPr>
          <w:lang w:val="en-AU"/>
        </w:rPr>
        <w:t>or maintain</w:t>
      </w:r>
      <w:r w:rsidRPr="002A2167">
        <w:rPr>
          <w:lang w:val="en-AU"/>
        </w:rPr>
        <w:t xml:space="preserve"> the town</w:t>
      </w:r>
    </w:p>
    <w:p w:rsidR="00D41888" w:rsidRPr="002A2167" w:rsidRDefault="00D41888" w:rsidP="00B06ABF">
      <w:pPr>
        <w:pStyle w:val="btbullet"/>
        <w:rPr>
          <w:lang w:val="en-AU"/>
        </w:rPr>
      </w:pPr>
      <w:r w:rsidRPr="002A2167">
        <w:rPr>
          <w:lang w:val="en-AU"/>
        </w:rPr>
        <w:t xml:space="preserve">Encourage social infrastructure that is well located, </w:t>
      </w:r>
      <w:r w:rsidR="00591D83" w:rsidRPr="002A2167">
        <w:rPr>
          <w:lang w:val="en-AU"/>
        </w:rPr>
        <w:t>multi</w:t>
      </w:r>
      <w:r w:rsidR="00591D83">
        <w:rPr>
          <w:lang w:val="en-AU"/>
        </w:rPr>
        <w:t>-</w:t>
      </w:r>
      <w:r w:rsidRPr="002A2167">
        <w:rPr>
          <w:lang w:val="en-AU"/>
        </w:rPr>
        <w:t>purpose, flexible</w:t>
      </w:r>
      <w:r w:rsidR="00F9589C" w:rsidRPr="002A2167">
        <w:rPr>
          <w:lang w:val="en-AU"/>
        </w:rPr>
        <w:t>,</w:t>
      </w:r>
      <w:r w:rsidRPr="002A2167">
        <w:rPr>
          <w:lang w:val="en-AU"/>
        </w:rPr>
        <w:t xml:space="preserve"> adaptable and accessible </w:t>
      </w:r>
      <w:r w:rsidR="00F9589C" w:rsidRPr="002A2167">
        <w:rPr>
          <w:lang w:val="en-AU"/>
        </w:rPr>
        <w:t>for</w:t>
      </w:r>
      <w:r w:rsidRPr="002A2167">
        <w:rPr>
          <w:lang w:val="en-AU"/>
        </w:rPr>
        <w:t xml:space="preserve"> the Loddon Mallee North communities of interest, public transport services, employment and educational opportunities</w:t>
      </w:r>
    </w:p>
    <w:p w:rsidR="00D41888" w:rsidRPr="002A2167" w:rsidRDefault="00D41888" w:rsidP="00B06ABF">
      <w:pPr>
        <w:pStyle w:val="btbullet"/>
        <w:rPr>
          <w:lang w:val="en-AU"/>
        </w:rPr>
      </w:pPr>
      <w:r w:rsidRPr="002A2167">
        <w:rPr>
          <w:lang w:val="en-AU"/>
        </w:rPr>
        <w:t>Protect the operation of existing and planned health and education training facilities from conflicting land uses</w:t>
      </w:r>
    </w:p>
    <w:p w:rsidR="00DA75DE" w:rsidRDefault="00D373A1" w:rsidP="00B06ABF">
      <w:pPr>
        <w:pStyle w:val="btbullet"/>
        <w:rPr>
          <w:lang w:val="en-AU"/>
        </w:rPr>
      </w:pPr>
      <w:r w:rsidRPr="002A2167">
        <w:rPr>
          <w:lang w:val="en-AU"/>
        </w:rPr>
        <w:t>Encourage residential development that is designed to facilitate healthy lifestyles, community connectedness and social cohesion</w:t>
      </w:r>
      <w:r w:rsidR="001D10DF" w:rsidRPr="002A2167">
        <w:rPr>
          <w:lang w:val="en-AU"/>
        </w:rPr>
        <w:t>,</w:t>
      </w:r>
      <w:r w:rsidR="00F9589C" w:rsidRPr="002A2167">
        <w:rPr>
          <w:lang w:val="en-AU"/>
        </w:rPr>
        <w:t xml:space="preserve"> such as</w:t>
      </w:r>
      <w:r w:rsidRPr="002A2167">
        <w:rPr>
          <w:lang w:val="en-AU"/>
        </w:rPr>
        <w:t xml:space="preserve"> walking and cycle routes, open space and community hubs</w:t>
      </w:r>
    </w:p>
    <w:p w:rsidR="00D41888" w:rsidRPr="002A2167" w:rsidRDefault="00D41888" w:rsidP="00B06ABF">
      <w:pPr>
        <w:pStyle w:val="Heading2"/>
        <w:rPr>
          <w:lang w:val="en-AU"/>
        </w:rPr>
      </w:pPr>
      <w:bookmarkStart w:id="103" w:name="_Toc377031469"/>
      <w:r w:rsidRPr="002A2167">
        <w:rPr>
          <w:lang w:val="en-AU"/>
        </w:rPr>
        <w:t xml:space="preserve">Water, </w:t>
      </w:r>
      <w:r w:rsidR="003E46BD" w:rsidRPr="002A2167">
        <w:rPr>
          <w:lang w:val="en-AU"/>
        </w:rPr>
        <w:t>e</w:t>
      </w:r>
      <w:r w:rsidRPr="002A2167">
        <w:rPr>
          <w:lang w:val="en-AU"/>
        </w:rPr>
        <w:t xml:space="preserve">nergy and </w:t>
      </w:r>
      <w:r w:rsidR="003E46BD" w:rsidRPr="002A2167">
        <w:rPr>
          <w:lang w:val="en-AU"/>
        </w:rPr>
        <w:t>u</w:t>
      </w:r>
      <w:r w:rsidRPr="002A2167">
        <w:rPr>
          <w:lang w:val="en-AU"/>
        </w:rPr>
        <w:t>tilities</w:t>
      </w:r>
      <w:bookmarkEnd w:id="103"/>
    </w:p>
    <w:p w:rsidR="00D156F9" w:rsidRDefault="00D41888">
      <w:pPr>
        <w:pStyle w:val="Heading4"/>
      </w:pPr>
      <w:r w:rsidRPr="002A2167">
        <w:t>Overview</w:t>
      </w:r>
    </w:p>
    <w:p w:rsidR="00D41888" w:rsidRPr="002A2167" w:rsidRDefault="00F9589C" w:rsidP="00D41888">
      <w:pPr>
        <w:pStyle w:val="bt"/>
        <w:rPr>
          <w:lang w:val="en-AU"/>
        </w:rPr>
      </w:pPr>
      <w:r w:rsidRPr="002A2167">
        <w:rPr>
          <w:lang w:val="en-AU"/>
        </w:rPr>
        <w:t>G</w:t>
      </w:r>
      <w:r w:rsidR="00D41888" w:rsidRPr="002A2167">
        <w:rPr>
          <w:lang w:val="en-AU"/>
        </w:rPr>
        <w:t xml:space="preserve">rowth </w:t>
      </w:r>
      <w:r w:rsidR="00461C84" w:rsidRPr="002A2167">
        <w:rPr>
          <w:lang w:val="en-AU"/>
        </w:rPr>
        <w:t xml:space="preserve">of the </w:t>
      </w:r>
      <w:r w:rsidR="00D41888" w:rsidRPr="002A2167">
        <w:rPr>
          <w:lang w:val="en-AU"/>
        </w:rPr>
        <w:t xml:space="preserve">towns and cities </w:t>
      </w:r>
      <w:r w:rsidR="00461C84" w:rsidRPr="002A2167">
        <w:rPr>
          <w:lang w:val="en-AU"/>
        </w:rPr>
        <w:t xml:space="preserve">of the Loddon Mallee North region </w:t>
      </w:r>
      <w:r w:rsidR="00D41888" w:rsidRPr="002A2167">
        <w:rPr>
          <w:lang w:val="en-AU"/>
        </w:rPr>
        <w:t>will result in demand for additional water, energy and utility infrastructure.</w:t>
      </w:r>
      <w:r w:rsidR="00087BA1" w:rsidRPr="002A2167">
        <w:rPr>
          <w:lang w:val="en-AU"/>
        </w:rPr>
        <w:t xml:space="preserve"> </w:t>
      </w:r>
      <w:r w:rsidRPr="002A2167">
        <w:rPr>
          <w:lang w:val="en-AU"/>
        </w:rPr>
        <w:t>This plan has considered e</w:t>
      </w:r>
      <w:r w:rsidR="00D41888" w:rsidRPr="002A2167">
        <w:rPr>
          <w:lang w:val="en-AU"/>
        </w:rPr>
        <w:t>fficient use of existing systems</w:t>
      </w:r>
      <w:r w:rsidRPr="002A2167">
        <w:rPr>
          <w:lang w:val="en-AU"/>
        </w:rPr>
        <w:t>,</w:t>
      </w:r>
      <w:r w:rsidR="00D41888" w:rsidRPr="002A2167">
        <w:rPr>
          <w:lang w:val="en-AU"/>
        </w:rPr>
        <w:t xml:space="preserve"> preservation and identification of utility infrastructure corridors </w:t>
      </w:r>
      <w:r w:rsidRPr="002A2167">
        <w:rPr>
          <w:lang w:val="en-AU"/>
        </w:rPr>
        <w:t>as well as</w:t>
      </w:r>
      <w:r w:rsidR="00D41888" w:rsidRPr="002A2167">
        <w:rPr>
          <w:lang w:val="en-AU"/>
        </w:rPr>
        <w:t xml:space="preserve"> urban location. The projected population and settlement pattern takes into account high level planning for committed and anticipated service utilities.</w:t>
      </w:r>
    </w:p>
    <w:p w:rsidR="00C40CCC" w:rsidRPr="002A2167" w:rsidRDefault="00C40CCC" w:rsidP="00933BAB">
      <w:pPr>
        <w:pStyle w:val="Heading3"/>
        <w:rPr>
          <w:lang w:val="en-AU"/>
        </w:rPr>
      </w:pPr>
      <w:r w:rsidRPr="002A2167">
        <w:rPr>
          <w:lang w:val="en-AU"/>
        </w:rPr>
        <w:t>Urban</w:t>
      </w:r>
      <w:r w:rsidR="005E0714" w:rsidRPr="002A2167">
        <w:rPr>
          <w:lang w:val="en-AU"/>
        </w:rPr>
        <w:t>, stock and domestic</w:t>
      </w:r>
      <w:r w:rsidRPr="002A2167">
        <w:rPr>
          <w:lang w:val="en-AU"/>
        </w:rPr>
        <w:t xml:space="preserve"> water supply</w:t>
      </w:r>
    </w:p>
    <w:p w:rsidR="00C40CCC" w:rsidRPr="002A2167" w:rsidRDefault="00C40CCC" w:rsidP="00C40CCC">
      <w:pPr>
        <w:pStyle w:val="bt"/>
        <w:rPr>
          <w:lang w:val="en-AU"/>
        </w:rPr>
      </w:pPr>
      <w:r w:rsidRPr="002A2167">
        <w:rPr>
          <w:lang w:val="en-AU"/>
        </w:rPr>
        <w:t>A secure water supply is of critical importance for supporting the planned growth of the region. Competing demands for water in drier years</w:t>
      </w:r>
      <w:r w:rsidR="00F9589C" w:rsidRPr="002A2167">
        <w:rPr>
          <w:lang w:val="en-AU"/>
        </w:rPr>
        <w:t xml:space="preserve"> will need to </w:t>
      </w:r>
      <w:r w:rsidR="00087BA1" w:rsidRPr="002A2167">
        <w:rPr>
          <w:lang w:val="en-AU"/>
        </w:rPr>
        <w:t>be</w:t>
      </w:r>
      <w:r w:rsidR="00F9589C" w:rsidRPr="002A2167">
        <w:rPr>
          <w:lang w:val="en-AU"/>
        </w:rPr>
        <w:t xml:space="preserve"> carefully managed, f</w:t>
      </w:r>
      <w:r w:rsidR="007C705D" w:rsidRPr="002A2167">
        <w:rPr>
          <w:lang w:val="en-AU"/>
        </w:rPr>
        <w:t>or</w:t>
      </w:r>
      <w:r w:rsidR="00F9589C" w:rsidRPr="002A2167">
        <w:rPr>
          <w:lang w:val="en-AU"/>
        </w:rPr>
        <w:t xml:space="preserve"> </w:t>
      </w:r>
      <w:r w:rsidR="005267CC" w:rsidRPr="002A2167">
        <w:rPr>
          <w:lang w:val="en-AU"/>
        </w:rPr>
        <w:t>agricultural</w:t>
      </w:r>
      <w:r w:rsidR="00154A07" w:rsidRPr="002A2167">
        <w:rPr>
          <w:lang w:val="en-AU"/>
        </w:rPr>
        <w:t xml:space="preserve">, industrial, </w:t>
      </w:r>
      <w:r w:rsidR="00C64B0E" w:rsidRPr="002A2167">
        <w:rPr>
          <w:lang w:val="en-AU"/>
        </w:rPr>
        <w:t>mining and</w:t>
      </w:r>
      <w:r w:rsidRPr="002A2167">
        <w:rPr>
          <w:lang w:val="en-AU"/>
        </w:rPr>
        <w:t xml:space="preserve"> </w:t>
      </w:r>
      <w:r w:rsidR="00461C84" w:rsidRPr="002A2167">
        <w:rPr>
          <w:lang w:val="en-AU"/>
        </w:rPr>
        <w:t xml:space="preserve">urban </w:t>
      </w:r>
      <w:r w:rsidRPr="002A2167">
        <w:rPr>
          <w:lang w:val="en-AU"/>
        </w:rPr>
        <w:t xml:space="preserve">users within </w:t>
      </w:r>
      <w:r w:rsidR="00F9589C" w:rsidRPr="002A2167">
        <w:rPr>
          <w:lang w:val="en-AU"/>
        </w:rPr>
        <w:t>and outside</w:t>
      </w:r>
      <w:r w:rsidR="007C705D" w:rsidRPr="002A2167">
        <w:rPr>
          <w:lang w:val="en-AU"/>
        </w:rPr>
        <w:t xml:space="preserve"> the region</w:t>
      </w:r>
      <w:r w:rsidRPr="002A2167">
        <w:rPr>
          <w:lang w:val="en-AU"/>
        </w:rPr>
        <w:t xml:space="preserve">. The limited availability of water in drier years may impact on economic activities, as </w:t>
      </w:r>
      <w:r w:rsidR="00F9589C" w:rsidRPr="002A2167">
        <w:rPr>
          <w:lang w:val="en-AU"/>
        </w:rPr>
        <w:t>was</w:t>
      </w:r>
      <w:r w:rsidRPr="002A2167">
        <w:rPr>
          <w:lang w:val="en-AU"/>
        </w:rPr>
        <w:t xml:space="preserve"> seen through the recent </w:t>
      </w:r>
      <w:r w:rsidR="00F9589C" w:rsidRPr="002A2167">
        <w:rPr>
          <w:lang w:val="en-AU"/>
        </w:rPr>
        <w:t>d</w:t>
      </w:r>
      <w:r w:rsidRPr="002A2167">
        <w:rPr>
          <w:lang w:val="en-AU"/>
        </w:rPr>
        <w:t xml:space="preserve">rought. Such conditions present many challenges for economic activities but can also </w:t>
      </w:r>
      <w:r w:rsidR="007C705D" w:rsidRPr="002A2167">
        <w:rPr>
          <w:lang w:val="en-AU"/>
        </w:rPr>
        <w:t xml:space="preserve">lead to </w:t>
      </w:r>
      <w:r w:rsidRPr="002A2167">
        <w:rPr>
          <w:lang w:val="en-AU"/>
        </w:rPr>
        <w:t>innovation and economic diversification.</w:t>
      </w:r>
    </w:p>
    <w:p w:rsidR="00087BA1" w:rsidRPr="002A2167" w:rsidRDefault="005E0714" w:rsidP="00C40CCC">
      <w:pPr>
        <w:pStyle w:val="bt"/>
        <w:rPr>
          <w:lang w:val="en-AU"/>
        </w:rPr>
      </w:pPr>
      <w:r w:rsidRPr="002A2167">
        <w:rPr>
          <w:lang w:val="en-AU"/>
        </w:rPr>
        <w:lastRenderedPageBreak/>
        <w:t>Urban, stock and domestic water supply is delivered throughout the region by various means, including</w:t>
      </w:r>
      <w:r w:rsidR="00087BA1" w:rsidRPr="002A2167">
        <w:rPr>
          <w:lang w:val="en-AU"/>
        </w:rPr>
        <w:t>:</w:t>
      </w:r>
    </w:p>
    <w:p w:rsidR="00D81C28" w:rsidRPr="002A2167" w:rsidRDefault="005E0714" w:rsidP="0095148A">
      <w:pPr>
        <w:pStyle w:val="btbullet"/>
        <w:rPr>
          <w:lang w:val="en-AU"/>
        </w:rPr>
      </w:pPr>
      <w:r w:rsidRPr="002A2167">
        <w:rPr>
          <w:lang w:val="en-AU"/>
        </w:rPr>
        <w:t>rain fed dams</w:t>
      </w:r>
    </w:p>
    <w:p w:rsidR="00D81C28" w:rsidRPr="002A2167" w:rsidRDefault="005E0714" w:rsidP="0095148A">
      <w:pPr>
        <w:pStyle w:val="btbullet"/>
        <w:rPr>
          <w:lang w:val="en-AU"/>
        </w:rPr>
      </w:pPr>
      <w:r w:rsidRPr="002A2167">
        <w:rPr>
          <w:lang w:val="en-AU"/>
        </w:rPr>
        <w:t>open channels</w:t>
      </w:r>
      <w:r w:rsidR="00087BA1" w:rsidRPr="002A2167">
        <w:rPr>
          <w:lang w:val="en-AU"/>
        </w:rPr>
        <w:t xml:space="preserve">, </w:t>
      </w:r>
      <w:r w:rsidRPr="002A2167">
        <w:rPr>
          <w:lang w:val="en-AU"/>
        </w:rPr>
        <w:t xml:space="preserve">including irrigation channels </w:t>
      </w:r>
    </w:p>
    <w:p w:rsidR="00D81C28" w:rsidRPr="002A2167" w:rsidRDefault="005E0714" w:rsidP="0095148A">
      <w:pPr>
        <w:pStyle w:val="btbullet"/>
        <w:rPr>
          <w:lang w:val="en-AU"/>
        </w:rPr>
      </w:pPr>
      <w:proofErr w:type="gramStart"/>
      <w:r w:rsidRPr="002A2167">
        <w:rPr>
          <w:lang w:val="en-AU"/>
        </w:rPr>
        <w:t>pipelines</w:t>
      </w:r>
      <w:proofErr w:type="gramEnd"/>
      <w:r w:rsidRPr="002A2167">
        <w:rPr>
          <w:lang w:val="en-AU"/>
        </w:rPr>
        <w:t xml:space="preserve"> in dry</w:t>
      </w:r>
      <w:r w:rsidR="00087BA1" w:rsidRPr="002A2167">
        <w:rPr>
          <w:lang w:val="en-AU"/>
        </w:rPr>
        <w:t xml:space="preserve"> </w:t>
      </w:r>
      <w:r w:rsidRPr="002A2167">
        <w:rPr>
          <w:lang w:val="en-AU"/>
        </w:rPr>
        <w:t>land areas</w:t>
      </w:r>
      <w:r w:rsidR="00087BA1" w:rsidRPr="002A2167">
        <w:rPr>
          <w:lang w:val="en-AU"/>
        </w:rPr>
        <w:t xml:space="preserve">, </w:t>
      </w:r>
      <w:r w:rsidRPr="002A2167">
        <w:rPr>
          <w:lang w:val="en-AU"/>
        </w:rPr>
        <w:t>such as the Wimmera Mallee Pipeline, which services 36 towns and 7000 rural customers.</w:t>
      </w:r>
    </w:p>
    <w:p w:rsidR="008F0961" w:rsidRPr="002A2167" w:rsidRDefault="00F9589C" w:rsidP="00C40CCC">
      <w:pPr>
        <w:pStyle w:val="bt"/>
        <w:rPr>
          <w:lang w:val="en-AU"/>
        </w:rPr>
      </w:pPr>
      <w:r w:rsidRPr="002A2167">
        <w:rPr>
          <w:lang w:val="en-AU"/>
        </w:rPr>
        <w:t>E</w:t>
      </w:r>
      <w:r w:rsidR="00C40CCC" w:rsidRPr="002A2167">
        <w:rPr>
          <w:lang w:val="en-AU"/>
        </w:rPr>
        <w:t xml:space="preserve">xisting water supply demand strategies prepared by </w:t>
      </w:r>
      <w:r w:rsidRPr="002A2167">
        <w:rPr>
          <w:lang w:val="en-AU"/>
        </w:rPr>
        <w:t xml:space="preserve">regional </w:t>
      </w:r>
      <w:r w:rsidR="00C40CCC" w:rsidRPr="002A2167">
        <w:rPr>
          <w:lang w:val="en-AU"/>
        </w:rPr>
        <w:t xml:space="preserve">urban water corporations </w:t>
      </w:r>
      <w:r w:rsidR="002D7145" w:rsidRPr="002A2167">
        <w:rPr>
          <w:lang w:val="en-AU"/>
        </w:rPr>
        <w:t>have identified that</w:t>
      </w:r>
      <w:r w:rsidR="00C40CCC" w:rsidRPr="002A2167">
        <w:rPr>
          <w:lang w:val="en-AU"/>
        </w:rPr>
        <w:t xml:space="preserve"> there </w:t>
      </w:r>
      <w:r w:rsidR="002D7145" w:rsidRPr="002A2167">
        <w:rPr>
          <w:lang w:val="en-AU"/>
        </w:rPr>
        <w:t xml:space="preserve">should be </w:t>
      </w:r>
      <w:r w:rsidR="00C40CCC" w:rsidRPr="002A2167">
        <w:rPr>
          <w:lang w:val="en-AU"/>
        </w:rPr>
        <w:t>an adequate water supply to meet demand for the next 30 years or more across the whole region</w:t>
      </w:r>
      <w:r w:rsidR="002D7145" w:rsidRPr="002A2167">
        <w:rPr>
          <w:lang w:val="en-AU"/>
        </w:rPr>
        <w:t xml:space="preserve">. However, </w:t>
      </w:r>
      <w:r w:rsidR="00C40CCC" w:rsidRPr="002A2167">
        <w:rPr>
          <w:lang w:val="en-AU"/>
        </w:rPr>
        <w:t>some areas may experience shortages under certain climatic conditions. Two supply districts</w:t>
      </w:r>
      <w:r w:rsidR="002D7145" w:rsidRPr="002A2167">
        <w:rPr>
          <w:lang w:val="en-AU"/>
        </w:rPr>
        <w:t>,</w:t>
      </w:r>
      <w:r w:rsidR="00C40CCC" w:rsidRPr="002A2167">
        <w:rPr>
          <w:lang w:val="en-AU"/>
        </w:rPr>
        <w:t xml:space="preserve"> </w:t>
      </w:r>
      <w:proofErr w:type="spellStart"/>
      <w:r w:rsidR="00C40CCC" w:rsidRPr="002A2167">
        <w:rPr>
          <w:lang w:val="en-AU"/>
        </w:rPr>
        <w:t>Coliban</w:t>
      </w:r>
      <w:proofErr w:type="spellEnd"/>
      <w:r w:rsidR="00C40CCC" w:rsidRPr="002A2167">
        <w:rPr>
          <w:lang w:val="en-AU"/>
        </w:rPr>
        <w:t xml:space="preserve"> Water’s Murray System and Grampians Wimmera Mallee Water’s Mu</w:t>
      </w:r>
      <w:r w:rsidR="00AD1236" w:rsidRPr="002A2167">
        <w:rPr>
          <w:lang w:val="en-AU"/>
        </w:rPr>
        <w:t xml:space="preserve">rray </w:t>
      </w:r>
      <w:r w:rsidR="00C9781A">
        <w:rPr>
          <w:lang w:val="en-AU"/>
        </w:rPr>
        <w:t>S</w:t>
      </w:r>
      <w:r w:rsidR="00AD1236" w:rsidRPr="002A2167">
        <w:rPr>
          <w:lang w:val="en-AU"/>
        </w:rPr>
        <w:t>ystem</w:t>
      </w:r>
      <w:r w:rsidR="002D7145" w:rsidRPr="002A2167">
        <w:rPr>
          <w:lang w:val="en-AU"/>
        </w:rPr>
        <w:t>,</w:t>
      </w:r>
      <w:r w:rsidR="00AD1236" w:rsidRPr="002A2167">
        <w:rPr>
          <w:lang w:val="en-AU"/>
        </w:rPr>
        <w:t xml:space="preserve"> are predicted to </w:t>
      </w:r>
      <w:r w:rsidR="00C40CCC" w:rsidRPr="002A2167">
        <w:rPr>
          <w:lang w:val="en-AU"/>
        </w:rPr>
        <w:t xml:space="preserve">fall short of likely demand. </w:t>
      </w:r>
    </w:p>
    <w:p w:rsidR="00C40CCC" w:rsidRPr="002A2167" w:rsidRDefault="00C40CCC" w:rsidP="00C40CCC">
      <w:pPr>
        <w:pStyle w:val="bt"/>
        <w:rPr>
          <w:lang w:val="en-AU"/>
        </w:rPr>
      </w:pPr>
      <w:r w:rsidRPr="002A2167">
        <w:rPr>
          <w:lang w:val="en-AU"/>
        </w:rPr>
        <w:t>In all cases, the water corporations have identified actions necessary to improve efficiency of supply and supplement supplies to meet demand. Such actions include purchasing more water, along with complementary actions to reduce demand and improve system efficiency. Alternative sources of water may also need to be used in the region in the future to meet urban water demands.</w:t>
      </w:r>
    </w:p>
    <w:p w:rsidR="00BE51FF" w:rsidRPr="002A2167" w:rsidRDefault="00AD1236">
      <w:pPr>
        <w:pStyle w:val="bt"/>
        <w:rPr>
          <w:lang w:val="en-AU"/>
        </w:rPr>
      </w:pPr>
      <w:r w:rsidRPr="002A2167">
        <w:rPr>
          <w:lang w:val="en-AU"/>
        </w:rPr>
        <w:t xml:space="preserve">Development of </w:t>
      </w:r>
      <w:r w:rsidR="000C5C6C" w:rsidRPr="002A2167">
        <w:rPr>
          <w:lang w:val="en-AU"/>
        </w:rPr>
        <w:t>i</w:t>
      </w:r>
      <w:r w:rsidR="00C40CCC" w:rsidRPr="002A2167">
        <w:rPr>
          <w:lang w:val="en-AU"/>
        </w:rPr>
        <w:t xml:space="preserve">ntegrated </w:t>
      </w:r>
      <w:r w:rsidR="000C5C6C" w:rsidRPr="002A2167">
        <w:rPr>
          <w:lang w:val="en-AU"/>
        </w:rPr>
        <w:t>w</w:t>
      </w:r>
      <w:r w:rsidR="00C40CCC" w:rsidRPr="002A2167">
        <w:rPr>
          <w:lang w:val="en-AU"/>
        </w:rPr>
        <w:t xml:space="preserve">ater </w:t>
      </w:r>
      <w:r w:rsidR="000C5C6C" w:rsidRPr="002A2167">
        <w:rPr>
          <w:lang w:val="en-AU"/>
        </w:rPr>
        <w:t>c</w:t>
      </w:r>
      <w:r w:rsidR="00C40CCC" w:rsidRPr="002A2167">
        <w:rPr>
          <w:lang w:val="en-AU"/>
        </w:rPr>
        <w:t xml:space="preserve">ycle </w:t>
      </w:r>
      <w:r w:rsidR="000C5C6C" w:rsidRPr="002A2167">
        <w:rPr>
          <w:lang w:val="en-AU"/>
        </w:rPr>
        <w:t>s</w:t>
      </w:r>
      <w:r w:rsidR="00C40CCC" w:rsidRPr="002A2167">
        <w:rPr>
          <w:lang w:val="en-AU"/>
        </w:rPr>
        <w:t xml:space="preserve">trategies </w:t>
      </w:r>
      <w:r w:rsidRPr="002A2167">
        <w:rPr>
          <w:lang w:val="en-AU"/>
        </w:rPr>
        <w:t>by water supply authorities</w:t>
      </w:r>
      <w:r w:rsidR="00C40CCC" w:rsidRPr="002A2167">
        <w:rPr>
          <w:lang w:val="en-AU"/>
        </w:rPr>
        <w:t xml:space="preserve"> </w:t>
      </w:r>
      <w:r w:rsidR="003047F8" w:rsidRPr="002A2167">
        <w:rPr>
          <w:lang w:val="en-AU"/>
        </w:rPr>
        <w:t>will need to take</w:t>
      </w:r>
      <w:r w:rsidRPr="002A2167">
        <w:rPr>
          <w:lang w:val="en-AU"/>
        </w:rPr>
        <w:t xml:space="preserve"> into account </w:t>
      </w:r>
      <w:r w:rsidR="00C40CCC" w:rsidRPr="002A2167">
        <w:rPr>
          <w:lang w:val="en-AU"/>
        </w:rPr>
        <w:t xml:space="preserve">the growth proposed in this </w:t>
      </w:r>
      <w:r w:rsidR="00E426F6" w:rsidRPr="002A2167">
        <w:rPr>
          <w:lang w:val="en-AU"/>
        </w:rPr>
        <w:t>p</w:t>
      </w:r>
      <w:r w:rsidR="00C40CCC" w:rsidRPr="002A2167">
        <w:rPr>
          <w:lang w:val="en-AU"/>
        </w:rPr>
        <w:t>lan to identify any potential capacity and infrastructure planning needs</w:t>
      </w:r>
      <w:r w:rsidR="00461C84" w:rsidRPr="002A2167">
        <w:rPr>
          <w:rStyle w:val="FootnoteReference"/>
          <w:lang w:val="en-AU"/>
        </w:rPr>
        <w:t xml:space="preserve"> </w:t>
      </w:r>
      <w:r w:rsidR="00461C84" w:rsidRPr="002A2167">
        <w:rPr>
          <w:rStyle w:val="FootnoteReference"/>
          <w:lang w:val="en-AU"/>
        </w:rPr>
        <w:footnoteReference w:id="12"/>
      </w:r>
      <w:r w:rsidR="00D02604" w:rsidRPr="002A2167">
        <w:rPr>
          <w:lang w:val="en-AU"/>
        </w:rPr>
        <w:t>.</w:t>
      </w:r>
      <w:r w:rsidR="00C40CCC" w:rsidRPr="002A2167">
        <w:rPr>
          <w:lang w:val="en-AU"/>
        </w:rPr>
        <w:t xml:space="preserve"> Further consideration will need to be given to the link between the urban and rural water cycle and the implications of reduced water availability when planning for new growth and development. </w:t>
      </w:r>
    </w:p>
    <w:p w:rsidR="003047F8" w:rsidRPr="002A2167" w:rsidRDefault="003047F8" w:rsidP="00933BAB">
      <w:pPr>
        <w:pStyle w:val="Heading3"/>
        <w:rPr>
          <w:lang w:val="en-AU"/>
        </w:rPr>
      </w:pPr>
      <w:r w:rsidRPr="002A2167">
        <w:rPr>
          <w:lang w:val="en-AU"/>
        </w:rPr>
        <w:t>Irrigation infrastructure</w:t>
      </w:r>
    </w:p>
    <w:p w:rsidR="001D10DF" w:rsidRPr="002A2167" w:rsidRDefault="003047F8" w:rsidP="00C40CCC">
      <w:pPr>
        <w:pStyle w:val="bt"/>
        <w:rPr>
          <w:lang w:val="en-AU"/>
        </w:rPr>
      </w:pPr>
      <w:r w:rsidRPr="002A2167">
        <w:rPr>
          <w:lang w:val="en-AU"/>
        </w:rPr>
        <w:t>Irrigation infrastructure underpins the success of many agricultural activities in the region, including horticulture and dairy</w:t>
      </w:r>
      <w:r w:rsidR="00CA74D5" w:rsidRPr="002A2167">
        <w:rPr>
          <w:lang w:val="en-AU"/>
        </w:rPr>
        <w:t>ing</w:t>
      </w:r>
      <w:r w:rsidR="00C5733C">
        <w:rPr>
          <w:lang w:val="en-AU"/>
        </w:rPr>
        <w:t>,</w:t>
      </w:r>
      <w:r w:rsidR="005E0714" w:rsidRPr="002A2167">
        <w:rPr>
          <w:lang w:val="en-AU"/>
        </w:rPr>
        <w:t xml:space="preserve"> and is critical to the ongoing success of the region’s contribution to Victoria’s food bowl</w:t>
      </w:r>
      <w:r w:rsidRPr="002A2167">
        <w:rPr>
          <w:lang w:val="en-AU"/>
        </w:rPr>
        <w:t xml:space="preserve">. </w:t>
      </w:r>
    </w:p>
    <w:p w:rsidR="001D10DF" w:rsidRPr="002A2167" w:rsidRDefault="003047F8" w:rsidP="00C40CCC">
      <w:pPr>
        <w:pStyle w:val="bt"/>
        <w:rPr>
          <w:lang w:val="en-AU"/>
        </w:rPr>
      </w:pPr>
      <w:r w:rsidRPr="002A2167">
        <w:rPr>
          <w:lang w:val="en-AU"/>
        </w:rPr>
        <w:t xml:space="preserve">The region’s irrigation infrastructure is undergoing significant modernisation to improve water delivery and efficiency and ultimately save water by reducing significant loss through the ageing system. This involves upgrades to both public and </w:t>
      </w:r>
      <w:r w:rsidR="00484801" w:rsidRPr="002A2167">
        <w:rPr>
          <w:lang w:val="en-AU"/>
        </w:rPr>
        <w:t xml:space="preserve">on-farm </w:t>
      </w:r>
      <w:r w:rsidRPr="002A2167">
        <w:rPr>
          <w:lang w:val="en-AU"/>
        </w:rPr>
        <w:t>private</w:t>
      </w:r>
      <w:r w:rsidR="00484801" w:rsidRPr="002A2167">
        <w:rPr>
          <w:lang w:val="en-AU"/>
        </w:rPr>
        <w:t xml:space="preserve"> </w:t>
      </w:r>
      <w:r w:rsidRPr="002A2167">
        <w:rPr>
          <w:lang w:val="en-AU"/>
        </w:rPr>
        <w:t>infrastructure. These upgrades help provide surety for economic development within the irrigation district. They also provide environmental benefits</w:t>
      </w:r>
      <w:r w:rsidR="00D24474" w:rsidRPr="002A2167">
        <w:rPr>
          <w:lang w:val="en-AU"/>
        </w:rPr>
        <w:t>, social benefits</w:t>
      </w:r>
      <w:r w:rsidRPr="002A2167">
        <w:rPr>
          <w:lang w:val="en-AU"/>
        </w:rPr>
        <w:t xml:space="preserve"> and </w:t>
      </w:r>
      <w:r w:rsidR="00D24474" w:rsidRPr="002A2167">
        <w:rPr>
          <w:lang w:val="en-AU"/>
        </w:rPr>
        <w:t>im</w:t>
      </w:r>
      <w:r w:rsidRPr="002A2167">
        <w:rPr>
          <w:lang w:val="en-AU"/>
        </w:rPr>
        <w:t xml:space="preserve">prove urban water supplies. </w:t>
      </w:r>
    </w:p>
    <w:p w:rsidR="003047F8" w:rsidRPr="002A2167" w:rsidRDefault="003047F8" w:rsidP="00C40CCC">
      <w:pPr>
        <w:pStyle w:val="bt"/>
        <w:rPr>
          <w:lang w:val="en-AU"/>
        </w:rPr>
      </w:pPr>
      <w:r w:rsidRPr="002A2167">
        <w:rPr>
          <w:lang w:val="en-AU"/>
        </w:rPr>
        <w:t>Irrigation infrastructure</w:t>
      </w:r>
      <w:r w:rsidR="000C5C6C" w:rsidRPr="002A2167">
        <w:rPr>
          <w:lang w:val="en-AU"/>
        </w:rPr>
        <w:t>,</w:t>
      </w:r>
      <w:r w:rsidRPr="002A2167">
        <w:rPr>
          <w:lang w:val="en-AU"/>
        </w:rPr>
        <w:t xml:space="preserve"> supported by associated drainage works</w:t>
      </w:r>
      <w:r w:rsidR="00484801" w:rsidRPr="002A2167">
        <w:rPr>
          <w:lang w:val="en-AU"/>
        </w:rPr>
        <w:t>,</w:t>
      </w:r>
      <w:r w:rsidRPr="002A2167">
        <w:rPr>
          <w:lang w:val="en-AU"/>
        </w:rPr>
        <w:t xml:space="preserve"> is essential for the continued success of the region’s economy.</w:t>
      </w:r>
    </w:p>
    <w:p w:rsidR="00D41888" w:rsidRPr="002A2167" w:rsidRDefault="00D41888" w:rsidP="00933BAB">
      <w:pPr>
        <w:pStyle w:val="Heading3"/>
        <w:rPr>
          <w:lang w:val="en-AU"/>
        </w:rPr>
      </w:pPr>
      <w:r w:rsidRPr="002A2167">
        <w:rPr>
          <w:lang w:val="en-AU"/>
        </w:rPr>
        <w:t>Power</w:t>
      </w:r>
    </w:p>
    <w:p w:rsidR="00D41888" w:rsidRPr="002A2167" w:rsidRDefault="00D41888" w:rsidP="00D41888">
      <w:pPr>
        <w:pStyle w:val="bt"/>
        <w:rPr>
          <w:lang w:val="en-AU"/>
        </w:rPr>
      </w:pPr>
      <w:r w:rsidRPr="002A2167">
        <w:rPr>
          <w:lang w:val="en-AU"/>
        </w:rPr>
        <w:t xml:space="preserve">The </w:t>
      </w:r>
      <w:r w:rsidR="003B55D4" w:rsidRPr="002A2167">
        <w:rPr>
          <w:lang w:val="en-AU"/>
        </w:rPr>
        <w:t>Loddon Mallee North Utilities Infrastructure Study (2013)</w:t>
      </w:r>
      <w:r w:rsidRPr="002A2167">
        <w:rPr>
          <w:lang w:val="en-AU"/>
        </w:rPr>
        <w:t xml:space="preserve"> found that most settlements have the potential to accommodate increased electricity demand generated by new urban development. All of the investigated zone substations have potential for their capacity to be upgraded, should that be required. </w:t>
      </w:r>
    </w:p>
    <w:p w:rsidR="00D41888" w:rsidRPr="002A2167" w:rsidRDefault="00D41888" w:rsidP="00D41888">
      <w:pPr>
        <w:pStyle w:val="bt"/>
        <w:rPr>
          <w:lang w:val="en-AU"/>
        </w:rPr>
      </w:pPr>
      <w:r w:rsidRPr="002A2167">
        <w:rPr>
          <w:lang w:val="en-AU"/>
        </w:rPr>
        <w:t>While power capacity for residential development was found to be adequate, power to rural areas is generally single phase and suited mainly to low</w:t>
      </w:r>
      <w:r w:rsidR="00173C97">
        <w:rPr>
          <w:lang w:val="en-AU"/>
        </w:rPr>
        <w:t xml:space="preserve"> </w:t>
      </w:r>
      <w:r w:rsidRPr="002A2167">
        <w:rPr>
          <w:lang w:val="en-AU"/>
        </w:rPr>
        <w:t>demand domestic uses. Domestic air conditioning, dairies, cooling and packing sheds, intensive animal facilities and wineries all require three phase power</w:t>
      </w:r>
      <w:r w:rsidR="00154A07" w:rsidRPr="002A2167">
        <w:rPr>
          <w:lang w:val="en-AU"/>
        </w:rPr>
        <w:t>; as does mineral processing and other intensive industries</w:t>
      </w:r>
      <w:r w:rsidRPr="002A2167">
        <w:rPr>
          <w:lang w:val="en-AU"/>
        </w:rPr>
        <w:t xml:space="preserve">. Connection will require upgrades </w:t>
      </w:r>
      <w:r w:rsidR="000C5C6C" w:rsidRPr="002A2167">
        <w:rPr>
          <w:lang w:val="en-AU"/>
        </w:rPr>
        <w:t>to</w:t>
      </w:r>
      <w:r w:rsidRPr="002A2167">
        <w:rPr>
          <w:lang w:val="en-AU"/>
        </w:rPr>
        <w:t xml:space="preserve"> the transmission infrastructure. </w:t>
      </w:r>
    </w:p>
    <w:p w:rsidR="00D41888" w:rsidRPr="002A2167" w:rsidRDefault="00D41888" w:rsidP="00D41888">
      <w:pPr>
        <w:pStyle w:val="bt"/>
        <w:rPr>
          <w:lang w:val="en-AU"/>
        </w:rPr>
      </w:pPr>
      <w:r w:rsidRPr="002A2167">
        <w:rPr>
          <w:lang w:val="en-AU"/>
        </w:rPr>
        <w:t>The power infrastructure and continuity of supply is at risk in some locations, for example</w:t>
      </w:r>
      <w:r w:rsidR="00E426F6" w:rsidRPr="002A2167">
        <w:rPr>
          <w:lang w:val="en-AU"/>
        </w:rPr>
        <w:t>:</w:t>
      </w:r>
    </w:p>
    <w:p w:rsidR="00D41888" w:rsidRPr="002A2167" w:rsidRDefault="00D41888" w:rsidP="00B06ABF">
      <w:pPr>
        <w:pStyle w:val="btbullet"/>
        <w:rPr>
          <w:lang w:val="en-AU"/>
        </w:rPr>
      </w:pPr>
      <w:r w:rsidRPr="002A2167">
        <w:rPr>
          <w:lang w:val="en-AU"/>
        </w:rPr>
        <w:lastRenderedPageBreak/>
        <w:t>Ouyen has a one-way feeder line</w:t>
      </w:r>
      <w:r w:rsidR="003E7582" w:rsidRPr="002A2167">
        <w:rPr>
          <w:lang w:val="en-AU"/>
        </w:rPr>
        <w:t>;</w:t>
      </w:r>
      <w:r w:rsidR="00484801" w:rsidRPr="002A2167">
        <w:rPr>
          <w:lang w:val="en-AU"/>
        </w:rPr>
        <w:t xml:space="preserve"> i</w:t>
      </w:r>
      <w:r w:rsidRPr="002A2167">
        <w:rPr>
          <w:lang w:val="en-AU"/>
        </w:rPr>
        <w:t>f it became inoperable, the town would be without power</w:t>
      </w:r>
      <w:r w:rsidR="003E7582" w:rsidRPr="002A2167">
        <w:rPr>
          <w:lang w:val="en-AU"/>
        </w:rPr>
        <w:t>.</w:t>
      </w:r>
    </w:p>
    <w:p w:rsidR="00D41888" w:rsidRPr="002A2167" w:rsidRDefault="003E7582" w:rsidP="00B06ABF">
      <w:pPr>
        <w:pStyle w:val="btbullet"/>
        <w:rPr>
          <w:lang w:val="en-AU"/>
        </w:rPr>
      </w:pPr>
      <w:r w:rsidRPr="002A2167">
        <w:rPr>
          <w:lang w:val="en-AU"/>
        </w:rPr>
        <w:t xml:space="preserve">The </w:t>
      </w:r>
      <w:r w:rsidR="00D41888" w:rsidRPr="002A2167">
        <w:rPr>
          <w:lang w:val="en-AU"/>
        </w:rPr>
        <w:t xml:space="preserve">Kerang terminal station, which receives </w:t>
      </w:r>
      <w:r w:rsidR="00484801" w:rsidRPr="002A2167">
        <w:rPr>
          <w:lang w:val="en-AU"/>
        </w:rPr>
        <w:t xml:space="preserve">a </w:t>
      </w:r>
      <w:r w:rsidR="00D41888" w:rsidRPr="002A2167">
        <w:rPr>
          <w:lang w:val="en-AU"/>
        </w:rPr>
        <w:t>220</w:t>
      </w:r>
      <w:r w:rsidR="00484801" w:rsidRPr="002A2167">
        <w:rPr>
          <w:lang w:val="en-AU"/>
        </w:rPr>
        <w:t xml:space="preserve"> </w:t>
      </w:r>
      <w:r w:rsidR="00D41888" w:rsidRPr="002A2167">
        <w:rPr>
          <w:lang w:val="en-AU"/>
        </w:rPr>
        <w:t xml:space="preserve">kV transmission line, is in an area at risk of </w:t>
      </w:r>
      <w:r w:rsidR="00BE3F0D">
        <w:rPr>
          <w:lang w:val="en-AU"/>
        </w:rPr>
        <w:t>flood</w:t>
      </w:r>
      <w:r w:rsidR="00F138C8" w:rsidRPr="002A2167">
        <w:rPr>
          <w:lang w:val="en-AU"/>
        </w:rPr>
        <w:t>.</w:t>
      </w:r>
      <w:r w:rsidR="00D41888" w:rsidRPr="002A2167">
        <w:rPr>
          <w:lang w:val="en-AU"/>
        </w:rPr>
        <w:t xml:space="preserve"> This station delivers power into north</w:t>
      </w:r>
      <w:r w:rsidR="000C5C6C" w:rsidRPr="002A2167">
        <w:rPr>
          <w:lang w:val="en-AU"/>
        </w:rPr>
        <w:t>-</w:t>
      </w:r>
      <w:r w:rsidR="00D41888" w:rsidRPr="002A2167">
        <w:rPr>
          <w:lang w:val="en-AU"/>
        </w:rPr>
        <w:t>west Victoria and south</w:t>
      </w:r>
      <w:r w:rsidR="000C5C6C" w:rsidRPr="002A2167">
        <w:rPr>
          <w:lang w:val="en-AU"/>
        </w:rPr>
        <w:t>-</w:t>
      </w:r>
      <w:r w:rsidR="00D41888" w:rsidRPr="002A2167">
        <w:rPr>
          <w:lang w:val="en-AU"/>
        </w:rPr>
        <w:t>west New South Wales, including Broken Hill.</w:t>
      </w:r>
    </w:p>
    <w:p w:rsidR="00D41888" w:rsidRPr="002A2167" w:rsidRDefault="00D41888" w:rsidP="00D41888">
      <w:pPr>
        <w:pStyle w:val="bt"/>
        <w:rPr>
          <w:lang w:val="en-AU"/>
        </w:rPr>
      </w:pPr>
      <w:r w:rsidRPr="002A2167">
        <w:rPr>
          <w:lang w:val="en-AU"/>
        </w:rPr>
        <w:t>Continuity of power supply is important not only for residents, but is critical for industry</w:t>
      </w:r>
      <w:r w:rsidR="00DC6AD1" w:rsidRPr="002A2167">
        <w:rPr>
          <w:lang w:val="en-AU"/>
        </w:rPr>
        <w:t>. R</w:t>
      </w:r>
      <w:r w:rsidRPr="002A2167">
        <w:rPr>
          <w:lang w:val="en-AU"/>
        </w:rPr>
        <w:t>epair of transmission infrastructure can take time in more remote locations.</w:t>
      </w:r>
    </w:p>
    <w:p w:rsidR="00D41888" w:rsidRPr="002A2167" w:rsidRDefault="00D41888" w:rsidP="00933BAB">
      <w:pPr>
        <w:pStyle w:val="Heading3"/>
        <w:rPr>
          <w:lang w:val="en-AU"/>
        </w:rPr>
      </w:pPr>
      <w:r w:rsidRPr="002A2167">
        <w:rPr>
          <w:lang w:val="en-AU"/>
        </w:rPr>
        <w:t>Gas</w:t>
      </w:r>
    </w:p>
    <w:p w:rsidR="00D41888" w:rsidRPr="002A2167" w:rsidRDefault="00D41888" w:rsidP="00D41888">
      <w:pPr>
        <w:pStyle w:val="bt"/>
        <w:rPr>
          <w:lang w:val="en-AU"/>
        </w:rPr>
      </w:pPr>
      <w:r w:rsidRPr="002A2167">
        <w:rPr>
          <w:lang w:val="en-AU"/>
        </w:rPr>
        <w:t>The availability of reliable and cost</w:t>
      </w:r>
      <w:r w:rsidR="00C22981">
        <w:rPr>
          <w:lang w:val="en-AU"/>
        </w:rPr>
        <w:t>-</w:t>
      </w:r>
      <w:r w:rsidRPr="002A2167">
        <w:rPr>
          <w:lang w:val="en-AU"/>
        </w:rPr>
        <w:t>effective energy is critical for business, particularly for certain energy intensive types of industry. Economic development in some locations is constrained by a lack of access to reticulated natural gas.</w:t>
      </w:r>
    </w:p>
    <w:p w:rsidR="00D41888" w:rsidRPr="002A2167" w:rsidRDefault="00D41888" w:rsidP="00D41888">
      <w:pPr>
        <w:pStyle w:val="bt"/>
        <w:rPr>
          <w:lang w:val="en-AU"/>
        </w:rPr>
      </w:pPr>
      <w:r w:rsidRPr="002A2167">
        <w:rPr>
          <w:lang w:val="en-AU"/>
        </w:rPr>
        <w:t>Natural gas to Mildura, Irymple and Red Cliffs comes from South Australia.</w:t>
      </w:r>
      <w:r w:rsidR="008E63E0" w:rsidRPr="002A2167">
        <w:rPr>
          <w:lang w:val="en-AU"/>
        </w:rPr>
        <w:t xml:space="preserve"> </w:t>
      </w:r>
      <w:r w:rsidRPr="002A2167">
        <w:rPr>
          <w:lang w:val="en-AU"/>
        </w:rPr>
        <w:t>The system is not meeting</w:t>
      </w:r>
      <w:r w:rsidR="00C40CCC" w:rsidRPr="002A2167">
        <w:rPr>
          <w:lang w:val="en-AU"/>
        </w:rPr>
        <w:t xml:space="preserve"> </w:t>
      </w:r>
      <w:r w:rsidRPr="002A2167">
        <w:rPr>
          <w:lang w:val="en-AU"/>
        </w:rPr>
        <w:t>demand and plans are underway to increase capacity by delivering gas under pressure using the existing infrastructure. I</w:t>
      </w:r>
      <w:r w:rsidR="0095148A" w:rsidRPr="002A2167">
        <w:rPr>
          <w:lang w:val="en-AU"/>
        </w:rPr>
        <w:t>t is estimated</w:t>
      </w:r>
      <w:r w:rsidRPr="002A2167">
        <w:rPr>
          <w:lang w:val="en-AU"/>
        </w:rPr>
        <w:t xml:space="preserve"> this will increase capacity by 50</w:t>
      </w:r>
      <w:r w:rsidR="00E426F6" w:rsidRPr="002A2167">
        <w:rPr>
          <w:lang w:val="en-AU"/>
        </w:rPr>
        <w:t xml:space="preserve"> per cent</w:t>
      </w:r>
      <w:r w:rsidRPr="002A2167">
        <w:rPr>
          <w:lang w:val="en-AU"/>
        </w:rPr>
        <w:t xml:space="preserve"> benefitting residents and industry. Echuca, Rochester, Kyabram and Tongala receive gas from the transmission pipe to Shepparton and there is scope for further industrial development.</w:t>
      </w:r>
    </w:p>
    <w:p w:rsidR="00D41888" w:rsidRPr="002A2167" w:rsidRDefault="00D41888" w:rsidP="00D41888">
      <w:pPr>
        <w:pStyle w:val="bt"/>
        <w:rPr>
          <w:lang w:val="en-AU"/>
        </w:rPr>
      </w:pPr>
      <w:r w:rsidRPr="002A2167">
        <w:rPr>
          <w:lang w:val="en-AU"/>
        </w:rPr>
        <w:t xml:space="preserve">The area from Echuca to Red Cliffs is without a natural gas supply. </w:t>
      </w:r>
      <w:r w:rsidR="00A6167A" w:rsidRPr="002A2167">
        <w:rPr>
          <w:lang w:val="en-AU"/>
        </w:rPr>
        <w:t xml:space="preserve">Preliminary investigations to extend the Echuca supply to Swan Hill found the only viable option was the extension of a transmission pipe from Bendigo. </w:t>
      </w:r>
      <w:r w:rsidRPr="002A2167">
        <w:rPr>
          <w:lang w:val="en-AU"/>
        </w:rPr>
        <w:t>A business case is currently being developed</w:t>
      </w:r>
      <w:r w:rsidR="008E63E0" w:rsidRPr="002A2167">
        <w:rPr>
          <w:lang w:val="en-AU"/>
        </w:rPr>
        <w:t xml:space="preserve"> for this</w:t>
      </w:r>
      <w:r w:rsidRPr="002A2167">
        <w:rPr>
          <w:lang w:val="en-AU"/>
        </w:rPr>
        <w:t>.</w:t>
      </w:r>
    </w:p>
    <w:p w:rsidR="00957110" w:rsidRDefault="00FD1E15" w:rsidP="00D41888">
      <w:pPr>
        <w:pStyle w:val="bt"/>
        <w:rPr>
          <w:lang w:val="en-AU"/>
        </w:rPr>
      </w:pPr>
      <w:r w:rsidRPr="002A2167">
        <w:rPr>
          <w:lang w:val="en-AU"/>
        </w:rPr>
        <w:t xml:space="preserve">Regional Development Victoria commissioned a study into the provision of natural gas to Murray River </w:t>
      </w:r>
      <w:r w:rsidR="00735418" w:rsidRPr="002A2167">
        <w:rPr>
          <w:lang w:val="en-AU"/>
        </w:rPr>
        <w:t>c</w:t>
      </w:r>
      <w:r w:rsidRPr="002A2167">
        <w:rPr>
          <w:lang w:val="en-AU"/>
        </w:rPr>
        <w:t xml:space="preserve">ommunities between Echuca and Mildura. This was essentially to Swan Hill with connections to other towns along the route. </w:t>
      </w:r>
      <w:r w:rsidR="00CF130D" w:rsidRPr="002A2167">
        <w:rPr>
          <w:lang w:val="en-AU"/>
        </w:rPr>
        <w:t>The next stage, a</w:t>
      </w:r>
      <w:r w:rsidRPr="002A2167">
        <w:rPr>
          <w:lang w:val="en-AU"/>
        </w:rPr>
        <w:t xml:space="preserve"> feasibility study</w:t>
      </w:r>
      <w:r w:rsidR="00CF130D" w:rsidRPr="002A2167">
        <w:rPr>
          <w:lang w:val="en-AU"/>
        </w:rPr>
        <w:t>,</w:t>
      </w:r>
      <w:r w:rsidRPr="002A2167">
        <w:rPr>
          <w:lang w:val="en-AU"/>
        </w:rPr>
        <w:t xml:space="preserve"> is now underway </w:t>
      </w:r>
      <w:r w:rsidR="00D814CE">
        <w:rPr>
          <w:lang w:val="en-AU"/>
        </w:rPr>
        <w:t>and</w:t>
      </w:r>
      <w:r w:rsidR="00C22981" w:rsidRPr="002A2167">
        <w:rPr>
          <w:lang w:val="en-AU"/>
        </w:rPr>
        <w:t xml:space="preserve"> </w:t>
      </w:r>
      <w:r w:rsidRPr="002A2167">
        <w:rPr>
          <w:lang w:val="en-AU"/>
        </w:rPr>
        <w:t>includes an economic impact study of supplying the region with natural gas and an investigation of alternative energy options for the delivery of natural gas to communities in the study area. These solutions involve the use</w:t>
      </w:r>
      <w:r w:rsidR="00CF130D" w:rsidRPr="002A2167">
        <w:rPr>
          <w:lang w:val="en-AU"/>
        </w:rPr>
        <w:t xml:space="preserve"> of</w:t>
      </w:r>
      <w:r w:rsidRPr="002A2167">
        <w:rPr>
          <w:lang w:val="en-AU"/>
        </w:rPr>
        <w:t xml:space="preserve"> compressed natural gas (C</w:t>
      </w:r>
      <w:r w:rsidR="00CF130D" w:rsidRPr="002A2167">
        <w:rPr>
          <w:lang w:val="en-AU"/>
        </w:rPr>
        <w:t>N</w:t>
      </w:r>
      <w:r w:rsidRPr="002A2167">
        <w:rPr>
          <w:lang w:val="en-AU"/>
        </w:rPr>
        <w:t>G) or liquefied natural gas (LNG) technologies whereby natural gas is transported by road tanker/trailer to the outskirts of a region or in</w:t>
      </w:r>
      <w:r w:rsidR="00CF130D" w:rsidRPr="002A2167">
        <w:rPr>
          <w:lang w:val="en-AU"/>
        </w:rPr>
        <w:t xml:space="preserve">dustrial </w:t>
      </w:r>
      <w:r w:rsidRPr="002A2167">
        <w:rPr>
          <w:lang w:val="en-AU"/>
        </w:rPr>
        <w:t>estate, th</w:t>
      </w:r>
      <w:r w:rsidR="00CF130D" w:rsidRPr="002A2167">
        <w:rPr>
          <w:lang w:val="en-AU"/>
        </w:rPr>
        <w:t>u</w:t>
      </w:r>
      <w:r w:rsidRPr="002A2167">
        <w:rPr>
          <w:lang w:val="en-AU"/>
        </w:rPr>
        <w:t xml:space="preserve">s avoiding </w:t>
      </w:r>
      <w:r w:rsidR="00CF130D" w:rsidRPr="002A2167">
        <w:rPr>
          <w:lang w:val="en-AU"/>
        </w:rPr>
        <w:t>t</w:t>
      </w:r>
      <w:r w:rsidRPr="002A2167">
        <w:rPr>
          <w:lang w:val="en-AU"/>
        </w:rPr>
        <w:t>he significant costs involved in the construction of major pipelines.</w:t>
      </w:r>
    </w:p>
    <w:p w:rsidR="00D41888" w:rsidRPr="002A2167" w:rsidRDefault="00D41888" w:rsidP="00933BAB">
      <w:pPr>
        <w:pStyle w:val="Heading3"/>
        <w:rPr>
          <w:lang w:val="en-AU"/>
        </w:rPr>
      </w:pPr>
      <w:r w:rsidRPr="002A2167">
        <w:rPr>
          <w:lang w:val="en-AU"/>
        </w:rPr>
        <w:t>Telecommunications</w:t>
      </w:r>
    </w:p>
    <w:p w:rsidR="00D41888" w:rsidRPr="002A2167" w:rsidRDefault="00D41888" w:rsidP="00D41888">
      <w:pPr>
        <w:pStyle w:val="bt"/>
        <w:rPr>
          <w:lang w:val="en-AU"/>
        </w:rPr>
      </w:pPr>
      <w:r w:rsidRPr="002A2167">
        <w:rPr>
          <w:lang w:val="en-AU"/>
        </w:rPr>
        <w:t>The rollout of the National Broadband Network will provide settlements with a range of fibre optic cable and fixed wireless services</w:t>
      </w:r>
      <w:r w:rsidR="001A5B99" w:rsidRPr="002A2167">
        <w:rPr>
          <w:lang w:val="en-AU"/>
        </w:rPr>
        <w:t xml:space="preserve"> to meet the demands of a diversifying economy</w:t>
      </w:r>
      <w:r w:rsidRPr="002A2167">
        <w:rPr>
          <w:lang w:val="en-AU"/>
        </w:rPr>
        <w:t xml:space="preserve">. The extent </w:t>
      </w:r>
      <w:r w:rsidR="003E7582" w:rsidRPr="002A2167">
        <w:rPr>
          <w:lang w:val="en-AU"/>
        </w:rPr>
        <w:t>to which the region will be covered after</w:t>
      </w:r>
      <w:r w:rsidRPr="002A2167">
        <w:rPr>
          <w:lang w:val="en-AU"/>
        </w:rPr>
        <w:t xml:space="preserve"> upgrades is still not well defined. </w:t>
      </w:r>
    </w:p>
    <w:p w:rsidR="00273CC9" w:rsidRPr="002A2167" w:rsidRDefault="00D41888" w:rsidP="00D41888">
      <w:pPr>
        <w:pStyle w:val="bt"/>
        <w:rPr>
          <w:lang w:val="en-AU"/>
        </w:rPr>
      </w:pPr>
      <w:r w:rsidRPr="002A2167">
        <w:rPr>
          <w:lang w:val="en-AU"/>
        </w:rPr>
        <w:t>Land use and infrastructure planning for the region should seek to take advantage of enhanced telecommunications, particularly in larger centres that have fibre optic cable connections. Improved infrastructure that enables better connections in areas with poor reception is supported.</w:t>
      </w:r>
    </w:p>
    <w:p w:rsidR="00D41888" w:rsidRPr="002A2167" w:rsidRDefault="00D41888" w:rsidP="00933BAB">
      <w:pPr>
        <w:pStyle w:val="Heading3"/>
        <w:rPr>
          <w:lang w:val="en-AU"/>
        </w:rPr>
      </w:pPr>
      <w:r w:rsidRPr="002A2167">
        <w:rPr>
          <w:lang w:val="en-AU"/>
        </w:rPr>
        <w:t>Wastewater management</w:t>
      </w:r>
    </w:p>
    <w:p w:rsidR="00D41888" w:rsidRPr="002A2167" w:rsidRDefault="00D24474" w:rsidP="00D41888">
      <w:pPr>
        <w:pStyle w:val="bt"/>
        <w:rPr>
          <w:lang w:val="en-AU"/>
        </w:rPr>
      </w:pPr>
      <w:r w:rsidRPr="002A2167">
        <w:rPr>
          <w:lang w:val="en-AU"/>
        </w:rPr>
        <w:t>U</w:t>
      </w:r>
      <w:r w:rsidR="00D41888" w:rsidRPr="002A2167">
        <w:rPr>
          <w:lang w:val="en-AU"/>
        </w:rPr>
        <w:t>rban water corporations</w:t>
      </w:r>
      <w:r w:rsidRPr="002A2167">
        <w:rPr>
          <w:lang w:val="en-AU"/>
        </w:rPr>
        <w:t xml:space="preserve"> plan</w:t>
      </w:r>
      <w:r w:rsidR="008E63E0" w:rsidRPr="002A2167">
        <w:rPr>
          <w:lang w:val="en-AU"/>
        </w:rPr>
        <w:t>, provide</w:t>
      </w:r>
      <w:r w:rsidRPr="002A2167">
        <w:rPr>
          <w:lang w:val="en-AU"/>
        </w:rPr>
        <w:t xml:space="preserve"> and manage reticulated sewerage</w:t>
      </w:r>
      <w:r w:rsidR="00D41888" w:rsidRPr="002A2167">
        <w:rPr>
          <w:lang w:val="en-AU"/>
        </w:rPr>
        <w:t xml:space="preserve">. </w:t>
      </w:r>
      <w:r w:rsidRPr="002A2167">
        <w:rPr>
          <w:lang w:val="en-AU"/>
        </w:rPr>
        <w:t>T</w:t>
      </w:r>
      <w:r w:rsidR="00D41888" w:rsidRPr="002A2167">
        <w:rPr>
          <w:lang w:val="en-AU"/>
        </w:rPr>
        <w:t xml:space="preserve">he responsibility for on-site wastewater </w:t>
      </w:r>
      <w:r w:rsidRPr="002A2167">
        <w:rPr>
          <w:lang w:val="en-AU"/>
        </w:rPr>
        <w:t>outside reticulated areas</w:t>
      </w:r>
      <w:r w:rsidR="00D41888" w:rsidRPr="002A2167">
        <w:rPr>
          <w:lang w:val="en-AU"/>
        </w:rPr>
        <w:t xml:space="preserve"> rests with local government </w:t>
      </w:r>
      <w:r w:rsidR="00567A5B" w:rsidRPr="002A2167">
        <w:rPr>
          <w:lang w:val="en-AU"/>
        </w:rPr>
        <w:t xml:space="preserve">as </w:t>
      </w:r>
      <w:proofErr w:type="gramStart"/>
      <w:r w:rsidR="00567A5B" w:rsidRPr="002A2167">
        <w:rPr>
          <w:lang w:val="en-AU"/>
        </w:rPr>
        <w:t>does</w:t>
      </w:r>
      <w:proofErr w:type="gramEnd"/>
      <w:r w:rsidR="00567A5B" w:rsidRPr="002A2167">
        <w:rPr>
          <w:lang w:val="en-AU"/>
        </w:rPr>
        <w:t xml:space="preserve"> </w:t>
      </w:r>
      <w:r w:rsidR="00D41888" w:rsidRPr="002A2167">
        <w:rPr>
          <w:lang w:val="en-AU"/>
        </w:rPr>
        <w:t xml:space="preserve">preparation of </w:t>
      </w:r>
      <w:r w:rsidR="00DC6AD1" w:rsidRPr="002A2167">
        <w:rPr>
          <w:lang w:val="en-AU"/>
        </w:rPr>
        <w:t>d</w:t>
      </w:r>
      <w:r w:rsidR="00D41888" w:rsidRPr="002A2167">
        <w:rPr>
          <w:lang w:val="en-AU"/>
        </w:rPr>
        <w:t xml:space="preserve">omestic </w:t>
      </w:r>
      <w:r w:rsidR="00DC6AD1" w:rsidRPr="002A2167">
        <w:rPr>
          <w:lang w:val="en-AU"/>
        </w:rPr>
        <w:t>w</w:t>
      </w:r>
      <w:r w:rsidR="00D41888" w:rsidRPr="002A2167">
        <w:rPr>
          <w:lang w:val="en-AU"/>
        </w:rPr>
        <w:t xml:space="preserve">astewater </w:t>
      </w:r>
      <w:r w:rsidR="00DC6AD1" w:rsidRPr="002A2167">
        <w:rPr>
          <w:lang w:val="en-AU"/>
        </w:rPr>
        <w:t>m</w:t>
      </w:r>
      <w:r w:rsidR="00D41888" w:rsidRPr="002A2167">
        <w:rPr>
          <w:lang w:val="en-AU"/>
        </w:rPr>
        <w:t xml:space="preserve">anagement </w:t>
      </w:r>
      <w:r w:rsidR="00DC6AD1" w:rsidRPr="002A2167">
        <w:rPr>
          <w:lang w:val="en-AU"/>
        </w:rPr>
        <w:t>p</w:t>
      </w:r>
      <w:r w:rsidR="00D41888" w:rsidRPr="002A2167">
        <w:rPr>
          <w:lang w:val="en-AU"/>
        </w:rPr>
        <w:t>lans.</w:t>
      </w:r>
    </w:p>
    <w:p w:rsidR="00997690" w:rsidRPr="002A2167" w:rsidRDefault="004B3E1B" w:rsidP="00D41888">
      <w:pPr>
        <w:pStyle w:val="bt"/>
        <w:rPr>
          <w:lang w:val="en-AU"/>
        </w:rPr>
      </w:pPr>
      <w:r w:rsidRPr="002A2167">
        <w:rPr>
          <w:lang w:val="en-AU"/>
        </w:rPr>
        <w:t>Hinterland</w:t>
      </w:r>
      <w:r w:rsidR="00D41888" w:rsidRPr="002A2167">
        <w:rPr>
          <w:lang w:val="en-AU"/>
        </w:rPr>
        <w:t xml:space="preserve"> areas </w:t>
      </w:r>
      <w:r w:rsidRPr="002A2167">
        <w:rPr>
          <w:lang w:val="en-AU"/>
        </w:rPr>
        <w:t>around the regional city</w:t>
      </w:r>
      <w:r w:rsidR="00DC6AD1" w:rsidRPr="002A2167">
        <w:rPr>
          <w:lang w:val="en-AU"/>
        </w:rPr>
        <w:t>,</w:t>
      </w:r>
      <w:r w:rsidRPr="002A2167">
        <w:rPr>
          <w:lang w:val="en-AU"/>
        </w:rPr>
        <w:t xml:space="preserve"> centres </w:t>
      </w:r>
      <w:r w:rsidR="00D41888" w:rsidRPr="002A2167">
        <w:rPr>
          <w:lang w:val="en-AU"/>
        </w:rPr>
        <w:t xml:space="preserve">that have experienced significant growth </w:t>
      </w:r>
      <w:r w:rsidR="004127B0" w:rsidRPr="002A2167">
        <w:rPr>
          <w:lang w:val="en-AU"/>
        </w:rPr>
        <w:t>and small</w:t>
      </w:r>
      <w:r w:rsidR="00D41888" w:rsidRPr="002A2167">
        <w:rPr>
          <w:lang w:val="en-AU"/>
        </w:rPr>
        <w:t xml:space="preserve"> isolated towns</w:t>
      </w:r>
      <w:r w:rsidR="0017530B">
        <w:rPr>
          <w:lang w:val="en-AU"/>
        </w:rPr>
        <w:t>,</w:t>
      </w:r>
      <w:r w:rsidR="00D41888" w:rsidRPr="002A2167">
        <w:rPr>
          <w:lang w:val="en-AU"/>
        </w:rPr>
        <w:t xml:space="preserve"> make up the bulk of areas that experience problems with onsite wastewater management. Provision of reticulated sewerage is reliant on adequate housing density to generate sufficient sewerage flows.</w:t>
      </w:r>
      <w:r w:rsidR="008E63E0" w:rsidRPr="002A2167">
        <w:rPr>
          <w:lang w:val="en-AU"/>
        </w:rPr>
        <w:t xml:space="preserve"> </w:t>
      </w:r>
      <w:r w:rsidR="00D41888" w:rsidRPr="002A2167">
        <w:rPr>
          <w:lang w:val="en-AU"/>
        </w:rPr>
        <w:t xml:space="preserve">Reticulated sewerage is not always the most effective or </w:t>
      </w:r>
      <w:r w:rsidR="0017530B" w:rsidRPr="002A2167">
        <w:rPr>
          <w:lang w:val="en-AU"/>
        </w:rPr>
        <w:t>cost</w:t>
      </w:r>
      <w:r w:rsidR="0017530B">
        <w:rPr>
          <w:lang w:val="en-AU"/>
        </w:rPr>
        <w:t>-</w:t>
      </w:r>
      <w:r w:rsidR="00D41888" w:rsidRPr="002A2167">
        <w:rPr>
          <w:lang w:val="en-AU"/>
        </w:rPr>
        <w:t>efficient solution to wastewater management.</w:t>
      </w:r>
      <w:r w:rsidR="008E63E0" w:rsidRPr="002A2167">
        <w:rPr>
          <w:lang w:val="en-AU"/>
        </w:rPr>
        <w:t xml:space="preserve"> </w:t>
      </w:r>
    </w:p>
    <w:p w:rsidR="00D41888" w:rsidRPr="002A2167" w:rsidRDefault="00080C6A" w:rsidP="00D41888">
      <w:pPr>
        <w:pStyle w:val="bt"/>
        <w:rPr>
          <w:lang w:val="en-AU"/>
        </w:rPr>
      </w:pPr>
      <w:r w:rsidRPr="002A2167">
        <w:rPr>
          <w:lang w:val="en-AU"/>
        </w:rPr>
        <w:lastRenderedPageBreak/>
        <w:t xml:space="preserve">Councils </w:t>
      </w:r>
      <w:r w:rsidR="00C96D11" w:rsidRPr="002A2167">
        <w:rPr>
          <w:lang w:val="en-AU"/>
        </w:rPr>
        <w:t>have</w:t>
      </w:r>
      <w:r w:rsidRPr="002A2167">
        <w:rPr>
          <w:lang w:val="en-AU"/>
        </w:rPr>
        <w:t xml:space="preserve"> plans for domestic wastewater management. These plans include </w:t>
      </w:r>
      <w:r w:rsidR="00C96D11" w:rsidRPr="002A2167">
        <w:rPr>
          <w:lang w:val="en-AU"/>
        </w:rPr>
        <w:t xml:space="preserve">processes for </w:t>
      </w:r>
      <w:r w:rsidR="00D41888" w:rsidRPr="002A2167">
        <w:rPr>
          <w:lang w:val="en-AU"/>
        </w:rPr>
        <w:t>upgrading</w:t>
      </w:r>
      <w:r w:rsidR="00DC6AD1" w:rsidRPr="002A2167">
        <w:rPr>
          <w:lang w:val="en-AU"/>
        </w:rPr>
        <w:t>,</w:t>
      </w:r>
      <w:r w:rsidR="00D373A1" w:rsidRPr="002A2167">
        <w:rPr>
          <w:lang w:val="en-AU"/>
        </w:rPr>
        <w:t xml:space="preserve"> repairing</w:t>
      </w:r>
      <w:r w:rsidR="00D41888" w:rsidRPr="002A2167">
        <w:rPr>
          <w:lang w:val="en-AU"/>
        </w:rPr>
        <w:t>, managing and levying the on</w:t>
      </w:r>
      <w:r w:rsidR="00C96D11" w:rsidRPr="002A2167">
        <w:rPr>
          <w:lang w:val="en-AU"/>
        </w:rPr>
        <w:t>-</w:t>
      </w:r>
      <w:r w:rsidR="00D41888" w:rsidRPr="002A2167">
        <w:rPr>
          <w:lang w:val="en-AU"/>
        </w:rPr>
        <w:t xml:space="preserve">site systems as compared with options that typically involve implementing a reticulated sewerage scheme. These </w:t>
      </w:r>
      <w:r w:rsidRPr="002A2167">
        <w:rPr>
          <w:lang w:val="en-AU"/>
        </w:rPr>
        <w:t>plans</w:t>
      </w:r>
      <w:r w:rsidR="00D41888" w:rsidRPr="002A2167">
        <w:rPr>
          <w:lang w:val="en-AU"/>
        </w:rPr>
        <w:t xml:space="preserve"> can be measured against growth predictions and provide input to planning policy.</w:t>
      </w:r>
    </w:p>
    <w:p w:rsidR="00D41888" w:rsidRPr="002A2167" w:rsidRDefault="00D41888" w:rsidP="00933BAB">
      <w:pPr>
        <w:pStyle w:val="Heading3"/>
        <w:rPr>
          <w:lang w:val="en-AU"/>
        </w:rPr>
      </w:pPr>
      <w:r w:rsidRPr="002A2167">
        <w:rPr>
          <w:lang w:val="en-AU"/>
        </w:rPr>
        <w:t>Waste management</w:t>
      </w:r>
    </w:p>
    <w:p w:rsidR="00D41888" w:rsidRPr="002A2167" w:rsidRDefault="00D41888" w:rsidP="00D41888">
      <w:pPr>
        <w:pStyle w:val="bt"/>
        <w:rPr>
          <w:lang w:val="en-AU"/>
        </w:rPr>
      </w:pPr>
      <w:r w:rsidRPr="002A2167">
        <w:rPr>
          <w:lang w:val="en-AU"/>
        </w:rPr>
        <w:t xml:space="preserve">As the </w:t>
      </w:r>
      <w:r w:rsidR="008E63E0" w:rsidRPr="002A2167">
        <w:rPr>
          <w:lang w:val="en-AU"/>
        </w:rPr>
        <w:t xml:space="preserve">Loddon Mallee North </w:t>
      </w:r>
      <w:r w:rsidRPr="002A2167">
        <w:rPr>
          <w:lang w:val="en-AU"/>
        </w:rPr>
        <w:t xml:space="preserve">region’s population </w:t>
      </w:r>
      <w:r w:rsidR="00A623B3" w:rsidRPr="002A2167">
        <w:rPr>
          <w:lang w:val="en-AU"/>
        </w:rPr>
        <w:t>changes</w:t>
      </w:r>
      <w:r w:rsidRPr="002A2167">
        <w:rPr>
          <w:lang w:val="en-AU"/>
        </w:rPr>
        <w:t xml:space="preserve"> there will be </w:t>
      </w:r>
      <w:r w:rsidR="00A623B3" w:rsidRPr="002A2167">
        <w:rPr>
          <w:lang w:val="en-AU"/>
        </w:rPr>
        <w:t xml:space="preserve">changing </w:t>
      </w:r>
      <w:r w:rsidRPr="002A2167">
        <w:rPr>
          <w:lang w:val="en-AU"/>
        </w:rPr>
        <w:t xml:space="preserve">demand for waste and resource recovery management </w:t>
      </w:r>
      <w:r w:rsidR="00A623B3" w:rsidRPr="002A2167">
        <w:rPr>
          <w:lang w:val="en-AU"/>
        </w:rPr>
        <w:t>across</w:t>
      </w:r>
      <w:r w:rsidRPr="002A2167">
        <w:rPr>
          <w:lang w:val="en-AU"/>
        </w:rPr>
        <w:t xml:space="preserve"> the region. </w:t>
      </w:r>
      <w:r w:rsidR="00A623B3" w:rsidRPr="002A2167">
        <w:rPr>
          <w:lang w:val="en-AU"/>
        </w:rPr>
        <w:t>In some areas such as Mildura, t</w:t>
      </w:r>
      <w:r w:rsidRPr="002A2167">
        <w:rPr>
          <w:lang w:val="en-AU"/>
        </w:rPr>
        <w:t xml:space="preserve">his may create a challenge for securing land for future waste management facilities, including for sorting and processing, recycling and reprocessing, export, reuse and disposal of waste. </w:t>
      </w:r>
      <w:r w:rsidR="00DC6AD1" w:rsidRPr="002A2167">
        <w:rPr>
          <w:lang w:val="en-AU"/>
        </w:rPr>
        <w:t>O</w:t>
      </w:r>
      <w:r w:rsidRPr="002A2167">
        <w:rPr>
          <w:lang w:val="en-AU"/>
        </w:rPr>
        <w:t xml:space="preserve">pportunities to encourage industries in this </w:t>
      </w:r>
      <w:r w:rsidR="00D373A1" w:rsidRPr="002A2167">
        <w:rPr>
          <w:lang w:val="en-AU"/>
        </w:rPr>
        <w:t>field</w:t>
      </w:r>
      <w:r w:rsidRPr="002A2167">
        <w:rPr>
          <w:lang w:val="en-AU"/>
        </w:rPr>
        <w:t xml:space="preserve"> </w:t>
      </w:r>
      <w:r w:rsidR="004127B0" w:rsidRPr="002A2167">
        <w:rPr>
          <w:lang w:val="en-AU"/>
        </w:rPr>
        <w:t>and generate</w:t>
      </w:r>
      <w:r w:rsidRPr="002A2167">
        <w:rPr>
          <w:lang w:val="en-AU"/>
        </w:rPr>
        <w:t xml:space="preserve"> energy from waste should be explored and supported.</w:t>
      </w:r>
    </w:p>
    <w:p w:rsidR="00D41888" w:rsidRPr="002A2167" w:rsidRDefault="00D41888" w:rsidP="00D41888">
      <w:pPr>
        <w:pStyle w:val="bt"/>
        <w:rPr>
          <w:lang w:val="en-AU"/>
        </w:rPr>
      </w:pPr>
      <w:r w:rsidRPr="002A2167">
        <w:rPr>
          <w:lang w:val="en-AU"/>
        </w:rPr>
        <w:t xml:space="preserve">As towns </w:t>
      </w:r>
      <w:r w:rsidR="008E63E0" w:rsidRPr="002A2167">
        <w:rPr>
          <w:lang w:val="en-AU"/>
        </w:rPr>
        <w:t>grow</w:t>
      </w:r>
      <w:r w:rsidRPr="002A2167">
        <w:rPr>
          <w:lang w:val="en-AU"/>
        </w:rPr>
        <w:t xml:space="preserve">, they often experience pressure to encroach on to land that is nearby to landfills, potentially creating conflict. This </w:t>
      </w:r>
      <w:r w:rsidR="00E426F6" w:rsidRPr="002A2167">
        <w:rPr>
          <w:lang w:val="en-AU"/>
        </w:rPr>
        <w:t>p</w:t>
      </w:r>
      <w:r w:rsidRPr="002A2167">
        <w:rPr>
          <w:lang w:val="en-AU"/>
        </w:rPr>
        <w:t>lan encourages future strategic land use planning by councils to consider future waste management and resource recovery facilities, including protecting buffer zones around these sites from incompatible development.</w:t>
      </w:r>
    </w:p>
    <w:p w:rsidR="00905226" w:rsidRPr="002A2167" w:rsidRDefault="00905226" w:rsidP="00905226">
      <w:pPr>
        <w:pStyle w:val="bt"/>
        <w:rPr>
          <w:lang w:val="en-AU"/>
        </w:rPr>
      </w:pPr>
      <w:r w:rsidRPr="002A2167">
        <w:rPr>
          <w:lang w:val="en-AU"/>
        </w:rPr>
        <w:t>There are a number of landfills or transfer stations that serve a regional function as not all municipalities have their own facilities. Large landfills are located in Mildura, Swan Hill and at Patho near Echuca. Not all landfills or transfer stations are run by local municipalities. Some are privately operated, such as the Patho site. There is currently sufficient landfill capacity to manage the region’s waste for the next 10 to 20 years.</w:t>
      </w:r>
    </w:p>
    <w:p w:rsidR="00D156F9" w:rsidRDefault="00D41888">
      <w:pPr>
        <w:pStyle w:val="Heading4"/>
      </w:pPr>
      <w:r w:rsidRPr="002A2167">
        <w:t xml:space="preserve">Future </w:t>
      </w:r>
      <w:r w:rsidR="00E426F6" w:rsidRPr="002A2167">
        <w:t>w</w:t>
      </w:r>
      <w:r w:rsidRPr="002A2167">
        <w:t xml:space="preserve">ater, </w:t>
      </w:r>
      <w:r w:rsidR="00E426F6" w:rsidRPr="002A2167">
        <w:t>e</w:t>
      </w:r>
      <w:r w:rsidRPr="002A2167">
        <w:t xml:space="preserve">nergy and </w:t>
      </w:r>
      <w:r w:rsidR="00E426F6" w:rsidRPr="002A2167">
        <w:t>u</w:t>
      </w:r>
      <w:r w:rsidRPr="002A2167">
        <w:t xml:space="preserve">tilities land use </w:t>
      </w:r>
      <w:r w:rsidR="00B87452" w:rsidRPr="002A2167">
        <w:t xml:space="preserve">strategies </w:t>
      </w:r>
      <w:r w:rsidRPr="002A2167">
        <w:t>and actions</w:t>
      </w:r>
    </w:p>
    <w:p w:rsidR="00D41888" w:rsidRPr="002A2167" w:rsidRDefault="00D41888" w:rsidP="00B06ABF">
      <w:pPr>
        <w:pStyle w:val="btbullet"/>
        <w:rPr>
          <w:lang w:val="en-AU"/>
        </w:rPr>
      </w:pPr>
      <w:r w:rsidRPr="002A2167">
        <w:rPr>
          <w:lang w:val="en-AU"/>
        </w:rPr>
        <w:t>Ensure that local planning schemes recognise the need to direct growth to areas where it will make the most efficient use of existing infrastructure</w:t>
      </w:r>
    </w:p>
    <w:p w:rsidR="00D41888" w:rsidRPr="002A2167" w:rsidRDefault="00D41888" w:rsidP="00B06ABF">
      <w:pPr>
        <w:pStyle w:val="btbullet"/>
        <w:rPr>
          <w:lang w:val="en-AU"/>
        </w:rPr>
      </w:pPr>
      <w:r w:rsidRPr="002A2167">
        <w:rPr>
          <w:lang w:val="en-AU"/>
        </w:rPr>
        <w:t>Identify key regional priorities</w:t>
      </w:r>
      <w:r w:rsidR="0025697A" w:rsidRPr="002A2167">
        <w:rPr>
          <w:lang w:val="en-AU"/>
        </w:rPr>
        <w:t xml:space="preserve"> and land use requirements</w:t>
      </w:r>
      <w:r w:rsidRPr="002A2167">
        <w:rPr>
          <w:lang w:val="en-AU"/>
        </w:rPr>
        <w:t xml:space="preserve"> for improved utilities, energy and telecommunications infrastructure </w:t>
      </w:r>
      <w:r w:rsidR="00903153" w:rsidRPr="002A2167">
        <w:rPr>
          <w:lang w:val="en-AU"/>
        </w:rPr>
        <w:t>and support implementation of these priorities</w:t>
      </w:r>
    </w:p>
    <w:p w:rsidR="00D41888" w:rsidRPr="002A2167" w:rsidRDefault="00D41888" w:rsidP="00B06ABF">
      <w:pPr>
        <w:pStyle w:val="btbullet"/>
        <w:rPr>
          <w:lang w:val="en-AU"/>
        </w:rPr>
      </w:pPr>
      <w:r w:rsidRPr="002A2167">
        <w:rPr>
          <w:lang w:val="en-AU"/>
        </w:rPr>
        <w:t>Ensure infrastructure planning is coordinated with urban development and the key locations for growth identified in this plan</w:t>
      </w:r>
    </w:p>
    <w:p w:rsidR="00D41888" w:rsidRPr="002A2167" w:rsidRDefault="00D41888" w:rsidP="00B06ABF">
      <w:pPr>
        <w:pStyle w:val="btbullet"/>
        <w:rPr>
          <w:lang w:val="en-AU"/>
        </w:rPr>
      </w:pPr>
      <w:r w:rsidRPr="002A2167">
        <w:rPr>
          <w:lang w:val="en-AU"/>
        </w:rPr>
        <w:t>Strategically upgrade power supply in rural areas to promote economic growth and support industry to adapt to the impacts of climate change</w:t>
      </w:r>
    </w:p>
    <w:p w:rsidR="00D41888" w:rsidRPr="002A2167" w:rsidRDefault="00D41888" w:rsidP="00B06ABF">
      <w:pPr>
        <w:pStyle w:val="btbullet"/>
        <w:rPr>
          <w:lang w:val="en-AU"/>
        </w:rPr>
      </w:pPr>
      <w:r w:rsidRPr="002A2167">
        <w:rPr>
          <w:lang w:val="en-AU"/>
        </w:rPr>
        <w:t xml:space="preserve">Support the supply of </w:t>
      </w:r>
      <w:r w:rsidR="00DA74E8" w:rsidRPr="002A2167">
        <w:rPr>
          <w:lang w:val="en-AU"/>
        </w:rPr>
        <w:t xml:space="preserve">natural </w:t>
      </w:r>
      <w:r w:rsidRPr="002A2167">
        <w:rPr>
          <w:lang w:val="en-AU"/>
        </w:rPr>
        <w:t xml:space="preserve">gas to Mildura </w:t>
      </w:r>
      <w:r w:rsidR="00CA74D5" w:rsidRPr="002A2167">
        <w:rPr>
          <w:lang w:val="en-AU"/>
        </w:rPr>
        <w:t xml:space="preserve">and other </w:t>
      </w:r>
      <w:r w:rsidR="004127B0" w:rsidRPr="002A2167">
        <w:rPr>
          <w:lang w:val="en-AU"/>
        </w:rPr>
        <w:t>centres</w:t>
      </w:r>
      <w:r w:rsidR="00CA74D5" w:rsidRPr="002A2167">
        <w:rPr>
          <w:lang w:val="en-AU"/>
        </w:rPr>
        <w:t xml:space="preserve"> and towns </w:t>
      </w:r>
      <w:r w:rsidRPr="002A2167">
        <w:rPr>
          <w:lang w:val="en-AU"/>
        </w:rPr>
        <w:t>to promote economic growth</w:t>
      </w:r>
    </w:p>
    <w:p w:rsidR="00D41888" w:rsidRPr="002A2167" w:rsidRDefault="00D41888" w:rsidP="00B06ABF">
      <w:pPr>
        <w:pStyle w:val="btbullet"/>
        <w:rPr>
          <w:lang w:val="en-AU"/>
        </w:rPr>
      </w:pPr>
      <w:r w:rsidRPr="002A2167">
        <w:rPr>
          <w:lang w:val="en-AU"/>
        </w:rPr>
        <w:t>Support projects that increase the use of recycled water and reduce demand for potable water</w:t>
      </w:r>
      <w:r w:rsidR="00567A5B" w:rsidRPr="002A2167">
        <w:rPr>
          <w:lang w:val="en-AU"/>
        </w:rPr>
        <w:t xml:space="preserve"> so as</w:t>
      </w:r>
      <w:r w:rsidRPr="002A2167">
        <w:rPr>
          <w:lang w:val="en-AU"/>
        </w:rPr>
        <w:t xml:space="preserve"> to improve the resilience of the region to a drier climate</w:t>
      </w:r>
    </w:p>
    <w:p w:rsidR="00D41888" w:rsidRPr="002A2167" w:rsidRDefault="00D41888" w:rsidP="00B06ABF">
      <w:pPr>
        <w:pStyle w:val="btbullet"/>
        <w:rPr>
          <w:lang w:val="en-AU"/>
        </w:rPr>
      </w:pPr>
      <w:r w:rsidRPr="002A2167">
        <w:rPr>
          <w:lang w:val="en-AU"/>
        </w:rPr>
        <w:t xml:space="preserve">Support opportunities for </w:t>
      </w:r>
      <w:r w:rsidR="001A5B99" w:rsidRPr="002A2167">
        <w:rPr>
          <w:lang w:val="en-AU"/>
        </w:rPr>
        <w:t xml:space="preserve">industry to develop </w:t>
      </w:r>
      <w:r w:rsidRPr="002A2167">
        <w:rPr>
          <w:lang w:val="en-AU"/>
        </w:rPr>
        <w:t xml:space="preserve">new waste and resource recovery </w:t>
      </w:r>
      <w:r w:rsidR="001A5B99" w:rsidRPr="002A2167">
        <w:rPr>
          <w:lang w:val="en-AU"/>
        </w:rPr>
        <w:t xml:space="preserve">processes </w:t>
      </w:r>
      <w:r w:rsidRPr="002A2167">
        <w:rPr>
          <w:lang w:val="en-AU"/>
        </w:rPr>
        <w:t>including generating energy from waste</w:t>
      </w:r>
    </w:p>
    <w:p w:rsidR="00905226" w:rsidRPr="002A2167" w:rsidRDefault="00905226" w:rsidP="00905226">
      <w:pPr>
        <w:pStyle w:val="btbullet"/>
        <w:rPr>
          <w:lang w:val="en-AU"/>
        </w:rPr>
      </w:pPr>
      <w:r w:rsidRPr="002A2167">
        <w:rPr>
          <w:lang w:val="en-AU"/>
        </w:rPr>
        <w:t>Collaborate with relevant stakeholders to review planning controls and guidance relating to separation distances for solid waste and resource recovery facilities</w:t>
      </w:r>
    </w:p>
    <w:p w:rsidR="00273CC9" w:rsidRPr="002A2167" w:rsidRDefault="00D41888" w:rsidP="00B06ABF">
      <w:pPr>
        <w:pStyle w:val="btbullet"/>
        <w:rPr>
          <w:lang w:val="en-AU"/>
        </w:rPr>
        <w:sectPr w:rsidR="00273CC9" w:rsidRPr="002A2167" w:rsidSect="00F90152">
          <w:headerReference w:type="default" r:id="rId25"/>
          <w:pgSz w:w="11906" w:h="16838"/>
          <w:pgMar w:top="1440" w:right="1440" w:bottom="993" w:left="1440" w:header="708" w:footer="708" w:gutter="0"/>
          <w:cols w:space="708"/>
          <w:docGrid w:linePitch="360"/>
        </w:sectPr>
      </w:pPr>
      <w:r w:rsidRPr="002A2167">
        <w:rPr>
          <w:lang w:val="en-AU"/>
        </w:rPr>
        <w:t>Identify the potential economic, social and environmental benefits of utilities infrastructure investment and prioritise investment where it will achieve multiple benefits</w:t>
      </w:r>
    </w:p>
    <w:p w:rsidR="00B06ABF" w:rsidRPr="002A2167" w:rsidRDefault="00A61BAF" w:rsidP="00347423">
      <w:pPr>
        <w:pStyle w:val="Heading1"/>
        <w:rPr>
          <w:lang w:val="en-AU"/>
        </w:rPr>
      </w:pPr>
      <w:bookmarkStart w:id="104" w:name="_Toc349566026"/>
      <w:bookmarkStart w:id="105" w:name="_Toc229541163"/>
      <w:bookmarkStart w:id="106" w:name="_Toc377031470"/>
      <w:r>
        <w:rPr>
          <w:lang w:val="en-AU"/>
        </w:rPr>
        <w:lastRenderedPageBreak/>
        <w:t>PART D:</w:t>
      </w:r>
      <w:r w:rsidR="00B06ABF" w:rsidRPr="002A2167">
        <w:rPr>
          <w:lang w:val="en-AU"/>
        </w:rPr>
        <w:tab/>
        <w:t>REGIONAL GROWTH PLAN</w:t>
      </w:r>
      <w:bookmarkEnd w:id="104"/>
      <w:bookmarkEnd w:id="105"/>
      <w:bookmarkEnd w:id="106"/>
    </w:p>
    <w:p w:rsidR="00D81C28" w:rsidRPr="002A2167" w:rsidRDefault="00CC3E07">
      <w:pPr>
        <w:pStyle w:val="bt"/>
        <w:rPr>
          <w:lang w:val="en-AU"/>
        </w:rPr>
      </w:pPr>
      <w:r w:rsidRPr="002A2167">
        <w:rPr>
          <w:lang w:val="en-AU" w:eastAsia="en-US"/>
        </w:rPr>
        <w:t>This part of the Loddon Mallee North Regional Growth Plan brings together all the elements of the regional land use framework (economy, environment and landscape, settlement and regional infrastructure) to identify the plan for growth and change over the next 30 years. It provides direction on where future growth should occur and has been informed by advice, analysis, investigation and community feedback.</w:t>
      </w:r>
    </w:p>
    <w:p w:rsidR="00B06ABF" w:rsidRPr="002A2167" w:rsidRDefault="00B06ABF" w:rsidP="00FF2BCB">
      <w:pPr>
        <w:pStyle w:val="Heading11"/>
      </w:pPr>
      <w:bookmarkStart w:id="107" w:name="_Toc349566027"/>
      <w:bookmarkStart w:id="108" w:name="_Toc229541164"/>
      <w:bookmarkStart w:id="109" w:name="_Toc377031471"/>
      <w:r w:rsidRPr="002A2167">
        <w:t xml:space="preserve">Future </w:t>
      </w:r>
      <w:r w:rsidR="00E426F6" w:rsidRPr="002A2167">
        <w:t xml:space="preserve">directions </w:t>
      </w:r>
      <w:r w:rsidRPr="002A2167">
        <w:t xml:space="preserve">for </w:t>
      </w:r>
      <w:r w:rsidR="00E426F6" w:rsidRPr="002A2167">
        <w:t xml:space="preserve">regional </w:t>
      </w:r>
      <w:bookmarkEnd w:id="107"/>
      <w:bookmarkEnd w:id="108"/>
      <w:r w:rsidR="00E426F6" w:rsidRPr="002A2167">
        <w:t>growth</w:t>
      </w:r>
      <w:bookmarkEnd w:id="109"/>
    </w:p>
    <w:p w:rsidR="00AE0ADB" w:rsidRPr="0016654F" w:rsidRDefault="00AE0ADB" w:rsidP="0016654F">
      <w:pPr>
        <w:pStyle w:val="Heading2nonum"/>
        <w:rPr>
          <w:rStyle w:val="Strong"/>
          <w:b w:val="0"/>
          <w:bCs/>
        </w:rPr>
      </w:pPr>
      <w:r w:rsidRPr="0016654F">
        <w:rPr>
          <w:rStyle w:val="Strong"/>
          <w:b w:val="0"/>
          <w:bCs/>
        </w:rPr>
        <w:t>Theme: Regional economy</w:t>
      </w:r>
    </w:p>
    <w:p w:rsidR="007D62EA" w:rsidRPr="002A2167" w:rsidRDefault="007D62EA" w:rsidP="00F801CE">
      <w:pPr>
        <w:pStyle w:val="bt"/>
        <w:rPr>
          <w:rStyle w:val="Strong"/>
          <w:lang w:val="en-AU"/>
        </w:rPr>
      </w:pPr>
      <w:r w:rsidRPr="002A2167">
        <w:rPr>
          <w:rStyle w:val="Strong"/>
          <w:lang w:val="en-AU"/>
        </w:rPr>
        <w:t xml:space="preserve">Principle for </w:t>
      </w:r>
      <w:r w:rsidR="003533FC">
        <w:rPr>
          <w:rStyle w:val="Strong"/>
          <w:lang w:val="en-AU"/>
        </w:rPr>
        <w:t>g</w:t>
      </w:r>
      <w:r w:rsidR="003533FC" w:rsidRPr="002A2167">
        <w:rPr>
          <w:rStyle w:val="Strong"/>
          <w:lang w:val="en-AU"/>
        </w:rPr>
        <w:t>rowth</w:t>
      </w:r>
    </w:p>
    <w:p w:rsidR="007D62EA" w:rsidRPr="002A2167" w:rsidRDefault="007D62EA" w:rsidP="007D62EA">
      <w:pPr>
        <w:pStyle w:val="ListNumber"/>
        <w:numPr>
          <w:ilvl w:val="0"/>
          <w:numId w:val="39"/>
        </w:numPr>
        <w:rPr>
          <w:rStyle w:val="Strong"/>
          <w:b w:val="0"/>
          <w:bCs w:val="0"/>
          <w:lang w:val="en-AU"/>
        </w:rPr>
      </w:pPr>
      <w:r w:rsidRPr="002A2167">
        <w:rPr>
          <w:lang w:val="en-AU"/>
        </w:rPr>
        <w:t>Align population and economic growth</w:t>
      </w:r>
    </w:p>
    <w:p w:rsidR="007D62EA" w:rsidRPr="002A2167" w:rsidRDefault="007D62EA" w:rsidP="00F801CE">
      <w:pPr>
        <w:pStyle w:val="bt"/>
        <w:rPr>
          <w:rStyle w:val="Strong"/>
          <w:lang w:val="en-AU"/>
        </w:rPr>
      </w:pPr>
      <w:r w:rsidRPr="002A2167">
        <w:rPr>
          <w:rStyle w:val="Strong"/>
          <w:lang w:val="en-AU"/>
        </w:rPr>
        <w:t>Future directions</w:t>
      </w:r>
    </w:p>
    <w:p w:rsidR="007D62EA" w:rsidRPr="002A2167" w:rsidRDefault="007D62EA" w:rsidP="007D62EA">
      <w:pPr>
        <w:pStyle w:val="btbullet"/>
        <w:rPr>
          <w:rStyle w:val="Strong"/>
          <w:lang w:val="en-AU"/>
        </w:rPr>
      </w:pPr>
      <w:r w:rsidRPr="002A2167">
        <w:rPr>
          <w:lang w:val="en-AU"/>
        </w:rPr>
        <w:t>Facilitate vibrant and prosperous commercial centres and industrial hubs</w:t>
      </w:r>
    </w:p>
    <w:p w:rsidR="007D62EA" w:rsidRPr="002A2167" w:rsidRDefault="007D62EA" w:rsidP="00F801CE">
      <w:pPr>
        <w:pStyle w:val="bt"/>
        <w:rPr>
          <w:rStyle w:val="Strong"/>
          <w:lang w:val="en-AU"/>
        </w:rPr>
      </w:pPr>
      <w:r w:rsidRPr="002A2167">
        <w:rPr>
          <w:rStyle w:val="Strong"/>
          <w:lang w:val="en-AU"/>
        </w:rPr>
        <w:t>Strategies (refer to Map 12 for future direction)</w:t>
      </w:r>
    </w:p>
    <w:p w:rsidR="007D62EA" w:rsidRPr="002A2167" w:rsidRDefault="007D62EA" w:rsidP="007D62EA">
      <w:pPr>
        <w:pStyle w:val="btbullet"/>
        <w:rPr>
          <w:lang w:val="en-AU"/>
        </w:rPr>
      </w:pPr>
      <w:r w:rsidRPr="002A2167">
        <w:rPr>
          <w:lang w:val="en-AU"/>
        </w:rPr>
        <w:t>Alignment of population and economic growth is recognised in planning schemes</w:t>
      </w:r>
    </w:p>
    <w:p w:rsidR="005C2AB6" w:rsidRPr="002A2167" w:rsidRDefault="005C2AB6" w:rsidP="005C2AB6">
      <w:pPr>
        <w:pStyle w:val="btbullet"/>
        <w:rPr>
          <w:b/>
          <w:bCs/>
          <w:lang w:val="en-AU"/>
        </w:rPr>
      </w:pPr>
      <w:r w:rsidRPr="002A2167">
        <w:rPr>
          <w:lang w:val="en-AU"/>
        </w:rPr>
        <w:t>Ensure adequate supply of commercial and industrial land for employment across the region</w:t>
      </w:r>
    </w:p>
    <w:p w:rsidR="007D62EA" w:rsidRPr="002A2167" w:rsidRDefault="005C2AB6" w:rsidP="007D62EA">
      <w:pPr>
        <w:pStyle w:val="btbullet"/>
        <w:rPr>
          <w:lang w:val="en-AU"/>
        </w:rPr>
      </w:pPr>
      <w:r w:rsidRPr="002A2167">
        <w:rPr>
          <w:lang w:val="en-AU"/>
        </w:rPr>
        <w:t xml:space="preserve">Provide a </w:t>
      </w:r>
      <w:r w:rsidR="007D62EA" w:rsidRPr="002A2167">
        <w:rPr>
          <w:lang w:val="en-AU"/>
        </w:rPr>
        <w:t>suitable range of commercial and industrial precincts located within the regional city, regional centres and towns recognising each settlement’s role in their community of interest</w:t>
      </w:r>
      <w:r w:rsidRPr="002A2167">
        <w:rPr>
          <w:lang w:val="en-AU"/>
        </w:rPr>
        <w:t>, including cross-border and inter-regional access for economic development</w:t>
      </w:r>
    </w:p>
    <w:p w:rsidR="007D62EA" w:rsidRPr="002A2167" w:rsidRDefault="007D62EA" w:rsidP="007D62EA">
      <w:pPr>
        <w:pStyle w:val="bt"/>
        <w:rPr>
          <w:rStyle w:val="Strong"/>
          <w:lang w:val="en-AU"/>
        </w:rPr>
      </w:pPr>
      <w:r w:rsidRPr="002A2167">
        <w:rPr>
          <w:rStyle w:val="Strong"/>
          <w:lang w:val="en-AU"/>
        </w:rPr>
        <w:t xml:space="preserve">Principle for </w:t>
      </w:r>
      <w:r w:rsidR="00587097">
        <w:rPr>
          <w:rStyle w:val="Strong"/>
          <w:lang w:val="en-AU"/>
        </w:rPr>
        <w:t>g</w:t>
      </w:r>
      <w:r w:rsidR="00587097" w:rsidRPr="002A2167">
        <w:rPr>
          <w:rStyle w:val="Strong"/>
          <w:lang w:val="en-AU"/>
        </w:rPr>
        <w:t>rowth</w:t>
      </w:r>
    </w:p>
    <w:p w:rsidR="007D62EA" w:rsidRPr="002A2167" w:rsidRDefault="007D62EA" w:rsidP="007D62EA">
      <w:pPr>
        <w:pStyle w:val="ListNumber"/>
        <w:rPr>
          <w:lang w:val="en-AU"/>
        </w:rPr>
      </w:pPr>
      <w:r w:rsidRPr="002A2167">
        <w:rPr>
          <w:lang w:val="en-AU"/>
        </w:rPr>
        <w:t>Realise opportunities to strengthen and diversify the regional economy</w:t>
      </w:r>
    </w:p>
    <w:p w:rsidR="007D62EA" w:rsidRPr="002A2167" w:rsidRDefault="007D62EA" w:rsidP="007D62EA">
      <w:pPr>
        <w:pStyle w:val="bt"/>
        <w:rPr>
          <w:rStyle w:val="Strong"/>
          <w:lang w:val="en-AU"/>
        </w:rPr>
      </w:pPr>
      <w:r w:rsidRPr="002A2167">
        <w:rPr>
          <w:rStyle w:val="Strong"/>
          <w:lang w:val="en-AU"/>
        </w:rPr>
        <w:t>Future directions</w:t>
      </w:r>
    </w:p>
    <w:p w:rsidR="007D62EA" w:rsidRPr="002A2167" w:rsidRDefault="007D62EA" w:rsidP="007D62EA">
      <w:pPr>
        <w:pStyle w:val="btbullet"/>
        <w:rPr>
          <w:lang w:val="en-AU"/>
        </w:rPr>
      </w:pPr>
      <w:r w:rsidRPr="002A2167">
        <w:rPr>
          <w:lang w:val="en-AU"/>
        </w:rPr>
        <w:t>Further diversify the primary production, service</w:t>
      </w:r>
      <w:r w:rsidR="00791004" w:rsidRPr="002A2167">
        <w:rPr>
          <w:lang w:val="en-AU"/>
        </w:rPr>
        <w:t>,</w:t>
      </w:r>
      <w:r w:rsidRPr="002A2167">
        <w:rPr>
          <w:lang w:val="en-AU"/>
        </w:rPr>
        <w:t xml:space="preserve"> manufacturing</w:t>
      </w:r>
      <w:r w:rsidR="00791004" w:rsidRPr="002A2167">
        <w:rPr>
          <w:lang w:val="en-AU"/>
        </w:rPr>
        <w:t xml:space="preserve"> and tourism</w:t>
      </w:r>
      <w:r w:rsidRPr="002A2167">
        <w:rPr>
          <w:lang w:val="en-AU"/>
        </w:rPr>
        <w:t xml:space="preserve"> industries</w:t>
      </w:r>
    </w:p>
    <w:p w:rsidR="007D62EA" w:rsidRPr="002A2167" w:rsidRDefault="007D62EA" w:rsidP="007D62EA">
      <w:pPr>
        <w:pStyle w:val="bt"/>
        <w:rPr>
          <w:rStyle w:val="Strong"/>
          <w:lang w:val="en-AU"/>
        </w:rPr>
      </w:pPr>
      <w:r w:rsidRPr="002A2167">
        <w:rPr>
          <w:rStyle w:val="Strong"/>
          <w:lang w:val="en-AU"/>
        </w:rPr>
        <w:t>Strategies (refer to Map 12 for future direction)</w:t>
      </w:r>
    </w:p>
    <w:p w:rsidR="007D62EA" w:rsidRPr="002A2167" w:rsidRDefault="007D62EA" w:rsidP="007D62EA">
      <w:pPr>
        <w:pStyle w:val="btbullet"/>
        <w:rPr>
          <w:lang w:val="en-AU"/>
        </w:rPr>
      </w:pPr>
      <w:r w:rsidRPr="002A2167">
        <w:rPr>
          <w:lang w:val="en-AU"/>
        </w:rPr>
        <w:t>Encourage growth and adaptation of agriculture</w:t>
      </w:r>
    </w:p>
    <w:p w:rsidR="007D62EA" w:rsidRPr="002A2167" w:rsidRDefault="007D62EA" w:rsidP="007D62EA">
      <w:pPr>
        <w:pStyle w:val="btbullet"/>
        <w:rPr>
          <w:lang w:val="en-AU"/>
        </w:rPr>
      </w:pPr>
      <w:r w:rsidRPr="002A2167">
        <w:rPr>
          <w:lang w:val="en-AU"/>
        </w:rPr>
        <w:t>Encourage emerging agribusinesses and location clusters</w:t>
      </w:r>
    </w:p>
    <w:p w:rsidR="007D62EA" w:rsidRPr="002A2167" w:rsidRDefault="007D62EA" w:rsidP="007D62EA">
      <w:pPr>
        <w:pStyle w:val="btbullet"/>
        <w:rPr>
          <w:lang w:val="en-AU"/>
        </w:rPr>
      </w:pPr>
      <w:r w:rsidRPr="002A2167">
        <w:rPr>
          <w:lang w:val="en-AU"/>
        </w:rPr>
        <w:t>Encourage production and processing that adds value to local agricultural and other primary production products</w:t>
      </w:r>
    </w:p>
    <w:p w:rsidR="006B0142" w:rsidRPr="002A2167" w:rsidRDefault="007D62EA" w:rsidP="007D62EA">
      <w:pPr>
        <w:pStyle w:val="btbullet"/>
        <w:rPr>
          <w:b/>
          <w:bCs/>
          <w:lang w:val="en-AU"/>
        </w:rPr>
      </w:pPr>
      <w:r w:rsidRPr="002A2167">
        <w:rPr>
          <w:lang w:val="en-AU"/>
        </w:rPr>
        <w:t xml:space="preserve">Support appropriate initiatives such as investment in infrastructure, freight and logistics and </w:t>
      </w:r>
      <w:r w:rsidR="005C2AB6" w:rsidRPr="002A2167">
        <w:rPr>
          <w:lang w:val="en-AU"/>
        </w:rPr>
        <w:t xml:space="preserve">increased </w:t>
      </w:r>
      <w:r w:rsidRPr="002A2167">
        <w:rPr>
          <w:lang w:val="en-AU"/>
        </w:rPr>
        <w:t>availability of natural gas</w:t>
      </w:r>
    </w:p>
    <w:p w:rsidR="007D62EA" w:rsidRPr="002A2167" w:rsidRDefault="007D62EA" w:rsidP="007D62EA">
      <w:pPr>
        <w:pStyle w:val="bt"/>
        <w:rPr>
          <w:rStyle w:val="Strong"/>
          <w:lang w:val="en-AU"/>
        </w:rPr>
      </w:pPr>
      <w:r w:rsidRPr="002A2167">
        <w:rPr>
          <w:rStyle w:val="Strong"/>
          <w:lang w:val="en-AU"/>
        </w:rPr>
        <w:t xml:space="preserve">Principle for </w:t>
      </w:r>
      <w:r w:rsidR="006B0142">
        <w:rPr>
          <w:rStyle w:val="Strong"/>
          <w:lang w:val="en-AU"/>
        </w:rPr>
        <w:t>g</w:t>
      </w:r>
      <w:r w:rsidR="006B0142" w:rsidRPr="002A2167">
        <w:rPr>
          <w:rStyle w:val="Strong"/>
          <w:lang w:val="en-AU"/>
        </w:rPr>
        <w:t>rowth</w:t>
      </w:r>
    </w:p>
    <w:p w:rsidR="007D62EA" w:rsidRPr="002A2167" w:rsidRDefault="007D62EA" w:rsidP="007D62EA">
      <w:pPr>
        <w:pStyle w:val="ListNumber"/>
        <w:rPr>
          <w:rStyle w:val="Strong"/>
          <w:b w:val="0"/>
          <w:bCs w:val="0"/>
          <w:lang w:val="en-AU"/>
        </w:rPr>
      </w:pPr>
      <w:r w:rsidRPr="002A2167">
        <w:rPr>
          <w:lang w:val="en-AU"/>
        </w:rPr>
        <w:t>Support and manage our rural landscapes</w:t>
      </w:r>
    </w:p>
    <w:p w:rsidR="007D62EA" w:rsidRPr="002A2167" w:rsidRDefault="007D62EA" w:rsidP="007D62EA">
      <w:pPr>
        <w:pStyle w:val="bt"/>
        <w:rPr>
          <w:rStyle w:val="Strong"/>
          <w:lang w:val="en-AU"/>
        </w:rPr>
      </w:pPr>
      <w:r w:rsidRPr="002A2167">
        <w:rPr>
          <w:rStyle w:val="Strong"/>
          <w:lang w:val="en-AU"/>
        </w:rPr>
        <w:t>Future directions</w:t>
      </w:r>
    </w:p>
    <w:p w:rsidR="007D62EA" w:rsidRPr="002A2167" w:rsidRDefault="007D62EA" w:rsidP="007D62EA">
      <w:pPr>
        <w:pStyle w:val="btbullet"/>
        <w:rPr>
          <w:lang w:val="en-AU"/>
        </w:rPr>
      </w:pPr>
      <w:r w:rsidRPr="002A2167">
        <w:rPr>
          <w:lang w:val="en-AU"/>
        </w:rPr>
        <w:t>Protect key regional assets</w:t>
      </w:r>
    </w:p>
    <w:p w:rsidR="007D62EA" w:rsidRPr="002A2167" w:rsidRDefault="007D62EA" w:rsidP="007D62EA">
      <w:pPr>
        <w:pStyle w:val="bt"/>
        <w:rPr>
          <w:rStyle w:val="Strong"/>
          <w:lang w:val="en-AU"/>
        </w:rPr>
      </w:pPr>
      <w:r w:rsidRPr="002A2167">
        <w:rPr>
          <w:rStyle w:val="Strong"/>
          <w:lang w:val="en-AU"/>
        </w:rPr>
        <w:t>Strategies (refer to Map 12 for future direction)</w:t>
      </w:r>
    </w:p>
    <w:p w:rsidR="007D62EA" w:rsidRPr="002A2167" w:rsidRDefault="007D62EA" w:rsidP="007D62EA">
      <w:pPr>
        <w:pStyle w:val="btbullet"/>
        <w:rPr>
          <w:lang w:val="en-AU"/>
        </w:rPr>
      </w:pPr>
      <w:r w:rsidRPr="002A2167">
        <w:rPr>
          <w:lang w:val="en-AU"/>
        </w:rPr>
        <w:lastRenderedPageBreak/>
        <w:t>Identify and protect areas of strategic significance for agriculture</w:t>
      </w:r>
    </w:p>
    <w:p w:rsidR="007D62EA" w:rsidRPr="002A2167" w:rsidRDefault="007D62EA" w:rsidP="007D62EA">
      <w:pPr>
        <w:pStyle w:val="btbullet"/>
        <w:rPr>
          <w:lang w:val="en-AU"/>
        </w:rPr>
      </w:pPr>
      <w:r w:rsidRPr="002A2167">
        <w:rPr>
          <w:lang w:val="en-AU"/>
        </w:rPr>
        <w:t>Encourage adaptation of the agricultural sector to embrace opportunities and respond to the potential risks arising from climate change</w:t>
      </w:r>
    </w:p>
    <w:p w:rsidR="007D62EA" w:rsidRPr="002A2167" w:rsidRDefault="007D62EA" w:rsidP="007D62EA">
      <w:pPr>
        <w:pStyle w:val="btbullet"/>
        <w:rPr>
          <w:lang w:val="en-AU"/>
        </w:rPr>
      </w:pPr>
      <w:r w:rsidRPr="002A2167">
        <w:rPr>
          <w:lang w:val="en-AU"/>
        </w:rPr>
        <w:t>Protect major infrastructure, industrial land and mining activities from encroachment</w:t>
      </w:r>
      <w:r w:rsidR="005C2AB6" w:rsidRPr="002A2167">
        <w:rPr>
          <w:lang w:val="en-AU"/>
        </w:rPr>
        <w:t xml:space="preserve"> by incompatible uses</w:t>
      </w:r>
    </w:p>
    <w:p w:rsidR="005C2AB6" w:rsidRPr="002A2167" w:rsidRDefault="005C2AB6" w:rsidP="007D62EA">
      <w:pPr>
        <w:pStyle w:val="btbullet"/>
        <w:rPr>
          <w:lang w:val="en-AU"/>
        </w:rPr>
      </w:pPr>
      <w:r w:rsidRPr="002A2167">
        <w:rPr>
          <w:lang w:val="en-AU"/>
        </w:rPr>
        <w:t xml:space="preserve">Facilitate ongoing agricultural productivity and investment in high value agriculture by critically assessing proposals for non-agricultural uses within areas of strategic agricultural </w:t>
      </w:r>
      <w:r w:rsidR="00C9781A">
        <w:rPr>
          <w:lang w:val="en-AU"/>
        </w:rPr>
        <w:t>significance</w:t>
      </w:r>
      <w:r w:rsidR="00C9781A" w:rsidRPr="002A2167">
        <w:rPr>
          <w:lang w:val="en-AU"/>
        </w:rPr>
        <w:t xml:space="preserve"> </w:t>
      </w:r>
      <w:r w:rsidRPr="002A2167">
        <w:rPr>
          <w:lang w:val="en-AU"/>
        </w:rPr>
        <w:t>and preventing encroachment of incompatible uses</w:t>
      </w:r>
    </w:p>
    <w:p w:rsidR="007D62EA" w:rsidRPr="002A2167" w:rsidRDefault="007D62EA" w:rsidP="007D62EA">
      <w:pPr>
        <w:pStyle w:val="btbullet"/>
        <w:rPr>
          <w:rStyle w:val="Strong"/>
          <w:lang w:val="en-AU"/>
        </w:rPr>
      </w:pPr>
      <w:r w:rsidRPr="002A2167">
        <w:rPr>
          <w:lang w:val="en-AU"/>
        </w:rPr>
        <w:t>Protect and maintain productive land and irrigation assets necessary to help grow Loddon Mallee North as an important food bowl for domestic and international exports</w:t>
      </w:r>
    </w:p>
    <w:p w:rsidR="007D62EA" w:rsidRPr="002A2167" w:rsidRDefault="007D62EA" w:rsidP="007D62EA">
      <w:pPr>
        <w:pStyle w:val="bt"/>
        <w:rPr>
          <w:rStyle w:val="Strong"/>
          <w:lang w:val="en-AU"/>
        </w:rPr>
      </w:pPr>
      <w:r w:rsidRPr="002A2167">
        <w:rPr>
          <w:rStyle w:val="Strong"/>
          <w:lang w:val="en-AU"/>
        </w:rPr>
        <w:t>Future directions</w:t>
      </w:r>
    </w:p>
    <w:p w:rsidR="007D62EA" w:rsidRPr="002A2167" w:rsidRDefault="007D62EA" w:rsidP="007D62EA">
      <w:pPr>
        <w:pStyle w:val="btbullet"/>
        <w:rPr>
          <w:lang w:val="en-AU"/>
        </w:rPr>
      </w:pPr>
      <w:r w:rsidRPr="002A2167">
        <w:rPr>
          <w:lang w:val="en-AU"/>
        </w:rPr>
        <w:t>Maximise the local and regional benefits of emerging economic opportunities</w:t>
      </w:r>
    </w:p>
    <w:p w:rsidR="007D62EA" w:rsidRPr="002A2167" w:rsidRDefault="007D62EA" w:rsidP="007D62EA">
      <w:pPr>
        <w:pStyle w:val="bt"/>
        <w:rPr>
          <w:rStyle w:val="Strong"/>
          <w:lang w:val="en-AU"/>
        </w:rPr>
      </w:pPr>
      <w:r w:rsidRPr="002A2167">
        <w:rPr>
          <w:rStyle w:val="Strong"/>
          <w:lang w:val="en-AU"/>
        </w:rPr>
        <w:t>Strategies (refer to Map 12 for future direction)</w:t>
      </w:r>
    </w:p>
    <w:p w:rsidR="007D62EA" w:rsidRPr="002A2167" w:rsidRDefault="007D62EA" w:rsidP="007D62EA">
      <w:pPr>
        <w:pStyle w:val="btbullet"/>
        <w:rPr>
          <w:lang w:val="en-AU"/>
        </w:rPr>
      </w:pPr>
      <w:r w:rsidRPr="002A2167">
        <w:rPr>
          <w:lang w:val="en-AU"/>
        </w:rPr>
        <w:t>Support emerging and potential growth sectors such as nature-based tourism, mining and renewable energy generation and protect these activities from urban encroachment</w:t>
      </w:r>
    </w:p>
    <w:p w:rsidR="00560BD8" w:rsidRPr="00D814CE" w:rsidRDefault="00560BD8" w:rsidP="00560BD8">
      <w:pPr>
        <w:pStyle w:val="btbullet"/>
        <w:rPr>
          <w:lang w:val="en-AU"/>
        </w:rPr>
      </w:pPr>
      <w:r w:rsidRPr="002A2167">
        <w:rPr>
          <w:lang w:val="en-AU"/>
        </w:rPr>
        <w:t>Identify and foster regional, cross</w:t>
      </w:r>
      <w:r w:rsidR="00BF3168">
        <w:rPr>
          <w:lang w:val="en-AU"/>
        </w:rPr>
        <w:t>-</w:t>
      </w:r>
      <w:r w:rsidRPr="00D814CE">
        <w:rPr>
          <w:lang w:val="en-AU"/>
        </w:rPr>
        <w:t>border and inter-regional relationships to harness emerging economic opportunities</w:t>
      </w:r>
    </w:p>
    <w:p w:rsidR="007D62EA" w:rsidRPr="0016654F" w:rsidRDefault="007D62EA" w:rsidP="0016654F">
      <w:pPr>
        <w:pStyle w:val="Heading2nonum"/>
        <w:rPr>
          <w:rStyle w:val="Strong"/>
        </w:rPr>
      </w:pPr>
      <w:r w:rsidRPr="0016654F">
        <w:rPr>
          <w:rStyle w:val="Strong"/>
        </w:rPr>
        <w:t xml:space="preserve">Theme: </w:t>
      </w:r>
      <w:r w:rsidR="001F2732" w:rsidRPr="0016654F">
        <w:rPr>
          <w:rStyle w:val="Strong"/>
        </w:rPr>
        <w:t xml:space="preserve">Environment and </w:t>
      </w:r>
      <w:r w:rsidR="00BF54CD" w:rsidRPr="0016654F">
        <w:rPr>
          <w:rStyle w:val="Strong"/>
        </w:rPr>
        <w:t>heritage</w:t>
      </w:r>
    </w:p>
    <w:p w:rsidR="007D62EA" w:rsidRPr="00D814CE" w:rsidRDefault="007D62EA" w:rsidP="007D62EA">
      <w:pPr>
        <w:pStyle w:val="bt"/>
        <w:rPr>
          <w:rStyle w:val="Strong"/>
          <w:lang w:val="en-AU"/>
        </w:rPr>
      </w:pPr>
      <w:r w:rsidRPr="00D814CE">
        <w:rPr>
          <w:rStyle w:val="Strong"/>
          <w:lang w:val="en-AU"/>
        </w:rPr>
        <w:t xml:space="preserve">Principle for </w:t>
      </w:r>
      <w:r w:rsidR="00BF54CD">
        <w:rPr>
          <w:rStyle w:val="Strong"/>
          <w:lang w:val="en-AU"/>
        </w:rPr>
        <w:t>g</w:t>
      </w:r>
      <w:r w:rsidR="00BF54CD" w:rsidRPr="00D814CE">
        <w:rPr>
          <w:rStyle w:val="Strong"/>
          <w:lang w:val="en-AU"/>
        </w:rPr>
        <w:t>rowth</w:t>
      </w:r>
    </w:p>
    <w:p w:rsidR="001F2732" w:rsidRPr="00D814CE" w:rsidRDefault="001F2732" w:rsidP="001F2732">
      <w:pPr>
        <w:pStyle w:val="ListNumber"/>
        <w:rPr>
          <w:rStyle w:val="Strong"/>
          <w:b w:val="0"/>
          <w:bCs w:val="0"/>
          <w:lang w:val="en-AU"/>
        </w:rPr>
      </w:pPr>
      <w:r w:rsidRPr="00D814CE">
        <w:rPr>
          <w:lang w:val="en-AU"/>
        </w:rPr>
        <w:t>Be custodians of our region’s environmental and cultural heritage assets and minimise the region’s exposure to natural hazards</w:t>
      </w:r>
    </w:p>
    <w:p w:rsidR="007D62EA" w:rsidRPr="00D814CE" w:rsidRDefault="007D62EA" w:rsidP="007D62EA">
      <w:pPr>
        <w:pStyle w:val="bt"/>
        <w:rPr>
          <w:rStyle w:val="Strong"/>
          <w:lang w:val="en-AU"/>
        </w:rPr>
      </w:pPr>
      <w:r w:rsidRPr="00D814CE">
        <w:rPr>
          <w:rStyle w:val="Strong"/>
          <w:lang w:val="en-AU"/>
        </w:rPr>
        <w:t>Future directions</w:t>
      </w:r>
    </w:p>
    <w:p w:rsidR="001F2732" w:rsidRPr="00D814CE" w:rsidRDefault="001F2732" w:rsidP="001F2732">
      <w:pPr>
        <w:pStyle w:val="btbullet"/>
        <w:rPr>
          <w:lang w:val="en-AU"/>
        </w:rPr>
      </w:pPr>
      <w:r w:rsidRPr="00D814CE">
        <w:rPr>
          <w:lang w:val="en-AU"/>
        </w:rPr>
        <w:t>Manage risks to growth from natural hazards</w:t>
      </w:r>
    </w:p>
    <w:p w:rsidR="007D62EA" w:rsidRPr="00D814CE" w:rsidRDefault="007D62EA" w:rsidP="007D62EA">
      <w:pPr>
        <w:pStyle w:val="bt"/>
        <w:rPr>
          <w:rStyle w:val="Strong"/>
          <w:lang w:val="en-AU"/>
        </w:rPr>
      </w:pPr>
      <w:r w:rsidRPr="00D814CE">
        <w:rPr>
          <w:rStyle w:val="Strong"/>
          <w:lang w:val="en-AU"/>
        </w:rPr>
        <w:t>Strategies (refer to Map 12 for future direction)</w:t>
      </w:r>
    </w:p>
    <w:p w:rsidR="001F2732" w:rsidRPr="00D814CE" w:rsidRDefault="001F2732" w:rsidP="001F2732">
      <w:pPr>
        <w:pStyle w:val="btbullet"/>
      </w:pPr>
      <w:r w:rsidRPr="00D814CE">
        <w:rPr>
          <w:lang w:val="en-AU"/>
        </w:rPr>
        <w:t>Direct development away from locations where there is significant risk from flood</w:t>
      </w:r>
    </w:p>
    <w:p w:rsidR="001F2732" w:rsidRPr="00D814CE" w:rsidRDefault="001F2732" w:rsidP="001F2732">
      <w:pPr>
        <w:pStyle w:val="btbullet"/>
      </w:pPr>
      <w:r w:rsidRPr="00D814CE">
        <w:t>Direct development to locations of lower bushfire risk</w:t>
      </w:r>
    </w:p>
    <w:p w:rsidR="001F2732" w:rsidRPr="00D814CE" w:rsidRDefault="001F2732" w:rsidP="001F2732">
      <w:pPr>
        <w:pStyle w:val="btbullet"/>
        <w:rPr>
          <w:lang w:val="en-AU"/>
        </w:rPr>
      </w:pPr>
      <w:r w:rsidRPr="00D814CE">
        <w:t xml:space="preserve">Carefully consider development in locations where there is significant bushfire risk that cannot </w:t>
      </w:r>
      <w:r w:rsidRPr="00D814CE">
        <w:rPr>
          <w:lang w:val="en-AU"/>
        </w:rPr>
        <w:t>be avoided</w:t>
      </w:r>
    </w:p>
    <w:p w:rsidR="001F2732" w:rsidRPr="00D814CE" w:rsidRDefault="001F2732" w:rsidP="001F2732">
      <w:pPr>
        <w:pStyle w:val="btbullet"/>
        <w:rPr>
          <w:lang w:val="en-AU"/>
        </w:rPr>
      </w:pPr>
      <w:r w:rsidRPr="00D814CE">
        <w:rPr>
          <w:lang w:val="en-AU"/>
        </w:rPr>
        <w:t>Avoid development in locations of extreme bushfire risk</w:t>
      </w:r>
    </w:p>
    <w:p w:rsidR="001F2732" w:rsidRPr="00D814CE" w:rsidRDefault="001F2732" w:rsidP="00F906D8">
      <w:pPr>
        <w:pStyle w:val="btbullet"/>
        <w:spacing w:before="120" w:after="120"/>
        <w:rPr>
          <w:b/>
          <w:bCs/>
        </w:rPr>
      </w:pPr>
      <w:r w:rsidRPr="00D814CE">
        <w:rPr>
          <w:lang w:val="en-AU"/>
        </w:rPr>
        <w:t xml:space="preserve">Avoid development in areas where planned bushfire protection measures may be incompatible </w:t>
      </w:r>
      <w:r w:rsidRPr="00D814CE">
        <w:t>with other environmental objectives</w:t>
      </w:r>
    </w:p>
    <w:p w:rsidR="00841685" w:rsidRPr="00D814CE" w:rsidRDefault="00841685" w:rsidP="00F906D8">
      <w:pPr>
        <w:pStyle w:val="btbullet"/>
        <w:spacing w:before="120" w:after="120"/>
        <w:rPr>
          <w:rStyle w:val="Strong"/>
        </w:rPr>
      </w:pPr>
      <w:r w:rsidRPr="00D814CE">
        <w:rPr>
          <w:lang w:val="en-AU"/>
        </w:rPr>
        <w:t xml:space="preserve">Planned development should consider access to water for emergency response and </w:t>
      </w:r>
      <w:r w:rsidR="00DD4218" w:rsidRPr="00D814CE">
        <w:rPr>
          <w:lang w:val="en-AU"/>
        </w:rPr>
        <w:t>fire fighting</w:t>
      </w:r>
    </w:p>
    <w:p w:rsidR="00596330" w:rsidRPr="00D814CE" w:rsidRDefault="00596330" w:rsidP="00F906D8">
      <w:pPr>
        <w:pStyle w:val="btbullet"/>
        <w:numPr>
          <w:ilvl w:val="0"/>
          <w:numId w:val="0"/>
        </w:numPr>
        <w:spacing w:before="120" w:after="120"/>
        <w:rPr>
          <w:rStyle w:val="Strong"/>
          <w:lang w:val="en-AU"/>
        </w:rPr>
      </w:pPr>
      <w:r w:rsidRPr="00D814CE">
        <w:rPr>
          <w:rStyle w:val="Strong"/>
        </w:rPr>
        <w:t>Future directions</w:t>
      </w:r>
    </w:p>
    <w:p w:rsidR="00596330" w:rsidRPr="00D814CE" w:rsidRDefault="00596330" w:rsidP="00F906D8">
      <w:pPr>
        <w:pStyle w:val="btbullet"/>
        <w:spacing w:before="120" w:after="120"/>
        <w:rPr>
          <w:lang w:val="en-AU"/>
        </w:rPr>
      </w:pPr>
      <w:r w:rsidRPr="00D814CE">
        <w:rPr>
          <w:lang w:val="en-AU"/>
        </w:rPr>
        <w:t>Protect and improve the condition of environmental and cultural heritage assets</w:t>
      </w:r>
    </w:p>
    <w:p w:rsidR="00596330" w:rsidRPr="00C039C0" w:rsidRDefault="00596330" w:rsidP="00F906D8">
      <w:pPr>
        <w:pStyle w:val="btbullet"/>
        <w:numPr>
          <w:ilvl w:val="0"/>
          <w:numId w:val="0"/>
        </w:numPr>
        <w:spacing w:before="120" w:after="120"/>
        <w:rPr>
          <w:rStyle w:val="Strong"/>
          <w:lang w:val="en-AU"/>
        </w:rPr>
      </w:pPr>
      <w:r w:rsidRPr="00D814CE">
        <w:rPr>
          <w:rStyle w:val="Strong"/>
          <w:lang w:val="en-AU"/>
        </w:rPr>
        <w:t>Strategies (refer to Map 12 for future direction)</w:t>
      </w:r>
    </w:p>
    <w:p w:rsidR="00841685" w:rsidRPr="00C039C0" w:rsidRDefault="00841685" w:rsidP="00841685">
      <w:pPr>
        <w:pStyle w:val="btbullet"/>
        <w:spacing w:before="120" w:after="120"/>
        <w:rPr>
          <w:rStyle w:val="Strong"/>
          <w:lang w:val="en-AU"/>
        </w:rPr>
      </w:pPr>
      <w:r w:rsidRPr="00C039C0">
        <w:rPr>
          <w:lang w:val="en-AU"/>
        </w:rPr>
        <w:t>Consistently incorporate information on environmental and cultural heritage assets and natural hazards into planning schemes</w:t>
      </w:r>
    </w:p>
    <w:p w:rsidR="00596330" w:rsidRPr="00C039C0" w:rsidRDefault="00596330" w:rsidP="00596330">
      <w:pPr>
        <w:pStyle w:val="btbullet"/>
        <w:rPr>
          <w:lang w:val="en-AU"/>
        </w:rPr>
      </w:pPr>
      <w:r w:rsidRPr="00C039C0">
        <w:rPr>
          <w:lang w:val="en-AU"/>
        </w:rPr>
        <w:lastRenderedPageBreak/>
        <w:t xml:space="preserve">Direct </w:t>
      </w:r>
      <w:r w:rsidR="0028300C" w:rsidRPr="00C039C0">
        <w:rPr>
          <w:lang w:val="en-AU"/>
        </w:rPr>
        <w:t>settlement</w:t>
      </w:r>
      <w:r w:rsidRPr="00C039C0">
        <w:rPr>
          <w:lang w:val="en-AU"/>
        </w:rPr>
        <w:t xml:space="preserve"> growth </w:t>
      </w:r>
      <w:r w:rsidR="0028300C" w:rsidRPr="00C039C0">
        <w:rPr>
          <w:lang w:val="en-AU"/>
        </w:rPr>
        <w:t xml:space="preserve">and development </w:t>
      </w:r>
      <w:r w:rsidRPr="00C039C0">
        <w:rPr>
          <w:lang w:val="en-AU"/>
        </w:rPr>
        <w:t xml:space="preserve">away from </w:t>
      </w:r>
      <w:r w:rsidR="0028300C" w:rsidRPr="00C039C0">
        <w:rPr>
          <w:lang w:val="en-AU"/>
        </w:rPr>
        <w:t xml:space="preserve">high value </w:t>
      </w:r>
      <w:r w:rsidRPr="00C039C0">
        <w:rPr>
          <w:lang w:val="en-AU"/>
        </w:rPr>
        <w:t>environmental and cultural heritage assets</w:t>
      </w:r>
    </w:p>
    <w:p w:rsidR="0028300C" w:rsidRPr="00C039C0" w:rsidRDefault="0028300C" w:rsidP="00596330">
      <w:pPr>
        <w:pStyle w:val="btbullet"/>
        <w:rPr>
          <w:lang w:val="en-AU"/>
        </w:rPr>
      </w:pPr>
      <w:r w:rsidRPr="00C039C0">
        <w:rPr>
          <w:lang w:val="en-AU"/>
        </w:rPr>
        <w:t>Undertake strategic planning for areas under pressure for rural residential development to protect nearby environmental assets and values and enhance the region’s environmental credentials</w:t>
      </w:r>
    </w:p>
    <w:p w:rsidR="00596330" w:rsidRPr="00C039C0" w:rsidRDefault="00596330" w:rsidP="00596330">
      <w:pPr>
        <w:pStyle w:val="btbullet"/>
        <w:rPr>
          <w:lang w:val="en-AU"/>
        </w:rPr>
      </w:pPr>
      <w:r w:rsidRPr="00C039C0">
        <w:rPr>
          <w:lang w:val="en-AU"/>
        </w:rPr>
        <w:t xml:space="preserve">Support </w:t>
      </w:r>
      <w:r w:rsidR="00841685" w:rsidRPr="00C039C0">
        <w:rPr>
          <w:lang w:val="en-AU"/>
        </w:rPr>
        <w:t xml:space="preserve">initiatives to enable the establishment, protection and reconnection of ecosystems through </w:t>
      </w:r>
      <w:r w:rsidRPr="00C039C0">
        <w:rPr>
          <w:lang w:val="en-AU"/>
        </w:rPr>
        <w:t>large scale native vegetation corridor projects</w:t>
      </w:r>
    </w:p>
    <w:p w:rsidR="00596330" w:rsidRPr="00C039C0" w:rsidRDefault="00596330" w:rsidP="00596330">
      <w:pPr>
        <w:pStyle w:val="btbullet"/>
        <w:rPr>
          <w:lang w:val="en-AU"/>
        </w:rPr>
      </w:pPr>
      <w:r w:rsidRPr="00C039C0">
        <w:rPr>
          <w:lang w:val="en-AU"/>
        </w:rPr>
        <w:t>Identify and protect significant landscapes</w:t>
      </w:r>
    </w:p>
    <w:p w:rsidR="00596330" w:rsidRPr="00C039C0" w:rsidRDefault="00596330" w:rsidP="00596330">
      <w:pPr>
        <w:pStyle w:val="btbullet"/>
        <w:rPr>
          <w:lang w:val="en-AU"/>
        </w:rPr>
      </w:pPr>
      <w:r w:rsidRPr="00C039C0">
        <w:rPr>
          <w:lang w:val="en-AU"/>
        </w:rPr>
        <w:t>Investigate the development of regional heritage themes</w:t>
      </w:r>
      <w:r w:rsidR="00841685" w:rsidRPr="00C039C0">
        <w:rPr>
          <w:lang w:val="en-AU"/>
        </w:rPr>
        <w:t xml:space="preserve"> and use these to inform local heritage studies</w:t>
      </w:r>
    </w:p>
    <w:p w:rsidR="00596330" w:rsidRPr="00C039C0" w:rsidRDefault="00596330" w:rsidP="00596330">
      <w:pPr>
        <w:pStyle w:val="btbullet"/>
        <w:rPr>
          <w:lang w:val="en-AU"/>
        </w:rPr>
      </w:pPr>
      <w:r w:rsidRPr="00C039C0">
        <w:rPr>
          <w:lang w:val="en-AU"/>
        </w:rPr>
        <w:t>Encourage projects that improve the management and use of water resources</w:t>
      </w:r>
    </w:p>
    <w:p w:rsidR="00596330" w:rsidRPr="00C039C0" w:rsidRDefault="00596330" w:rsidP="00F906D8">
      <w:pPr>
        <w:pStyle w:val="btbullet"/>
        <w:numPr>
          <w:ilvl w:val="0"/>
          <w:numId w:val="0"/>
        </w:numPr>
        <w:spacing w:before="120" w:after="120"/>
        <w:rPr>
          <w:rStyle w:val="Strong"/>
          <w:lang w:val="en-AU"/>
        </w:rPr>
      </w:pPr>
      <w:r w:rsidRPr="00C039C0">
        <w:rPr>
          <w:rStyle w:val="Strong"/>
          <w:lang w:val="en-AU"/>
        </w:rPr>
        <w:t>Future directions</w:t>
      </w:r>
    </w:p>
    <w:p w:rsidR="00596330" w:rsidRPr="00C039C0" w:rsidRDefault="00596330" w:rsidP="00F906D8">
      <w:pPr>
        <w:pStyle w:val="btbullet"/>
        <w:spacing w:before="120" w:after="120"/>
        <w:rPr>
          <w:lang w:val="en-AU"/>
        </w:rPr>
      </w:pPr>
      <w:r w:rsidRPr="00C039C0">
        <w:rPr>
          <w:lang w:val="en-AU"/>
        </w:rPr>
        <w:t xml:space="preserve">Plan for and manage risks and opportunities arising from climate change and </w:t>
      </w:r>
      <w:r w:rsidR="004A38F2">
        <w:rPr>
          <w:lang w:val="en-AU"/>
        </w:rPr>
        <w:t xml:space="preserve">national </w:t>
      </w:r>
      <w:r w:rsidR="00C14963">
        <w:rPr>
          <w:lang w:val="en-AU"/>
        </w:rPr>
        <w:t>greenhouse gas emissions reduction actions</w:t>
      </w:r>
    </w:p>
    <w:p w:rsidR="00596330" w:rsidRPr="00C039C0" w:rsidRDefault="00596330" w:rsidP="00F906D8">
      <w:pPr>
        <w:pStyle w:val="btbullet"/>
        <w:numPr>
          <w:ilvl w:val="0"/>
          <w:numId w:val="0"/>
        </w:numPr>
        <w:spacing w:before="120" w:after="120"/>
        <w:rPr>
          <w:rStyle w:val="Strong"/>
          <w:lang w:val="en-AU"/>
        </w:rPr>
      </w:pPr>
      <w:r w:rsidRPr="00C039C0">
        <w:rPr>
          <w:rStyle w:val="Strong"/>
          <w:lang w:val="en-AU"/>
        </w:rPr>
        <w:t>Strategies (refer to Map 12 for future direction)</w:t>
      </w:r>
    </w:p>
    <w:p w:rsidR="00596330" w:rsidRPr="00C039C0" w:rsidRDefault="00596330" w:rsidP="00596330">
      <w:pPr>
        <w:pStyle w:val="btbullet"/>
        <w:rPr>
          <w:lang w:val="en-AU"/>
        </w:rPr>
      </w:pPr>
      <w:r w:rsidRPr="00C039C0">
        <w:rPr>
          <w:lang w:val="en-AU"/>
        </w:rPr>
        <w:t xml:space="preserve">Ensure that regional and local planning responds to opportunities for innovation and industry development arising from climate change and </w:t>
      </w:r>
      <w:r w:rsidR="002C1AC7" w:rsidRPr="00C039C0">
        <w:rPr>
          <w:lang w:val="en-AU"/>
        </w:rPr>
        <w:t>initiatives that support national and global action to reduce greenhouse gas emissions</w:t>
      </w:r>
    </w:p>
    <w:p w:rsidR="007D62EA" w:rsidRPr="00C039C0" w:rsidRDefault="007D62EA" w:rsidP="0016654F">
      <w:pPr>
        <w:pStyle w:val="Heading2nonum"/>
        <w:rPr>
          <w:rStyle w:val="Strong"/>
          <w:lang w:val="en-AU"/>
        </w:rPr>
      </w:pPr>
      <w:r w:rsidRPr="00C039C0">
        <w:rPr>
          <w:rStyle w:val="Strong"/>
          <w:lang w:val="en-AU"/>
        </w:rPr>
        <w:t xml:space="preserve">Theme: </w:t>
      </w:r>
      <w:r w:rsidR="00596330" w:rsidRPr="00C039C0">
        <w:rPr>
          <w:rStyle w:val="Strong"/>
          <w:lang w:val="en-AU"/>
        </w:rPr>
        <w:t>Living in the region</w:t>
      </w:r>
    </w:p>
    <w:p w:rsidR="007D62EA" w:rsidRPr="00C039C0" w:rsidRDefault="007522FE" w:rsidP="007D62EA">
      <w:pPr>
        <w:pStyle w:val="bt"/>
        <w:rPr>
          <w:rStyle w:val="Strong"/>
          <w:lang w:val="en-AU"/>
        </w:rPr>
      </w:pPr>
      <w:r>
        <w:rPr>
          <w:rStyle w:val="Strong"/>
          <w:lang w:val="en-AU"/>
        </w:rPr>
        <w:t>Principle</w:t>
      </w:r>
      <w:r w:rsidR="007D62EA" w:rsidRPr="00C039C0">
        <w:rPr>
          <w:rStyle w:val="Strong"/>
          <w:lang w:val="en-AU"/>
        </w:rPr>
        <w:t xml:space="preserve"> for </w:t>
      </w:r>
      <w:r w:rsidR="00215AD5">
        <w:rPr>
          <w:rStyle w:val="Strong"/>
          <w:lang w:val="en-AU"/>
        </w:rPr>
        <w:t>g</w:t>
      </w:r>
      <w:r w:rsidR="00215AD5" w:rsidRPr="00C039C0">
        <w:rPr>
          <w:rStyle w:val="Strong"/>
          <w:lang w:val="en-AU"/>
        </w:rPr>
        <w:t>rowth</w:t>
      </w:r>
    </w:p>
    <w:p w:rsidR="00596330" w:rsidRPr="00C039C0" w:rsidRDefault="00596330" w:rsidP="00596330">
      <w:pPr>
        <w:pStyle w:val="ListNumber"/>
        <w:rPr>
          <w:rStyle w:val="Strong"/>
          <w:b w:val="0"/>
          <w:bCs w:val="0"/>
          <w:lang w:val="en-AU"/>
        </w:rPr>
      </w:pPr>
      <w:r w:rsidRPr="00C039C0">
        <w:rPr>
          <w:lang w:val="en-AU"/>
        </w:rPr>
        <w:t>Protect and provide local sense of place</w:t>
      </w:r>
    </w:p>
    <w:p w:rsidR="007D62EA" w:rsidRPr="00C039C0" w:rsidRDefault="007D62EA" w:rsidP="007D62EA">
      <w:pPr>
        <w:pStyle w:val="bt"/>
        <w:rPr>
          <w:rStyle w:val="Strong"/>
          <w:lang w:val="en-AU"/>
        </w:rPr>
      </w:pPr>
      <w:r w:rsidRPr="00C039C0">
        <w:rPr>
          <w:rStyle w:val="Strong"/>
          <w:lang w:val="en-AU"/>
        </w:rPr>
        <w:t>Future directions</w:t>
      </w:r>
    </w:p>
    <w:p w:rsidR="00596330" w:rsidRPr="00C039C0" w:rsidRDefault="00596330" w:rsidP="00596330">
      <w:pPr>
        <w:pStyle w:val="btbullet"/>
        <w:rPr>
          <w:lang w:val="en-AU"/>
        </w:rPr>
      </w:pPr>
      <w:r w:rsidRPr="00C039C0">
        <w:rPr>
          <w:lang w:val="en-AU"/>
        </w:rPr>
        <w:t>Direct major population and housing growth to existing regional cities and centres</w:t>
      </w:r>
    </w:p>
    <w:p w:rsidR="007D62EA" w:rsidRPr="00C039C0" w:rsidRDefault="007D62EA" w:rsidP="007D62EA">
      <w:pPr>
        <w:pStyle w:val="bt"/>
        <w:rPr>
          <w:rStyle w:val="Strong"/>
          <w:lang w:val="en-AU"/>
        </w:rPr>
      </w:pPr>
      <w:r w:rsidRPr="00C039C0">
        <w:rPr>
          <w:rStyle w:val="Strong"/>
          <w:lang w:val="en-AU"/>
        </w:rPr>
        <w:t>Strategies (refer to Map 12 for future direction)</w:t>
      </w:r>
    </w:p>
    <w:p w:rsidR="007D62EA" w:rsidRPr="00C039C0" w:rsidRDefault="00596330" w:rsidP="00596330">
      <w:pPr>
        <w:pStyle w:val="btbullet"/>
        <w:rPr>
          <w:b/>
          <w:bCs/>
          <w:lang w:val="en-AU"/>
        </w:rPr>
      </w:pPr>
      <w:r w:rsidRPr="00C039C0">
        <w:rPr>
          <w:lang w:val="en-AU"/>
        </w:rPr>
        <w:t>Recognise and consolidate Mildura’s role as a regional city and Swan Hill and Echuca as regional centres</w:t>
      </w:r>
    </w:p>
    <w:p w:rsidR="00F6677C" w:rsidRPr="00C039C0" w:rsidRDefault="00F6677C" w:rsidP="00F6677C">
      <w:pPr>
        <w:pStyle w:val="btbullet"/>
        <w:rPr>
          <w:lang w:val="en-AU"/>
        </w:rPr>
      </w:pPr>
      <w:r w:rsidRPr="00C039C0">
        <w:rPr>
          <w:lang w:val="en-AU"/>
        </w:rPr>
        <w:t xml:space="preserve">Plan strategically for the most appropriate locations for rural residential growth </w:t>
      </w:r>
      <w:r w:rsidRPr="00C039C0">
        <w:rPr>
          <w:shd w:val="clear" w:color="auto" w:fill="FFFFFF" w:themeFill="background1"/>
          <w:lang w:val="en-AU"/>
        </w:rPr>
        <w:t xml:space="preserve">in the hinterland </w:t>
      </w:r>
      <w:r w:rsidRPr="00C039C0">
        <w:rPr>
          <w:lang w:val="en-AU"/>
        </w:rPr>
        <w:t>areas of Mildura, Swan Hill and Echuca</w:t>
      </w:r>
    </w:p>
    <w:p w:rsidR="00596330" w:rsidRPr="00C039C0" w:rsidRDefault="007522FE" w:rsidP="00596330">
      <w:pPr>
        <w:pStyle w:val="bt"/>
        <w:rPr>
          <w:rStyle w:val="Strong"/>
          <w:lang w:val="en-AU"/>
        </w:rPr>
      </w:pPr>
      <w:r>
        <w:rPr>
          <w:rStyle w:val="Strong"/>
          <w:lang w:val="en-AU"/>
        </w:rPr>
        <w:t>Principle</w:t>
      </w:r>
      <w:r w:rsidR="00596330" w:rsidRPr="00C039C0">
        <w:rPr>
          <w:rStyle w:val="Strong"/>
          <w:lang w:val="en-AU"/>
        </w:rPr>
        <w:t xml:space="preserve"> for </w:t>
      </w:r>
      <w:r w:rsidR="00FC1531">
        <w:rPr>
          <w:rStyle w:val="Strong"/>
          <w:lang w:val="en-AU"/>
        </w:rPr>
        <w:t>g</w:t>
      </w:r>
      <w:r w:rsidR="00FC1531" w:rsidRPr="00C039C0">
        <w:rPr>
          <w:rStyle w:val="Strong"/>
          <w:lang w:val="en-AU"/>
        </w:rPr>
        <w:t>rowth</w:t>
      </w:r>
    </w:p>
    <w:p w:rsidR="00596330" w:rsidRPr="00C039C0" w:rsidRDefault="00596330" w:rsidP="00596330">
      <w:pPr>
        <w:pStyle w:val="ListNumber"/>
        <w:rPr>
          <w:lang w:val="en-AU"/>
        </w:rPr>
      </w:pPr>
      <w:r w:rsidRPr="00C039C0">
        <w:rPr>
          <w:lang w:val="en-AU"/>
        </w:rPr>
        <w:t>Develop a living network of towns</w:t>
      </w:r>
    </w:p>
    <w:p w:rsidR="00596330" w:rsidRPr="00C039C0" w:rsidRDefault="00596330" w:rsidP="00596330">
      <w:pPr>
        <w:pStyle w:val="bt"/>
        <w:rPr>
          <w:rStyle w:val="Strong"/>
          <w:lang w:val="en-AU"/>
        </w:rPr>
      </w:pPr>
      <w:r w:rsidRPr="00C039C0">
        <w:rPr>
          <w:rStyle w:val="Strong"/>
          <w:lang w:val="en-AU"/>
        </w:rPr>
        <w:t>Future directions</w:t>
      </w:r>
    </w:p>
    <w:p w:rsidR="00596330" w:rsidRPr="00C039C0" w:rsidRDefault="00596330" w:rsidP="00596330">
      <w:pPr>
        <w:pStyle w:val="btbullet"/>
        <w:rPr>
          <w:rStyle w:val="Strong"/>
          <w:b w:val="0"/>
          <w:bCs w:val="0"/>
        </w:rPr>
      </w:pPr>
      <w:r w:rsidRPr="00C039C0">
        <w:rPr>
          <w:lang w:val="en-AU"/>
        </w:rPr>
        <w:t>Improve linkages within and between Loddon Mallee North’s five communities of interest</w:t>
      </w:r>
    </w:p>
    <w:p w:rsidR="00596330" w:rsidRPr="00C039C0" w:rsidRDefault="00596330" w:rsidP="00596330">
      <w:pPr>
        <w:pStyle w:val="bt"/>
        <w:rPr>
          <w:rStyle w:val="Strong"/>
        </w:rPr>
      </w:pPr>
      <w:r w:rsidRPr="00C039C0">
        <w:rPr>
          <w:rStyle w:val="Strong"/>
        </w:rPr>
        <w:t>Strategies (refer to Map 12 for future direction)</w:t>
      </w:r>
    </w:p>
    <w:p w:rsidR="00596330" w:rsidRPr="00C039C0" w:rsidRDefault="00F3530F" w:rsidP="00596330">
      <w:pPr>
        <w:pStyle w:val="btbullet"/>
      </w:pPr>
      <w:r w:rsidRPr="00C039C0">
        <w:t>Recognise and build on relationships between the Loddon Mallee North region and communities of interest in southern New South Wales, South Australia and adjoining Victorian regions</w:t>
      </w:r>
    </w:p>
    <w:p w:rsidR="00F3530F" w:rsidRPr="00C039C0" w:rsidRDefault="00F3530F" w:rsidP="00596330">
      <w:pPr>
        <w:pStyle w:val="btbullet"/>
      </w:pPr>
      <w:r w:rsidRPr="00C039C0">
        <w:t>Recognise and foster networks between smaller townships and communities to leverage access to regional services and investment</w:t>
      </w:r>
    </w:p>
    <w:p w:rsidR="00596330" w:rsidRPr="00C039C0" w:rsidRDefault="00596330" w:rsidP="00596330">
      <w:pPr>
        <w:pStyle w:val="btbullet"/>
      </w:pPr>
      <w:r w:rsidRPr="00C039C0">
        <w:t>Recognise and support towns that are well located to provide an ongoing service centre role to maximise access to services for surrounding smaller settlements and rural areas</w:t>
      </w:r>
    </w:p>
    <w:p w:rsidR="00F6677C" w:rsidRPr="00C039C0" w:rsidRDefault="00F6677C" w:rsidP="00596330">
      <w:pPr>
        <w:pStyle w:val="btbullet"/>
      </w:pPr>
      <w:r w:rsidRPr="00C039C0">
        <w:lastRenderedPageBreak/>
        <w:t>Ensure local planning policy frameworks identify regional, cross-border and inter-regional relationships and include measures to manage pressures, opportunities or constraints associated with these relationships and influences</w:t>
      </w:r>
    </w:p>
    <w:p w:rsidR="00596330" w:rsidRPr="00C039C0" w:rsidRDefault="00596330" w:rsidP="00596330">
      <w:pPr>
        <w:pStyle w:val="bt"/>
        <w:rPr>
          <w:rStyle w:val="Strong"/>
          <w:lang w:val="en-AU"/>
        </w:rPr>
      </w:pPr>
      <w:r w:rsidRPr="00C039C0">
        <w:rPr>
          <w:rStyle w:val="Strong"/>
        </w:rPr>
        <w:t>Future directions</w:t>
      </w:r>
    </w:p>
    <w:p w:rsidR="00596330" w:rsidRPr="00C039C0" w:rsidRDefault="00596330" w:rsidP="00596330">
      <w:pPr>
        <w:pStyle w:val="btbullet"/>
        <w:rPr>
          <w:rStyle w:val="Strong"/>
          <w:b w:val="0"/>
          <w:bCs w:val="0"/>
          <w:lang w:val="en-AU"/>
        </w:rPr>
      </w:pPr>
      <w:r w:rsidRPr="00C039C0">
        <w:rPr>
          <w:lang w:val="en-AU"/>
        </w:rPr>
        <w:t>Anticipate and respond to changing community needs</w:t>
      </w:r>
    </w:p>
    <w:p w:rsidR="00596330" w:rsidRPr="00C039C0" w:rsidRDefault="00596330" w:rsidP="00596330">
      <w:pPr>
        <w:pStyle w:val="bt"/>
        <w:rPr>
          <w:rStyle w:val="Strong"/>
          <w:lang w:val="en-AU"/>
        </w:rPr>
      </w:pPr>
      <w:r w:rsidRPr="00C039C0">
        <w:rPr>
          <w:rStyle w:val="Strong"/>
          <w:lang w:val="en-AU"/>
        </w:rPr>
        <w:t>Strategies (refer to Map 12 for future direction)</w:t>
      </w:r>
      <w:r w:rsidR="007869A3">
        <w:rPr>
          <w:rStyle w:val="Strong"/>
          <w:lang w:val="en-AU"/>
        </w:rPr>
        <w:t>:</w:t>
      </w:r>
    </w:p>
    <w:p w:rsidR="00596330" w:rsidRPr="00C039C0" w:rsidRDefault="00596330" w:rsidP="00596330">
      <w:pPr>
        <w:pStyle w:val="btbullet"/>
        <w:rPr>
          <w:lang w:val="en-AU"/>
        </w:rPr>
      </w:pPr>
      <w:r w:rsidRPr="00C039C0">
        <w:rPr>
          <w:lang w:val="en-AU"/>
        </w:rPr>
        <w:t>Encourage innovative approaches to the provision of housing</w:t>
      </w:r>
    </w:p>
    <w:p w:rsidR="00596330" w:rsidRPr="00C039C0" w:rsidRDefault="00596330" w:rsidP="00596330">
      <w:pPr>
        <w:pStyle w:val="btbullet"/>
        <w:rPr>
          <w:rStyle w:val="Strong"/>
          <w:lang w:val="en-AU"/>
        </w:rPr>
      </w:pPr>
      <w:r w:rsidRPr="00C039C0">
        <w:rPr>
          <w:lang w:val="en-AU"/>
        </w:rPr>
        <w:t>Encourage community-based planning approaches in conjunction with land use planning policy</w:t>
      </w:r>
    </w:p>
    <w:p w:rsidR="00596330" w:rsidRPr="00065589" w:rsidRDefault="00596330" w:rsidP="0016654F">
      <w:pPr>
        <w:pStyle w:val="Heading2nonum"/>
        <w:rPr>
          <w:rStyle w:val="Strong"/>
        </w:rPr>
      </w:pPr>
      <w:r w:rsidRPr="00065589">
        <w:rPr>
          <w:rStyle w:val="Strong"/>
        </w:rPr>
        <w:t xml:space="preserve">Theme: </w:t>
      </w:r>
      <w:r w:rsidR="000202AA" w:rsidRPr="00065589">
        <w:rPr>
          <w:rStyle w:val="Strong"/>
        </w:rPr>
        <w:t>Regional infrastructure</w:t>
      </w:r>
    </w:p>
    <w:p w:rsidR="00596330" w:rsidRPr="00C039C0" w:rsidRDefault="00AE0ADB" w:rsidP="00596330">
      <w:pPr>
        <w:pStyle w:val="bt"/>
        <w:rPr>
          <w:rStyle w:val="Strong"/>
          <w:lang w:val="en-AU"/>
        </w:rPr>
      </w:pPr>
      <w:r>
        <w:rPr>
          <w:rStyle w:val="Strong"/>
          <w:lang w:val="en-AU"/>
        </w:rPr>
        <w:t>Principle</w:t>
      </w:r>
      <w:r w:rsidR="00596330" w:rsidRPr="00C039C0">
        <w:rPr>
          <w:rStyle w:val="Strong"/>
          <w:lang w:val="en-AU"/>
        </w:rPr>
        <w:t xml:space="preserve"> for </w:t>
      </w:r>
      <w:r w:rsidR="007869A3">
        <w:rPr>
          <w:rStyle w:val="Strong"/>
          <w:lang w:val="en-AU"/>
        </w:rPr>
        <w:t>g</w:t>
      </w:r>
      <w:r w:rsidR="007869A3" w:rsidRPr="00C039C0">
        <w:rPr>
          <w:rStyle w:val="Strong"/>
          <w:lang w:val="en-AU"/>
        </w:rPr>
        <w:t>rowth</w:t>
      </w:r>
    </w:p>
    <w:p w:rsidR="000202AA" w:rsidRPr="00C039C0" w:rsidRDefault="000202AA" w:rsidP="000202AA">
      <w:pPr>
        <w:pStyle w:val="ListNumber"/>
        <w:rPr>
          <w:lang w:val="en-AU"/>
        </w:rPr>
      </w:pPr>
      <w:r w:rsidRPr="00C039C0">
        <w:rPr>
          <w:lang w:val="en-AU"/>
        </w:rPr>
        <w:t>Enable healthy lifestyles</w:t>
      </w:r>
    </w:p>
    <w:p w:rsidR="00596330" w:rsidRPr="00C039C0" w:rsidRDefault="00B80FA9" w:rsidP="00596330">
      <w:pPr>
        <w:pStyle w:val="bt"/>
        <w:rPr>
          <w:rStyle w:val="Strong"/>
          <w:lang w:val="en-AU"/>
        </w:rPr>
      </w:pPr>
      <w:r>
        <w:rPr>
          <w:rStyle w:val="Strong"/>
          <w:lang w:val="en-AU"/>
        </w:rPr>
        <w:t>Future directions</w:t>
      </w:r>
    </w:p>
    <w:p w:rsidR="000202AA" w:rsidRPr="00C039C0" w:rsidRDefault="000202AA" w:rsidP="000202AA">
      <w:pPr>
        <w:pStyle w:val="btbullet"/>
        <w:rPr>
          <w:rStyle w:val="Strong"/>
          <w:b w:val="0"/>
          <w:bCs w:val="0"/>
          <w:lang w:val="en-AU"/>
        </w:rPr>
      </w:pPr>
      <w:r w:rsidRPr="00C039C0">
        <w:rPr>
          <w:lang w:val="en-AU"/>
        </w:rPr>
        <w:t>Support health, education, cultural facilities to meet local needs</w:t>
      </w:r>
    </w:p>
    <w:p w:rsidR="00596330" w:rsidRPr="00C039C0" w:rsidRDefault="00596330" w:rsidP="00596330">
      <w:pPr>
        <w:pStyle w:val="bt"/>
        <w:rPr>
          <w:rStyle w:val="Strong"/>
          <w:lang w:val="en-AU"/>
        </w:rPr>
      </w:pPr>
      <w:r w:rsidRPr="00C039C0">
        <w:rPr>
          <w:rStyle w:val="Strong"/>
          <w:lang w:val="en-AU"/>
        </w:rPr>
        <w:t>Strategies (refer to Map 12 for future direction)</w:t>
      </w:r>
    </w:p>
    <w:p w:rsidR="000202AA" w:rsidRPr="00C039C0" w:rsidRDefault="00777224" w:rsidP="000202AA">
      <w:pPr>
        <w:pStyle w:val="btbullet"/>
        <w:rPr>
          <w:lang w:val="en-AU"/>
        </w:rPr>
      </w:pPr>
      <w:r w:rsidRPr="00C039C0">
        <w:rPr>
          <w:lang w:val="en-AU"/>
        </w:rPr>
        <w:t>Ensure local planning policy frameworks recognise changing population needs, social infrastructure requirements and consider broader climate change impacts on communities</w:t>
      </w:r>
    </w:p>
    <w:p w:rsidR="00777224" w:rsidRPr="00C039C0" w:rsidRDefault="00777224" w:rsidP="000202AA">
      <w:pPr>
        <w:pStyle w:val="btbullet"/>
        <w:rPr>
          <w:lang w:val="en-AU"/>
        </w:rPr>
      </w:pPr>
      <w:r w:rsidRPr="00C039C0">
        <w:rPr>
          <w:lang w:val="en-AU"/>
        </w:rPr>
        <w:t>Work with agencies and government to investigate social infrastructure needs for the region and target facilities to particular settlements where the need is greatest or planning identifies a strategic need</w:t>
      </w:r>
    </w:p>
    <w:p w:rsidR="000202AA" w:rsidRPr="00C039C0" w:rsidRDefault="00777224" w:rsidP="000202AA">
      <w:pPr>
        <w:pStyle w:val="btbullet"/>
        <w:rPr>
          <w:lang w:val="en-AU"/>
        </w:rPr>
      </w:pPr>
      <w:r w:rsidRPr="00C039C0">
        <w:rPr>
          <w:lang w:val="en-AU"/>
        </w:rPr>
        <w:t>Encourage social infrastructure that is well located, multi-purpose, flexible</w:t>
      </w:r>
      <w:r w:rsidR="007869A3">
        <w:rPr>
          <w:lang w:val="en-AU"/>
        </w:rPr>
        <w:t>,</w:t>
      </w:r>
      <w:r w:rsidRPr="00C039C0">
        <w:rPr>
          <w:lang w:val="en-AU"/>
        </w:rPr>
        <w:t xml:space="preserve"> adaptable and accessible</w:t>
      </w:r>
    </w:p>
    <w:p w:rsidR="00777224" w:rsidRPr="00C039C0" w:rsidRDefault="00777224" w:rsidP="000202AA">
      <w:pPr>
        <w:pStyle w:val="btbullet"/>
        <w:rPr>
          <w:lang w:val="en-AU"/>
        </w:rPr>
      </w:pPr>
      <w:r w:rsidRPr="00C039C0">
        <w:rPr>
          <w:lang w:val="en-AU"/>
        </w:rPr>
        <w:t>Protect the operati</w:t>
      </w:r>
      <w:r w:rsidR="00E4397A">
        <w:rPr>
          <w:lang w:val="en-AU"/>
        </w:rPr>
        <w:t>on of existing and planned</w:t>
      </w:r>
      <w:r w:rsidRPr="00C039C0">
        <w:rPr>
          <w:lang w:val="en-AU"/>
        </w:rPr>
        <w:t xml:space="preserve"> health and education facilities from conflicting land uses</w:t>
      </w:r>
    </w:p>
    <w:p w:rsidR="00596330" w:rsidRPr="00B80FA9" w:rsidRDefault="00322AFE" w:rsidP="007D62EA">
      <w:pPr>
        <w:pStyle w:val="btbullet"/>
        <w:rPr>
          <w:rStyle w:val="Strong"/>
          <w:lang w:val="en-AU"/>
        </w:rPr>
      </w:pPr>
      <w:r w:rsidRPr="00C039C0">
        <w:rPr>
          <w:lang w:val="en-AU"/>
        </w:rPr>
        <w:t>Encourage</w:t>
      </w:r>
      <w:r w:rsidR="000202AA" w:rsidRPr="00C039C0">
        <w:rPr>
          <w:lang w:val="en-AU"/>
        </w:rPr>
        <w:t xml:space="preserve"> residential development </w:t>
      </w:r>
      <w:r w:rsidRPr="00C039C0">
        <w:rPr>
          <w:lang w:val="en-AU"/>
        </w:rPr>
        <w:t xml:space="preserve">that is designed </w:t>
      </w:r>
      <w:r w:rsidR="000202AA" w:rsidRPr="00C039C0">
        <w:rPr>
          <w:lang w:val="en-AU"/>
        </w:rPr>
        <w:t>to facilitate healthy lifestyles, community connectedness and social cohesion</w:t>
      </w:r>
    </w:p>
    <w:p w:rsidR="000202AA" w:rsidRPr="00C039C0" w:rsidRDefault="007522FE" w:rsidP="000202AA">
      <w:pPr>
        <w:pStyle w:val="bt"/>
        <w:rPr>
          <w:rStyle w:val="Strong"/>
          <w:lang w:val="en-AU"/>
        </w:rPr>
      </w:pPr>
      <w:r>
        <w:rPr>
          <w:rStyle w:val="Strong"/>
          <w:lang w:val="en-AU"/>
        </w:rPr>
        <w:t>Principle</w:t>
      </w:r>
      <w:r w:rsidR="000202AA" w:rsidRPr="00C039C0">
        <w:rPr>
          <w:rStyle w:val="Strong"/>
          <w:lang w:val="en-AU"/>
        </w:rPr>
        <w:t xml:space="preserve"> for </w:t>
      </w:r>
      <w:r w:rsidR="007869A3">
        <w:rPr>
          <w:rStyle w:val="Strong"/>
          <w:lang w:val="en-AU"/>
        </w:rPr>
        <w:t>g</w:t>
      </w:r>
      <w:r w:rsidR="007869A3" w:rsidRPr="00C039C0">
        <w:rPr>
          <w:rStyle w:val="Strong"/>
          <w:lang w:val="en-AU"/>
        </w:rPr>
        <w:t>rowth</w:t>
      </w:r>
    </w:p>
    <w:p w:rsidR="000202AA" w:rsidRPr="00C039C0" w:rsidRDefault="000202AA" w:rsidP="000202AA">
      <w:pPr>
        <w:pStyle w:val="ListNumber"/>
        <w:rPr>
          <w:rStyle w:val="Strong"/>
          <w:b w:val="0"/>
          <w:bCs w:val="0"/>
        </w:rPr>
      </w:pPr>
      <w:r w:rsidRPr="00C039C0">
        <w:rPr>
          <w:lang w:val="en-AU"/>
        </w:rPr>
        <w:t>Strategically retain, renew and build infrastructure to support growth and enable healthy and supportive communities</w:t>
      </w:r>
    </w:p>
    <w:p w:rsidR="000202AA" w:rsidRPr="0093524F" w:rsidRDefault="000202AA" w:rsidP="000202AA">
      <w:pPr>
        <w:pStyle w:val="bt"/>
        <w:rPr>
          <w:rStyle w:val="Strong"/>
          <w:lang w:val="en-AU"/>
        </w:rPr>
      </w:pPr>
      <w:r w:rsidRPr="00C039C0">
        <w:rPr>
          <w:rStyle w:val="Strong"/>
        </w:rPr>
        <w:t>Future directions</w:t>
      </w:r>
    </w:p>
    <w:p w:rsidR="000202AA" w:rsidRPr="0093524F" w:rsidRDefault="00B87452" w:rsidP="000202AA">
      <w:pPr>
        <w:pStyle w:val="btbullet"/>
        <w:rPr>
          <w:rStyle w:val="Strong"/>
          <w:b w:val="0"/>
          <w:bCs w:val="0"/>
          <w:lang w:val="en-AU"/>
        </w:rPr>
      </w:pPr>
      <w:r w:rsidRPr="0093524F">
        <w:rPr>
          <w:lang w:val="en-AU"/>
        </w:rPr>
        <w:t xml:space="preserve">Provide </w:t>
      </w:r>
      <w:r w:rsidR="000202AA" w:rsidRPr="0093524F">
        <w:rPr>
          <w:lang w:val="en-AU"/>
        </w:rPr>
        <w:t>access to gas, ele</w:t>
      </w:r>
      <w:r w:rsidR="006F1180">
        <w:rPr>
          <w:lang w:val="en-AU"/>
        </w:rPr>
        <w:t xml:space="preserve">ctricity, drainage, </w:t>
      </w:r>
      <w:r w:rsidR="00A200F5">
        <w:rPr>
          <w:lang w:val="en-AU"/>
        </w:rPr>
        <w:t>water, waste facilities,</w:t>
      </w:r>
      <w:r w:rsidR="000202AA" w:rsidRPr="0093524F">
        <w:rPr>
          <w:lang w:val="en-AU"/>
        </w:rPr>
        <w:t xml:space="preserve"> sewerage and telecommunications infrastructure</w:t>
      </w:r>
    </w:p>
    <w:p w:rsidR="000202AA" w:rsidRPr="0093524F" w:rsidRDefault="000202AA" w:rsidP="000202AA">
      <w:pPr>
        <w:pStyle w:val="bt"/>
        <w:rPr>
          <w:rStyle w:val="Strong"/>
          <w:lang w:val="en-AU"/>
        </w:rPr>
      </w:pPr>
      <w:r w:rsidRPr="0093524F">
        <w:rPr>
          <w:rStyle w:val="Strong"/>
          <w:lang w:val="en-AU"/>
        </w:rPr>
        <w:t>Strategies (refer to Map 12 for future direction)</w:t>
      </w:r>
    </w:p>
    <w:p w:rsidR="000202AA" w:rsidRPr="0093524F" w:rsidRDefault="00777224" w:rsidP="000202AA">
      <w:pPr>
        <w:pStyle w:val="btbullet"/>
        <w:rPr>
          <w:lang w:val="en-AU"/>
        </w:rPr>
      </w:pPr>
      <w:r w:rsidRPr="0093524F">
        <w:rPr>
          <w:lang w:val="en-AU"/>
        </w:rPr>
        <w:t>Ensure local planning schemes recognise the need to direct growth to areas where it will make the most efficient use of existing infrastructure</w:t>
      </w:r>
    </w:p>
    <w:p w:rsidR="000202AA" w:rsidRPr="0093524F" w:rsidRDefault="000202AA" w:rsidP="000202AA">
      <w:pPr>
        <w:pStyle w:val="btbullet"/>
        <w:rPr>
          <w:b/>
          <w:bCs/>
          <w:lang w:val="en-AU"/>
        </w:rPr>
      </w:pPr>
      <w:r w:rsidRPr="0093524F">
        <w:rPr>
          <w:lang w:val="en-AU"/>
        </w:rPr>
        <w:t>Identify key regional priorities and land use requirements for improved utilities, energy and telecommunications infrastructure</w:t>
      </w:r>
    </w:p>
    <w:p w:rsidR="00AC0C67" w:rsidRPr="0093524F" w:rsidRDefault="00AC0C67" w:rsidP="000202AA">
      <w:pPr>
        <w:pStyle w:val="btbullet"/>
        <w:rPr>
          <w:b/>
          <w:bCs/>
          <w:lang w:val="en-AU"/>
        </w:rPr>
      </w:pPr>
      <w:r w:rsidRPr="0093524F">
        <w:rPr>
          <w:lang w:val="en-AU"/>
        </w:rPr>
        <w:t>Ensure infrastructure planning is coordinated with urban development and the key locations for growth identified in this plan</w:t>
      </w:r>
    </w:p>
    <w:p w:rsidR="00777224" w:rsidRPr="003D5B2F" w:rsidRDefault="00511F93" w:rsidP="003D5B2F">
      <w:pPr>
        <w:pStyle w:val="btbullet"/>
        <w:rPr>
          <w:rStyle w:val="Strong"/>
          <w:b w:val="0"/>
          <w:bCs w:val="0"/>
        </w:rPr>
      </w:pPr>
      <w:r w:rsidRPr="003D5B2F">
        <w:rPr>
          <w:rStyle w:val="Strong"/>
          <w:b w:val="0"/>
          <w:bCs w:val="0"/>
        </w:rPr>
        <w:lastRenderedPageBreak/>
        <w:t>Strategically upgrade power supply in rural areas to promote economic growth</w:t>
      </w:r>
    </w:p>
    <w:p w:rsidR="00772EEE" w:rsidRPr="003D5B2F" w:rsidRDefault="00772EEE" w:rsidP="003D5B2F">
      <w:pPr>
        <w:pStyle w:val="btbullet"/>
        <w:rPr>
          <w:rStyle w:val="Strong"/>
          <w:b w:val="0"/>
          <w:bCs w:val="0"/>
        </w:rPr>
      </w:pPr>
      <w:r w:rsidRPr="003D5B2F">
        <w:rPr>
          <w:rStyle w:val="Strong"/>
          <w:b w:val="0"/>
          <w:bCs w:val="0"/>
        </w:rPr>
        <w:t>Support the supply of natural gas to Mildura and other centres and towns</w:t>
      </w:r>
    </w:p>
    <w:p w:rsidR="00772EEE" w:rsidRPr="003D5B2F" w:rsidRDefault="00772EEE" w:rsidP="003D5B2F">
      <w:pPr>
        <w:pStyle w:val="btbullet"/>
        <w:rPr>
          <w:rStyle w:val="Strong"/>
          <w:b w:val="0"/>
          <w:bCs w:val="0"/>
        </w:rPr>
      </w:pPr>
      <w:r w:rsidRPr="003D5B2F">
        <w:rPr>
          <w:rStyle w:val="Strong"/>
          <w:b w:val="0"/>
          <w:bCs w:val="0"/>
        </w:rPr>
        <w:t>Support projects that increase the use of recycled water and reduce demand for potable water</w:t>
      </w:r>
    </w:p>
    <w:p w:rsidR="00905226" w:rsidRPr="003D5B2F" w:rsidRDefault="00772EEE" w:rsidP="003D5B2F">
      <w:pPr>
        <w:pStyle w:val="btbullet"/>
      </w:pPr>
      <w:r w:rsidRPr="003D5B2F">
        <w:rPr>
          <w:rStyle w:val="Strong"/>
          <w:b w:val="0"/>
          <w:bCs w:val="0"/>
        </w:rPr>
        <w:t>Support opportunities for industry to develop new waste and resource recover</w:t>
      </w:r>
      <w:r w:rsidR="00AC0C67" w:rsidRPr="003D5B2F">
        <w:rPr>
          <w:rStyle w:val="Strong"/>
          <w:b w:val="0"/>
          <w:bCs w:val="0"/>
        </w:rPr>
        <w:t>y</w:t>
      </w:r>
      <w:r w:rsidRPr="003D5B2F">
        <w:rPr>
          <w:rStyle w:val="Strong"/>
          <w:b w:val="0"/>
          <w:bCs w:val="0"/>
        </w:rPr>
        <w:t xml:space="preserve"> processes</w:t>
      </w:r>
    </w:p>
    <w:p w:rsidR="00905226" w:rsidRPr="0093524F" w:rsidRDefault="00905226" w:rsidP="00905226">
      <w:pPr>
        <w:pStyle w:val="btbullet"/>
        <w:rPr>
          <w:lang w:val="en-AU"/>
        </w:rPr>
      </w:pPr>
      <w:r w:rsidRPr="0093524F">
        <w:rPr>
          <w:lang w:val="en-AU"/>
        </w:rPr>
        <w:t>Collaborate with relevant stakeholders to review planning controls and guidance relating to separation distances for solid waste and resource recovery facilities</w:t>
      </w:r>
    </w:p>
    <w:p w:rsidR="00AC0C67" w:rsidRPr="003D5B2F" w:rsidRDefault="00AC0C67" w:rsidP="003D5B2F">
      <w:pPr>
        <w:pStyle w:val="btbullet"/>
        <w:rPr>
          <w:rStyle w:val="Strong"/>
          <w:b w:val="0"/>
          <w:bCs w:val="0"/>
        </w:rPr>
      </w:pPr>
      <w:r w:rsidRPr="003D5B2F">
        <w:rPr>
          <w:rStyle w:val="Strong"/>
          <w:b w:val="0"/>
          <w:bCs w:val="0"/>
        </w:rPr>
        <w:t>Identify the potential economic, social and environmental benefits of utilities infrastructure investment and prioritise investment where it will achieve multiple benefits</w:t>
      </w:r>
    </w:p>
    <w:p w:rsidR="000202AA" w:rsidRPr="0093524F" w:rsidRDefault="000202AA" w:rsidP="000202AA">
      <w:pPr>
        <w:pStyle w:val="bt"/>
        <w:rPr>
          <w:rStyle w:val="Strong"/>
          <w:lang w:val="en-AU"/>
        </w:rPr>
      </w:pPr>
      <w:r w:rsidRPr="0093524F">
        <w:rPr>
          <w:rStyle w:val="Strong"/>
          <w:lang w:val="en-AU"/>
        </w:rPr>
        <w:t>Future directions</w:t>
      </w:r>
    </w:p>
    <w:p w:rsidR="000202AA" w:rsidRPr="0093524F" w:rsidRDefault="000202AA" w:rsidP="000202AA">
      <w:pPr>
        <w:pStyle w:val="btbullet"/>
        <w:rPr>
          <w:lang w:val="en-AU"/>
        </w:rPr>
      </w:pPr>
      <w:r w:rsidRPr="0093524F">
        <w:rPr>
          <w:lang w:val="en-AU"/>
        </w:rPr>
        <w:t>Support road and rail improvements</w:t>
      </w:r>
    </w:p>
    <w:p w:rsidR="000202AA" w:rsidRPr="0093524F" w:rsidRDefault="000202AA" w:rsidP="000202AA">
      <w:pPr>
        <w:pStyle w:val="bt"/>
        <w:rPr>
          <w:rStyle w:val="Strong"/>
          <w:lang w:val="en-AU"/>
        </w:rPr>
      </w:pPr>
      <w:r w:rsidRPr="0093524F">
        <w:rPr>
          <w:rStyle w:val="Strong"/>
          <w:lang w:val="en-AU"/>
        </w:rPr>
        <w:t>Strategies (refer to Map 12 for future direction)</w:t>
      </w:r>
    </w:p>
    <w:p w:rsidR="000202AA" w:rsidRPr="0093524F" w:rsidRDefault="000202AA" w:rsidP="000202AA">
      <w:pPr>
        <w:pStyle w:val="btbullet"/>
        <w:rPr>
          <w:lang w:val="en-AU"/>
        </w:rPr>
      </w:pPr>
      <w:r w:rsidRPr="0093524F">
        <w:rPr>
          <w:lang w:val="en-AU"/>
        </w:rPr>
        <w:t>Encourage flexible and adaptable freight connectivity to the transport network</w:t>
      </w:r>
    </w:p>
    <w:p w:rsidR="00777224" w:rsidRPr="0093524F" w:rsidRDefault="00777224" w:rsidP="000202AA">
      <w:pPr>
        <w:pStyle w:val="btbullet"/>
        <w:rPr>
          <w:lang w:val="en-AU"/>
        </w:rPr>
      </w:pPr>
      <w:r w:rsidRPr="0093524F">
        <w:rPr>
          <w:lang w:val="en-AU"/>
        </w:rPr>
        <w:t>Incorporate this plan’s future directions into local and regional structure plans and planning schemes to ensure infrastructure keeps pace with changes</w:t>
      </w:r>
    </w:p>
    <w:p w:rsidR="000202AA" w:rsidRPr="0093524F" w:rsidRDefault="000202AA" w:rsidP="000202AA">
      <w:pPr>
        <w:pStyle w:val="btbullet"/>
        <w:rPr>
          <w:lang w:val="en-AU"/>
        </w:rPr>
      </w:pPr>
      <w:r w:rsidRPr="0093524F">
        <w:rPr>
          <w:lang w:val="en-AU"/>
        </w:rPr>
        <w:t>Set aside land in planning schemes to provide corridors for future strategic road and rail linkages</w:t>
      </w:r>
    </w:p>
    <w:p w:rsidR="00777224" w:rsidRPr="0093524F" w:rsidRDefault="00777224" w:rsidP="00777224">
      <w:pPr>
        <w:pStyle w:val="btbullet"/>
        <w:rPr>
          <w:lang w:val="en-AU"/>
        </w:rPr>
      </w:pPr>
      <w:r w:rsidRPr="0093524F">
        <w:rPr>
          <w:lang w:val="en-AU"/>
        </w:rPr>
        <w:t>Maximise the strategic position of the transport network to encourage settlement and economic growth along</w:t>
      </w:r>
      <w:r w:rsidR="000202AA" w:rsidRPr="0093524F">
        <w:rPr>
          <w:lang w:val="en-AU"/>
        </w:rPr>
        <w:t xml:space="preserve"> existing transport routes</w:t>
      </w:r>
    </w:p>
    <w:p w:rsidR="00777224" w:rsidRPr="0093524F" w:rsidRDefault="00777224" w:rsidP="00777224">
      <w:pPr>
        <w:pStyle w:val="btbullet"/>
        <w:rPr>
          <w:lang w:val="en-AU"/>
        </w:rPr>
      </w:pPr>
      <w:r w:rsidRPr="0093524F">
        <w:rPr>
          <w:lang w:val="en-AU"/>
        </w:rPr>
        <w:t>Support infrastructure projects to assist in managing growth</w:t>
      </w:r>
    </w:p>
    <w:p w:rsidR="00777224" w:rsidRPr="0093524F" w:rsidRDefault="00777224" w:rsidP="00777224">
      <w:pPr>
        <w:pStyle w:val="btbullet"/>
        <w:rPr>
          <w:lang w:val="en-AU"/>
        </w:rPr>
      </w:pPr>
      <w:r w:rsidRPr="0093524F">
        <w:rPr>
          <w:lang w:val="en-AU"/>
        </w:rPr>
        <w:t>Support freight and logistics precincts with the capacity to grow and adapt to changing needs</w:t>
      </w:r>
    </w:p>
    <w:p w:rsidR="00273CC9" w:rsidRDefault="00777224" w:rsidP="00777224">
      <w:pPr>
        <w:pStyle w:val="btbullet"/>
        <w:rPr>
          <w:lang w:val="en-AU"/>
        </w:rPr>
      </w:pPr>
      <w:r w:rsidRPr="0093524F">
        <w:rPr>
          <w:lang w:val="en-AU"/>
        </w:rPr>
        <w:t>Encourage and support the capacity and functioning of the transport network</w:t>
      </w:r>
    </w:p>
    <w:p w:rsidR="00134771" w:rsidRDefault="00134771" w:rsidP="00134771">
      <w:pPr>
        <w:pStyle w:val="bt"/>
        <w:rPr>
          <w:b/>
          <w:lang w:val="en-AU"/>
        </w:rPr>
      </w:pPr>
      <w:bookmarkStart w:id="110" w:name="_Toc358365472"/>
      <w:bookmarkStart w:id="111" w:name="_Toc375052106"/>
      <w:r w:rsidRPr="0093524F">
        <w:rPr>
          <w:lang w:val="en-AU"/>
        </w:rPr>
        <w:t xml:space="preserve">Map </w:t>
      </w:r>
      <w:r w:rsidR="003652DE">
        <w:rPr>
          <w:lang w:val="en-AU"/>
        </w:rPr>
        <w:t>12</w:t>
      </w:r>
      <w:r>
        <w:rPr>
          <w:noProof/>
          <w:lang w:val="en-AU"/>
        </w:rPr>
        <w:t xml:space="preserve"> is located here in the document and it shows -</w:t>
      </w:r>
      <w:r w:rsidRPr="0093524F">
        <w:rPr>
          <w:lang w:val="en-AU"/>
        </w:rPr>
        <w:t xml:space="preserve"> </w:t>
      </w:r>
      <w:r w:rsidR="00C9083C">
        <w:rPr>
          <w:lang w:val="en-AU"/>
        </w:rPr>
        <w:t>R</w:t>
      </w:r>
      <w:r w:rsidRPr="00BA45FA">
        <w:rPr>
          <w:lang w:val="en-AU"/>
        </w:rPr>
        <w:t>egional growth plan</w:t>
      </w:r>
      <w:bookmarkEnd w:id="110"/>
      <w:bookmarkEnd w:id="111"/>
    </w:p>
    <w:p w:rsidR="00134771" w:rsidRDefault="00134771" w:rsidP="00134771">
      <w:pPr>
        <w:pStyle w:val="btbullet"/>
        <w:numPr>
          <w:ilvl w:val="0"/>
          <w:numId w:val="0"/>
        </w:numPr>
        <w:ind w:left="360"/>
        <w:rPr>
          <w:lang w:val="en-AU"/>
        </w:rPr>
      </w:pPr>
    </w:p>
    <w:p w:rsidR="00134771" w:rsidRPr="0093524F" w:rsidRDefault="00134771" w:rsidP="00134771">
      <w:pPr>
        <w:pStyle w:val="btbullet"/>
        <w:numPr>
          <w:ilvl w:val="0"/>
          <w:numId w:val="0"/>
        </w:numPr>
        <w:ind w:left="360"/>
        <w:rPr>
          <w:lang w:val="en-AU"/>
        </w:rPr>
        <w:sectPr w:rsidR="00134771" w:rsidRPr="0093524F" w:rsidSect="00273CC9">
          <w:headerReference w:type="default" r:id="rId26"/>
          <w:pgSz w:w="11900" w:h="16840"/>
          <w:pgMar w:top="1440" w:right="1440" w:bottom="993" w:left="1440" w:header="708" w:footer="708" w:gutter="0"/>
          <w:cols w:space="708"/>
          <w:docGrid w:linePitch="360"/>
        </w:sectPr>
      </w:pPr>
    </w:p>
    <w:p w:rsidR="00B06ABF" w:rsidRPr="007D4506" w:rsidRDefault="00B06ABF" w:rsidP="00347423">
      <w:pPr>
        <w:pStyle w:val="Heading1"/>
      </w:pPr>
      <w:bookmarkStart w:id="112" w:name="_Toc349566028"/>
      <w:bookmarkStart w:id="113" w:name="_Toc229541165"/>
      <w:bookmarkStart w:id="114" w:name="_Toc377031472"/>
      <w:r w:rsidRPr="007D4506">
        <w:lastRenderedPageBreak/>
        <w:t>PART E</w:t>
      </w:r>
      <w:r w:rsidR="00A61BAF">
        <w:t>:</w:t>
      </w:r>
      <w:r w:rsidRPr="007D4506">
        <w:tab/>
        <w:t>DELIVERING REGIONAL GROWTH</w:t>
      </w:r>
      <w:bookmarkEnd w:id="112"/>
      <w:bookmarkEnd w:id="113"/>
      <w:bookmarkEnd w:id="114"/>
    </w:p>
    <w:p w:rsidR="00D86071" w:rsidRPr="00001367" w:rsidRDefault="00D86071" w:rsidP="00FF2BCB">
      <w:pPr>
        <w:pStyle w:val="Heading11"/>
      </w:pPr>
      <w:bookmarkStart w:id="115" w:name="_Toc377031473"/>
      <w:bookmarkStart w:id="116" w:name="_Toc349566029"/>
      <w:bookmarkStart w:id="117" w:name="_Toc229541166"/>
      <w:r w:rsidRPr="00001367">
        <w:t>Implementation</w:t>
      </w:r>
      <w:bookmarkEnd w:id="115"/>
    </w:p>
    <w:p w:rsidR="00A637AA" w:rsidRPr="00001367" w:rsidRDefault="00D86071" w:rsidP="00A637AA">
      <w:pPr>
        <w:pStyle w:val="Heading2"/>
        <w:rPr>
          <w:lang w:val="en-AU"/>
        </w:rPr>
      </w:pPr>
      <w:bookmarkStart w:id="118" w:name="_Toc367270071"/>
      <w:bookmarkStart w:id="119" w:name="_Toc371583534"/>
      <w:bookmarkStart w:id="120" w:name="_Toc371584571"/>
      <w:bookmarkStart w:id="121" w:name="_Toc377031474"/>
      <w:r w:rsidRPr="00001367">
        <w:rPr>
          <w:lang w:val="en-AU"/>
        </w:rPr>
        <w:t>Planning schemes</w:t>
      </w:r>
      <w:bookmarkEnd w:id="118"/>
      <w:bookmarkEnd w:id="119"/>
      <w:bookmarkEnd w:id="120"/>
      <w:bookmarkEnd w:id="121"/>
    </w:p>
    <w:p w:rsidR="00D86071" w:rsidRPr="00001367" w:rsidRDefault="00D86071" w:rsidP="00020FCB">
      <w:pPr>
        <w:pStyle w:val="bt"/>
        <w:rPr>
          <w:lang w:val="en-AU"/>
        </w:rPr>
      </w:pPr>
      <w:r w:rsidRPr="00001367">
        <w:rPr>
          <w:lang w:val="en-AU"/>
        </w:rPr>
        <w:t>The Loddon Mallee North Regional Growth Plan will have status as part of the Victoria Planning Provisions and planning schemes. This will give the plan’s strategic directions status in each local government area’s planning scheme.</w:t>
      </w:r>
    </w:p>
    <w:p w:rsidR="00D86071" w:rsidRDefault="00D86071" w:rsidP="00020FCB">
      <w:pPr>
        <w:pStyle w:val="bt"/>
        <w:rPr>
          <w:lang w:val="en-AU"/>
        </w:rPr>
      </w:pPr>
      <w:r w:rsidRPr="00001367">
        <w:rPr>
          <w:lang w:val="en-AU"/>
        </w:rPr>
        <w:t xml:space="preserve">The Loddon Mallee North region councils will work in partnership with </w:t>
      </w:r>
      <w:r w:rsidR="00C9781A">
        <w:rPr>
          <w:lang w:val="en-AU"/>
        </w:rPr>
        <w:t>s</w:t>
      </w:r>
      <w:r w:rsidR="007525E9" w:rsidRPr="00001367">
        <w:rPr>
          <w:lang w:val="en-AU"/>
        </w:rPr>
        <w:t xml:space="preserve">tate </w:t>
      </w:r>
      <w:r w:rsidR="00C9781A">
        <w:rPr>
          <w:lang w:val="en-AU"/>
        </w:rPr>
        <w:t>g</w:t>
      </w:r>
      <w:r w:rsidR="007525E9" w:rsidRPr="00001367">
        <w:rPr>
          <w:lang w:val="en-AU"/>
        </w:rPr>
        <w:t xml:space="preserve">overnment </w:t>
      </w:r>
      <w:r w:rsidRPr="00001367">
        <w:rPr>
          <w:lang w:val="en-AU"/>
        </w:rPr>
        <w:t>to facilitate the required planning scheme amendment process and content as an immediate priority.</w:t>
      </w:r>
    </w:p>
    <w:p w:rsidR="00D40FAD" w:rsidRPr="00001367" w:rsidRDefault="00D40FAD" w:rsidP="00020FCB">
      <w:pPr>
        <w:pStyle w:val="bt"/>
        <w:rPr>
          <w:lang w:val="en-AU"/>
        </w:rPr>
      </w:pPr>
      <w:r>
        <w:rPr>
          <w:lang w:val="en-AU"/>
        </w:rPr>
        <w:t xml:space="preserve">An Advisory Committee has been appointed to conduct a review of the State Planning Policy Framework in order to deliver regional growth plans and other major </w:t>
      </w:r>
      <w:r w:rsidR="009C5CAD">
        <w:rPr>
          <w:lang w:val="en-AU"/>
        </w:rPr>
        <w:t xml:space="preserve">planning policies, </w:t>
      </w:r>
      <w:r w:rsidR="00662DB9">
        <w:rPr>
          <w:lang w:val="en-AU"/>
        </w:rPr>
        <w:t>such as the metropolitan planning s</w:t>
      </w:r>
      <w:r>
        <w:rPr>
          <w:lang w:val="en-AU"/>
        </w:rPr>
        <w:t>trategy</w:t>
      </w:r>
      <w:r w:rsidR="00662DB9">
        <w:rPr>
          <w:lang w:val="en-AU"/>
        </w:rPr>
        <w:t xml:space="preserve">, </w:t>
      </w:r>
      <w:r w:rsidR="00662DB9" w:rsidRPr="00662DB9">
        <w:rPr>
          <w:i/>
          <w:lang w:val="en-AU"/>
        </w:rPr>
        <w:t>Plan Melbourne</w:t>
      </w:r>
      <w:r>
        <w:rPr>
          <w:lang w:val="en-AU"/>
        </w:rPr>
        <w:t>.</w:t>
      </w:r>
    </w:p>
    <w:p w:rsidR="00A637AA" w:rsidRPr="00001367" w:rsidRDefault="00D86071" w:rsidP="00020FCB">
      <w:pPr>
        <w:pStyle w:val="bt"/>
        <w:rPr>
          <w:lang w:val="en-AU"/>
        </w:rPr>
      </w:pPr>
      <w:r w:rsidRPr="00001367">
        <w:rPr>
          <w:lang w:val="en-AU"/>
        </w:rPr>
        <w:t>The plan will guide and inform future strategic planning across the Loddon Mallee North region, including future reviews of each council’s Municipal Strategic Statement. The plan will help provide justification for future planning scheme amendments that are consistent with the plan.</w:t>
      </w:r>
    </w:p>
    <w:p w:rsidR="00A637AA" w:rsidRPr="00001367" w:rsidRDefault="00D86071" w:rsidP="00A637AA">
      <w:pPr>
        <w:pStyle w:val="Heading2"/>
        <w:rPr>
          <w:lang w:val="en-AU"/>
        </w:rPr>
      </w:pPr>
      <w:bookmarkStart w:id="122" w:name="_Toc367270072"/>
      <w:bookmarkStart w:id="123" w:name="_Toc371583535"/>
      <w:bookmarkStart w:id="124" w:name="_Toc371584572"/>
      <w:bookmarkStart w:id="125" w:name="_Toc377031475"/>
      <w:r w:rsidRPr="00001367">
        <w:rPr>
          <w:lang w:val="en-AU"/>
        </w:rPr>
        <w:t>Links to Regional Strategic Plan implementation</w:t>
      </w:r>
      <w:bookmarkEnd w:id="122"/>
      <w:bookmarkEnd w:id="123"/>
      <w:bookmarkEnd w:id="124"/>
      <w:bookmarkEnd w:id="125"/>
    </w:p>
    <w:p w:rsidR="00D86071" w:rsidRPr="00001367" w:rsidRDefault="00A637AA" w:rsidP="00020FCB">
      <w:pPr>
        <w:pStyle w:val="bt"/>
        <w:rPr>
          <w:lang w:val="en-AU"/>
        </w:rPr>
      </w:pPr>
      <w:r w:rsidRPr="00001367">
        <w:rPr>
          <w:lang w:val="en-AU"/>
        </w:rPr>
        <w:t xml:space="preserve">The plan is closely aligned with the Loddon Mallee Regional Strategic Plan – Northern Region (2010). Implementation of this plan will also be considered in relation to other ongoing work to implement the strategic directions of the Loddon Mallee Regional Strategic Plan – Northern Region (2010). </w:t>
      </w:r>
      <w:r w:rsidR="00D86071" w:rsidRPr="00001367">
        <w:rPr>
          <w:lang w:val="en-AU"/>
        </w:rPr>
        <w:t>T</w:t>
      </w:r>
      <w:r w:rsidRPr="00001367">
        <w:rPr>
          <w:lang w:val="en-AU"/>
        </w:rPr>
        <w:t>his will strengthen the capacity for achieving shared objectives and targeting efforts to secure endorsement and funding for the highest priorities in the region.</w:t>
      </w:r>
    </w:p>
    <w:p w:rsidR="00D86071" w:rsidRPr="00001367" w:rsidRDefault="00A637AA" w:rsidP="00020FCB">
      <w:pPr>
        <w:pStyle w:val="bt"/>
        <w:rPr>
          <w:lang w:val="en-AU"/>
        </w:rPr>
      </w:pPr>
      <w:r w:rsidRPr="00001367">
        <w:rPr>
          <w:lang w:val="en-AU"/>
        </w:rPr>
        <w:t xml:space="preserve">Further, opportunities for implementation of key directions and actions expressed in this plan will be explored with councils, state and federal governments and the Regional Development Australia Loddon Mallee Committee. The </w:t>
      </w:r>
      <w:r w:rsidR="00D86071" w:rsidRPr="00001367">
        <w:rPr>
          <w:lang w:val="en-AU"/>
        </w:rPr>
        <w:t>Regional Development Australia Committee</w:t>
      </w:r>
      <w:r w:rsidRPr="00001367">
        <w:rPr>
          <w:lang w:val="en-AU"/>
        </w:rPr>
        <w:t xml:space="preserve"> </w:t>
      </w:r>
      <w:r w:rsidR="00D86071" w:rsidRPr="00001367">
        <w:rPr>
          <w:lang w:val="en-AU"/>
        </w:rPr>
        <w:t xml:space="preserve">is a </w:t>
      </w:r>
      <w:r w:rsidRPr="00001367">
        <w:rPr>
          <w:lang w:val="en-AU"/>
        </w:rPr>
        <w:t xml:space="preserve">key stakeholder in overseeing the ongoing development and implementation of the </w:t>
      </w:r>
      <w:r w:rsidR="00D86071" w:rsidRPr="00001367">
        <w:rPr>
          <w:lang w:val="en-AU"/>
        </w:rPr>
        <w:t>Loddon Mallee Regional Strategic Plan – Northern Region (2010)</w:t>
      </w:r>
      <w:r w:rsidRPr="00001367">
        <w:rPr>
          <w:lang w:val="en-AU"/>
        </w:rPr>
        <w:t xml:space="preserve">. It is appropriate to facilitate and ensure alignment between the regional growth plan and the regional strategic plan in order to promote outcomes that are consistent with common directions expressed in each plan. </w:t>
      </w:r>
    </w:p>
    <w:p w:rsidR="00C9781A" w:rsidRPr="00001367" w:rsidRDefault="00D86071" w:rsidP="00020FCB">
      <w:pPr>
        <w:pStyle w:val="bt"/>
        <w:rPr>
          <w:lang w:val="en-AU"/>
        </w:rPr>
      </w:pPr>
      <w:r w:rsidRPr="00001367">
        <w:rPr>
          <w:lang w:val="en-AU"/>
        </w:rPr>
        <w:t>This plan is intended to inform any subsequent review of the Loddon Mallee Regional Strategic Plan – Northern Region (2010).</w:t>
      </w:r>
    </w:p>
    <w:p w:rsidR="00D156F9" w:rsidRPr="008D2C92" w:rsidRDefault="00A637AA" w:rsidP="008D2C92">
      <w:pPr>
        <w:pStyle w:val="bt"/>
        <w:rPr>
          <w:szCs w:val="28"/>
        </w:rPr>
      </w:pPr>
      <w:r w:rsidRPr="008D2C92">
        <w:t xml:space="preserve">Possible regional governance arrangements that can be harnessed to promote integrated planning and delivery in relation to agreed actions regarding future land use include partnering/integrating with an existing </w:t>
      </w:r>
      <w:r w:rsidR="00AC0963" w:rsidRPr="008D2C92">
        <w:t>cross-</w:t>
      </w:r>
      <w:r w:rsidRPr="008D2C92">
        <w:t xml:space="preserve">government group that has alignment with the focus of the regional growth plan or establishing a new </w:t>
      </w:r>
      <w:r w:rsidR="000A4E7A" w:rsidRPr="008D2C92">
        <w:t>cross-</w:t>
      </w:r>
      <w:r w:rsidRPr="008D2C92">
        <w:t xml:space="preserve">government stakeholder group </w:t>
      </w:r>
      <w:r w:rsidR="000A4E7A" w:rsidRPr="008D2C92">
        <w:t xml:space="preserve">that </w:t>
      </w:r>
      <w:r w:rsidRPr="008D2C92">
        <w:t xml:space="preserve">has links to an existing regional planning governance structure. </w:t>
      </w:r>
    </w:p>
    <w:p w:rsidR="00A637AA" w:rsidRPr="00001367" w:rsidRDefault="00D86071" w:rsidP="00A637AA">
      <w:pPr>
        <w:pStyle w:val="Heading2"/>
        <w:rPr>
          <w:lang w:val="en-AU"/>
        </w:rPr>
      </w:pPr>
      <w:bookmarkStart w:id="126" w:name="_Toc367270073"/>
      <w:bookmarkStart w:id="127" w:name="_Toc371583536"/>
      <w:bookmarkStart w:id="128" w:name="_Toc371584573"/>
      <w:bookmarkStart w:id="129" w:name="_Toc377031476"/>
      <w:r w:rsidRPr="00001367">
        <w:rPr>
          <w:lang w:val="en-AU"/>
        </w:rPr>
        <w:t>A plan for implementation of actions</w:t>
      </w:r>
      <w:bookmarkEnd w:id="126"/>
      <w:bookmarkEnd w:id="127"/>
      <w:bookmarkEnd w:id="128"/>
      <w:bookmarkEnd w:id="129"/>
    </w:p>
    <w:p w:rsidR="00D86071" w:rsidRPr="00001367" w:rsidRDefault="00D86071" w:rsidP="00020FCB">
      <w:pPr>
        <w:pStyle w:val="bt"/>
        <w:rPr>
          <w:lang w:val="en-AU"/>
        </w:rPr>
      </w:pPr>
      <w:r w:rsidRPr="00001367">
        <w:rPr>
          <w:lang w:val="en-AU"/>
        </w:rPr>
        <w:t>Implementation of this plan is critical to achieve its strategic directions for growth and change. An implementation plan will ensure that the region is able to respond to key regional challenges and strategic directions of the plan relating to infrastructure provision, key asset protection and</w:t>
      </w:r>
      <w:r w:rsidR="000047B6">
        <w:rPr>
          <w:lang w:val="en-AU"/>
        </w:rPr>
        <w:t xml:space="preserve"> management of future growth.</w:t>
      </w:r>
    </w:p>
    <w:p w:rsidR="00A637AA" w:rsidRPr="00001367" w:rsidRDefault="00A637AA" w:rsidP="00020FCB">
      <w:pPr>
        <w:pStyle w:val="bt"/>
        <w:rPr>
          <w:lang w:val="en-AU"/>
        </w:rPr>
      </w:pPr>
      <w:r w:rsidRPr="00001367">
        <w:rPr>
          <w:lang w:val="en-AU"/>
        </w:rPr>
        <w:lastRenderedPageBreak/>
        <w:t xml:space="preserve">A more detailed implementation plan will be developed by the </w:t>
      </w:r>
      <w:r w:rsidR="00C9781A">
        <w:rPr>
          <w:lang w:val="en-AU"/>
        </w:rPr>
        <w:t>Loddon Mallee North Regional Growth Plan partners</w:t>
      </w:r>
      <w:r w:rsidRPr="00001367">
        <w:rPr>
          <w:lang w:val="en-AU"/>
        </w:rPr>
        <w:t xml:space="preserve"> including arrangements for monitoring of delivery. It will set out the land use policies, strategies and actions identified in this plan and provide timelines and responsibilities for each of the items. This will provide greater certainty on infrastructure priorities to inform future decision</w:t>
      </w:r>
      <w:r w:rsidR="003961B2">
        <w:rPr>
          <w:lang w:val="en-AU"/>
        </w:rPr>
        <w:t xml:space="preserve"> </w:t>
      </w:r>
      <w:r w:rsidRPr="00001367">
        <w:rPr>
          <w:lang w:val="en-AU"/>
        </w:rPr>
        <w:t>making about future growth and development.</w:t>
      </w:r>
      <w:r w:rsidR="00223C7F" w:rsidRPr="00001367">
        <w:rPr>
          <w:lang w:val="en-AU"/>
        </w:rPr>
        <w:t xml:space="preserve"> </w:t>
      </w:r>
      <w:r w:rsidRPr="00001367">
        <w:rPr>
          <w:lang w:val="en-AU"/>
        </w:rPr>
        <w:t>Development of the implementation plan will involve working with councils, state government departments and infrastructure and service delivery agencies.</w:t>
      </w:r>
    </w:p>
    <w:p w:rsidR="00223C7F" w:rsidRPr="00001367" w:rsidRDefault="00223C7F" w:rsidP="00020FCB">
      <w:pPr>
        <w:pStyle w:val="bt"/>
        <w:rPr>
          <w:lang w:val="en-AU"/>
        </w:rPr>
      </w:pPr>
      <w:r w:rsidRPr="00001367">
        <w:rPr>
          <w:lang w:val="en-AU"/>
        </w:rPr>
        <w:t>This plan identifies further work or investigations that are required to improve land use planning policy and outcomes in the region. Opportunities to progress these studies will be identified as part of the implementation plan.</w:t>
      </w:r>
    </w:p>
    <w:p w:rsidR="00A637AA" w:rsidRDefault="003F4484" w:rsidP="00020FCB">
      <w:pPr>
        <w:pStyle w:val="bt"/>
        <w:rPr>
          <w:lang w:val="en-AU"/>
        </w:rPr>
      </w:pPr>
      <w:fldSimple w:instr=" REF _Ref365032111 \h  \* MERGEFORMAT ">
        <w:r w:rsidR="00E47BE0" w:rsidRPr="00001367">
          <w:rPr>
            <w:lang w:val="en-AU"/>
          </w:rPr>
          <w:t xml:space="preserve">Table </w:t>
        </w:r>
        <w:r w:rsidR="00E47BE0">
          <w:rPr>
            <w:lang w:val="en-AU"/>
          </w:rPr>
          <w:t>2</w:t>
        </w:r>
      </w:fldSimple>
      <w:r w:rsidR="00EE0DAD" w:rsidRPr="00001367">
        <w:rPr>
          <w:lang w:val="en-AU"/>
        </w:rPr>
        <w:t xml:space="preserve"> </w:t>
      </w:r>
      <w:r w:rsidR="00223C7F" w:rsidRPr="00001367">
        <w:rPr>
          <w:lang w:val="en-AU"/>
        </w:rPr>
        <w:t>sets out actions identified in the development of this plan that will support delivery of th</w:t>
      </w:r>
      <w:r w:rsidR="000047B6">
        <w:rPr>
          <w:lang w:val="en-AU"/>
        </w:rPr>
        <w:t>e plan’s strategic directions.</w:t>
      </w:r>
    </w:p>
    <w:p w:rsidR="001D5412" w:rsidRPr="00BA45FA" w:rsidRDefault="00EE0DAD">
      <w:pPr>
        <w:pStyle w:val="Caption"/>
        <w:rPr>
          <w:b w:val="0"/>
          <w:lang w:val="en-AU"/>
        </w:rPr>
      </w:pPr>
      <w:bookmarkStart w:id="130" w:name="_Ref365032111"/>
      <w:bookmarkStart w:id="131" w:name="_Toc380061944"/>
      <w:bookmarkStart w:id="132" w:name="_Toc380651277"/>
      <w:r w:rsidRPr="00001367">
        <w:rPr>
          <w:lang w:val="en-AU"/>
        </w:rPr>
        <w:t xml:space="preserve">Table </w:t>
      </w:r>
      <w:r w:rsidR="003F4484" w:rsidRPr="00001367">
        <w:rPr>
          <w:lang w:val="en-AU"/>
        </w:rPr>
        <w:fldChar w:fldCharType="begin"/>
      </w:r>
      <w:r w:rsidRPr="00001367">
        <w:rPr>
          <w:lang w:val="en-AU"/>
        </w:rPr>
        <w:instrText xml:space="preserve"> SEQ Table \* ARABIC </w:instrText>
      </w:r>
      <w:r w:rsidR="003F4484" w:rsidRPr="00001367">
        <w:rPr>
          <w:lang w:val="en-AU"/>
        </w:rPr>
        <w:fldChar w:fldCharType="separate"/>
      </w:r>
      <w:r w:rsidR="00E47BE0">
        <w:rPr>
          <w:noProof/>
          <w:lang w:val="en-AU"/>
        </w:rPr>
        <w:t>2</w:t>
      </w:r>
      <w:r w:rsidR="003F4484" w:rsidRPr="00001367">
        <w:rPr>
          <w:lang w:val="en-AU"/>
        </w:rPr>
        <w:fldChar w:fldCharType="end"/>
      </w:r>
      <w:bookmarkEnd w:id="130"/>
      <w:r w:rsidRPr="00001367">
        <w:rPr>
          <w:lang w:val="en-AU"/>
        </w:rPr>
        <w:t xml:space="preserve">: </w:t>
      </w:r>
      <w:r w:rsidRPr="00BA45FA">
        <w:rPr>
          <w:b w:val="0"/>
          <w:lang w:val="en-AU"/>
        </w:rPr>
        <w:t>Actions</w:t>
      </w:r>
      <w:bookmarkEnd w:id="131"/>
      <w:bookmarkEnd w:id="132"/>
    </w:p>
    <w:p w:rsidR="00297209" w:rsidRPr="00A34264" w:rsidRDefault="00297209" w:rsidP="00297209">
      <w:pPr>
        <w:pStyle w:val="Heading5"/>
        <w:rPr>
          <w:lang w:val="en-AU"/>
        </w:rPr>
      </w:pPr>
      <w:r w:rsidRPr="00A34264">
        <w:rPr>
          <w:lang w:val="en-AU"/>
        </w:rPr>
        <w:t>Action:</w:t>
      </w:r>
    </w:p>
    <w:p w:rsidR="00297209" w:rsidRPr="00297209" w:rsidRDefault="00297209" w:rsidP="00297209">
      <w:pPr>
        <w:pStyle w:val="bt"/>
        <w:rPr>
          <w:rStyle w:val="Strong"/>
        </w:rPr>
      </w:pPr>
      <w:r w:rsidRPr="00297209">
        <w:rPr>
          <w:rStyle w:val="Strong"/>
        </w:rPr>
        <w:t>Regional economy</w:t>
      </w:r>
    </w:p>
    <w:p w:rsidR="00297209" w:rsidRPr="00A34264" w:rsidRDefault="00297209" w:rsidP="00297209">
      <w:pPr>
        <w:pStyle w:val="btbullet"/>
        <w:rPr>
          <w:lang w:val="en-AU"/>
        </w:rPr>
      </w:pPr>
      <w:r w:rsidRPr="00A34264">
        <w:rPr>
          <w:lang w:val="en-AU"/>
        </w:rPr>
        <w:t>Recognise in planning scheme</w:t>
      </w:r>
      <w:r w:rsidR="00353455">
        <w:rPr>
          <w:lang w:val="en-AU"/>
        </w:rPr>
        <w:t>s</w:t>
      </w:r>
      <w:r w:rsidRPr="00A34264">
        <w:rPr>
          <w:lang w:val="en-AU"/>
        </w:rPr>
        <w:t xml:space="preserve"> the importance of aligning economic and population growth with urban settlement, industry, services and infrastructure</w:t>
      </w:r>
    </w:p>
    <w:p w:rsidR="00297209" w:rsidRPr="00A34264" w:rsidRDefault="00297209" w:rsidP="00297209">
      <w:pPr>
        <w:pStyle w:val="btbullet"/>
        <w:rPr>
          <w:lang w:val="en-AU"/>
        </w:rPr>
      </w:pPr>
      <w:r w:rsidRPr="00A34264">
        <w:rPr>
          <w:lang w:val="en-AU"/>
        </w:rPr>
        <w:t>Ensure there is an adequate supply of commercial and industrial land for employment across the region</w:t>
      </w:r>
    </w:p>
    <w:p w:rsidR="00297209" w:rsidRPr="00A34264" w:rsidRDefault="00297209" w:rsidP="00297209">
      <w:pPr>
        <w:pStyle w:val="btbullet"/>
        <w:rPr>
          <w:lang w:val="en-AU"/>
        </w:rPr>
      </w:pPr>
      <w:r w:rsidRPr="00A34264">
        <w:rPr>
          <w:lang w:val="en-AU"/>
        </w:rPr>
        <w:t>Protect major infrastructure, industrial land and mining activities from encroachment by incompatible uses</w:t>
      </w:r>
    </w:p>
    <w:p w:rsidR="00297209" w:rsidRPr="00A34264" w:rsidRDefault="00297209" w:rsidP="00297209">
      <w:pPr>
        <w:pStyle w:val="btbullet"/>
        <w:rPr>
          <w:lang w:val="en-AU"/>
        </w:rPr>
      </w:pPr>
      <w:r w:rsidRPr="00A34264">
        <w:rPr>
          <w:lang w:val="en-AU"/>
        </w:rPr>
        <w:t>Encourage emerging agribusinesses and location clusters, including intensive animal industries</w:t>
      </w:r>
    </w:p>
    <w:p w:rsidR="00297209" w:rsidRPr="00A34264" w:rsidRDefault="00297209" w:rsidP="00297209">
      <w:pPr>
        <w:pStyle w:val="btbullet"/>
        <w:rPr>
          <w:lang w:val="en-AU"/>
        </w:rPr>
      </w:pPr>
      <w:r w:rsidRPr="00A34264">
        <w:rPr>
          <w:lang w:val="en-AU"/>
        </w:rPr>
        <w:t>Identify and protect areas of strategic significance for agriculture</w:t>
      </w:r>
    </w:p>
    <w:p w:rsidR="00297209" w:rsidRPr="00A34264" w:rsidRDefault="00297209" w:rsidP="00297209">
      <w:pPr>
        <w:pStyle w:val="Heading5"/>
        <w:rPr>
          <w:lang w:val="en-AU"/>
        </w:rPr>
      </w:pPr>
      <w:r w:rsidRPr="00A34264">
        <w:rPr>
          <w:lang w:val="en-AU"/>
        </w:rPr>
        <w:t>Reference to future direction, land use strategy, action or policy (Part C)</w:t>
      </w:r>
    </w:p>
    <w:p w:rsidR="00297209" w:rsidRPr="00A34264" w:rsidRDefault="00297209" w:rsidP="00297209">
      <w:pPr>
        <w:pStyle w:val="btbullet"/>
        <w:rPr>
          <w:lang w:val="en-AU"/>
        </w:rPr>
      </w:pPr>
      <w:r w:rsidRPr="00A34264">
        <w:rPr>
          <w:lang w:val="en-AU"/>
        </w:rPr>
        <w:t>Section 11.1 – Building on economic strengths</w:t>
      </w:r>
    </w:p>
    <w:p w:rsidR="00297209" w:rsidRPr="00A34264" w:rsidRDefault="00297209" w:rsidP="00297209">
      <w:pPr>
        <w:pStyle w:val="btbullet"/>
        <w:rPr>
          <w:lang w:val="en-AU"/>
        </w:rPr>
      </w:pPr>
      <w:r w:rsidRPr="00A34264">
        <w:rPr>
          <w:lang w:val="en-AU"/>
        </w:rPr>
        <w:t xml:space="preserve">Section 11.2 </w:t>
      </w:r>
      <w:r>
        <w:rPr>
          <w:lang w:val="en-AU"/>
        </w:rPr>
        <w:t>–</w:t>
      </w:r>
      <w:r w:rsidRPr="00A34264">
        <w:rPr>
          <w:lang w:val="en-AU"/>
        </w:rPr>
        <w:t xml:space="preserve"> Agriculture</w:t>
      </w:r>
    </w:p>
    <w:p w:rsidR="000047B6" w:rsidRPr="00A34264" w:rsidRDefault="000047B6" w:rsidP="000047B6">
      <w:pPr>
        <w:pStyle w:val="Heading5"/>
        <w:rPr>
          <w:lang w:val="en-AU"/>
        </w:rPr>
      </w:pPr>
      <w:r w:rsidRPr="00A34264">
        <w:rPr>
          <w:lang w:val="en-AU"/>
        </w:rPr>
        <w:t>Action:</w:t>
      </w:r>
    </w:p>
    <w:p w:rsidR="00297209" w:rsidRPr="00297209" w:rsidRDefault="00297209" w:rsidP="00297209">
      <w:pPr>
        <w:pStyle w:val="bt"/>
        <w:rPr>
          <w:rStyle w:val="Strong"/>
        </w:rPr>
      </w:pPr>
      <w:r w:rsidRPr="00297209">
        <w:rPr>
          <w:rStyle w:val="Strong"/>
        </w:rPr>
        <w:t>Environment and heritage</w:t>
      </w:r>
    </w:p>
    <w:p w:rsidR="00297209" w:rsidRPr="00A34264" w:rsidRDefault="00297209" w:rsidP="000047B6">
      <w:pPr>
        <w:pStyle w:val="btbullet"/>
        <w:rPr>
          <w:lang w:val="en-AU"/>
        </w:rPr>
      </w:pPr>
      <w:r w:rsidRPr="00A34264">
        <w:rPr>
          <w:lang w:val="en-AU"/>
        </w:rPr>
        <w:t>Consistently incorporate information on environmental and cultural heritage assets and natural hazards (including threats to soil health) into planning schemes by updating the relevant planning overlays to reflect new understanding and to recognise high value assets and priority landscapes identified in regional catchment strategies</w:t>
      </w:r>
    </w:p>
    <w:p w:rsidR="00297209" w:rsidRPr="00A34264" w:rsidRDefault="00297209" w:rsidP="000047B6">
      <w:pPr>
        <w:pStyle w:val="btbullet"/>
        <w:rPr>
          <w:lang w:val="en-AU"/>
        </w:rPr>
      </w:pPr>
      <w:r w:rsidRPr="00A34264">
        <w:rPr>
          <w:lang w:val="en-AU"/>
        </w:rPr>
        <w:t>Direct settlement growth and development away from areas of high value environmental and cultural heritage assets, such as significant vegetation, waterways, scenic landscapes, and Aboriginal cultural heritage and historic heritage places</w:t>
      </w:r>
    </w:p>
    <w:p w:rsidR="00297209" w:rsidRPr="00A34264" w:rsidRDefault="00297209" w:rsidP="000047B6">
      <w:pPr>
        <w:pStyle w:val="btbullet"/>
        <w:rPr>
          <w:rFonts w:cstheme="minorHAnsi"/>
          <w:lang w:val="en-AU"/>
        </w:rPr>
      </w:pPr>
      <w:r w:rsidRPr="00A34264">
        <w:rPr>
          <w:lang w:val="en-AU"/>
        </w:rPr>
        <w:t>Undertake strategic planning for areas under pressure for rural residential development, particularly those associated with significant wetlands and the Murray River, to protect nearby environmental assets and values, and to enhance the region’s environmental credentials</w:t>
      </w:r>
    </w:p>
    <w:p w:rsidR="000047B6" w:rsidRPr="00A34264" w:rsidRDefault="000047B6" w:rsidP="000047B6">
      <w:pPr>
        <w:pStyle w:val="Heading5"/>
        <w:rPr>
          <w:lang w:val="en-AU"/>
        </w:rPr>
      </w:pPr>
      <w:r w:rsidRPr="00A34264">
        <w:rPr>
          <w:lang w:val="en-AU"/>
        </w:rPr>
        <w:t>Reference to future direction, land use strategy, action or policy (Part C)</w:t>
      </w:r>
    </w:p>
    <w:p w:rsidR="00297209" w:rsidRPr="00A34264" w:rsidRDefault="00297209" w:rsidP="000047B6">
      <w:pPr>
        <w:pStyle w:val="btbullet"/>
        <w:rPr>
          <w:lang w:val="en-AU"/>
        </w:rPr>
      </w:pPr>
      <w:r w:rsidRPr="00A34264">
        <w:rPr>
          <w:lang w:val="en-AU"/>
        </w:rPr>
        <w:t>Section 12.2 – Natural hazards and risks</w:t>
      </w:r>
    </w:p>
    <w:p w:rsidR="000047B6" w:rsidRPr="00A34264" w:rsidRDefault="000047B6" w:rsidP="000047B6">
      <w:pPr>
        <w:pStyle w:val="Heading5"/>
        <w:rPr>
          <w:lang w:val="en-AU"/>
        </w:rPr>
      </w:pPr>
      <w:r w:rsidRPr="00A34264">
        <w:rPr>
          <w:lang w:val="en-AU"/>
        </w:rPr>
        <w:lastRenderedPageBreak/>
        <w:t>Action:</w:t>
      </w:r>
    </w:p>
    <w:p w:rsidR="00297209" w:rsidRPr="00297209" w:rsidRDefault="00297209" w:rsidP="00297209">
      <w:pPr>
        <w:pStyle w:val="bt"/>
        <w:rPr>
          <w:rStyle w:val="Strong"/>
        </w:rPr>
      </w:pPr>
      <w:r w:rsidRPr="00297209">
        <w:rPr>
          <w:rStyle w:val="Strong"/>
        </w:rPr>
        <w:t>Living in the region</w:t>
      </w:r>
    </w:p>
    <w:p w:rsidR="00297209" w:rsidRPr="00A34264" w:rsidRDefault="00297209" w:rsidP="000047B6">
      <w:pPr>
        <w:pStyle w:val="btbullet"/>
        <w:rPr>
          <w:lang w:val="en-AU"/>
        </w:rPr>
      </w:pPr>
      <w:r w:rsidRPr="00A34264">
        <w:rPr>
          <w:lang w:val="en-AU"/>
        </w:rPr>
        <w:t>Plan strategically for the most appropriate locations for rural residential growth in the hinterland areas of Mildura, Swan Hill and Echuca to maintain environmental sustainability and avoid impacts on future agricultural export potential</w:t>
      </w:r>
    </w:p>
    <w:p w:rsidR="00297209" w:rsidRPr="00A34264" w:rsidRDefault="00297209" w:rsidP="000047B6">
      <w:pPr>
        <w:pStyle w:val="btbullet"/>
        <w:rPr>
          <w:lang w:val="en-AU"/>
        </w:rPr>
      </w:pPr>
      <w:r w:rsidRPr="00A34264">
        <w:rPr>
          <w:lang w:val="en-AU"/>
        </w:rPr>
        <w:t>Facilitate growth of Mildura as a regional city, through planned development incorporating the nearby settlements of Red Cliffs, Irymple and Merbein</w:t>
      </w:r>
    </w:p>
    <w:p w:rsidR="00297209" w:rsidRPr="00A34264" w:rsidRDefault="00297209" w:rsidP="000047B6">
      <w:pPr>
        <w:pStyle w:val="btbullet"/>
        <w:rPr>
          <w:lang w:val="en-AU"/>
        </w:rPr>
      </w:pPr>
      <w:r w:rsidRPr="00A34264">
        <w:rPr>
          <w:lang w:val="en-AU"/>
        </w:rPr>
        <w:t>Encourage urban consolidation, particularly in the central business district of Mildura</w:t>
      </w:r>
    </w:p>
    <w:p w:rsidR="00297209" w:rsidRPr="00A34264" w:rsidRDefault="00297209" w:rsidP="000047B6">
      <w:pPr>
        <w:pStyle w:val="btbullet"/>
        <w:rPr>
          <w:lang w:val="en-AU"/>
        </w:rPr>
      </w:pPr>
      <w:r w:rsidRPr="00A34264">
        <w:rPr>
          <w:lang w:val="en-AU"/>
        </w:rPr>
        <w:t>Ensure growth of Mildura does not compromise the future operation or potential for expansion of Mildura Airport</w:t>
      </w:r>
    </w:p>
    <w:p w:rsidR="00297209" w:rsidRPr="00A34264" w:rsidRDefault="00297209" w:rsidP="000047B6">
      <w:pPr>
        <w:pStyle w:val="btbullet"/>
        <w:rPr>
          <w:lang w:val="en-AU"/>
        </w:rPr>
      </w:pPr>
      <w:r w:rsidRPr="00A34264">
        <w:rPr>
          <w:lang w:val="en-AU"/>
        </w:rPr>
        <w:t>Facilitate growth of Echuca through planned development while considering population change and settlement planning in Moama</w:t>
      </w:r>
    </w:p>
    <w:p w:rsidR="00297209" w:rsidRPr="00A34264" w:rsidRDefault="00297209" w:rsidP="000047B6">
      <w:pPr>
        <w:pStyle w:val="btbullet"/>
        <w:rPr>
          <w:lang w:val="en-AU"/>
        </w:rPr>
      </w:pPr>
      <w:r w:rsidRPr="00A34264">
        <w:rPr>
          <w:lang w:val="en-AU"/>
        </w:rPr>
        <w:t>Reinforce Echuca’s role as a regional centre and important tourism destination</w:t>
      </w:r>
    </w:p>
    <w:p w:rsidR="00297209" w:rsidRPr="00A34264" w:rsidRDefault="00297209" w:rsidP="000047B6">
      <w:pPr>
        <w:pStyle w:val="btbullet"/>
        <w:rPr>
          <w:lang w:val="en-AU"/>
        </w:rPr>
      </w:pPr>
      <w:r w:rsidRPr="00A34264">
        <w:rPr>
          <w:lang w:val="en-AU"/>
        </w:rPr>
        <w:t>Facilitate the growth of Swan Hill through planned development, incremental expansion and consideration of population change and settlement planning in New South Wales</w:t>
      </w:r>
    </w:p>
    <w:p w:rsidR="00297209" w:rsidRPr="00A34264" w:rsidRDefault="00297209" w:rsidP="000047B6">
      <w:pPr>
        <w:pStyle w:val="btbullet"/>
        <w:rPr>
          <w:lang w:val="en-AU"/>
        </w:rPr>
      </w:pPr>
      <w:r w:rsidRPr="00A34264">
        <w:rPr>
          <w:lang w:val="en-AU"/>
        </w:rPr>
        <w:t>Reinforce Swan Hill’s role as a regional centre and important tourism destination</w:t>
      </w:r>
    </w:p>
    <w:p w:rsidR="00297209" w:rsidRPr="00A34264" w:rsidRDefault="00297209" w:rsidP="000047B6">
      <w:pPr>
        <w:pStyle w:val="btbullet"/>
        <w:rPr>
          <w:lang w:val="en-AU"/>
        </w:rPr>
      </w:pPr>
      <w:r w:rsidRPr="00A34264">
        <w:rPr>
          <w:lang w:val="en-AU"/>
        </w:rPr>
        <w:t>Facilitate the growth of Robinvale through planned development, incremental expansion and consideration of population change and settlement planning in New South Wales</w:t>
      </w:r>
    </w:p>
    <w:p w:rsidR="00297209" w:rsidRPr="00A34264" w:rsidRDefault="00297209" w:rsidP="000047B6">
      <w:pPr>
        <w:pStyle w:val="btbullet"/>
        <w:rPr>
          <w:lang w:val="en-AU"/>
        </w:rPr>
      </w:pPr>
      <w:r w:rsidRPr="00A34264">
        <w:rPr>
          <w:lang w:val="en-AU"/>
        </w:rPr>
        <w:t>Recognise and reinforce Kerang’s role as the main service centre for the Gannawarra community of interest</w:t>
      </w:r>
    </w:p>
    <w:p w:rsidR="00297209" w:rsidRPr="00A34264" w:rsidRDefault="00297209" w:rsidP="000047B6">
      <w:pPr>
        <w:pStyle w:val="btbullet"/>
        <w:rPr>
          <w:lang w:val="en-AU"/>
        </w:rPr>
      </w:pPr>
      <w:r w:rsidRPr="00A34264">
        <w:rPr>
          <w:lang w:val="en-AU"/>
        </w:rPr>
        <w:t>Support growth of Kerang through planned development, incremental expansion and infrastructure investment</w:t>
      </w:r>
    </w:p>
    <w:p w:rsidR="00297209" w:rsidRPr="00A34264" w:rsidRDefault="00297209" w:rsidP="000047B6">
      <w:pPr>
        <w:pStyle w:val="btbullet"/>
        <w:rPr>
          <w:lang w:val="en-AU"/>
        </w:rPr>
      </w:pPr>
      <w:r w:rsidRPr="00A34264">
        <w:rPr>
          <w:lang w:val="en-AU"/>
        </w:rPr>
        <w:t>Recognise and support the roles of Donald, Charlton, Wycheproof and Birchip as towns providing services to isolated and dispersed rural settlements and regionally important rural industries</w:t>
      </w:r>
    </w:p>
    <w:p w:rsidR="00297209" w:rsidRPr="00A34264" w:rsidRDefault="00297209" w:rsidP="000047B6">
      <w:pPr>
        <w:pStyle w:val="btbullet"/>
        <w:rPr>
          <w:lang w:val="en-AU"/>
        </w:rPr>
      </w:pPr>
      <w:r w:rsidRPr="00A34264">
        <w:rPr>
          <w:lang w:val="en-AU"/>
        </w:rPr>
        <w:t>Support settlements to adjust to ongoing population decrease</w:t>
      </w:r>
    </w:p>
    <w:p w:rsidR="000047B6" w:rsidRPr="00A34264" w:rsidRDefault="000047B6" w:rsidP="000047B6">
      <w:pPr>
        <w:pStyle w:val="Heading5"/>
        <w:rPr>
          <w:lang w:val="en-AU"/>
        </w:rPr>
      </w:pPr>
      <w:r w:rsidRPr="00A34264">
        <w:rPr>
          <w:lang w:val="en-AU"/>
        </w:rPr>
        <w:t>Reference to future direction, land use strategy, action or policy (Part C)</w:t>
      </w:r>
    </w:p>
    <w:p w:rsidR="00297209" w:rsidRPr="00A34264" w:rsidRDefault="00297209" w:rsidP="000047B6">
      <w:pPr>
        <w:pStyle w:val="btbullet"/>
        <w:rPr>
          <w:lang w:val="en-AU"/>
        </w:rPr>
      </w:pPr>
      <w:r w:rsidRPr="00A34264">
        <w:rPr>
          <w:lang w:val="en-AU"/>
        </w:rPr>
        <w:t>Section 13.1 – Loddon Mallee North settlement</w:t>
      </w:r>
    </w:p>
    <w:p w:rsidR="00297209" w:rsidRPr="00A34264" w:rsidRDefault="00297209" w:rsidP="000047B6">
      <w:pPr>
        <w:pStyle w:val="btbullet"/>
        <w:rPr>
          <w:lang w:val="en-AU"/>
        </w:rPr>
      </w:pPr>
      <w:r>
        <w:rPr>
          <w:lang w:val="en-AU"/>
        </w:rPr>
        <w:t>S</w:t>
      </w:r>
      <w:r w:rsidRPr="00A34264">
        <w:rPr>
          <w:lang w:val="en-AU"/>
        </w:rPr>
        <w:t>ection 13.2 – Mallee community of interest</w:t>
      </w:r>
    </w:p>
    <w:p w:rsidR="00297209" w:rsidRPr="00A34264" w:rsidRDefault="00297209" w:rsidP="000047B6">
      <w:pPr>
        <w:pStyle w:val="btbullet"/>
        <w:rPr>
          <w:lang w:val="en-AU"/>
        </w:rPr>
      </w:pPr>
      <w:r w:rsidRPr="00A34264">
        <w:rPr>
          <w:lang w:val="en-AU"/>
        </w:rPr>
        <w:t>Section 13.3 – Campaspe community of interest</w:t>
      </w:r>
    </w:p>
    <w:p w:rsidR="00297209" w:rsidRPr="00A34264" w:rsidRDefault="00297209" w:rsidP="000047B6">
      <w:pPr>
        <w:pStyle w:val="btbullet"/>
        <w:rPr>
          <w:lang w:val="en-AU"/>
        </w:rPr>
      </w:pPr>
      <w:r w:rsidRPr="00A34264">
        <w:rPr>
          <w:lang w:val="en-AU"/>
        </w:rPr>
        <w:t>Section 13.4 – Eastern Mallee community of interest</w:t>
      </w:r>
    </w:p>
    <w:p w:rsidR="00297209" w:rsidRPr="00A34264" w:rsidRDefault="00297209" w:rsidP="000047B6">
      <w:pPr>
        <w:pStyle w:val="btbullet"/>
        <w:rPr>
          <w:lang w:val="en-AU"/>
        </w:rPr>
      </w:pPr>
      <w:r w:rsidRPr="00A34264">
        <w:rPr>
          <w:lang w:val="en-AU"/>
        </w:rPr>
        <w:t>Section 13.5 – Gannawarra community of interest</w:t>
      </w:r>
    </w:p>
    <w:p w:rsidR="00297209" w:rsidRPr="00A34264" w:rsidRDefault="00297209" w:rsidP="000047B6">
      <w:pPr>
        <w:pStyle w:val="btbullet"/>
        <w:rPr>
          <w:lang w:val="en-AU"/>
        </w:rPr>
      </w:pPr>
      <w:r w:rsidRPr="00A34264">
        <w:rPr>
          <w:lang w:val="en-AU"/>
        </w:rPr>
        <w:t>Section 13.6 – Buloke community of interest</w:t>
      </w:r>
    </w:p>
    <w:p w:rsidR="000047B6" w:rsidRPr="00A34264" w:rsidRDefault="000047B6" w:rsidP="000047B6">
      <w:pPr>
        <w:pStyle w:val="Heading5"/>
        <w:rPr>
          <w:lang w:val="en-AU"/>
        </w:rPr>
      </w:pPr>
      <w:r w:rsidRPr="00A34264">
        <w:rPr>
          <w:lang w:val="en-AU"/>
        </w:rPr>
        <w:t>Action:</w:t>
      </w:r>
    </w:p>
    <w:p w:rsidR="00297209" w:rsidRPr="000047B6" w:rsidRDefault="00297209" w:rsidP="000047B6">
      <w:pPr>
        <w:pStyle w:val="bt"/>
        <w:rPr>
          <w:rStyle w:val="Strong"/>
        </w:rPr>
      </w:pPr>
      <w:r w:rsidRPr="000047B6">
        <w:rPr>
          <w:rStyle w:val="Strong"/>
        </w:rPr>
        <w:t>Regional infrastructure</w:t>
      </w:r>
    </w:p>
    <w:p w:rsidR="00297209" w:rsidRPr="00A34264" w:rsidRDefault="00297209" w:rsidP="000047B6">
      <w:pPr>
        <w:pStyle w:val="btbullet"/>
        <w:rPr>
          <w:lang w:val="en-AU"/>
        </w:rPr>
      </w:pPr>
      <w:r w:rsidRPr="00A34264">
        <w:rPr>
          <w:lang w:val="en-AU"/>
        </w:rPr>
        <w:t>Incorporate this plan’s future directions into local and regional structure plans and planning schemes to ensure infrastructure keeps pace with changes in demography, land use and with economic and social development</w:t>
      </w:r>
    </w:p>
    <w:p w:rsidR="00297209" w:rsidRPr="00A34264" w:rsidRDefault="00297209" w:rsidP="000047B6">
      <w:pPr>
        <w:pStyle w:val="btbullet"/>
        <w:rPr>
          <w:lang w:val="en-AU"/>
        </w:rPr>
      </w:pPr>
      <w:r w:rsidRPr="00A34264">
        <w:rPr>
          <w:lang w:val="en-AU"/>
        </w:rPr>
        <w:t>Set aside land to provide corridors for future strategic road and rail linkages using zoning and overlays</w:t>
      </w:r>
    </w:p>
    <w:p w:rsidR="00297209" w:rsidRPr="00A34264" w:rsidRDefault="00297209" w:rsidP="000047B6">
      <w:pPr>
        <w:pStyle w:val="btbullet"/>
        <w:rPr>
          <w:lang w:val="en-AU"/>
        </w:rPr>
      </w:pPr>
      <w:r w:rsidRPr="00A34264">
        <w:rPr>
          <w:lang w:val="en-AU"/>
        </w:rPr>
        <w:t>Maximise the strategic position of the transport network to encourage settlement and economic growth along existing transport routes</w:t>
      </w:r>
    </w:p>
    <w:p w:rsidR="00297209" w:rsidRPr="00A34264" w:rsidRDefault="00297209" w:rsidP="000047B6">
      <w:pPr>
        <w:pStyle w:val="btbullet"/>
        <w:rPr>
          <w:lang w:val="en-AU"/>
        </w:rPr>
      </w:pPr>
      <w:r w:rsidRPr="00A34264">
        <w:rPr>
          <w:lang w:val="en-AU"/>
        </w:rPr>
        <w:t>Ensure local planning policy frameworks recognise changing population needs, social infrastructure requirements and consider broader climate change impacts on communities</w:t>
      </w:r>
    </w:p>
    <w:p w:rsidR="00297209" w:rsidRPr="00A34264" w:rsidRDefault="00297209" w:rsidP="000047B6">
      <w:pPr>
        <w:pStyle w:val="btbullet"/>
        <w:rPr>
          <w:lang w:val="en-AU"/>
        </w:rPr>
      </w:pPr>
      <w:r w:rsidRPr="00A34264">
        <w:rPr>
          <w:lang w:val="en-AU"/>
        </w:rPr>
        <w:lastRenderedPageBreak/>
        <w:t>Encourage social infrastructure that is well located, multi-purpose, flexible, adaptable and accessible for the Loddon Mallee North communities of interest, public transport services, employment and educational opportunities</w:t>
      </w:r>
    </w:p>
    <w:p w:rsidR="00297209" w:rsidRPr="00A34264" w:rsidRDefault="00297209" w:rsidP="000047B6">
      <w:pPr>
        <w:pStyle w:val="btbullet"/>
        <w:rPr>
          <w:lang w:val="en-AU"/>
        </w:rPr>
      </w:pPr>
      <w:r w:rsidRPr="00A34264">
        <w:rPr>
          <w:lang w:val="en-AU"/>
        </w:rPr>
        <w:t>Protect the operation of existing and planned health and education training facilities from conflicting land uses</w:t>
      </w:r>
    </w:p>
    <w:p w:rsidR="00297209" w:rsidRPr="00A34264" w:rsidRDefault="00297209" w:rsidP="000047B6">
      <w:pPr>
        <w:pStyle w:val="btbullet"/>
        <w:rPr>
          <w:lang w:val="en-AU"/>
        </w:rPr>
      </w:pPr>
      <w:r w:rsidRPr="00A34264">
        <w:rPr>
          <w:lang w:val="en-AU"/>
        </w:rPr>
        <w:t>Ensure that local planning schemes recognise the need to direct growth to areas where it will make the most efficient use of existing infrastructure</w:t>
      </w:r>
    </w:p>
    <w:p w:rsidR="00297209" w:rsidRPr="00A34264" w:rsidRDefault="00297209" w:rsidP="000047B6">
      <w:pPr>
        <w:pStyle w:val="btbullet"/>
        <w:rPr>
          <w:lang w:val="en-AU"/>
        </w:rPr>
      </w:pPr>
      <w:r w:rsidRPr="00A34264">
        <w:rPr>
          <w:lang w:val="en-AU"/>
        </w:rPr>
        <w:t>Identify key regional priorities and land use requirements for improved utilities, energy and telecommunications infrastructure and support implementation of these priorities</w:t>
      </w:r>
    </w:p>
    <w:p w:rsidR="00297209" w:rsidRPr="00A34264" w:rsidRDefault="00297209" w:rsidP="000047B6">
      <w:pPr>
        <w:pStyle w:val="btbullet"/>
        <w:rPr>
          <w:rFonts w:cstheme="minorHAnsi"/>
          <w:lang w:val="en-AU"/>
        </w:rPr>
      </w:pPr>
      <w:r w:rsidRPr="00A34264">
        <w:rPr>
          <w:lang w:val="en-AU"/>
        </w:rPr>
        <w:t>Ensure infrastructure planning is coordinated with urban development and the key locations for growth identified in this plan</w:t>
      </w:r>
    </w:p>
    <w:p w:rsidR="000047B6" w:rsidRPr="00A34264" w:rsidRDefault="000047B6" w:rsidP="000047B6">
      <w:pPr>
        <w:pStyle w:val="Heading5"/>
        <w:rPr>
          <w:lang w:val="en-AU"/>
        </w:rPr>
      </w:pPr>
      <w:r w:rsidRPr="00A34264">
        <w:rPr>
          <w:lang w:val="en-AU"/>
        </w:rPr>
        <w:t>Reference to future direction, land use strategy, action or policy (Part C)</w:t>
      </w:r>
    </w:p>
    <w:p w:rsidR="00297209" w:rsidRPr="00A34264" w:rsidRDefault="00297209" w:rsidP="000047B6">
      <w:pPr>
        <w:pStyle w:val="btbullet"/>
        <w:rPr>
          <w:lang w:val="en-AU"/>
        </w:rPr>
      </w:pPr>
      <w:r w:rsidRPr="00A34264">
        <w:rPr>
          <w:lang w:val="en-AU"/>
        </w:rPr>
        <w:t>Section 14.1 – Transport networks</w:t>
      </w:r>
    </w:p>
    <w:p w:rsidR="00297209" w:rsidRPr="00A34264" w:rsidRDefault="00297209" w:rsidP="000047B6">
      <w:pPr>
        <w:pStyle w:val="btbullet"/>
        <w:rPr>
          <w:lang w:val="en-AU"/>
        </w:rPr>
      </w:pPr>
      <w:r w:rsidRPr="00A34264">
        <w:rPr>
          <w:lang w:val="en-AU"/>
        </w:rPr>
        <w:t>Section 14.2 – Social infrastructure</w:t>
      </w:r>
    </w:p>
    <w:p w:rsidR="00297209" w:rsidRPr="0015649A" w:rsidRDefault="00297209" w:rsidP="000047B6">
      <w:pPr>
        <w:pStyle w:val="btbullet"/>
        <w:rPr>
          <w:lang w:val="en-AU"/>
        </w:rPr>
      </w:pPr>
      <w:r w:rsidRPr="00A34264">
        <w:rPr>
          <w:lang w:val="en-AU"/>
        </w:rPr>
        <w:t>Section 14.3 – Water, energy and utilities</w:t>
      </w:r>
    </w:p>
    <w:p w:rsidR="00A637AA" w:rsidRPr="0015649A" w:rsidRDefault="00D86071" w:rsidP="00A637AA">
      <w:pPr>
        <w:pStyle w:val="Heading2"/>
        <w:rPr>
          <w:lang w:val="en-AU"/>
        </w:rPr>
      </w:pPr>
      <w:bookmarkStart w:id="133" w:name="_Toc367270074"/>
      <w:bookmarkStart w:id="134" w:name="_Toc371583537"/>
      <w:bookmarkStart w:id="135" w:name="_Toc371584574"/>
      <w:bookmarkStart w:id="136" w:name="_Toc377031477"/>
      <w:r w:rsidRPr="0015649A">
        <w:rPr>
          <w:lang w:val="en-AU"/>
        </w:rPr>
        <w:t>Review and performance</w:t>
      </w:r>
      <w:bookmarkEnd w:id="133"/>
      <w:bookmarkEnd w:id="134"/>
      <w:bookmarkEnd w:id="135"/>
      <w:bookmarkEnd w:id="136"/>
    </w:p>
    <w:p w:rsidR="00D86071" w:rsidRPr="0015649A" w:rsidRDefault="00D86071" w:rsidP="00B70EC4">
      <w:pPr>
        <w:pStyle w:val="bt"/>
        <w:rPr>
          <w:lang w:val="en-AU"/>
        </w:rPr>
      </w:pPr>
      <w:r w:rsidRPr="0015649A">
        <w:rPr>
          <w:lang w:val="en-AU"/>
        </w:rPr>
        <w:t>The plan is intended to be a living and adaptable plan, able to respond to new data and information as it arises, including information from state or regional strategies and programs. The plan is to be reviewed on a four</w:t>
      </w:r>
      <w:r w:rsidR="004E5C44">
        <w:rPr>
          <w:lang w:val="en-AU"/>
        </w:rPr>
        <w:t>-</w:t>
      </w:r>
      <w:r w:rsidRPr="0015649A">
        <w:rPr>
          <w:lang w:val="en-AU"/>
        </w:rPr>
        <w:t xml:space="preserve"> to </w:t>
      </w:r>
      <w:r w:rsidR="004E5C44" w:rsidRPr="0015649A">
        <w:rPr>
          <w:lang w:val="en-AU"/>
        </w:rPr>
        <w:t>five</w:t>
      </w:r>
      <w:r w:rsidR="004E5C44">
        <w:rPr>
          <w:lang w:val="en-AU"/>
        </w:rPr>
        <w:t>-</w:t>
      </w:r>
      <w:r w:rsidRPr="0015649A">
        <w:rPr>
          <w:lang w:val="en-AU"/>
        </w:rPr>
        <w:t>year cycle. Any review process will involve broad community and stakeholder engagement.</w:t>
      </w:r>
    </w:p>
    <w:p w:rsidR="00D86071" w:rsidRPr="0015649A" w:rsidRDefault="00D86071" w:rsidP="00B70EC4">
      <w:pPr>
        <w:pStyle w:val="bt"/>
        <w:rPr>
          <w:lang w:val="en-AU"/>
        </w:rPr>
      </w:pPr>
      <w:r w:rsidRPr="0015649A">
        <w:rPr>
          <w:lang w:val="en-AU"/>
        </w:rPr>
        <w:t xml:space="preserve">Implementation of this plan will be integrated with the overall implementation of the </w:t>
      </w:r>
      <w:r w:rsidR="00223C7F" w:rsidRPr="0015649A">
        <w:rPr>
          <w:lang w:val="en-AU"/>
        </w:rPr>
        <w:t>Loddon Mallee Regional Strategic Plan – Northern Region (2010)</w:t>
      </w:r>
      <w:r w:rsidRPr="0015649A">
        <w:rPr>
          <w:lang w:val="en-AU"/>
        </w:rPr>
        <w:t xml:space="preserve"> and included in the performance monitoring framework already established or</w:t>
      </w:r>
      <w:r w:rsidRPr="0015649A">
        <w:rPr>
          <w:i/>
          <w:lang w:val="en-AU"/>
        </w:rPr>
        <w:t xml:space="preserve"> </w:t>
      </w:r>
      <w:r w:rsidRPr="0015649A">
        <w:rPr>
          <w:lang w:val="en-AU"/>
        </w:rPr>
        <w:t xml:space="preserve">being established in future, for the implementation of </w:t>
      </w:r>
      <w:r w:rsidR="008B479A">
        <w:rPr>
          <w:lang w:val="en-AU"/>
        </w:rPr>
        <w:t>regional strategic plan</w:t>
      </w:r>
      <w:r w:rsidRPr="0015649A">
        <w:rPr>
          <w:lang w:val="en-AU"/>
        </w:rPr>
        <w:t xml:space="preserve">. This framework includes an assessment of performance and project progress and sets out performance measures for the key directions of the </w:t>
      </w:r>
      <w:r w:rsidR="00223C7F" w:rsidRPr="0015649A">
        <w:rPr>
          <w:lang w:val="en-AU"/>
        </w:rPr>
        <w:t>Loddon Mallee Regional Strategic Plan – Northern Region (2010)</w:t>
      </w:r>
      <w:r w:rsidRPr="0015649A">
        <w:rPr>
          <w:lang w:val="en-AU"/>
        </w:rPr>
        <w:t>.</w:t>
      </w:r>
    </w:p>
    <w:p w:rsidR="00A637AA" w:rsidRPr="0015649A" w:rsidRDefault="00D86071" w:rsidP="00A637AA">
      <w:pPr>
        <w:pStyle w:val="Heading2"/>
        <w:rPr>
          <w:lang w:val="en-AU"/>
        </w:rPr>
      </w:pPr>
      <w:bookmarkStart w:id="137" w:name="_Toc367270075"/>
      <w:bookmarkStart w:id="138" w:name="_Toc371583538"/>
      <w:bookmarkStart w:id="139" w:name="_Toc371584575"/>
      <w:bookmarkStart w:id="140" w:name="_Toc377031478"/>
      <w:r w:rsidRPr="0015649A">
        <w:rPr>
          <w:lang w:val="en-AU"/>
        </w:rPr>
        <w:t>Implementation summary</w:t>
      </w:r>
      <w:bookmarkEnd w:id="137"/>
      <w:bookmarkEnd w:id="138"/>
      <w:bookmarkEnd w:id="139"/>
      <w:bookmarkEnd w:id="140"/>
    </w:p>
    <w:p w:rsidR="00D86071" w:rsidRDefault="00D86071" w:rsidP="00B70EC4">
      <w:pPr>
        <w:pStyle w:val="bt"/>
        <w:rPr>
          <w:lang w:val="en-AU"/>
        </w:rPr>
      </w:pPr>
      <w:r w:rsidRPr="0015649A">
        <w:rPr>
          <w:lang w:val="en-AU"/>
        </w:rPr>
        <w:t>The key implementation actions, priorities, partners and responsibilities are summarised below:</w:t>
      </w:r>
    </w:p>
    <w:p w:rsidR="007E189A" w:rsidRDefault="007E189A" w:rsidP="009C740B">
      <w:pPr>
        <w:pStyle w:val="Heading5"/>
      </w:pPr>
      <w:bookmarkStart w:id="141" w:name="_Toc367196718"/>
      <w:r w:rsidRPr="00B0122E">
        <w:t>Action</w:t>
      </w:r>
      <w:bookmarkEnd w:id="141"/>
    </w:p>
    <w:p w:rsidR="007E189A" w:rsidRPr="00B0122E" w:rsidRDefault="007E189A" w:rsidP="00B70EC4">
      <w:pPr>
        <w:pStyle w:val="ListNumber"/>
        <w:numPr>
          <w:ilvl w:val="0"/>
          <w:numId w:val="48"/>
        </w:numPr>
      </w:pPr>
      <w:bookmarkStart w:id="142" w:name="_Toc367196723"/>
      <w:r w:rsidRPr="00B0122E">
        <w:t>Planning scheme implementation of regional growth plan</w:t>
      </w:r>
      <w:bookmarkEnd w:id="142"/>
    </w:p>
    <w:p w:rsidR="007E189A" w:rsidRDefault="007E189A" w:rsidP="009C740B">
      <w:pPr>
        <w:pStyle w:val="Heading5"/>
      </w:pPr>
      <w:bookmarkStart w:id="143" w:name="_Toc367196719"/>
      <w:r w:rsidRPr="00B0122E">
        <w:t>Priority</w:t>
      </w:r>
      <w:bookmarkEnd w:id="143"/>
    </w:p>
    <w:p w:rsidR="007E189A" w:rsidRPr="003A58CF" w:rsidRDefault="007E189A" w:rsidP="007E189A">
      <w:pPr>
        <w:pStyle w:val="bt"/>
      </w:pPr>
      <w:bookmarkStart w:id="144" w:name="_Toc367196724"/>
      <w:r w:rsidRPr="003A58CF">
        <w:t>High</w:t>
      </w:r>
      <w:bookmarkEnd w:id="144"/>
    </w:p>
    <w:p w:rsidR="007E189A" w:rsidRDefault="007E189A" w:rsidP="009C740B">
      <w:pPr>
        <w:pStyle w:val="Heading5"/>
      </w:pPr>
      <w:bookmarkStart w:id="145" w:name="_Toc367196720"/>
      <w:r w:rsidRPr="00B0122E">
        <w:t>Timing</w:t>
      </w:r>
      <w:bookmarkEnd w:id="145"/>
    </w:p>
    <w:p w:rsidR="007E189A" w:rsidRPr="003A58CF" w:rsidRDefault="007E189A" w:rsidP="007E189A">
      <w:pPr>
        <w:pStyle w:val="bt"/>
      </w:pPr>
      <w:r w:rsidRPr="003A58CF">
        <w:t>2013–2014</w:t>
      </w:r>
    </w:p>
    <w:p w:rsidR="007E189A" w:rsidRPr="00B0122E" w:rsidRDefault="007E189A" w:rsidP="009C740B">
      <w:pPr>
        <w:pStyle w:val="Heading5"/>
      </w:pPr>
      <w:bookmarkStart w:id="146" w:name="_Toc367196721"/>
      <w:r w:rsidRPr="00B0122E">
        <w:t>Lead responsibility</w:t>
      </w:r>
      <w:bookmarkEnd w:id="146"/>
    </w:p>
    <w:p w:rsidR="007E189A" w:rsidRPr="003A58CF" w:rsidRDefault="007E189A" w:rsidP="007E189A">
      <w:pPr>
        <w:pStyle w:val="bt"/>
      </w:pPr>
      <w:bookmarkStart w:id="147" w:name="_Toc367196722"/>
      <w:r w:rsidRPr="003A58CF">
        <w:t>Department of Transport, Planning and Local Infrastructure</w:t>
      </w:r>
    </w:p>
    <w:p w:rsidR="007E189A" w:rsidRPr="00B0122E" w:rsidRDefault="007E189A" w:rsidP="009C740B">
      <w:pPr>
        <w:pStyle w:val="Heading5"/>
      </w:pPr>
      <w:r w:rsidRPr="00B0122E">
        <w:t>Key partners</w:t>
      </w:r>
      <w:bookmarkEnd w:id="147"/>
    </w:p>
    <w:p w:rsidR="007E189A" w:rsidRDefault="007E189A" w:rsidP="007E189A">
      <w:pPr>
        <w:pStyle w:val="bt"/>
      </w:pPr>
      <w:r w:rsidRPr="003A58CF">
        <w:t xml:space="preserve">Loddon Mallee </w:t>
      </w:r>
      <w:r w:rsidR="009C740B">
        <w:t>Nor</w:t>
      </w:r>
      <w:r w:rsidRPr="003A58CF">
        <w:t>th region councils</w:t>
      </w:r>
    </w:p>
    <w:p w:rsidR="007E189A" w:rsidRPr="00B0122E" w:rsidRDefault="007E189A" w:rsidP="009C740B">
      <w:pPr>
        <w:pStyle w:val="Heading5"/>
      </w:pPr>
      <w:r w:rsidRPr="00B0122E">
        <w:lastRenderedPageBreak/>
        <w:t>Action</w:t>
      </w:r>
    </w:p>
    <w:p w:rsidR="007E189A" w:rsidRPr="00B0122E" w:rsidRDefault="007E189A" w:rsidP="00805813">
      <w:pPr>
        <w:pStyle w:val="ListNumber"/>
      </w:pPr>
      <w:r w:rsidRPr="00B0122E">
        <w:t>Implementation plan</w:t>
      </w:r>
    </w:p>
    <w:p w:rsidR="007E189A" w:rsidRPr="00B0122E" w:rsidRDefault="007E189A" w:rsidP="009C740B">
      <w:pPr>
        <w:pStyle w:val="Heading5"/>
      </w:pPr>
      <w:r w:rsidRPr="00B0122E">
        <w:t>Priority</w:t>
      </w:r>
    </w:p>
    <w:p w:rsidR="007E189A" w:rsidRPr="003A58CF" w:rsidRDefault="007E189A" w:rsidP="007E189A">
      <w:pPr>
        <w:pStyle w:val="bt"/>
      </w:pPr>
      <w:r w:rsidRPr="003A58CF">
        <w:t>High</w:t>
      </w:r>
    </w:p>
    <w:p w:rsidR="007E189A" w:rsidRPr="00B0122E" w:rsidRDefault="007E189A" w:rsidP="009C740B">
      <w:pPr>
        <w:pStyle w:val="Heading5"/>
      </w:pPr>
      <w:r w:rsidRPr="00B0122E">
        <w:t>Timing</w:t>
      </w:r>
    </w:p>
    <w:p w:rsidR="007E189A" w:rsidRPr="003A58CF" w:rsidRDefault="007E189A" w:rsidP="007E189A">
      <w:pPr>
        <w:pStyle w:val="bt"/>
      </w:pPr>
      <w:r w:rsidRPr="003A58CF">
        <w:t>2014–2015</w:t>
      </w:r>
    </w:p>
    <w:p w:rsidR="007E189A" w:rsidRPr="00B0122E" w:rsidRDefault="007E189A" w:rsidP="009C740B">
      <w:pPr>
        <w:pStyle w:val="Heading5"/>
      </w:pPr>
      <w:r w:rsidRPr="00B0122E">
        <w:t>Lead responsibility</w:t>
      </w:r>
    </w:p>
    <w:p w:rsidR="007E189A" w:rsidRPr="003A58CF" w:rsidRDefault="007E189A" w:rsidP="007E189A">
      <w:pPr>
        <w:pStyle w:val="bt"/>
      </w:pPr>
      <w:r w:rsidRPr="003A58CF">
        <w:t xml:space="preserve">Loddon Mallee </w:t>
      </w:r>
      <w:r w:rsidR="009C740B">
        <w:t>Nor</w:t>
      </w:r>
      <w:r w:rsidRPr="003A58CF">
        <w:t>th region lead governance entity</w:t>
      </w:r>
    </w:p>
    <w:p w:rsidR="007E189A" w:rsidRPr="00B0122E" w:rsidRDefault="007E189A" w:rsidP="009C740B">
      <w:pPr>
        <w:pStyle w:val="Heading5"/>
      </w:pPr>
      <w:r w:rsidRPr="00B0122E">
        <w:t>Key partners</w:t>
      </w:r>
    </w:p>
    <w:p w:rsidR="007E189A" w:rsidRPr="003A58CF" w:rsidRDefault="007E189A" w:rsidP="007E189A">
      <w:pPr>
        <w:pStyle w:val="bt"/>
      </w:pPr>
      <w:r w:rsidRPr="003A58CF">
        <w:t xml:space="preserve">Loddon Mallee </w:t>
      </w:r>
      <w:r w:rsidR="009C740B">
        <w:t>Nor</w:t>
      </w:r>
      <w:r w:rsidRPr="003A58CF">
        <w:t>th Regional Growth Plan project partners</w:t>
      </w:r>
    </w:p>
    <w:p w:rsidR="007E189A" w:rsidRPr="00B0122E" w:rsidRDefault="007E189A" w:rsidP="009C740B">
      <w:pPr>
        <w:pStyle w:val="Heading5"/>
      </w:pPr>
      <w:r w:rsidRPr="00B0122E">
        <w:t>Action</w:t>
      </w:r>
    </w:p>
    <w:p w:rsidR="007E189A" w:rsidRPr="00B0122E" w:rsidRDefault="007E189A" w:rsidP="00805813">
      <w:pPr>
        <w:pStyle w:val="ListNumber"/>
      </w:pPr>
      <w:r w:rsidRPr="00B0122E">
        <w:t xml:space="preserve">Loddon Mallee </w:t>
      </w:r>
      <w:r w:rsidR="009C740B">
        <w:t>Nor</w:t>
      </w:r>
      <w:r w:rsidRPr="00B0122E">
        <w:t>th region Municipal Strategic Statement reviews</w:t>
      </w:r>
    </w:p>
    <w:p w:rsidR="007E189A" w:rsidRPr="00B0122E" w:rsidRDefault="007E189A" w:rsidP="009C740B">
      <w:pPr>
        <w:pStyle w:val="Heading5"/>
      </w:pPr>
      <w:r w:rsidRPr="00B0122E">
        <w:t>Priority</w:t>
      </w:r>
    </w:p>
    <w:p w:rsidR="007E189A" w:rsidRPr="003A58CF" w:rsidRDefault="007E189A" w:rsidP="007E189A">
      <w:pPr>
        <w:pStyle w:val="bt"/>
      </w:pPr>
      <w:r w:rsidRPr="003A58CF">
        <w:t>Medium</w:t>
      </w:r>
    </w:p>
    <w:p w:rsidR="007E189A" w:rsidRPr="00B0122E" w:rsidRDefault="007E189A" w:rsidP="009C740B">
      <w:pPr>
        <w:pStyle w:val="Heading5"/>
      </w:pPr>
      <w:r w:rsidRPr="00B0122E">
        <w:t>Timing</w:t>
      </w:r>
    </w:p>
    <w:p w:rsidR="007E189A" w:rsidRPr="003A58CF" w:rsidRDefault="007E189A" w:rsidP="007E189A">
      <w:pPr>
        <w:pStyle w:val="bt"/>
      </w:pPr>
      <w:r w:rsidRPr="003A58CF">
        <w:t>To coincide with Municipal Strategic Statement review cycles</w:t>
      </w:r>
    </w:p>
    <w:p w:rsidR="007E189A" w:rsidRPr="00B0122E" w:rsidRDefault="007E189A" w:rsidP="009C740B">
      <w:pPr>
        <w:pStyle w:val="Heading5"/>
      </w:pPr>
      <w:r w:rsidRPr="00B0122E">
        <w:t>Lead responsibility</w:t>
      </w:r>
    </w:p>
    <w:p w:rsidR="007E189A" w:rsidRPr="003A58CF" w:rsidRDefault="007E189A" w:rsidP="007E189A">
      <w:pPr>
        <w:pStyle w:val="bt"/>
      </w:pPr>
      <w:r w:rsidRPr="003A58CF">
        <w:t xml:space="preserve">Loddon Mallee </w:t>
      </w:r>
      <w:r w:rsidR="009C740B">
        <w:t>Nor</w:t>
      </w:r>
      <w:r w:rsidRPr="003A58CF">
        <w:t>th region councils</w:t>
      </w:r>
    </w:p>
    <w:p w:rsidR="007E189A" w:rsidRPr="00B0122E" w:rsidRDefault="007E189A" w:rsidP="009C740B">
      <w:pPr>
        <w:pStyle w:val="Heading5"/>
      </w:pPr>
      <w:r w:rsidRPr="00B0122E">
        <w:t>Key partners</w:t>
      </w:r>
    </w:p>
    <w:p w:rsidR="007E189A" w:rsidRPr="003A58CF" w:rsidRDefault="007E189A" w:rsidP="007E189A">
      <w:pPr>
        <w:pStyle w:val="bt"/>
      </w:pPr>
      <w:r w:rsidRPr="003A58CF">
        <w:t>Department of Transport, Planning and Local Infrastructure</w:t>
      </w:r>
    </w:p>
    <w:p w:rsidR="007E189A" w:rsidRPr="00B0122E" w:rsidRDefault="007E189A" w:rsidP="009C740B">
      <w:pPr>
        <w:pStyle w:val="Heading5"/>
      </w:pPr>
      <w:r w:rsidRPr="00B0122E">
        <w:t>Action</w:t>
      </w:r>
    </w:p>
    <w:p w:rsidR="007E189A" w:rsidRPr="00B0122E" w:rsidRDefault="007E189A" w:rsidP="00805813">
      <w:pPr>
        <w:pStyle w:val="ListNumber"/>
      </w:pPr>
      <w:r w:rsidRPr="00B0122E">
        <w:t>Review</w:t>
      </w:r>
    </w:p>
    <w:p w:rsidR="007E189A" w:rsidRPr="00B0122E" w:rsidRDefault="007E189A" w:rsidP="009C740B">
      <w:pPr>
        <w:pStyle w:val="Heading5"/>
      </w:pPr>
      <w:r w:rsidRPr="00B0122E">
        <w:t>Priority</w:t>
      </w:r>
    </w:p>
    <w:p w:rsidR="007E189A" w:rsidRPr="003A58CF" w:rsidRDefault="007E189A" w:rsidP="007E189A">
      <w:pPr>
        <w:pStyle w:val="bt"/>
      </w:pPr>
      <w:r w:rsidRPr="003A58CF">
        <w:t>Medium</w:t>
      </w:r>
    </w:p>
    <w:p w:rsidR="007E189A" w:rsidRPr="00B0122E" w:rsidRDefault="007E189A" w:rsidP="009C740B">
      <w:pPr>
        <w:pStyle w:val="Heading5"/>
      </w:pPr>
      <w:r w:rsidRPr="00B0122E">
        <w:t>Timing</w:t>
      </w:r>
    </w:p>
    <w:p w:rsidR="007E189A" w:rsidRPr="003A58CF" w:rsidRDefault="007E189A" w:rsidP="007E189A">
      <w:pPr>
        <w:pStyle w:val="bt"/>
      </w:pPr>
      <w:r w:rsidRPr="003A58CF">
        <w:t>2016–18</w:t>
      </w:r>
    </w:p>
    <w:p w:rsidR="007E189A" w:rsidRPr="00B0122E" w:rsidRDefault="007E189A" w:rsidP="009C740B">
      <w:pPr>
        <w:pStyle w:val="Heading5"/>
      </w:pPr>
      <w:r w:rsidRPr="00B0122E">
        <w:t>Lead responsibility</w:t>
      </w:r>
    </w:p>
    <w:p w:rsidR="007E189A" w:rsidRPr="003A58CF" w:rsidRDefault="007E189A" w:rsidP="007E189A">
      <w:pPr>
        <w:pStyle w:val="bt"/>
      </w:pPr>
      <w:r w:rsidRPr="003A58CF">
        <w:t xml:space="preserve">Loddon Mallee </w:t>
      </w:r>
      <w:r w:rsidR="009C740B">
        <w:t>North</w:t>
      </w:r>
      <w:r w:rsidRPr="003A58CF">
        <w:t xml:space="preserve"> region lead governance entity</w:t>
      </w:r>
    </w:p>
    <w:p w:rsidR="007E189A" w:rsidRPr="00B0122E" w:rsidRDefault="007E189A" w:rsidP="009C740B">
      <w:pPr>
        <w:pStyle w:val="Heading5"/>
      </w:pPr>
      <w:r w:rsidRPr="00B0122E">
        <w:t>Key partners</w:t>
      </w:r>
    </w:p>
    <w:p w:rsidR="007E189A" w:rsidRPr="00981430" w:rsidRDefault="007E189A" w:rsidP="007E189A">
      <w:pPr>
        <w:pStyle w:val="bt"/>
        <w:sectPr w:rsidR="007E189A" w:rsidRPr="00981430" w:rsidSect="00DC5A5E">
          <w:headerReference w:type="default" r:id="rId27"/>
          <w:pgSz w:w="11906" w:h="16838"/>
          <w:pgMar w:top="1440" w:right="1440" w:bottom="993" w:left="1440" w:header="709" w:footer="708" w:gutter="0"/>
          <w:cols w:space="708"/>
          <w:docGrid w:linePitch="360"/>
        </w:sectPr>
      </w:pPr>
      <w:r w:rsidRPr="003A58CF">
        <w:t xml:space="preserve">Loddon Mallee </w:t>
      </w:r>
      <w:r w:rsidR="009C740B">
        <w:t>Nor</w:t>
      </w:r>
      <w:r w:rsidRPr="003A58CF">
        <w:t>th Regional Growth Plan project partners</w:t>
      </w:r>
    </w:p>
    <w:p w:rsidR="003C7518" w:rsidRPr="00AC1AF4" w:rsidRDefault="003C7518" w:rsidP="003C7518">
      <w:pPr>
        <w:pStyle w:val="Heading1"/>
        <w:rPr>
          <w:lang w:val="en-AU"/>
        </w:rPr>
      </w:pPr>
      <w:bookmarkStart w:id="148" w:name="_Toc349566012"/>
      <w:bookmarkStart w:id="149" w:name="_Toc349566013"/>
      <w:bookmarkStart w:id="150" w:name="_Toc349566014"/>
      <w:bookmarkStart w:id="151" w:name="_Toc377031479"/>
      <w:bookmarkEnd w:id="116"/>
      <w:bookmarkEnd w:id="117"/>
      <w:bookmarkEnd w:id="148"/>
      <w:bookmarkEnd w:id="149"/>
      <w:bookmarkEnd w:id="150"/>
      <w:r w:rsidRPr="00AC1AF4">
        <w:rPr>
          <w:lang w:val="en-AU"/>
        </w:rPr>
        <w:lastRenderedPageBreak/>
        <w:t>G</w:t>
      </w:r>
      <w:r w:rsidR="00E85A68">
        <w:rPr>
          <w:lang w:val="en-AU"/>
        </w:rPr>
        <w:t>LOSSARY</w:t>
      </w:r>
      <w:bookmarkEnd w:id="151"/>
    </w:p>
    <w:p w:rsidR="003C7518" w:rsidRPr="00AC1AF4" w:rsidRDefault="003C7518" w:rsidP="003C7518">
      <w:pPr>
        <w:pStyle w:val="bt"/>
        <w:rPr>
          <w:lang w:val="en-AU"/>
        </w:rPr>
      </w:pPr>
      <w:r w:rsidRPr="00AC1AF4">
        <w:rPr>
          <w:rStyle w:val="Strong"/>
          <w:lang w:val="en-AU"/>
        </w:rPr>
        <w:t>Aboriginal cultural heritage:</w:t>
      </w:r>
      <w:r w:rsidRPr="00AC1AF4">
        <w:rPr>
          <w:lang w:val="en-AU"/>
        </w:rPr>
        <w:t xml:space="preserve"> means Aboriginal places, Aboriginal objects and Aboriginal human remains. They tell the story of Aboriginal use and occupation of the land. An Aboriginal place can be an area of land or water, a natural feature, formation or landscape, an archaeological site, as well as a building or structure. Aboriginal cultural heritage also includes intangible places where there may be no physical evidence of past cultural activities. These include places of spiritual or ceremonial significance, places where traditional plant or mineral resources occur, or trade and travel routes. </w:t>
      </w:r>
    </w:p>
    <w:p w:rsidR="003C7518" w:rsidRPr="00AC1AF4" w:rsidRDefault="003C7518" w:rsidP="003C7518">
      <w:pPr>
        <w:pStyle w:val="bt"/>
        <w:rPr>
          <w:lang w:val="en-AU"/>
        </w:rPr>
      </w:pPr>
      <w:r w:rsidRPr="00AC1AF4">
        <w:rPr>
          <w:rStyle w:val="Strong"/>
          <w:lang w:val="en-AU"/>
        </w:rPr>
        <w:t>Bioenergy:</w:t>
      </w:r>
      <w:r w:rsidRPr="00AC1AF4">
        <w:rPr>
          <w:lang w:val="en-AU"/>
        </w:rPr>
        <w:t xml:space="preserve"> energy generated from organic matter, such as agricultural waste.</w:t>
      </w:r>
    </w:p>
    <w:p w:rsidR="003C7518" w:rsidRDefault="003C7518" w:rsidP="003C7518">
      <w:pPr>
        <w:pStyle w:val="bt"/>
        <w:rPr>
          <w:lang w:val="en-AU"/>
        </w:rPr>
      </w:pPr>
      <w:r w:rsidRPr="00AC1AF4">
        <w:rPr>
          <w:rStyle w:val="Strong"/>
          <w:lang w:val="en-AU"/>
        </w:rPr>
        <w:t>Biofuels:</w:t>
      </w:r>
      <w:r w:rsidRPr="00AC1AF4">
        <w:rPr>
          <w:lang w:val="en-AU"/>
        </w:rPr>
        <w:t xml:space="preserve"> biofuels are liquid or gaseous fuels derived from biomass. </w:t>
      </w:r>
    </w:p>
    <w:p w:rsidR="003C7518" w:rsidRPr="00CF05FF" w:rsidRDefault="003C7518" w:rsidP="003C7518">
      <w:pPr>
        <w:pStyle w:val="bt"/>
        <w:rPr>
          <w:lang w:val="en-AU"/>
        </w:rPr>
      </w:pPr>
      <w:r w:rsidRPr="00234E92">
        <w:rPr>
          <w:rStyle w:val="Strong"/>
          <w:lang w:val="en-AU"/>
        </w:rPr>
        <w:t>Bio</w:t>
      </w:r>
      <w:r>
        <w:rPr>
          <w:rStyle w:val="Strong"/>
          <w:lang w:val="en-AU"/>
        </w:rPr>
        <w:t>mass</w:t>
      </w:r>
      <w:r w:rsidRPr="00234E92">
        <w:rPr>
          <w:rStyle w:val="Strong"/>
          <w:lang w:val="en-AU"/>
        </w:rPr>
        <w:t>:</w:t>
      </w:r>
      <w:r>
        <w:rPr>
          <w:rStyle w:val="Strong"/>
          <w:lang w:val="en-AU"/>
        </w:rPr>
        <w:t xml:space="preserve"> </w:t>
      </w:r>
      <w:r w:rsidR="009B4157" w:rsidRPr="009B4157">
        <w:t>b</w:t>
      </w:r>
      <w:r w:rsidRPr="009B4157">
        <w:t>i</w:t>
      </w:r>
      <w:r w:rsidRPr="00CF05FF">
        <w:rPr>
          <w:lang w:val="en-AU"/>
        </w:rPr>
        <w:t>omass includes agricultural residues and waste products, forestry residues, organic wastes, purpose-grown energy crops, woody weeds, algae and biodegradable municipal waste streams.</w:t>
      </w:r>
    </w:p>
    <w:p w:rsidR="003C7518" w:rsidRPr="00CF05FF" w:rsidRDefault="003C7518" w:rsidP="003C7518">
      <w:pPr>
        <w:pStyle w:val="bt"/>
        <w:rPr>
          <w:lang w:val="en-AU"/>
        </w:rPr>
      </w:pPr>
      <w:r w:rsidRPr="00CF05FF">
        <w:rPr>
          <w:rStyle w:val="Strong"/>
          <w:lang w:val="en-AU"/>
        </w:rPr>
        <w:t>Carbon farming:</w:t>
      </w:r>
      <w:r w:rsidRPr="00CF05FF">
        <w:rPr>
          <w:lang w:val="en-AU"/>
        </w:rPr>
        <w:t xml:space="preserve"> a method of allowing farmers and land managers to earn carbon credits by storing carbon or reducing greenhouse gas emissions on the land.</w:t>
      </w:r>
    </w:p>
    <w:p w:rsidR="003C7518" w:rsidRPr="00CF05FF" w:rsidRDefault="003C7518" w:rsidP="003C7518">
      <w:pPr>
        <w:pStyle w:val="bt"/>
        <w:rPr>
          <w:lang w:val="en-AU"/>
        </w:rPr>
      </w:pPr>
      <w:r w:rsidRPr="00CF05FF">
        <w:rPr>
          <w:rStyle w:val="Strong"/>
          <w:lang w:val="en-AU"/>
        </w:rPr>
        <w:t xml:space="preserve">Central </w:t>
      </w:r>
      <w:r>
        <w:rPr>
          <w:rStyle w:val="Strong"/>
          <w:lang w:val="en-AU"/>
        </w:rPr>
        <w:t>B</w:t>
      </w:r>
      <w:r w:rsidRPr="00CF05FF">
        <w:rPr>
          <w:rStyle w:val="Strong"/>
          <w:lang w:val="en-AU"/>
        </w:rPr>
        <w:t xml:space="preserve">usiness </w:t>
      </w:r>
      <w:r>
        <w:rPr>
          <w:rStyle w:val="Strong"/>
          <w:lang w:val="en-AU"/>
        </w:rPr>
        <w:t>D</w:t>
      </w:r>
      <w:r w:rsidRPr="00CF05FF">
        <w:rPr>
          <w:rStyle w:val="Strong"/>
          <w:lang w:val="en-AU"/>
        </w:rPr>
        <w:t>istrict (CBD):</w:t>
      </w:r>
      <w:r w:rsidRPr="00CF05FF">
        <w:rPr>
          <w:lang w:val="en-AU"/>
        </w:rPr>
        <w:t xml:space="preserve"> the area comprising the core commercial, civic and community functions of a town.</w:t>
      </w:r>
    </w:p>
    <w:p w:rsidR="003C7518" w:rsidRPr="00CF05FF" w:rsidRDefault="003C7518" w:rsidP="003C7518">
      <w:pPr>
        <w:pStyle w:val="bt"/>
        <w:rPr>
          <w:lang w:val="en-AU"/>
        </w:rPr>
      </w:pPr>
      <w:r w:rsidRPr="00CF05FF">
        <w:rPr>
          <w:rStyle w:val="Strong"/>
          <w:lang w:val="en-AU"/>
        </w:rPr>
        <w:t>Community of interest:</w:t>
      </w:r>
      <w:r w:rsidRPr="00CF05FF">
        <w:rPr>
          <w:lang w:val="en-AU"/>
        </w:rPr>
        <w:t xml:space="preserve"> a group of settlements that have strong functional social and economic interrelationships and share facilities and services. They are not strictly defined by geography.</w:t>
      </w:r>
    </w:p>
    <w:p w:rsidR="003C7518" w:rsidRPr="00CF05FF" w:rsidRDefault="003C7518" w:rsidP="003C7518">
      <w:pPr>
        <w:pStyle w:val="bt"/>
        <w:rPr>
          <w:lang w:val="en-AU"/>
        </w:rPr>
      </w:pPr>
      <w:r w:rsidRPr="00CF05FF">
        <w:rPr>
          <w:rStyle w:val="Strong"/>
          <w:lang w:val="en-AU"/>
        </w:rPr>
        <w:t>Cultural heritage:</w:t>
      </w:r>
      <w:r w:rsidRPr="00CF05FF">
        <w:rPr>
          <w:lang w:val="en-AU"/>
        </w:rPr>
        <w:t xml:space="preserve"> captures both Aboriginal</w:t>
      </w:r>
      <w:r>
        <w:rPr>
          <w:lang w:val="en-AU"/>
        </w:rPr>
        <w:t xml:space="preserve"> cultural</w:t>
      </w:r>
      <w:r w:rsidRPr="00CF05FF">
        <w:rPr>
          <w:lang w:val="en-AU"/>
        </w:rPr>
        <w:t xml:space="preserve"> heritage and historic heritage.</w:t>
      </w:r>
    </w:p>
    <w:p w:rsidR="003C7518" w:rsidRPr="00CF05FF" w:rsidRDefault="003C7518" w:rsidP="003C7518">
      <w:pPr>
        <w:pStyle w:val="bt"/>
        <w:rPr>
          <w:lang w:val="en-AU"/>
        </w:rPr>
      </w:pPr>
      <w:r w:rsidRPr="00CF05FF">
        <w:rPr>
          <w:rStyle w:val="Strong"/>
          <w:lang w:val="en-AU"/>
        </w:rPr>
        <w:t>Earth resources:</w:t>
      </w:r>
      <w:r w:rsidRPr="00CF05FF">
        <w:rPr>
          <w:lang w:val="en-AU"/>
        </w:rPr>
        <w:t xml:space="preserve"> these comprise minerals, petroleum, </w:t>
      </w:r>
      <w:r>
        <w:rPr>
          <w:lang w:val="en-AU"/>
        </w:rPr>
        <w:t xml:space="preserve">gas, </w:t>
      </w:r>
      <w:r w:rsidRPr="00CF05FF">
        <w:rPr>
          <w:lang w:val="en-AU"/>
        </w:rPr>
        <w:t xml:space="preserve">extractive and geothermal industries. </w:t>
      </w:r>
    </w:p>
    <w:p w:rsidR="003C7518" w:rsidRPr="00CF05FF" w:rsidRDefault="003C7518" w:rsidP="003C7518">
      <w:pPr>
        <w:pStyle w:val="bt"/>
        <w:rPr>
          <w:lang w:val="en-AU"/>
        </w:rPr>
      </w:pPr>
      <w:r w:rsidRPr="00CF05FF">
        <w:rPr>
          <w:rStyle w:val="Strong"/>
          <w:lang w:val="en-AU"/>
        </w:rPr>
        <w:t xml:space="preserve">Environmental asset: </w:t>
      </w:r>
      <w:r w:rsidRPr="00CF05FF">
        <w:rPr>
          <w:lang w:val="en-AU"/>
        </w:rPr>
        <w:t>a tangible bio</w:t>
      </w:r>
      <w:r>
        <w:rPr>
          <w:lang w:val="en-AU"/>
        </w:rPr>
        <w:t>-</w:t>
      </w:r>
      <w:r w:rsidRPr="00CF05FF">
        <w:rPr>
          <w:lang w:val="en-AU"/>
        </w:rPr>
        <w:t>physical element of the environment</w:t>
      </w:r>
      <w:r>
        <w:rPr>
          <w:lang w:val="en-AU"/>
        </w:rPr>
        <w:t>,</w:t>
      </w:r>
      <w:r w:rsidRPr="00CF05FF">
        <w:rPr>
          <w:lang w:val="en-AU"/>
        </w:rPr>
        <w:t xml:space="preserve"> such as terrestrial habitat, waterways, significant landscapes and soil</w:t>
      </w:r>
      <w:r>
        <w:rPr>
          <w:lang w:val="en-AU"/>
        </w:rPr>
        <w:t>s</w:t>
      </w:r>
      <w:r w:rsidRPr="00CF05FF">
        <w:rPr>
          <w:lang w:val="en-AU"/>
        </w:rPr>
        <w:t>.</w:t>
      </w:r>
    </w:p>
    <w:p w:rsidR="003C7518" w:rsidRDefault="003C7518" w:rsidP="003C7518">
      <w:pPr>
        <w:pStyle w:val="bt"/>
        <w:rPr>
          <w:lang w:val="en-AU"/>
        </w:rPr>
      </w:pPr>
      <w:r w:rsidRPr="00CF05FF">
        <w:rPr>
          <w:rStyle w:val="Strong"/>
          <w:lang w:val="en-AU"/>
        </w:rPr>
        <w:t>Environmental value:</w:t>
      </w:r>
      <w:r w:rsidRPr="00CF05FF">
        <w:rPr>
          <w:lang w:val="en-AU"/>
        </w:rPr>
        <w:t xml:space="preserve"> the attributes of an environmental asset that make it valuable or important based on environmental, social or economic values.</w:t>
      </w:r>
    </w:p>
    <w:p w:rsidR="003C7518" w:rsidRPr="00CF05FF" w:rsidRDefault="003C7518" w:rsidP="003C7518">
      <w:pPr>
        <w:pStyle w:val="bt"/>
        <w:rPr>
          <w:lang w:val="en-AU"/>
        </w:rPr>
      </w:pPr>
      <w:r w:rsidRPr="00BB10EC">
        <w:rPr>
          <w:b/>
          <w:lang w:val="en-AU"/>
        </w:rPr>
        <w:t>Extractive Industry Interest Area (EIIA):</w:t>
      </w:r>
      <w:r>
        <w:rPr>
          <w:lang w:val="en-AU"/>
        </w:rPr>
        <w:t xml:space="preserve"> identified areas around major centres in Victoria where it is possible that a quarry could be placed within defined constraints.</w:t>
      </w:r>
    </w:p>
    <w:p w:rsidR="003C7518" w:rsidRPr="00CF05FF" w:rsidRDefault="003C7518" w:rsidP="003C7518">
      <w:pPr>
        <w:pStyle w:val="bt"/>
        <w:rPr>
          <w:lang w:val="en-AU"/>
        </w:rPr>
      </w:pPr>
      <w:r w:rsidRPr="00CF05FF">
        <w:rPr>
          <w:rStyle w:val="Strong"/>
          <w:lang w:val="en-AU"/>
        </w:rPr>
        <w:t>Food bowl:</w:t>
      </w:r>
      <w:r w:rsidRPr="00CF05FF">
        <w:rPr>
          <w:lang w:val="en-AU"/>
        </w:rPr>
        <w:t xml:space="preserve"> </w:t>
      </w:r>
      <w:r>
        <w:rPr>
          <w:lang w:val="en-AU"/>
        </w:rPr>
        <w:t xml:space="preserve">the </w:t>
      </w:r>
      <w:r w:rsidRPr="00CF05FF">
        <w:rPr>
          <w:lang w:val="en-AU"/>
        </w:rPr>
        <w:t xml:space="preserve">Greater Shepparton, Moira, Swan Hill, Campaspe, Gannawarra, Mildura and Loddon </w:t>
      </w:r>
      <w:r>
        <w:rPr>
          <w:lang w:val="en-AU"/>
        </w:rPr>
        <w:t>municipalities</w:t>
      </w:r>
      <w:r w:rsidRPr="00CF05FF">
        <w:rPr>
          <w:lang w:val="en-AU"/>
        </w:rPr>
        <w:t xml:space="preserve"> all form part of Victoria’s food bowl</w:t>
      </w:r>
      <w:r>
        <w:rPr>
          <w:lang w:val="en-AU"/>
        </w:rPr>
        <w:t>,</w:t>
      </w:r>
      <w:r w:rsidRPr="00CF05FF">
        <w:rPr>
          <w:lang w:val="en-AU"/>
        </w:rPr>
        <w:t xml:space="preserve"> which specialises in irrigation-based industries, including dairy, horticulture and viticulture, as well as dry land farming operations and agriculture-related industries, such as food processing, packaging and transport.</w:t>
      </w:r>
    </w:p>
    <w:p w:rsidR="003C7518" w:rsidRPr="00CF05FF" w:rsidRDefault="003C7518" w:rsidP="003C7518">
      <w:pPr>
        <w:pStyle w:val="bt"/>
        <w:rPr>
          <w:lang w:val="en-AU"/>
        </w:rPr>
      </w:pPr>
      <w:r w:rsidRPr="00CF05FF">
        <w:rPr>
          <w:rStyle w:val="Strong"/>
          <w:lang w:val="en-AU"/>
        </w:rPr>
        <w:t>Freight and logistics precincts:</w:t>
      </w:r>
      <w:r w:rsidRPr="00CF05FF">
        <w:rPr>
          <w:lang w:val="en-AU"/>
        </w:rPr>
        <w:t xml:space="preserve"> places where large volumes of freight are </w:t>
      </w:r>
      <w:proofErr w:type="gramStart"/>
      <w:r w:rsidRPr="00CF05FF">
        <w:rPr>
          <w:lang w:val="en-AU"/>
        </w:rPr>
        <w:t>received,</w:t>
      </w:r>
      <w:proofErr w:type="gramEnd"/>
      <w:r w:rsidRPr="00CF05FF">
        <w:rPr>
          <w:lang w:val="en-AU"/>
        </w:rPr>
        <w:t xml:space="preserve"> stored and dispatched. These precincts may support port, airport or rail and road intermodal terminals and may include manufacturing activity, warehouses and distribution centres within the broader precinct of complementary freight and freight-related activities.</w:t>
      </w:r>
    </w:p>
    <w:p w:rsidR="003C7518" w:rsidRPr="00CA34BE" w:rsidRDefault="003C7518" w:rsidP="003C7518">
      <w:pPr>
        <w:pStyle w:val="bt"/>
        <w:rPr>
          <w:rStyle w:val="Strong"/>
          <w:b w:val="0"/>
          <w:lang w:val="en-AU"/>
        </w:rPr>
      </w:pPr>
      <w:r>
        <w:rPr>
          <w:rStyle w:val="Strong"/>
          <w:lang w:val="en-AU"/>
        </w:rPr>
        <w:t xml:space="preserve">Goulburn-Murray Water Connections </w:t>
      </w:r>
      <w:r w:rsidRPr="003119BA">
        <w:rPr>
          <w:b/>
        </w:rPr>
        <w:t>Project:</w:t>
      </w:r>
      <w:r w:rsidRPr="00833B7A">
        <w:t xml:space="preserve"> formerly known as Northern Victoria Irrigation Renewal Project (NVIRP) is a $2 billion irrigation moder</w:t>
      </w:r>
      <w:r>
        <w:t>nisation project in Victoria’s f</w:t>
      </w:r>
      <w:r w:rsidRPr="00833B7A">
        <w:t xml:space="preserve">ood </w:t>
      </w:r>
      <w:r>
        <w:t>b</w:t>
      </w:r>
      <w:r w:rsidRPr="00833B7A">
        <w:t>owl.</w:t>
      </w:r>
    </w:p>
    <w:p w:rsidR="003C7518" w:rsidRPr="00CF05FF" w:rsidRDefault="003C7518" w:rsidP="003C7518">
      <w:pPr>
        <w:pStyle w:val="bt"/>
        <w:rPr>
          <w:lang w:val="en-AU"/>
        </w:rPr>
      </w:pPr>
      <w:r w:rsidRPr="00CF05FF">
        <w:rPr>
          <w:rStyle w:val="Strong"/>
          <w:lang w:val="en-AU"/>
        </w:rPr>
        <w:t>Greenfield land:</w:t>
      </w:r>
      <w:r w:rsidRPr="00CF05FF">
        <w:rPr>
          <w:lang w:val="en-AU"/>
        </w:rPr>
        <w:t xml:space="preserve"> non-urban land designated for future urban development.</w:t>
      </w:r>
    </w:p>
    <w:p w:rsidR="003C7518" w:rsidRPr="00CF05FF" w:rsidRDefault="003C7518" w:rsidP="003C7518">
      <w:pPr>
        <w:pStyle w:val="bt"/>
        <w:rPr>
          <w:lang w:val="en-AU"/>
        </w:rPr>
      </w:pPr>
      <w:r w:rsidRPr="00CF05FF">
        <w:rPr>
          <w:rStyle w:val="Strong"/>
          <w:lang w:val="en-AU"/>
        </w:rPr>
        <w:lastRenderedPageBreak/>
        <w:t>Higher order services:</w:t>
      </w:r>
      <w:r w:rsidRPr="00CF05FF">
        <w:rPr>
          <w:lang w:val="en-AU"/>
        </w:rPr>
        <w:t xml:space="preserve"> services that are only provided in a limited number of locations and have a large catchment area, such as a university or department store.</w:t>
      </w:r>
    </w:p>
    <w:p w:rsidR="003C7518" w:rsidRPr="00CF05FF" w:rsidRDefault="003C7518" w:rsidP="003C7518">
      <w:pPr>
        <w:pStyle w:val="bt"/>
        <w:rPr>
          <w:lang w:val="en-AU"/>
        </w:rPr>
      </w:pPr>
      <w:r w:rsidRPr="00CF05FF">
        <w:rPr>
          <w:rStyle w:val="Strong"/>
          <w:lang w:val="en-AU"/>
        </w:rPr>
        <w:t>Historic heritage:</w:t>
      </w:r>
      <w:r w:rsidRPr="00CF05FF">
        <w:rPr>
          <w:szCs w:val="20"/>
          <w:lang w:val="en-AU"/>
        </w:rPr>
        <w:t xml:space="preserve"> refers to the fabric of our past that we value today and includes archaeological sites, buildings and precincts, structures, gardens, trees, cemeteries, cultural landscapes, shipwrecks and significant objects and artefacts.</w:t>
      </w:r>
    </w:p>
    <w:p w:rsidR="003C7518" w:rsidRPr="00CF05FF" w:rsidRDefault="003C7518" w:rsidP="003C7518">
      <w:pPr>
        <w:pStyle w:val="bt"/>
        <w:rPr>
          <w:lang w:val="en-AU"/>
        </w:rPr>
      </w:pPr>
      <w:r w:rsidRPr="00CF05FF">
        <w:rPr>
          <w:rStyle w:val="Strong"/>
          <w:lang w:val="en-AU"/>
        </w:rPr>
        <w:t>Housing diversity:</w:t>
      </w:r>
      <w:r w:rsidRPr="00CF05FF">
        <w:rPr>
          <w:lang w:val="en-AU"/>
        </w:rPr>
        <w:t xml:space="preserve"> the provision of a range of different housing types to suit different ages, lifestyles and incomes.</w:t>
      </w:r>
    </w:p>
    <w:p w:rsidR="003C7518" w:rsidRPr="00CF05FF" w:rsidRDefault="003C7518" w:rsidP="003C7518">
      <w:pPr>
        <w:pStyle w:val="bt"/>
        <w:rPr>
          <w:lang w:val="en-AU"/>
        </w:rPr>
      </w:pPr>
      <w:r w:rsidRPr="00CF05FF">
        <w:rPr>
          <w:rStyle w:val="Strong"/>
          <w:lang w:val="en-AU"/>
        </w:rPr>
        <w:t>Industry</w:t>
      </w:r>
      <w:r>
        <w:rPr>
          <w:rStyle w:val="Strong"/>
          <w:lang w:val="en-AU"/>
        </w:rPr>
        <w:t xml:space="preserve"> or </w:t>
      </w:r>
      <w:r w:rsidRPr="00CF05FF">
        <w:rPr>
          <w:rStyle w:val="Strong"/>
          <w:lang w:val="en-AU"/>
        </w:rPr>
        <w:t>agricultural clusters:</w:t>
      </w:r>
      <w:r w:rsidRPr="00CF05FF">
        <w:rPr>
          <w:lang w:val="en-AU"/>
        </w:rPr>
        <w:t xml:space="preserve"> geographic concentration of businesses and activities that relate to each other or work together.</w:t>
      </w:r>
    </w:p>
    <w:p w:rsidR="003C7518" w:rsidRPr="00CF05FF" w:rsidRDefault="003C7518" w:rsidP="003C7518">
      <w:pPr>
        <w:pStyle w:val="bt"/>
        <w:rPr>
          <w:lang w:val="en-AU"/>
        </w:rPr>
      </w:pPr>
      <w:r w:rsidRPr="00CF05FF">
        <w:rPr>
          <w:rStyle w:val="Strong"/>
          <w:lang w:val="en-AU"/>
        </w:rPr>
        <w:t>Infill development:</w:t>
      </w:r>
      <w:r w:rsidRPr="00CF05FF">
        <w:rPr>
          <w:lang w:val="en-AU"/>
        </w:rPr>
        <w:t xml:space="preserve"> the development of additional dwellings in established urban areas.</w:t>
      </w:r>
    </w:p>
    <w:p w:rsidR="003C7518" w:rsidRPr="00CF05FF" w:rsidRDefault="003C7518" w:rsidP="003C7518">
      <w:pPr>
        <w:pStyle w:val="bt"/>
        <w:rPr>
          <w:lang w:val="en-AU"/>
        </w:rPr>
      </w:pPr>
      <w:r w:rsidRPr="00CF05FF">
        <w:rPr>
          <w:rStyle w:val="Strong"/>
          <w:lang w:val="en-AU"/>
        </w:rPr>
        <w:t>Intensive agriculture:</w:t>
      </w:r>
      <w:r w:rsidRPr="00CF05FF">
        <w:rPr>
          <w:lang w:val="en-AU"/>
        </w:rPr>
        <w:t xml:space="preserve"> land used to intensively produce agricultural products through ventures such as poultry farms, piggeries, feedlots, aquaculture, hydroponics, greenhouses and glasshouses. This includes ‘intensive animal husbandry’ and intensive ‘crop </w:t>
      </w:r>
      <w:proofErr w:type="gramStart"/>
      <w:r w:rsidRPr="00CF05FF">
        <w:rPr>
          <w:lang w:val="en-AU"/>
        </w:rPr>
        <w:t>raising</w:t>
      </w:r>
      <w:proofErr w:type="gramEnd"/>
      <w:r w:rsidRPr="00CF05FF">
        <w:rPr>
          <w:lang w:val="en-AU"/>
        </w:rPr>
        <w:t>’ as defined in planning schemes.</w:t>
      </w:r>
    </w:p>
    <w:p w:rsidR="003C7518" w:rsidRPr="00CF05FF" w:rsidRDefault="003C7518" w:rsidP="003C7518">
      <w:pPr>
        <w:pStyle w:val="bt"/>
        <w:rPr>
          <w:lang w:val="en-AU"/>
        </w:rPr>
      </w:pPr>
      <w:r w:rsidRPr="00CF05FF">
        <w:rPr>
          <w:rStyle w:val="Strong"/>
          <w:lang w:val="en-AU"/>
        </w:rPr>
        <w:t>Living Murray Icon sites:</w:t>
      </w:r>
      <w:r w:rsidRPr="00CF05FF">
        <w:rPr>
          <w:lang w:val="en-AU"/>
        </w:rPr>
        <w:t xml:space="preserve"> the Murray-Darling Basin Ministerial Council’s Living Murray program identified six priority </w:t>
      </w:r>
      <w:r>
        <w:rPr>
          <w:lang w:val="en-AU"/>
        </w:rPr>
        <w:t>I</w:t>
      </w:r>
      <w:r w:rsidRPr="00CF05FF">
        <w:rPr>
          <w:lang w:val="en-AU"/>
        </w:rPr>
        <w:t>con sites that will benefit from improved water management regimes. The sites have ecological, economic, cultural and heritage significance to Aboriginal people and to the whole community but have historically been subject to negative impac</w:t>
      </w:r>
      <w:r>
        <w:rPr>
          <w:lang w:val="en-AU"/>
        </w:rPr>
        <w:t>ts from river regulation. Four I</w:t>
      </w:r>
      <w:r w:rsidRPr="00CF05FF">
        <w:rPr>
          <w:lang w:val="en-AU"/>
        </w:rPr>
        <w:t>con sites are located in Loddon Mallee North: Gunbower-Koondrook-Perricoota Forest; Hattah Lakes; Chowilla Floodplain and Lindsay-Wal</w:t>
      </w:r>
      <w:r>
        <w:rPr>
          <w:lang w:val="en-AU"/>
        </w:rPr>
        <w:t>l</w:t>
      </w:r>
      <w:r w:rsidRPr="00CF05FF">
        <w:rPr>
          <w:lang w:val="en-AU"/>
        </w:rPr>
        <w:t>polla Island</w:t>
      </w:r>
      <w:r>
        <w:rPr>
          <w:lang w:val="en-AU"/>
        </w:rPr>
        <w:t>;</w:t>
      </w:r>
      <w:r w:rsidRPr="00CF05FF">
        <w:rPr>
          <w:lang w:val="en-AU"/>
        </w:rPr>
        <w:t xml:space="preserve"> and the River Murray Channel.</w:t>
      </w:r>
    </w:p>
    <w:p w:rsidR="003C7518" w:rsidRPr="00FA0B0E" w:rsidRDefault="003C7518" w:rsidP="003C7518">
      <w:pPr>
        <w:pStyle w:val="bt"/>
        <w:rPr>
          <w:lang w:val="en-AU"/>
        </w:rPr>
      </w:pPr>
      <w:r w:rsidRPr="00CF05FF">
        <w:rPr>
          <w:rStyle w:val="Strong"/>
          <w:lang w:val="en-AU"/>
        </w:rPr>
        <w:t>National Broadband Network (NBN):</w:t>
      </w:r>
      <w:r w:rsidRPr="00CF05FF">
        <w:rPr>
          <w:lang w:val="en-AU"/>
        </w:rPr>
        <w:t xml:space="preserve"> </w:t>
      </w:r>
      <w:r w:rsidRPr="00535DDD">
        <w:rPr>
          <w:lang w:val="en-AU"/>
        </w:rPr>
        <w:t>high-speed</w:t>
      </w:r>
      <w:r w:rsidRPr="00FA0B0E">
        <w:rPr>
          <w:lang w:val="en-AU"/>
        </w:rPr>
        <w:t xml:space="preserve"> internet network being provided across Australia.</w:t>
      </w:r>
    </w:p>
    <w:p w:rsidR="003C7518" w:rsidRPr="00FA0B0E" w:rsidRDefault="003C7518" w:rsidP="003C7518">
      <w:pPr>
        <w:pStyle w:val="bt"/>
        <w:rPr>
          <w:lang w:val="en-AU"/>
        </w:rPr>
      </w:pPr>
      <w:r w:rsidRPr="00FA0B0E">
        <w:rPr>
          <w:rStyle w:val="Strong"/>
          <w:lang w:val="en-AU"/>
        </w:rPr>
        <w:t>Natural hazard:</w:t>
      </w:r>
      <w:r w:rsidRPr="00FA0B0E">
        <w:rPr>
          <w:lang w:val="en-AU"/>
        </w:rPr>
        <w:t xml:space="preserve"> a naturally occurring source of potential harm or a situation with the potential to cause loss, </w:t>
      </w:r>
      <w:r>
        <w:rPr>
          <w:lang w:val="en-AU"/>
        </w:rPr>
        <w:t>for example bushfire or</w:t>
      </w:r>
      <w:r w:rsidRPr="00FA0B0E">
        <w:rPr>
          <w:lang w:val="en-AU"/>
        </w:rPr>
        <w:t xml:space="preserve"> flood.</w:t>
      </w:r>
    </w:p>
    <w:p w:rsidR="003C7518" w:rsidRDefault="003C7518" w:rsidP="003C7518">
      <w:pPr>
        <w:pStyle w:val="bt"/>
        <w:rPr>
          <w:lang w:val="en-AU"/>
        </w:rPr>
      </w:pPr>
      <w:r w:rsidRPr="00FA0B0E">
        <w:rPr>
          <w:rStyle w:val="Strong"/>
          <w:lang w:val="en-AU"/>
        </w:rPr>
        <w:t>Natural resources:</w:t>
      </w:r>
      <w:r w:rsidRPr="00FA0B0E">
        <w:rPr>
          <w:lang w:val="en-AU"/>
        </w:rPr>
        <w:t xml:space="preserve"> naturally </w:t>
      </w:r>
      <w:proofErr w:type="gramStart"/>
      <w:r w:rsidRPr="00FA0B0E">
        <w:rPr>
          <w:lang w:val="en-AU"/>
        </w:rPr>
        <w:t>occurring</w:t>
      </w:r>
      <w:proofErr w:type="gramEnd"/>
      <w:r w:rsidRPr="00FA0B0E">
        <w:rPr>
          <w:lang w:val="en-AU"/>
        </w:rPr>
        <w:t xml:space="preserve"> commodities such as oil, gas, </w:t>
      </w:r>
      <w:r>
        <w:rPr>
          <w:lang w:val="en-AU"/>
        </w:rPr>
        <w:t xml:space="preserve">sand and stone, </w:t>
      </w:r>
      <w:r w:rsidRPr="00FA0B0E">
        <w:rPr>
          <w:lang w:val="en-AU"/>
        </w:rPr>
        <w:t xml:space="preserve">minerals, fisheries, timber or places </w:t>
      </w:r>
      <w:r>
        <w:rPr>
          <w:lang w:val="en-AU"/>
        </w:rPr>
        <w:t xml:space="preserve">of solar or </w:t>
      </w:r>
      <w:r w:rsidRPr="00FA0B0E">
        <w:rPr>
          <w:lang w:val="en-AU"/>
        </w:rPr>
        <w:t>geothermal energy potential.</w:t>
      </w:r>
    </w:p>
    <w:p w:rsidR="003C7518" w:rsidRPr="00FA0B0E" w:rsidRDefault="003C7518" w:rsidP="003C7518">
      <w:pPr>
        <w:pStyle w:val="bt"/>
        <w:rPr>
          <w:lang w:val="en-AU"/>
        </w:rPr>
      </w:pPr>
      <w:r w:rsidRPr="00FA0B0E">
        <w:rPr>
          <w:rStyle w:val="Strong"/>
          <w:lang w:val="en-AU"/>
        </w:rPr>
        <w:t>Nature-based tourism:</w:t>
      </w:r>
      <w:r w:rsidRPr="00FA0B0E">
        <w:rPr>
          <w:lang w:val="en-AU"/>
        </w:rPr>
        <w:t xml:space="preserve"> any activity that relies on experiences directly related to natural attractions including ecotourism, adventure tourism, wildlife tourism and extractive tourism, for example, fishing or gold panning.</w:t>
      </w:r>
    </w:p>
    <w:p w:rsidR="003C7518" w:rsidRPr="00FA0B0E" w:rsidRDefault="003C7518" w:rsidP="003C7518">
      <w:pPr>
        <w:pStyle w:val="bt"/>
        <w:rPr>
          <w:lang w:val="en-AU"/>
        </w:rPr>
      </w:pPr>
      <w:r w:rsidRPr="00FA0B0E">
        <w:rPr>
          <w:rStyle w:val="Strong"/>
          <w:lang w:val="en-AU"/>
        </w:rPr>
        <w:t>Overlays:</w:t>
      </w:r>
      <w:r w:rsidRPr="00FA0B0E">
        <w:rPr>
          <w:lang w:val="en-AU"/>
        </w:rPr>
        <w:t xml:space="preserve"> planning scheme provisions generally related to a particular iss</w:t>
      </w:r>
      <w:r>
        <w:rPr>
          <w:lang w:val="en-AU"/>
        </w:rPr>
        <w:t>ue, such as heritage or flood</w:t>
      </w:r>
      <w:r w:rsidRPr="00FA0B0E">
        <w:rPr>
          <w:lang w:val="en-AU"/>
        </w:rPr>
        <w:t>.</w:t>
      </w:r>
    </w:p>
    <w:p w:rsidR="003C7518" w:rsidRDefault="003C7518" w:rsidP="003C7518">
      <w:pPr>
        <w:pStyle w:val="bt"/>
        <w:rPr>
          <w:lang w:val="en-AU"/>
        </w:rPr>
      </w:pPr>
      <w:proofErr w:type="gramStart"/>
      <w:r w:rsidRPr="00FA0B0E">
        <w:rPr>
          <w:rStyle w:val="Strong"/>
          <w:lang w:val="en-AU"/>
        </w:rPr>
        <w:t>Planning scheme:</w:t>
      </w:r>
      <w:r w:rsidRPr="00FA0B0E">
        <w:rPr>
          <w:lang w:val="en-AU"/>
        </w:rPr>
        <w:t xml:space="preserve"> policies and provisions for the use, development and protection of land, prepared by councils or the Minister for Planning.</w:t>
      </w:r>
      <w:proofErr w:type="gramEnd"/>
    </w:p>
    <w:p w:rsidR="003C7518" w:rsidRPr="00FA0B0E" w:rsidRDefault="003C7518" w:rsidP="003C7518">
      <w:pPr>
        <w:pStyle w:val="bt"/>
        <w:rPr>
          <w:lang w:val="en-AU"/>
        </w:rPr>
      </w:pPr>
      <w:r w:rsidRPr="0081780B">
        <w:rPr>
          <w:rStyle w:val="Strong"/>
        </w:rPr>
        <w:t>Regional catchment strategy:</w:t>
      </w:r>
      <w:r>
        <w:rPr>
          <w:lang w:val="en-AU"/>
        </w:rPr>
        <w:t xml:space="preserve"> a document setting out the management of natural resources, such as rivers, wetlands, terrestrial habitat and agricultural land.</w:t>
      </w:r>
    </w:p>
    <w:p w:rsidR="003C7518" w:rsidRDefault="003C7518" w:rsidP="003C7518">
      <w:pPr>
        <w:pStyle w:val="bt"/>
        <w:rPr>
          <w:lang w:val="en-AU"/>
        </w:rPr>
      </w:pPr>
      <w:r w:rsidRPr="00FA0B0E">
        <w:rPr>
          <w:rStyle w:val="Strong"/>
          <w:lang w:val="en-AU"/>
        </w:rPr>
        <w:t>Regional cities:</w:t>
      </w:r>
      <w:r w:rsidRPr="00FA0B0E">
        <w:rPr>
          <w:lang w:val="en-AU"/>
        </w:rPr>
        <w:t xml:space="preserve"> the 10 largest cities outside metropolitan Melbourne (Ballarat, Bendigo, Geelong, Horsham, Latrobe, Mildura, Shepparton, Warrnambool, </w:t>
      </w:r>
      <w:r>
        <w:rPr>
          <w:lang w:val="en-AU"/>
        </w:rPr>
        <w:t>Wangaratta and Wodonga). The</w:t>
      </w:r>
      <w:r w:rsidRPr="00FA0B0E">
        <w:rPr>
          <w:lang w:val="en-AU"/>
        </w:rPr>
        <w:t xml:space="preserve"> relevant municipalities are represented by the Regional Cities Victoria group and together advocate a whole-of-government approach to delivering services and infrastructure.  </w:t>
      </w:r>
    </w:p>
    <w:p w:rsidR="003C7518" w:rsidRPr="00FA0B0E" w:rsidRDefault="003C7518" w:rsidP="003C7518">
      <w:pPr>
        <w:pStyle w:val="bt"/>
        <w:rPr>
          <w:lang w:val="en-AU"/>
        </w:rPr>
      </w:pPr>
      <w:r w:rsidRPr="00CE533F">
        <w:rPr>
          <w:rStyle w:val="Strong"/>
        </w:rPr>
        <w:t>Registered Aboriginal Party:</w:t>
      </w:r>
      <w:r>
        <w:rPr>
          <w:lang w:val="en-AU"/>
        </w:rPr>
        <w:t xml:space="preserve"> represent Aboriginal people in the management and protection of Aboriginal cultural heritage.</w:t>
      </w:r>
    </w:p>
    <w:p w:rsidR="003C7518" w:rsidRPr="00FA0B0E" w:rsidRDefault="003C7518" w:rsidP="003C7518">
      <w:pPr>
        <w:pStyle w:val="bt"/>
        <w:rPr>
          <w:lang w:val="en-AU"/>
        </w:rPr>
      </w:pPr>
      <w:r w:rsidRPr="00FA0B0E">
        <w:rPr>
          <w:rStyle w:val="Strong"/>
          <w:lang w:val="en-AU"/>
        </w:rPr>
        <w:lastRenderedPageBreak/>
        <w:t>Rural areas:</w:t>
      </w:r>
      <w:r w:rsidRPr="00FA0B0E">
        <w:rPr>
          <w:lang w:val="en-AU"/>
        </w:rPr>
        <w:t xml:space="preserve"> include areas outside urban areas. They can include farming and non-farming </w:t>
      </w:r>
      <w:proofErr w:type="gramStart"/>
      <w:r w:rsidRPr="00FA0B0E">
        <w:rPr>
          <w:lang w:val="en-AU"/>
        </w:rPr>
        <w:t>land uses, such as rural residential, extractive industry and open</w:t>
      </w:r>
      <w:proofErr w:type="gramEnd"/>
      <w:r w:rsidRPr="00FA0B0E">
        <w:rPr>
          <w:lang w:val="en-AU"/>
        </w:rPr>
        <w:t xml:space="preserve"> space. In some cases rural areas may include very small rural settlements.</w:t>
      </w:r>
    </w:p>
    <w:p w:rsidR="003C7518" w:rsidRPr="00FA0B0E" w:rsidRDefault="003C7518" w:rsidP="003C7518">
      <w:pPr>
        <w:pStyle w:val="bt"/>
        <w:rPr>
          <w:lang w:val="en-AU"/>
        </w:rPr>
      </w:pPr>
      <w:r w:rsidRPr="00FA0B0E">
        <w:rPr>
          <w:rStyle w:val="Strong"/>
          <w:lang w:val="en-AU"/>
        </w:rPr>
        <w:t>Rural land use:</w:t>
      </w:r>
      <w:r w:rsidRPr="00FA0B0E">
        <w:rPr>
          <w:lang w:val="en-AU"/>
        </w:rPr>
        <w:t xml:space="preserve"> a broad term representing the use of land outside urban areas and includes activities such as agriculture, rural living, forestry and extractive industry. </w:t>
      </w:r>
    </w:p>
    <w:p w:rsidR="003C7518" w:rsidRPr="00FA0B0E" w:rsidRDefault="003C7518" w:rsidP="003C7518">
      <w:pPr>
        <w:pStyle w:val="bt"/>
        <w:rPr>
          <w:lang w:val="en-AU"/>
        </w:rPr>
      </w:pPr>
      <w:r w:rsidRPr="00FA0B0E">
        <w:rPr>
          <w:rStyle w:val="Strong"/>
          <w:lang w:val="en-AU"/>
        </w:rPr>
        <w:t>Rural living:</w:t>
      </w:r>
      <w:r w:rsidRPr="00FA0B0E">
        <w:rPr>
          <w:lang w:val="en-AU"/>
        </w:rPr>
        <w:t xml:space="preserve"> land in a rural setting, which is used and developed for dwellings that are not primarily </w:t>
      </w:r>
      <w:r>
        <w:rPr>
          <w:lang w:val="en-AU"/>
        </w:rPr>
        <w:t>associated with agriculture</w:t>
      </w:r>
      <w:r w:rsidRPr="00FA0B0E">
        <w:rPr>
          <w:lang w:val="en-AU"/>
        </w:rPr>
        <w:t>.</w:t>
      </w:r>
    </w:p>
    <w:p w:rsidR="003C7518" w:rsidRPr="00FA0B0E" w:rsidRDefault="003C7518" w:rsidP="003C7518">
      <w:pPr>
        <w:pStyle w:val="bt"/>
        <w:rPr>
          <w:lang w:val="en-AU"/>
        </w:rPr>
      </w:pPr>
      <w:r w:rsidRPr="00FA0B0E">
        <w:rPr>
          <w:rStyle w:val="Strong"/>
          <w:lang w:val="en-AU"/>
        </w:rPr>
        <w:t>Sensitive uses:</w:t>
      </w:r>
      <w:r w:rsidRPr="00FA0B0E">
        <w:rPr>
          <w:lang w:val="en-AU"/>
        </w:rPr>
        <w:t xml:space="preserve"> land uses that have high amenity expectations such as housing, schools or hospitals.</w:t>
      </w:r>
    </w:p>
    <w:p w:rsidR="003C7518" w:rsidRPr="00FA0B0E" w:rsidRDefault="003C7518" w:rsidP="003C7518">
      <w:pPr>
        <w:pStyle w:val="bt"/>
        <w:rPr>
          <w:lang w:val="en-AU"/>
        </w:rPr>
      </w:pPr>
      <w:r w:rsidRPr="00FA0B0E">
        <w:rPr>
          <w:rStyle w:val="Strong"/>
          <w:lang w:val="en-AU"/>
        </w:rPr>
        <w:t>Social infrastructure:</w:t>
      </w:r>
      <w:r w:rsidRPr="00FA0B0E">
        <w:rPr>
          <w:lang w:val="en-AU"/>
        </w:rPr>
        <w:t xml:space="preserve"> includes community facilities, services, and networks that help communities meet their social needs and maximise their potential wellbeing such as, sports and recreation facilities, schools and hospitals.</w:t>
      </w:r>
    </w:p>
    <w:p w:rsidR="003C7518" w:rsidRPr="0015649A" w:rsidRDefault="003C7518" w:rsidP="009A7C24">
      <w:pPr>
        <w:pStyle w:val="bt"/>
        <w:rPr>
          <w:lang w:val="en-AU"/>
        </w:rPr>
      </w:pPr>
      <w:r w:rsidRPr="00FA0B0E">
        <w:rPr>
          <w:rStyle w:val="Strong"/>
          <w:lang w:val="en-AU"/>
        </w:rPr>
        <w:t>Terrestrial habitats:</w:t>
      </w:r>
      <w:r w:rsidRPr="00FA0B0E">
        <w:rPr>
          <w:lang w:val="en-AU"/>
        </w:rPr>
        <w:t xml:space="preserve"> combinations of biological and physical features of the landscape (including native vegetation, fallen timber and litter, soil, rocks</w:t>
      </w:r>
      <w:r>
        <w:rPr>
          <w:lang w:val="en-AU"/>
        </w:rPr>
        <w:t>,</w:t>
      </w:r>
      <w:r w:rsidRPr="00FA0B0E">
        <w:rPr>
          <w:lang w:val="en-AU"/>
        </w:rPr>
        <w:t xml:space="preserve"> etc) that enable populations of each native plant or animal species (or group of species) to live and reproduce. Features can be considered at the site scale, for example, the food sources used by individuals, and the landscape scale, for example, the linkages used for movement between areas, or the refuges used </w:t>
      </w:r>
      <w:r>
        <w:rPr>
          <w:lang w:val="en-AU"/>
        </w:rPr>
        <w:t>to cope with disturbance events</w:t>
      </w:r>
      <w:r w:rsidR="009A7C24">
        <w:rPr>
          <w:lang w:val="en-AU"/>
        </w:rPr>
        <w:t>.</w:t>
      </w:r>
    </w:p>
    <w:sectPr w:rsidR="003C7518" w:rsidRPr="0015649A" w:rsidSect="00BA24A5">
      <w:headerReference w:type="default" r:id="rId28"/>
      <w:pgSz w:w="11900" w:h="16840"/>
      <w:pgMar w:top="1440"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3FF" w:rsidRDefault="001723FF" w:rsidP="00E02F62">
      <w:pPr>
        <w:spacing w:after="0" w:line="240" w:lineRule="auto"/>
      </w:pPr>
      <w:r>
        <w:separator/>
      </w:r>
    </w:p>
  </w:endnote>
  <w:endnote w:type="continuationSeparator" w:id="0">
    <w:p w:rsidR="001723FF" w:rsidRDefault="001723FF" w:rsidP="00E02F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charset w:val="4E"/>
    <w:family w:val="auto"/>
    <w:pitch w:val="variable"/>
    <w:sig w:usb0="00000000"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DIN">
    <w:altName w:val="DIN"/>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FF" w:rsidRPr="001D4BF9" w:rsidRDefault="001723FF" w:rsidP="001D4B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FF" w:rsidRPr="00A738FF" w:rsidRDefault="001723FF" w:rsidP="00A738FF">
    <w:pPr>
      <w:pStyle w:val="Footer"/>
      <w:rPr>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FF" w:rsidRDefault="001723FF" w:rsidP="00CF205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FF" w:rsidRDefault="003F4484">
    <w:pPr>
      <w:pStyle w:val="Footer"/>
      <w:pBdr>
        <w:top w:val="single" w:sz="4" w:space="1" w:color="5F497A" w:themeColor="accent4" w:themeShade="BF"/>
      </w:pBdr>
      <w:tabs>
        <w:tab w:val="clear" w:pos="9026"/>
      </w:tabs>
      <w:ind w:right="360"/>
      <w:jc w:val="center"/>
      <w:rPr>
        <w:sz w:val="20"/>
        <w:szCs w:val="20"/>
      </w:rPr>
    </w:pPr>
    <w:r w:rsidRPr="00BC33EE">
      <w:rPr>
        <w:sz w:val="20"/>
        <w:szCs w:val="20"/>
      </w:rPr>
      <w:fldChar w:fldCharType="begin"/>
    </w:r>
    <w:r w:rsidR="001723FF" w:rsidRPr="00BC33EE">
      <w:rPr>
        <w:sz w:val="20"/>
        <w:szCs w:val="20"/>
      </w:rPr>
      <w:instrText xml:space="preserve"> PAGE   \* MERGEFORMAT </w:instrText>
    </w:r>
    <w:r w:rsidRPr="00BC33EE">
      <w:rPr>
        <w:sz w:val="20"/>
        <w:szCs w:val="20"/>
      </w:rPr>
      <w:fldChar w:fldCharType="separate"/>
    </w:r>
    <w:r w:rsidR="001B1EC4">
      <w:rPr>
        <w:noProof/>
        <w:sz w:val="20"/>
        <w:szCs w:val="20"/>
      </w:rPr>
      <w:t>ii</w:t>
    </w:r>
    <w:r w:rsidRPr="00BC33EE">
      <w:rPr>
        <w:sz w:val="20"/>
        <w:szCs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FF" w:rsidRDefault="003F4484">
    <w:pPr>
      <w:pStyle w:val="Footer"/>
      <w:pBdr>
        <w:top w:val="single" w:sz="4" w:space="1" w:color="5F497A" w:themeColor="accent4" w:themeShade="BF"/>
      </w:pBdr>
      <w:tabs>
        <w:tab w:val="clear" w:pos="9026"/>
      </w:tabs>
      <w:ind w:right="360"/>
      <w:jc w:val="center"/>
      <w:rPr>
        <w:sz w:val="20"/>
        <w:szCs w:val="20"/>
      </w:rPr>
    </w:pPr>
    <w:r w:rsidRPr="00353455">
      <w:rPr>
        <w:sz w:val="20"/>
        <w:szCs w:val="20"/>
      </w:rPr>
      <w:fldChar w:fldCharType="begin"/>
    </w:r>
    <w:r w:rsidR="001723FF" w:rsidRPr="00353455">
      <w:rPr>
        <w:sz w:val="20"/>
        <w:szCs w:val="20"/>
      </w:rPr>
      <w:instrText xml:space="preserve"> PAGE   \* MERGEFORMAT </w:instrText>
    </w:r>
    <w:r w:rsidRPr="00353455">
      <w:rPr>
        <w:sz w:val="20"/>
        <w:szCs w:val="20"/>
      </w:rPr>
      <w:fldChar w:fldCharType="separate"/>
    </w:r>
    <w:r w:rsidR="001B1EC4">
      <w:rPr>
        <w:noProof/>
        <w:sz w:val="20"/>
        <w:szCs w:val="20"/>
      </w:rPr>
      <w:t>54</w:t>
    </w:r>
    <w:r w:rsidRPr="00353455">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3FF" w:rsidRDefault="001723FF" w:rsidP="00E02F62">
      <w:pPr>
        <w:spacing w:after="0" w:line="240" w:lineRule="auto"/>
      </w:pPr>
      <w:r>
        <w:separator/>
      </w:r>
    </w:p>
  </w:footnote>
  <w:footnote w:type="continuationSeparator" w:id="0">
    <w:p w:rsidR="001723FF" w:rsidRDefault="001723FF" w:rsidP="00E02F62">
      <w:pPr>
        <w:spacing w:after="0" w:line="240" w:lineRule="auto"/>
      </w:pPr>
      <w:r>
        <w:continuationSeparator/>
      </w:r>
    </w:p>
  </w:footnote>
  <w:footnote w:id="1">
    <w:p w:rsidR="001723FF" w:rsidRPr="004460A3" w:rsidRDefault="001723FF">
      <w:pPr>
        <w:pStyle w:val="FootnoteText"/>
        <w:rPr>
          <w:sz w:val="16"/>
          <w:szCs w:val="16"/>
          <w:lang w:val="en-AU"/>
        </w:rPr>
      </w:pPr>
      <w:r w:rsidRPr="004A6121">
        <w:rPr>
          <w:rStyle w:val="FootnoteReference"/>
          <w:sz w:val="16"/>
          <w:szCs w:val="16"/>
          <w:vertAlign w:val="baseline"/>
        </w:rPr>
        <w:footnoteRef/>
      </w:r>
      <w:r w:rsidRPr="004A6121">
        <w:rPr>
          <w:sz w:val="16"/>
          <w:szCs w:val="16"/>
        </w:rPr>
        <w:t xml:space="preserve"> </w:t>
      </w:r>
      <w:r w:rsidRPr="0052071E">
        <w:rPr>
          <w:sz w:val="16"/>
          <w:szCs w:val="16"/>
        </w:rPr>
        <w:t xml:space="preserve">Department of </w:t>
      </w:r>
      <w:r>
        <w:rPr>
          <w:sz w:val="16"/>
          <w:szCs w:val="16"/>
        </w:rPr>
        <w:t>Transport, Planning and Local Infrastructure</w:t>
      </w:r>
      <w:r w:rsidRPr="0052071E">
        <w:rPr>
          <w:sz w:val="16"/>
          <w:szCs w:val="16"/>
        </w:rPr>
        <w:t xml:space="preserve"> (201</w:t>
      </w:r>
      <w:r w:rsidR="008B479A">
        <w:rPr>
          <w:sz w:val="16"/>
          <w:szCs w:val="16"/>
        </w:rPr>
        <w:t>4</w:t>
      </w:r>
      <w:r w:rsidRPr="0052071E">
        <w:rPr>
          <w:sz w:val="16"/>
          <w:szCs w:val="16"/>
        </w:rPr>
        <w:t xml:space="preserve">) </w:t>
      </w:r>
      <w:proofErr w:type="spellStart"/>
      <w:r w:rsidRPr="0052071E">
        <w:rPr>
          <w:sz w:val="16"/>
          <w:szCs w:val="16"/>
        </w:rPr>
        <w:t>Loddon</w:t>
      </w:r>
      <w:proofErr w:type="spellEnd"/>
      <w:r w:rsidRPr="0052071E">
        <w:rPr>
          <w:sz w:val="16"/>
          <w:szCs w:val="16"/>
        </w:rPr>
        <w:t xml:space="preserve"> </w:t>
      </w:r>
      <w:proofErr w:type="spellStart"/>
      <w:r w:rsidRPr="0052071E">
        <w:rPr>
          <w:sz w:val="16"/>
          <w:szCs w:val="16"/>
        </w:rPr>
        <w:t>Mallee</w:t>
      </w:r>
      <w:proofErr w:type="spellEnd"/>
      <w:r w:rsidRPr="0052071E">
        <w:rPr>
          <w:sz w:val="16"/>
          <w:szCs w:val="16"/>
        </w:rPr>
        <w:t xml:space="preserve"> North Regional Growth Plan Background Report</w:t>
      </w:r>
    </w:p>
  </w:footnote>
  <w:footnote w:id="2">
    <w:p w:rsidR="001723FF" w:rsidRPr="00CF60A2" w:rsidRDefault="001723FF">
      <w:pPr>
        <w:pStyle w:val="FootnoteText"/>
        <w:rPr>
          <w:lang w:val="en-AU"/>
        </w:rPr>
      </w:pPr>
      <w:r w:rsidRPr="004A6121">
        <w:rPr>
          <w:rStyle w:val="FootnoteReference"/>
          <w:sz w:val="16"/>
          <w:szCs w:val="16"/>
          <w:vertAlign w:val="baseline"/>
        </w:rPr>
        <w:footnoteRef/>
      </w:r>
      <w:r w:rsidRPr="004A6121">
        <w:rPr>
          <w:sz w:val="16"/>
          <w:szCs w:val="16"/>
        </w:rPr>
        <w:t xml:space="preserve"> </w:t>
      </w:r>
      <w:proofErr w:type="gramStart"/>
      <w:r>
        <w:rPr>
          <w:sz w:val="16"/>
          <w:szCs w:val="16"/>
        </w:rPr>
        <w:t>Department of Transport, Planning and Local Infrastructure (201</w:t>
      </w:r>
      <w:r w:rsidR="008B479A">
        <w:rPr>
          <w:sz w:val="16"/>
          <w:szCs w:val="16"/>
        </w:rPr>
        <w:t>4</w:t>
      </w:r>
      <w:r>
        <w:rPr>
          <w:sz w:val="16"/>
          <w:szCs w:val="16"/>
        </w:rPr>
        <w:t xml:space="preserve">) </w:t>
      </w:r>
      <w:proofErr w:type="spellStart"/>
      <w:r w:rsidRPr="00443894">
        <w:rPr>
          <w:sz w:val="16"/>
          <w:szCs w:val="16"/>
        </w:rPr>
        <w:t>Loddon</w:t>
      </w:r>
      <w:proofErr w:type="spellEnd"/>
      <w:r w:rsidRPr="00443894">
        <w:rPr>
          <w:sz w:val="16"/>
          <w:szCs w:val="16"/>
        </w:rPr>
        <w:t xml:space="preserve"> </w:t>
      </w:r>
      <w:proofErr w:type="spellStart"/>
      <w:r w:rsidRPr="00443894">
        <w:rPr>
          <w:sz w:val="16"/>
          <w:szCs w:val="16"/>
        </w:rPr>
        <w:t>Mallee</w:t>
      </w:r>
      <w:proofErr w:type="spellEnd"/>
      <w:r w:rsidRPr="00443894">
        <w:rPr>
          <w:sz w:val="16"/>
          <w:szCs w:val="16"/>
        </w:rPr>
        <w:t xml:space="preserve"> North Regional Growth Plan Background Report</w:t>
      </w:r>
      <w:r>
        <w:rPr>
          <w:sz w:val="16"/>
          <w:szCs w:val="16"/>
        </w:rPr>
        <w:t>.</w:t>
      </w:r>
      <w:proofErr w:type="gramEnd"/>
    </w:p>
  </w:footnote>
  <w:footnote w:id="3">
    <w:p w:rsidR="001723FF" w:rsidRPr="00443894" w:rsidRDefault="001723FF">
      <w:pPr>
        <w:pStyle w:val="FootnoteText"/>
        <w:rPr>
          <w:sz w:val="16"/>
          <w:szCs w:val="16"/>
        </w:rPr>
      </w:pPr>
      <w:r w:rsidRPr="004A6121">
        <w:rPr>
          <w:rStyle w:val="FootnoteReference"/>
          <w:sz w:val="16"/>
          <w:szCs w:val="16"/>
          <w:vertAlign w:val="baseline"/>
        </w:rPr>
        <w:footnoteRef/>
      </w:r>
      <w:r w:rsidRPr="004A6121">
        <w:rPr>
          <w:sz w:val="16"/>
          <w:szCs w:val="16"/>
        </w:rPr>
        <w:t xml:space="preserve"> </w:t>
      </w:r>
      <w:proofErr w:type="gramStart"/>
      <w:r>
        <w:rPr>
          <w:sz w:val="16"/>
          <w:szCs w:val="16"/>
        </w:rPr>
        <w:t xml:space="preserve">Department of Transport, Planning and Local Infrastructure (2013) </w:t>
      </w:r>
      <w:r w:rsidRPr="00443894">
        <w:rPr>
          <w:sz w:val="16"/>
          <w:szCs w:val="16"/>
        </w:rPr>
        <w:t>Loddon Mallee North Regional Growth Plan Background Report</w:t>
      </w:r>
      <w:r>
        <w:rPr>
          <w:sz w:val="16"/>
          <w:szCs w:val="16"/>
        </w:rPr>
        <w:t>.</w:t>
      </w:r>
      <w:proofErr w:type="gramEnd"/>
    </w:p>
  </w:footnote>
  <w:footnote w:id="4">
    <w:p w:rsidR="001723FF" w:rsidRPr="00053655" w:rsidRDefault="001723FF" w:rsidP="009D7690">
      <w:pPr>
        <w:pStyle w:val="FootnoteText"/>
        <w:rPr>
          <w:sz w:val="16"/>
          <w:szCs w:val="16"/>
          <w:lang w:val="en-AU"/>
        </w:rPr>
      </w:pPr>
      <w:r w:rsidRPr="004A6121">
        <w:rPr>
          <w:rStyle w:val="FootnoteReference"/>
          <w:sz w:val="16"/>
          <w:szCs w:val="16"/>
          <w:vertAlign w:val="baseline"/>
        </w:rPr>
        <w:footnoteRef/>
      </w:r>
      <w:r>
        <w:t xml:space="preserve"> </w:t>
      </w:r>
      <w:r>
        <w:rPr>
          <w:sz w:val="16"/>
          <w:szCs w:val="16"/>
        </w:rPr>
        <w:t>Throughout this document the term ‘Aboriginal’ is used to refer to both Aboriginal and Torres Strait Islander people. Use of the terms ‘Koori’, ‘Koorie’ and ‘Indigenous’ are retained in the names of programs and initiatives and, unless noted otherwise, are inclusive of both Aboriginal and Torres Strait Islander peoples.</w:t>
      </w:r>
    </w:p>
  </w:footnote>
  <w:footnote w:id="5">
    <w:p w:rsidR="001723FF" w:rsidRPr="00F81AF9" w:rsidRDefault="001723FF" w:rsidP="00443894">
      <w:pPr>
        <w:pStyle w:val="FootnoteText"/>
        <w:rPr>
          <w:sz w:val="16"/>
          <w:szCs w:val="16"/>
        </w:rPr>
      </w:pPr>
      <w:r w:rsidRPr="004A6121">
        <w:rPr>
          <w:rStyle w:val="FootnoteReference"/>
          <w:sz w:val="16"/>
          <w:szCs w:val="16"/>
          <w:vertAlign w:val="baseline"/>
        </w:rPr>
        <w:footnoteRef/>
      </w:r>
      <w:r w:rsidRPr="004A6121">
        <w:rPr>
          <w:sz w:val="16"/>
          <w:szCs w:val="16"/>
        </w:rPr>
        <w:t xml:space="preserve"> </w:t>
      </w:r>
      <w:proofErr w:type="gramStart"/>
      <w:r w:rsidRPr="00F81AF9">
        <w:rPr>
          <w:sz w:val="16"/>
          <w:szCs w:val="16"/>
        </w:rPr>
        <w:t>Department of Planning and Community Development (201</w:t>
      </w:r>
      <w:r>
        <w:rPr>
          <w:sz w:val="16"/>
          <w:szCs w:val="16"/>
        </w:rPr>
        <w:t>1</w:t>
      </w:r>
      <w:r w:rsidRPr="00F81AF9">
        <w:rPr>
          <w:sz w:val="16"/>
          <w:szCs w:val="16"/>
        </w:rPr>
        <w:t>) Change and Disadvantag</w:t>
      </w:r>
      <w:r>
        <w:rPr>
          <w:sz w:val="16"/>
          <w:szCs w:val="16"/>
        </w:rPr>
        <w:t>e in Loddon Mallee Report.</w:t>
      </w:r>
      <w:proofErr w:type="gramEnd"/>
    </w:p>
  </w:footnote>
  <w:footnote w:id="6">
    <w:p w:rsidR="001723FF" w:rsidRPr="00F81AF9" w:rsidRDefault="001723FF">
      <w:pPr>
        <w:pStyle w:val="FootnoteText"/>
        <w:rPr>
          <w:sz w:val="16"/>
          <w:szCs w:val="16"/>
        </w:rPr>
      </w:pPr>
      <w:r w:rsidRPr="004A6121">
        <w:rPr>
          <w:rStyle w:val="FootnoteReference"/>
          <w:sz w:val="16"/>
          <w:szCs w:val="16"/>
          <w:vertAlign w:val="baseline"/>
        </w:rPr>
        <w:footnoteRef/>
      </w:r>
      <w:r w:rsidRPr="004A6121">
        <w:rPr>
          <w:sz w:val="16"/>
          <w:szCs w:val="16"/>
        </w:rPr>
        <w:t xml:space="preserve"> </w:t>
      </w:r>
      <w:proofErr w:type="gramStart"/>
      <w:r w:rsidRPr="00F81AF9">
        <w:rPr>
          <w:sz w:val="16"/>
          <w:szCs w:val="16"/>
        </w:rPr>
        <w:t>Regional Development Victoria (2012) Regional Economic Profile, Loddon Mallee North</w:t>
      </w:r>
      <w:r>
        <w:rPr>
          <w:sz w:val="16"/>
          <w:szCs w:val="16"/>
        </w:rPr>
        <w:t>.</w:t>
      </w:r>
      <w:proofErr w:type="gramEnd"/>
    </w:p>
  </w:footnote>
  <w:footnote w:id="7">
    <w:p w:rsidR="001723FF" w:rsidRDefault="001723FF">
      <w:pPr>
        <w:pStyle w:val="FootnoteText"/>
      </w:pPr>
      <w:r w:rsidRPr="004A6121">
        <w:rPr>
          <w:rStyle w:val="FootnoteReference"/>
          <w:sz w:val="16"/>
          <w:szCs w:val="16"/>
          <w:vertAlign w:val="baseline"/>
        </w:rPr>
        <w:footnoteRef/>
      </w:r>
      <w:r w:rsidRPr="004A6121">
        <w:rPr>
          <w:sz w:val="16"/>
          <w:szCs w:val="16"/>
        </w:rPr>
        <w:t xml:space="preserve"> </w:t>
      </w:r>
      <w:proofErr w:type="gramStart"/>
      <w:r>
        <w:rPr>
          <w:sz w:val="16"/>
          <w:szCs w:val="16"/>
        </w:rPr>
        <w:t xml:space="preserve">Regional Development Victoria (2010) </w:t>
      </w:r>
      <w:r w:rsidRPr="00DA2097">
        <w:rPr>
          <w:sz w:val="16"/>
          <w:szCs w:val="16"/>
        </w:rPr>
        <w:t xml:space="preserve">Loddon </w:t>
      </w:r>
      <w:proofErr w:type="spellStart"/>
      <w:r w:rsidRPr="00DA2097">
        <w:rPr>
          <w:sz w:val="16"/>
          <w:szCs w:val="16"/>
        </w:rPr>
        <w:t>Mallee</w:t>
      </w:r>
      <w:proofErr w:type="spellEnd"/>
      <w:r w:rsidRPr="00DA2097">
        <w:rPr>
          <w:sz w:val="16"/>
          <w:szCs w:val="16"/>
        </w:rPr>
        <w:t xml:space="preserve"> Regional Strategic Plan</w:t>
      </w:r>
      <w:r w:rsidR="008B479A">
        <w:rPr>
          <w:sz w:val="16"/>
          <w:szCs w:val="16"/>
        </w:rPr>
        <w:t>- Northern Region</w:t>
      </w:r>
      <w:r>
        <w:rPr>
          <w:sz w:val="16"/>
          <w:szCs w:val="16"/>
        </w:rPr>
        <w:t>.</w:t>
      </w:r>
      <w:proofErr w:type="gramEnd"/>
    </w:p>
  </w:footnote>
  <w:footnote w:id="8">
    <w:p w:rsidR="001723FF" w:rsidRPr="00423AAD" w:rsidRDefault="001723FF">
      <w:pPr>
        <w:pStyle w:val="FootnoteText"/>
        <w:rPr>
          <w:lang w:val="en-AU"/>
        </w:rPr>
      </w:pPr>
      <w:r w:rsidRPr="00B01E5B">
        <w:rPr>
          <w:rStyle w:val="FootnoteReference"/>
          <w:sz w:val="16"/>
          <w:szCs w:val="16"/>
          <w:vertAlign w:val="baseline"/>
        </w:rPr>
        <w:footnoteRef/>
      </w:r>
      <w:r w:rsidRPr="00B01E5B">
        <w:rPr>
          <w:sz w:val="16"/>
          <w:szCs w:val="16"/>
        </w:rPr>
        <w:t xml:space="preserve"> </w:t>
      </w:r>
      <w:r>
        <w:rPr>
          <w:sz w:val="16"/>
          <w:szCs w:val="16"/>
        </w:rPr>
        <w:t>Department of Transport, Planning and Local Infrastructure (201</w:t>
      </w:r>
      <w:r w:rsidR="008B479A">
        <w:rPr>
          <w:sz w:val="16"/>
          <w:szCs w:val="16"/>
        </w:rPr>
        <w:t>4</w:t>
      </w:r>
      <w:r>
        <w:rPr>
          <w:sz w:val="16"/>
          <w:szCs w:val="16"/>
        </w:rPr>
        <w:t xml:space="preserve">) </w:t>
      </w:r>
      <w:proofErr w:type="spellStart"/>
      <w:r w:rsidRPr="00443894">
        <w:rPr>
          <w:sz w:val="16"/>
          <w:szCs w:val="16"/>
        </w:rPr>
        <w:t>Loddon</w:t>
      </w:r>
      <w:proofErr w:type="spellEnd"/>
      <w:r w:rsidRPr="00443894">
        <w:rPr>
          <w:sz w:val="16"/>
          <w:szCs w:val="16"/>
        </w:rPr>
        <w:t xml:space="preserve"> </w:t>
      </w:r>
      <w:proofErr w:type="spellStart"/>
      <w:r w:rsidRPr="00443894">
        <w:rPr>
          <w:sz w:val="16"/>
          <w:szCs w:val="16"/>
        </w:rPr>
        <w:t>Mallee</w:t>
      </w:r>
      <w:proofErr w:type="spellEnd"/>
      <w:r w:rsidRPr="00443894">
        <w:rPr>
          <w:sz w:val="16"/>
          <w:szCs w:val="16"/>
        </w:rPr>
        <w:t xml:space="preserve"> North Regional Growth Plan Background Report</w:t>
      </w:r>
      <w:r>
        <w:rPr>
          <w:sz w:val="16"/>
          <w:szCs w:val="16"/>
        </w:rPr>
        <w:t xml:space="preserve"> (Figure 4).</w:t>
      </w:r>
    </w:p>
  </w:footnote>
  <w:footnote w:id="9">
    <w:p w:rsidR="001723FF" w:rsidRPr="00423AAD" w:rsidRDefault="001723FF">
      <w:pPr>
        <w:pStyle w:val="FootnoteText"/>
        <w:rPr>
          <w:lang w:val="en-AU"/>
        </w:rPr>
      </w:pPr>
      <w:r w:rsidRPr="00B01E5B">
        <w:rPr>
          <w:rStyle w:val="FootnoteReference"/>
          <w:sz w:val="16"/>
          <w:vertAlign w:val="baseline"/>
        </w:rPr>
        <w:footnoteRef/>
      </w:r>
      <w:r w:rsidRPr="00B01E5B">
        <w:rPr>
          <w:sz w:val="16"/>
        </w:rPr>
        <w:t xml:space="preserve"> </w:t>
      </w:r>
      <w:r>
        <w:rPr>
          <w:sz w:val="16"/>
          <w:szCs w:val="16"/>
        </w:rPr>
        <w:t xml:space="preserve">Department of Transport, Planning and Local Infrastructure (2013) </w:t>
      </w:r>
      <w:r w:rsidRPr="00443894">
        <w:rPr>
          <w:sz w:val="16"/>
          <w:szCs w:val="16"/>
        </w:rPr>
        <w:t>Loddon Mallee North Regional Growth Plan Background Report</w:t>
      </w:r>
      <w:r>
        <w:rPr>
          <w:sz w:val="16"/>
          <w:szCs w:val="16"/>
        </w:rPr>
        <w:t xml:space="preserve"> (Figure 4).</w:t>
      </w:r>
    </w:p>
  </w:footnote>
  <w:footnote w:id="10">
    <w:p w:rsidR="001723FF" w:rsidRPr="007E0E74" w:rsidRDefault="001723FF">
      <w:pPr>
        <w:pStyle w:val="FootnoteText"/>
        <w:rPr>
          <w:sz w:val="16"/>
          <w:szCs w:val="16"/>
          <w:lang w:val="en-AU"/>
        </w:rPr>
      </w:pPr>
      <w:r w:rsidRPr="00855483">
        <w:rPr>
          <w:rStyle w:val="FootnoteReference"/>
          <w:sz w:val="16"/>
          <w:szCs w:val="16"/>
          <w:vertAlign w:val="baseline"/>
        </w:rPr>
        <w:footnoteRef/>
      </w:r>
      <w:r w:rsidRPr="00855483">
        <w:rPr>
          <w:sz w:val="16"/>
          <w:szCs w:val="16"/>
        </w:rPr>
        <w:t xml:space="preserve"> </w:t>
      </w:r>
      <w:r w:rsidRPr="007E0E74">
        <w:rPr>
          <w:iCs/>
          <w:sz w:val="16"/>
          <w:szCs w:val="16"/>
          <w:lang w:val="en-AU"/>
        </w:rPr>
        <w:t>Providing ecosystem services through market</w:t>
      </w:r>
      <w:r>
        <w:rPr>
          <w:iCs/>
          <w:sz w:val="16"/>
          <w:szCs w:val="16"/>
          <w:lang w:val="en-AU"/>
        </w:rPr>
        <w:t>-</w:t>
      </w:r>
      <w:r w:rsidRPr="007E0E74">
        <w:rPr>
          <w:iCs/>
          <w:sz w:val="16"/>
          <w:szCs w:val="16"/>
          <w:lang w:val="en-AU"/>
        </w:rPr>
        <w:t>based approaches</w:t>
      </w:r>
      <w:r>
        <w:rPr>
          <w:iCs/>
          <w:sz w:val="16"/>
          <w:szCs w:val="16"/>
          <w:lang w:val="en-AU"/>
        </w:rPr>
        <w:t xml:space="preserve">, </w:t>
      </w:r>
      <w:r w:rsidRPr="007E0E74">
        <w:rPr>
          <w:iCs/>
          <w:sz w:val="16"/>
          <w:szCs w:val="16"/>
          <w:lang w:val="en-AU"/>
        </w:rPr>
        <w:t>including competitive tenders such as EcoTender and BushTender, can provide farmers with income for undertaking environmental works that conserve and enhance the environment.</w:t>
      </w:r>
    </w:p>
  </w:footnote>
  <w:footnote w:id="11">
    <w:p w:rsidR="001723FF" w:rsidRPr="00772F3D" w:rsidRDefault="001723FF">
      <w:pPr>
        <w:pStyle w:val="FootnoteText"/>
        <w:rPr>
          <w:sz w:val="16"/>
          <w:szCs w:val="16"/>
        </w:rPr>
      </w:pPr>
      <w:r w:rsidRPr="00855483">
        <w:rPr>
          <w:rStyle w:val="FootnoteReference"/>
          <w:sz w:val="16"/>
          <w:szCs w:val="16"/>
          <w:vertAlign w:val="baseline"/>
        </w:rPr>
        <w:footnoteRef/>
      </w:r>
      <w:r w:rsidRPr="00855483">
        <w:rPr>
          <w:sz w:val="16"/>
          <w:szCs w:val="16"/>
        </w:rPr>
        <w:t xml:space="preserve"> </w:t>
      </w:r>
      <w:proofErr w:type="gramStart"/>
      <w:r w:rsidRPr="00772F3D">
        <w:rPr>
          <w:sz w:val="16"/>
          <w:szCs w:val="16"/>
        </w:rPr>
        <w:t>Department of Planning and Community Development (2012) Regional Residential Report, Rural City of Mildura</w:t>
      </w:r>
      <w:r>
        <w:rPr>
          <w:sz w:val="16"/>
          <w:szCs w:val="16"/>
        </w:rPr>
        <w:t>.</w:t>
      </w:r>
      <w:proofErr w:type="gramEnd"/>
    </w:p>
  </w:footnote>
  <w:footnote w:id="12">
    <w:p w:rsidR="001723FF" w:rsidRPr="004B3E1B" w:rsidRDefault="001723FF" w:rsidP="00461C84">
      <w:pPr>
        <w:pStyle w:val="FootnoteText"/>
        <w:rPr>
          <w:sz w:val="16"/>
          <w:lang w:val="en-AU"/>
        </w:rPr>
      </w:pPr>
      <w:r w:rsidRPr="00AE1CFC">
        <w:rPr>
          <w:rStyle w:val="FootnoteReference"/>
          <w:sz w:val="16"/>
          <w:vertAlign w:val="baseline"/>
        </w:rPr>
        <w:footnoteRef/>
      </w:r>
      <w:r w:rsidRPr="00AE1CFC">
        <w:rPr>
          <w:sz w:val="16"/>
        </w:rPr>
        <w:t xml:space="preserve"> </w:t>
      </w:r>
      <w:r>
        <w:rPr>
          <w:sz w:val="16"/>
        </w:rPr>
        <w:t>I</w:t>
      </w:r>
      <w:r w:rsidRPr="004B3E1B">
        <w:rPr>
          <w:sz w:val="16"/>
        </w:rPr>
        <w:t>ntegrated</w:t>
      </w:r>
      <w:r>
        <w:rPr>
          <w:sz w:val="16"/>
        </w:rPr>
        <w:t xml:space="preserve"> w</w:t>
      </w:r>
      <w:r w:rsidRPr="004B3E1B">
        <w:rPr>
          <w:sz w:val="16"/>
        </w:rPr>
        <w:t xml:space="preserve">ater </w:t>
      </w:r>
      <w:r>
        <w:rPr>
          <w:sz w:val="16"/>
        </w:rPr>
        <w:t>c</w:t>
      </w:r>
      <w:r w:rsidRPr="004B3E1B">
        <w:rPr>
          <w:sz w:val="16"/>
        </w:rPr>
        <w:t xml:space="preserve">ycle </w:t>
      </w:r>
      <w:r>
        <w:rPr>
          <w:sz w:val="16"/>
        </w:rPr>
        <w:t>s</w:t>
      </w:r>
      <w:r w:rsidRPr="004B3E1B">
        <w:rPr>
          <w:sz w:val="16"/>
        </w:rPr>
        <w:t xml:space="preserve">trategies will be developed by water corporations by 2017 to replace their current </w:t>
      </w:r>
      <w:r>
        <w:rPr>
          <w:sz w:val="16"/>
        </w:rPr>
        <w:t>w</w:t>
      </w:r>
      <w:r w:rsidRPr="004B3E1B">
        <w:rPr>
          <w:sz w:val="16"/>
        </w:rPr>
        <w:t xml:space="preserve">ater </w:t>
      </w:r>
      <w:r>
        <w:rPr>
          <w:sz w:val="16"/>
        </w:rPr>
        <w:t>s</w:t>
      </w:r>
      <w:r w:rsidRPr="004B3E1B">
        <w:rPr>
          <w:sz w:val="16"/>
        </w:rPr>
        <w:t xml:space="preserve">upply </w:t>
      </w:r>
      <w:r>
        <w:rPr>
          <w:sz w:val="16"/>
        </w:rPr>
        <w:t>d</w:t>
      </w:r>
      <w:r w:rsidRPr="004B3E1B">
        <w:rPr>
          <w:sz w:val="16"/>
        </w:rPr>
        <w:t xml:space="preserve">emand </w:t>
      </w:r>
      <w:r>
        <w:rPr>
          <w:sz w:val="16"/>
        </w:rPr>
        <w:t>s</w:t>
      </w:r>
      <w:r w:rsidRPr="004B3E1B">
        <w:rPr>
          <w:sz w:val="16"/>
        </w:rPr>
        <w:t>trategies, and will consider maintaining demand and supply balances, water supply system resilience, and future water cycle services options</w:t>
      </w:r>
      <w:r>
        <w:rPr>
          <w:sz w:val="16"/>
        </w:rPr>
        <w:t>,</w:t>
      </w:r>
      <w:r w:rsidRPr="004B3E1B">
        <w:rPr>
          <w:sz w:val="16"/>
        </w:rPr>
        <w:t xml:space="preserve"> including recycling sewage or trade waste, stormwater capture and reuse, and demand management.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FF" w:rsidRDefault="001723FF" w:rsidP="007020E8">
    <w:pPr>
      <w:pStyle w:val="Header"/>
      <w:ind w:left="-1418" w:firstLine="142"/>
    </w:pPr>
    <w:r w:rsidRPr="00B2277E">
      <w:rPr>
        <w:noProof/>
        <w:lang w:val="en-AU" w:eastAsia="en-AU"/>
      </w:rPr>
      <w:drawing>
        <wp:anchor distT="0" distB="0" distL="114300" distR="114300" simplePos="0" relativeHeight="251660288" behindDoc="1" locked="0" layoutInCell="1" allowOverlap="1">
          <wp:simplePos x="0" y="0"/>
          <wp:positionH relativeFrom="column">
            <wp:posOffset>-756361</wp:posOffset>
          </wp:positionH>
          <wp:positionV relativeFrom="paragraph">
            <wp:posOffset>-76505</wp:posOffset>
          </wp:positionV>
          <wp:extent cx="7193432" cy="1506931"/>
          <wp:effectExtent l="19050" t="0" r="7468" b="0"/>
          <wp:wrapTight wrapText="bothSides">
            <wp:wrapPolygon edited="0">
              <wp:start x="-57" y="0"/>
              <wp:lineTo x="-57" y="21299"/>
              <wp:lineTo x="21622" y="21299"/>
              <wp:lineTo x="21622" y="0"/>
              <wp:lineTo x="-57" y="0"/>
            </wp:wrapPolygon>
          </wp:wrapTight>
          <wp:docPr id="2" name="Picture 2" descr="Regional Growth Plans, A Vision for Victoria - Loddon Mallee North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w78\Desktop\DOC-CENTRAL_n2290448_v1_RGP_-_LMN_banner_for_documents.jpg"/>
                  <pic:cNvPicPr>
                    <a:picLocks noChangeAspect="1" noChangeArrowheads="1"/>
                  </pic:cNvPicPr>
                </pic:nvPicPr>
                <pic:blipFill>
                  <a:blip r:embed="rId1"/>
                  <a:srcRect/>
                  <a:stretch>
                    <a:fillRect/>
                  </a:stretch>
                </pic:blipFill>
                <pic:spPr bwMode="auto">
                  <a:xfrm>
                    <a:off x="0" y="0"/>
                    <a:ext cx="7193280" cy="1506855"/>
                  </a:xfrm>
                  <a:prstGeom prst="rect">
                    <a:avLst/>
                  </a:prstGeom>
                  <a:noFill/>
                  <a:ln w="9525">
                    <a:noFill/>
                    <a:miter lim="800000"/>
                    <a:headEnd/>
                    <a:tailEnd/>
                  </a:ln>
                </pic:spPr>
              </pic:pic>
            </a:graphicData>
          </a:graphic>
        </wp:anchor>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FF" w:rsidRPr="000E4958" w:rsidRDefault="001723FF" w:rsidP="00A04D27">
    <w:pPr>
      <w:pStyle w:val="Header"/>
      <w:tabs>
        <w:tab w:val="clear" w:pos="9026"/>
        <w:tab w:val="right" w:pos="9072"/>
      </w:tabs>
      <w:spacing w:line="276" w:lineRule="auto"/>
      <w:jc w:val="center"/>
      <w:rPr>
        <w:rStyle w:val="Header-MainChar"/>
      </w:rPr>
    </w:pPr>
    <w:r w:rsidRPr="000E4958">
      <w:rPr>
        <w:rStyle w:val="Header-MainChar"/>
      </w:rPr>
      <w:t>Loddon Mallee North Regional Growth Plan</w:t>
    </w:r>
  </w:p>
  <w:p w:rsidR="001723FF" w:rsidRDefault="001723FF" w:rsidP="00A04D27">
    <w:pPr>
      <w:pStyle w:val="Header-Sub"/>
      <w:pBdr>
        <w:bottom w:val="none" w:sz="0" w:space="0" w:color="auto"/>
      </w:pBdr>
    </w:pPr>
    <w:r>
      <w:t>Part C: Towards the regional growth plan – Regional land use framework</w:t>
    </w:r>
  </w:p>
  <w:p w:rsidR="001723FF" w:rsidRDefault="001723FF" w:rsidP="009C732B">
    <w:pPr>
      <w:pStyle w:val="Header"/>
      <w:pBdr>
        <w:top w:val="single" w:sz="4" w:space="1" w:color="auto"/>
      </w:pBdr>
      <w:tabs>
        <w:tab w:val="clear" w:pos="4513"/>
        <w:tab w:val="clear" w:pos="9026"/>
        <w:tab w:val="left" w:pos="0"/>
        <w:tab w:val="right" w:pos="9072"/>
      </w:tabs>
      <w:spacing w:line="276" w:lineRule="auto"/>
      <w:rPr>
        <w:sz w:val="18"/>
        <w:szCs w:val="18"/>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FF" w:rsidRPr="000E4958" w:rsidRDefault="001723FF" w:rsidP="00A04D27">
    <w:pPr>
      <w:pStyle w:val="Header"/>
      <w:tabs>
        <w:tab w:val="clear" w:pos="9026"/>
        <w:tab w:val="right" w:pos="9072"/>
      </w:tabs>
      <w:spacing w:line="276" w:lineRule="auto"/>
      <w:jc w:val="center"/>
      <w:rPr>
        <w:rStyle w:val="Header-MainChar"/>
      </w:rPr>
    </w:pPr>
    <w:r w:rsidRPr="000E4958">
      <w:rPr>
        <w:rStyle w:val="Header-MainChar"/>
      </w:rPr>
      <w:t>Loddon Mallee North Regional Growth Plan</w:t>
    </w:r>
  </w:p>
  <w:p w:rsidR="001723FF" w:rsidRDefault="001723FF" w:rsidP="00A04D27">
    <w:pPr>
      <w:pStyle w:val="Header-Sub"/>
      <w:pBdr>
        <w:bottom w:val="none" w:sz="0" w:space="0" w:color="auto"/>
      </w:pBdr>
    </w:pPr>
    <w:r>
      <w:t>Part D: Regional growth plan</w:t>
    </w:r>
  </w:p>
  <w:p w:rsidR="001723FF" w:rsidRDefault="001723FF" w:rsidP="00BA2560">
    <w:pPr>
      <w:pStyle w:val="Header"/>
      <w:pBdr>
        <w:top w:val="single" w:sz="4" w:space="1" w:color="auto"/>
      </w:pBdr>
      <w:tabs>
        <w:tab w:val="clear" w:pos="4513"/>
        <w:tab w:val="clear" w:pos="9026"/>
        <w:tab w:val="left" w:pos="0"/>
        <w:tab w:val="right" w:pos="9072"/>
      </w:tabs>
      <w:spacing w:line="276" w:lineRule="auto"/>
      <w:rPr>
        <w:sz w:val="18"/>
        <w:szCs w:val="18"/>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FF" w:rsidRPr="000E4958" w:rsidRDefault="001723FF" w:rsidP="007E189A">
    <w:pPr>
      <w:pStyle w:val="Header"/>
      <w:tabs>
        <w:tab w:val="clear" w:pos="9026"/>
        <w:tab w:val="right" w:pos="9072"/>
      </w:tabs>
      <w:spacing w:line="276" w:lineRule="auto"/>
      <w:jc w:val="center"/>
      <w:rPr>
        <w:rStyle w:val="Header-MainChar"/>
      </w:rPr>
    </w:pPr>
    <w:r w:rsidRPr="000E4958">
      <w:rPr>
        <w:rStyle w:val="Header-MainChar"/>
      </w:rPr>
      <w:t>Loddon Mallee South Regional Growth Plan</w:t>
    </w:r>
  </w:p>
  <w:p w:rsidR="001723FF" w:rsidRDefault="001723FF" w:rsidP="00981430">
    <w:pPr>
      <w:pStyle w:val="Header-Sub"/>
      <w:pBdr>
        <w:bottom w:val="none" w:sz="0" w:space="0" w:color="auto"/>
      </w:pBdr>
    </w:pPr>
    <w:r>
      <w:t>Part E: Delivering regional growth</w:t>
    </w:r>
  </w:p>
  <w:p w:rsidR="001723FF" w:rsidRPr="003B4400" w:rsidRDefault="001723FF" w:rsidP="007E189A">
    <w:pPr>
      <w:pStyle w:val="Header"/>
      <w:pBdr>
        <w:top w:val="single" w:sz="4" w:space="1" w:color="auto"/>
      </w:pBdr>
      <w:tabs>
        <w:tab w:val="clear" w:pos="9026"/>
        <w:tab w:val="right" w:pos="9072"/>
      </w:tabs>
      <w:spacing w:line="276" w:lineRule="auto"/>
      <w:rPr>
        <w:rFonts w:ascii="Calibri" w:hAnsi="Calibri" w:cs="Calibri"/>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FF" w:rsidRPr="000E4958" w:rsidRDefault="001723FF" w:rsidP="00CA40A5">
    <w:pPr>
      <w:pStyle w:val="Header"/>
      <w:tabs>
        <w:tab w:val="clear" w:pos="9026"/>
        <w:tab w:val="right" w:pos="9072"/>
      </w:tabs>
      <w:spacing w:line="276" w:lineRule="auto"/>
      <w:jc w:val="center"/>
      <w:rPr>
        <w:rStyle w:val="Header-MainChar"/>
      </w:rPr>
    </w:pPr>
    <w:r w:rsidRPr="000E4958">
      <w:rPr>
        <w:rStyle w:val="Header-MainChar"/>
      </w:rPr>
      <w:t>Loddon Mallee North Regional Growth Plan</w:t>
    </w:r>
  </w:p>
  <w:p w:rsidR="001723FF" w:rsidRDefault="001723FF" w:rsidP="00CA40A5">
    <w:pPr>
      <w:pStyle w:val="Header"/>
      <w:tabs>
        <w:tab w:val="clear" w:pos="9026"/>
        <w:tab w:val="right" w:pos="9072"/>
      </w:tabs>
      <w:spacing w:line="276" w:lineRule="auto"/>
      <w:jc w:val="center"/>
      <w:rPr>
        <w:rStyle w:val="Header-SubChar"/>
      </w:rPr>
    </w:pPr>
    <w:r w:rsidRPr="00885C26">
      <w:rPr>
        <w:rStyle w:val="Header-SubChar"/>
      </w:rPr>
      <w:t>Glossary</w:t>
    </w:r>
  </w:p>
  <w:p w:rsidR="001723FF" w:rsidRPr="00CA74F9" w:rsidRDefault="001723FF" w:rsidP="00CA40A5">
    <w:pPr>
      <w:pStyle w:val="Header"/>
      <w:pBdr>
        <w:top w:val="single" w:sz="4" w:space="1" w:color="auto"/>
      </w:pBdr>
      <w:tabs>
        <w:tab w:val="clear" w:pos="9026"/>
        <w:tab w:val="right" w:pos="9072"/>
      </w:tabs>
      <w:spacing w:line="276" w:lineRule="auto"/>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FF" w:rsidRPr="00A738FF" w:rsidRDefault="001723FF" w:rsidP="00A738FF">
    <w:pPr>
      <w:pStyle w:val="Header"/>
      <w:rPr>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FF" w:rsidRDefault="001723FF" w:rsidP="006C25FB">
    <w:pPr>
      <w:pStyle w:val="Header"/>
      <w:ind w:left="-1418" w:firstLine="14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FF" w:rsidRPr="00CA74F9" w:rsidRDefault="001723FF" w:rsidP="00A738FF">
    <w:pPr>
      <w:pStyle w:val="Header"/>
      <w:jc w:val="center"/>
      <w:rPr>
        <w:szCs w:val="1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FF" w:rsidRDefault="001723F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FF" w:rsidRPr="000E4958" w:rsidRDefault="001723FF" w:rsidP="00DF32E2">
    <w:pPr>
      <w:pStyle w:val="Header"/>
      <w:tabs>
        <w:tab w:val="clear" w:pos="9026"/>
        <w:tab w:val="right" w:pos="9072"/>
      </w:tabs>
      <w:spacing w:line="276" w:lineRule="auto"/>
      <w:jc w:val="center"/>
      <w:rPr>
        <w:rStyle w:val="Header-MainChar"/>
      </w:rPr>
    </w:pPr>
    <w:r w:rsidRPr="000E4958">
      <w:rPr>
        <w:rStyle w:val="Header-MainChar"/>
      </w:rPr>
      <w:t>Loddon Mallee North Regional Growth Plan</w:t>
    </w:r>
  </w:p>
  <w:p w:rsidR="001723FF" w:rsidRPr="00CA74F9" w:rsidRDefault="001723FF" w:rsidP="00CA74F9">
    <w:pPr>
      <w:pStyle w:val="Header"/>
      <w:pBdr>
        <w:bottom w:val="single" w:sz="4" w:space="1" w:color="5F497A" w:themeColor="accent4" w:themeShade="BF"/>
        <w:between w:val="single" w:sz="4" w:space="1" w:color="5F497A" w:themeColor="accent4" w:themeShade="BF"/>
      </w:pBdr>
      <w:tabs>
        <w:tab w:val="clear" w:pos="9026"/>
        <w:tab w:val="right" w:pos="9072"/>
      </w:tabs>
      <w:spacing w:line="276" w:lineRule="auto"/>
      <w:jc w:val="center"/>
      <w:rPr>
        <w:sz w:val="18"/>
        <w:szCs w:val="18"/>
      </w:rPr>
    </w:pPr>
    <w:r>
      <w:rPr>
        <w:rStyle w:val="Header-SubChar"/>
      </w:rPr>
      <w:t>Executive s</w:t>
    </w:r>
    <w:r w:rsidRPr="00885C26">
      <w:rPr>
        <w:rStyle w:val="Header-SubChar"/>
      </w:rPr>
      <w:t>ummary</w:t>
    </w:r>
  </w:p>
  <w:p w:rsidR="001723FF" w:rsidRPr="00CA74F9" w:rsidRDefault="001723FF" w:rsidP="00CA74F9">
    <w:pPr>
      <w:pStyle w:val="Header"/>
      <w:rPr>
        <w:szCs w:val="18"/>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FF" w:rsidRPr="006C25FB" w:rsidRDefault="003F4484" w:rsidP="006B4B1C">
    <w:pPr>
      <w:pStyle w:val="Header"/>
      <w:tabs>
        <w:tab w:val="clear" w:pos="4513"/>
        <w:tab w:val="clear" w:pos="9026"/>
        <w:tab w:val="left" w:pos="0"/>
        <w:tab w:val="right" w:pos="9072"/>
      </w:tabs>
      <w:spacing w:line="276" w:lineRule="auto"/>
      <w:jc w:val="both"/>
      <w:rPr>
        <w:sz w:val="18"/>
        <w:szCs w:val="18"/>
      </w:rPr>
    </w:pPr>
    <w:fldSimple w:instr=" STYLEREF  &quot;Heading 1,1 NoNum&quot;  \* MERGEFORMAT ">
      <w:r w:rsidR="001723FF" w:rsidRPr="00E47BE0">
        <w:rPr>
          <w:noProof/>
          <w:sz w:val="18"/>
          <w:szCs w:val="18"/>
        </w:rPr>
        <w:t>EXECUTIVE</w:t>
      </w:r>
      <w:r w:rsidR="001723FF">
        <w:rPr>
          <w:noProof/>
        </w:rPr>
        <w:t xml:space="preserve"> SUMMARY</w:t>
      </w:r>
    </w:fldSimple>
    <w:r w:rsidR="001723FF">
      <w:rPr>
        <w:sz w:val="18"/>
        <w:szCs w:val="18"/>
      </w:rPr>
      <w:tab/>
    </w:r>
    <w:fldSimple w:instr=" STYLEREF  &quot;Heading 2_no num&quot;  \* MERGEFORMAT ">
      <w:r w:rsidR="001723FF" w:rsidRPr="00E47BE0">
        <w:rPr>
          <w:b/>
          <w:bCs/>
          <w:noProof/>
        </w:rPr>
        <w:t>Theme: Regional economy</w:t>
      </w:r>
    </w:fldSimple>
  </w:p>
  <w:p w:rsidR="001723FF" w:rsidRDefault="001723FF" w:rsidP="006B4B1C">
    <w:pPr>
      <w:pStyle w:val="Header"/>
      <w:spacing w:line="276" w:lineRule="auto"/>
      <w:jc w:val="center"/>
    </w:pPr>
  </w:p>
  <w:p w:rsidR="001723FF" w:rsidRDefault="001723FF">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FF" w:rsidRPr="000E4958" w:rsidRDefault="001723FF" w:rsidP="00DF32E2">
    <w:pPr>
      <w:pStyle w:val="Header"/>
      <w:tabs>
        <w:tab w:val="clear" w:pos="9026"/>
        <w:tab w:val="right" w:pos="9072"/>
      </w:tabs>
      <w:spacing w:line="276" w:lineRule="auto"/>
      <w:jc w:val="center"/>
      <w:rPr>
        <w:rStyle w:val="Header-MainChar"/>
      </w:rPr>
    </w:pPr>
    <w:r w:rsidRPr="000E4958">
      <w:rPr>
        <w:rStyle w:val="Header-MainChar"/>
      </w:rPr>
      <w:t>Loddon Mallee North Regional Growth Plan</w:t>
    </w:r>
  </w:p>
  <w:p w:rsidR="001723FF" w:rsidRPr="00CA74F9" w:rsidRDefault="001723FF" w:rsidP="00CA74F9">
    <w:pPr>
      <w:pStyle w:val="Header"/>
      <w:pBdr>
        <w:bottom w:val="single" w:sz="4" w:space="1" w:color="5F497A" w:themeColor="accent4" w:themeShade="BF"/>
        <w:between w:val="single" w:sz="4" w:space="1" w:color="5F497A" w:themeColor="accent4" w:themeShade="BF"/>
      </w:pBdr>
      <w:tabs>
        <w:tab w:val="clear" w:pos="9026"/>
        <w:tab w:val="right" w:pos="9072"/>
      </w:tabs>
      <w:spacing w:line="276" w:lineRule="auto"/>
      <w:jc w:val="center"/>
      <w:rPr>
        <w:sz w:val="18"/>
        <w:szCs w:val="18"/>
      </w:rPr>
    </w:pPr>
    <w:r>
      <w:rPr>
        <w:rStyle w:val="Header-SubChar"/>
      </w:rPr>
      <w:t>Part A: Introduction</w:t>
    </w:r>
  </w:p>
  <w:p w:rsidR="001723FF" w:rsidRPr="00CA74F9" w:rsidRDefault="001723FF" w:rsidP="00CA74F9">
    <w:pPr>
      <w:pStyle w:val="Header"/>
      <w:rPr>
        <w:szCs w:val="18"/>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3FF" w:rsidRPr="000E4958" w:rsidRDefault="001723FF" w:rsidP="00DF32E2">
    <w:pPr>
      <w:pStyle w:val="Header"/>
      <w:tabs>
        <w:tab w:val="clear" w:pos="9026"/>
        <w:tab w:val="right" w:pos="9072"/>
      </w:tabs>
      <w:spacing w:line="276" w:lineRule="auto"/>
      <w:jc w:val="center"/>
      <w:rPr>
        <w:rStyle w:val="Header-MainChar"/>
      </w:rPr>
    </w:pPr>
    <w:r w:rsidRPr="000E4958">
      <w:rPr>
        <w:rStyle w:val="Header-MainChar"/>
      </w:rPr>
      <w:t>Loddon Mallee North Regional Growth Plan</w:t>
    </w:r>
  </w:p>
  <w:p w:rsidR="001723FF" w:rsidRDefault="001723FF" w:rsidP="00DF32E2">
    <w:pPr>
      <w:pStyle w:val="Header-Sub"/>
      <w:pBdr>
        <w:bottom w:val="none" w:sz="0" w:space="0" w:color="auto"/>
      </w:pBdr>
    </w:pPr>
    <w:r>
      <w:t>Part B: Regional overview</w:t>
    </w:r>
  </w:p>
  <w:p w:rsidR="001723FF" w:rsidRDefault="001723FF" w:rsidP="009C732B">
    <w:pPr>
      <w:pStyle w:val="Header"/>
      <w:pBdr>
        <w:top w:val="single" w:sz="4" w:space="1" w:color="auto"/>
      </w:pBdr>
      <w:tabs>
        <w:tab w:val="clear" w:pos="4513"/>
        <w:tab w:val="clear" w:pos="9026"/>
        <w:tab w:val="left" w:pos="0"/>
        <w:tab w:val="right" w:pos="9072"/>
      </w:tabs>
      <w:spacing w:line="276" w:lineRule="auto"/>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8ED2AAC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3D2DED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E28C6E8"/>
    <w:lvl w:ilvl="0">
      <w:start w:val="1"/>
      <w:numFmt w:val="decimal"/>
      <w:pStyle w:val="ListNumber2"/>
      <w:lvlText w:val="%1."/>
      <w:lvlJc w:val="left"/>
      <w:pPr>
        <w:tabs>
          <w:tab w:val="num" w:pos="643"/>
        </w:tabs>
        <w:ind w:left="643" w:hanging="360"/>
      </w:pPr>
    </w:lvl>
  </w:abstractNum>
  <w:abstractNum w:abstractNumId="3">
    <w:nsid w:val="FFFFFF83"/>
    <w:multiLevelType w:val="singleLevel"/>
    <w:tmpl w:val="AA2007A8"/>
    <w:lvl w:ilvl="0">
      <w:start w:val="1"/>
      <w:numFmt w:val="bullet"/>
      <w:pStyle w:val="ListBullet2"/>
      <w:lvlText w:val=""/>
      <w:lvlJc w:val="left"/>
      <w:pPr>
        <w:tabs>
          <w:tab w:val="num" w:pos="851"/>
        </w:tabs>
        <w:ind w:left="851" w:hanging="397"/>
      </w:pPr>
      <w:rPr>
        <w:rFonts w:ascii="Symbol" w:hAnsi="Symbol" w:hint="default"/>
        <w:color w:val="auto"/>
      </w:rPr>
    </w:lvl>
  </w:abstractNum>
  <w:abstractNum w:abstractNumId="4">
    <w:nsid w:val="FFFFFF88"/>
    <w:multiLevelType w:val="singleLevel"/>
    <w:tmpl w:val="4018531E"/>
    <w:lvl w:ilvl="0">
      <w:start w:val="1"/>
      <w:numFmt w:val="decimal"/>
      <w:pStyle w:val="ListNumber"/>
      <w:lvlText w:val="%1."/>
      <w:lvlJc w:val="left"/>
      <w:pPr>
        <w:tabs>
          <w:tab w:val="num" w:pos="360"/>
        </w:tabs>
        <w:ind w:left="360" w:hanging="360"/>
      </w:pPr>
    </w:lvl>
  </w:abstractNum>
  <w:abstractNum w:abstractNumId="5">
    <w:nsid w:val="09C16694"/>
    <w:multiLevelType w:val="hybridMultilevel"/>
    <w:tmpl w:val="4C60690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C170AC2"/>
    <w:multiLevelType w:val="hybridMultilevel"/>
    <w:tmpl w:val="C4F6C7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0C862E28"/>
    <w:multiLevelType w:val="hybridMultilevel"/>
    <w:tmpl w:val="C8A05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F1A1708"/>
    <w:multiLevelType w:val="hybridMultilevel"/>
    <w:tmpl w:val="80328F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24336A5"/>
    <w:multiLevelType w:val="hybridMultilevel"/>
    <w:tmpl w:val="127C89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3321B93"/>
    <w:multiLevelType w:val="hybridMultilevel"/>
    <w:tmpl w:val="41D4C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9771D6"/>
    <w:multiLevelType w:val="hybridMultilevel"/>
    <w:tmpl w:val="1E086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59F2903"/>
    <w:multiLevelType w:val="hybridMultilevel"/>
    <w:tmpl w:val="FFE465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ADC28BC"/>
    <w:multiLevelType w:val="hybridMultilevel"/>
    <w:tmpl w:val="5A8621BE"/>
    <w:lvl w:ilvl="0" w:tplc="C4DA61D6">
      <w:start w:val="1"/>
      <w:numFmt w:val="bullet"/>
      <w:pStyle w:val="bt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E2238AC"/>
    <w:multiLevelType w:val="hybridMultilevel"/>
    <w:tmpl w:val="846A5A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3412400"/>
    <w:multiLevelType w:val="hybridMultilevel"/>
    <w:tmpl w:val="94B6B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5E90B99"/>
    <w:multiLevelType w:val="hybridMultilevel"/>
    <w:tmpl w:val="16DC36D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9A671C0"/>
    <w:multiLevelType w:val="hybridMultilevel"/>
    <w:tmpl w:val="5FA002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C020708"/>
    <w:multiLevelType w:val="hybridMultilevel"/>
    <w:tmpl w:val="B7B070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C5877E4"/>
    <w:multiLevelType w:val="hybridMultilevel"/>
    <w:tmpl w:val="2470554E"/>
    <w:lvl w:ilvl="0" w:tplc="FDB6D9A6">
      <w:start w:val="1"/>
      <w:numFmt w:val="bullet"/>
      <w:pStyle w:val="ListBullet3"/>
      <w:lvlText w:val="o"/>
      <w:lvlJc w:val="left"/>
      <w:pPr>
        <w:tabs>
          <w:tab w:val="num" w:pos="1077"/>
        </w:tabs>
        <w:ind w:left="1077" w:hanging="226"/>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7DE74E0"/>
    <w:multiLevelType w:val="hybridMultilevel"/>
    <w:tmpl w:val="193C6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B2F45EF"/>
    <w:multiLevelType w:val="hybridMultilevel"/>
    <w:tmpl w:val="7A92BA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C5C56FB"/>
    <w:multiLevelType w:val="hybridMultilevel"/>
    <w:tmpl w:val="463CD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6DC2859"/>
    <w:multiLevelType w:val="hybridMultilevel"/>
    <w:tmpl w:val="D6761E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99E675F"/>
    <w:multiLevelType w:val="hybridMultilevel"/>
    <w:tmpl w:val="D616C3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C892D35"/>
    <w:multiLevelType w:val="hybridMultilevel"/>
    <w:tmpl w:val="B4386306"/>
    <w:lvl w:ilvl="0" w:tplc="60A64F3A">
      <w:start w:val="1"/>
      <w:numFmt w:val="bullet"/>
      <w:pStyle w:val="tabletextbullet"/>
      <w:lvlText w:val=""/>
      <w:lvlJc w:val="left"/>
      <w:pPr>
        <w:tabs>
          <w:tab w:val="num" w:pos="530"/>
        </w:tabs>
        <w:ind w:left="528" w:hanging="358"/>
      </w:pPr>
      <w:rPr>
        <w:rFonts w:ascii="Wingdings" w:hAnsi="Wingdings" w:hint="default"/>
      </w:rPr>
    </w:lvl>
    <w:lvl w:ilvl="1" w:tplc="0C090003" w:tentative="1">
      <w:start w:val="1"/>
      <w:numFmt w:val="bullet"/>
      <w:lvlText w:val="o"/>
      <w:lvlJc w:val="left"/>
      <w:pPr>
        <w:tabs>
          <w:tab w:val="num" w:pos="1499"/>
        </w:tabs>
        <w:ind w:left="1499" w:hanging="360"/>
      </w:pPr>
      <w:rPr>
        <w:rFonts w:ascii="Courier New" w:hAnsi="Courier New" w:cs="Courier New" w:hint="default"/>
      </w:rPr>
    </w:lvl>
    <w:lvl w:ilvl="2" w:tplc="0C090005" w:tentative="1">
      <w:start w:val="1"/>
      <w:numFmt w:val="bullet"/>
      <w:lvlText w:val=""/>
      <w:lvlJc w:val="left"/>
      <w:pPr>
        <w:tabs>
          <w:tab w:val="num" w:pos="2219"/>
        </w:tabs>
        <w:ind w:left="2219" w:hanging="360"/>
      </w:pPr>
      <w:rPr>
        <w:rFonts w:ascii="Wingdings" w:hAnsi="Wingdings" w:hint="default"/>
      </w:rPr>
    </w:lvl>
    <w:lvl w:ilvl="3" w:tplc="0C090001" w:tentative="1">
      <w:start w:val="1"/>
      <w:numFmt w:val="bullet"/>
      <w:lvlText w:val=""/>
      <w:lvlJc w:val="left"/>
      <w:pPr>
        <w:tabs>
          <w:tab w:val="num" w:pos="2939"/>
        </w:tabs>
        <w:ind w:left="2939" w:hanging="360"/>
      </w:pPr>
      <w:rPr>
        <w:rFonts w:ascii="Symbol" w:hAnsi="Symbol" w:hint="default"/>
      </w:rPr>
    </w:lvl>
    <w:lvl w:ilvl="4" w:tplc="0C090003" w:tentative="1">
      <w:start w:val="1"/>
      <w:numFmt w:val="bullet"/>
      <w:lvlText w:val="o"/>
      <w:lvlJc w:val="left"/>
      <w:pPr>
        <w:tabs>
          <w:tab w:val="num" w:pos="3659"/>
        </w:tabs>
        <w:ind w:left="3659" w:hanging="360"/>
      </w:pPr>
      <w:rPr>
        <w:rFonts w:ascii="Courier New" w:hAnsi="Courier New" w:cs="Courier New" w:hint="default"/>
      </w:rPr>
    </w:lvl>
    <w:lvl w:ilvl="5" w:tplc="0C090005" w:tentative="1">
      <w:start w:val="1"/>
      <w:numFmt w:val="bullet"/>
      <w:lvlText w:val=""/>
      <w:lvlJc w:val="left"/>
      <w:pPr>
        <w:tabs>
          <w:tab w:val="num" w:pos="4379"/>
        </w:tabs>
        <w:ind w:left="4379" w:hanging="360"/>
      </w:pPr>
      <w:rPr>
        <w:rFonts w:ascii="Wingdings" w:hAnsi="Wingdings" w:hint="default"/>
      </w:rPr>
    </w:lvl>
    <w:lvl w:ilvl="6" w:tplc="0C090001" w:tentative="1">
      <w:start w:val="1"/>
      <w:numFmt w:val="bullet"/>
      <w:lvlText w:val=""/>
      <w:lvlJc w:val="left"/>
      <w:pPr>
        <w:tabs>
          <w:tab w:val="num" w:pos="5099"/>
        </w:tabs>
        <w:ind w:left="5099" w:hanging="360"/>
      </w:pPr>
      <w:rPr>
        <w:rFonts w:ascii="Symbol" w:hAnsi="Symbol" w:hint="default"/>
      </w:rPr>
    </w:lvl>
    <w:lvl w:ilvl="7" w:tplc="0C090003" w:tentative="1">
      <w:start w:val="1"/>
      <w:numFmt w:val="bullet"/>
      <w:lvlText w:val="o"/>
      <w:lvlJc w:val="left"/>
      <w:pPr>
        <w:tabs>
          <w:tab w:val="num" w:pos="5819"/>
        </w:tabs>
        <w:ind w:left="5819" w:hanging="360"/>
      </w:pPr>
      <w:rPr>
        <w:rFonts w:ascii="Courier New" w:hAnsi="Courier New" w:cs="Courier New" w:hint="default"/>
      </w:rPr>
    </w:lvl>
    <w:lvl w:ilvl="8" w:tplc="0C090005" w:tentative="1">
      <w:start w:val="1"/>
      <w:numFmt w:val="bullet"/>
      <w:lvlText w:val=""/>
      <w:lvlJc w:val="left"/>
      <w:pPr>
        <w:tabs>
          <w:tab w:val="num" w:pos="6539"/>
        </w:tabs>
        <w:ind w:left="6539" w:hanging="360"/>
      </w:pPr>
      <w:rPr>
        <w:rFonts w:ascii="Wingdings" w:hAnsi="Wingdings" w:hint="default"/>
      </w:rPr>
    </w:lvl>
  </w:abstractNum>
  <w:abstractNum w:abstractNumId="26">
    <w:nsid w:val="5D957605"/>
    <w:multiLevelType w:val="hybridMultilevel"/>
    <w:tmpl w:val="F4108F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F353E41"/>
    <w:multiLevelType w:val="hybridMultilevel"/>
    <w:tmpl w:val="06A68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049178A"/>
    <w:multiLevelType w:val="hybridMultilevel"/>
    <w:tmpl w:val="4E1C03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3AB655B"/>
    <w:multiLevelType w:val="hybridMultilevel"/>
    <w:tmpl w:val="28047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3AE4BF0"/>
    <w:multiLevelType w:val="hybridMultilevel"/>
    <w:tmpl w:val="0748C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65CD2BE1"/>
    <w:multiLevelType w:val="hybridMultilevel"/>
    <w:tmpl w:val="16C024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676C5B70"/>
    <w:multiLevelType w:val="hybridMultilevel"/>
    <w:tmpl w:val="A82AEA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AC006A0"/>
    <w:multiLevelType w:val="hybridMultilevel"/>
    <w:tmpl w:val="CA408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CC6478A"/>
    <w:multiLevelType w:val="multilevel"/>
    <w:tmpl w:val="234A3A56"/>
    <w:lvl w:ilvl="0">
      <w:start w:val="1"/>
      <w:numFmt w:val="decimal"/>
      <w:pStyle w:val="Heading11"/>
      <w:lvlText w:val="%1."/>
      <w:lvlJc w:val="left"/>
      <w:pPr>
        <w:tabs>
          <w:tab w:val="num" w:pos="432"/>
        </w:tabs>
        <w:ind w:left="432" w:hanging="432"/>
      </w:pPr>
      <w:rPr>
        <w:rFonts w:hint="default"/>
      </w:rPr>
    </w:lvl>
    <w:lvl w:ilvl="1">
      <w:start w:val="1"/>
      <w:numFmt w:val="decimal"/>
      <w:pStyle w:val="Heading2"/>
      <w:lvlText w:val="%1.%2"/>
      <w:lvlJc w:val="left"/>
      <w:pPr>
        <w:tabs>
          <w:tab w:val="num" w:pos="396"/>
        </w:tabs>
        <w:ind w:left="3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abstractNum w:abstractNumId="35">
    <w:nsid w:val="6F513862"/>
    <w:multiLevelType w:val="hybridMultilevel"/>
    <w:tmpl w:val="D5BE7A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752C787C"/>
    <w:multiLevelType w:val="hybridMultilevel"/>
    <w:tmpl w:val="316A2062"/>
    <w:lvl w:ilvl="0" w:tplc="9C62D9CC">
      <w:start w:val="1"/>
      <w:numFmt w:val="bullet"/>
      <w:pStyle w:val="ListBullet"/>
      <w:lvlText w:val=""/>
      <w:lvlJc w:val="left"/>
      <w:pPr>
        <w:ind w:left="1630" w:hanging="360"/>
      </w:pPr>
      <w:rPr>
        <w:rFonts w:ascii="Wingdings" w:hAnsi="Wingdings" w:hint="default"/>
      </w:rPr>
    </w:lvl>
    <w:lvl w:ilvl="1" w:tplc="0C090003" w:tentative="1">
      <w:start w:val="1"/>
      <w:numFmt w:val="bullet"/>
      <w:lvlText w:val="o"/>
      <w:lvlJc w:val="left"/>
      <w:pPr>
        <w:ind w:left="2350" w:hanging="360"/>
      </w:pPr>
      <w:rPr>
        <w:rFonts w:ascii="Courier New" w:hAnsi="Courier New" w:cs="Courier New" w:hint="default"/>
      </w:rPr>
    </w:lvl>
    <w:lvl w:ilvl="2" w:tplc="0C090005" w:tentative="1">
      <w:start w:val="1"/>
      <w:numFmt w:val="bullet"/>
      <w:lvlText w:val=""/>
      <w:lvlJc w:val="left"/>
      <w:pPr>
        <w:ind w:left="3070" w:hanging="360"/>
      </w:pPr>
      <w:rPr>
        <w:rFonts w:ascii="Wingdings" w:hAnsi="Wingdings" w:hint="default"/>
      </w:rPr>
    </w:lvl>
    <w:lvl w:ilvl="3" w:tplc="0C090001" w:tentative="1">
      <w:start w:val="1"/>
      <w:numFmt w:val="bullet"/>
      <w:lvlText w:val=""/>
      <w:lvlJc w:val="left"/>
      <w:pPr>
        <w:ind w:left="3790" w:hanging="360"/>
      </w:pPr>
      <w:rPr>
        <w:rFonts w:ascii="Symbol" w:hAnsi="Symbol" w:hint="default"/>
      </w:rPr>
    </w:lvl>
    <w:lvl w:ilvl="4" w:tplc="0C090003" w:tentative="1">
      <w:start w:val="1"/>
      <w:numFmt w:val="bullet"/>
      <w:lvlText w:val="o"/>
      <w:lvlJc w:val="left"/>
      <w:pPr>
        <w:ind w:left="4510" w:hanging="360"/>
      </w:pPr>
      <w:rPr>
        <w:rFonts w:ascii="Courier New" w:hAnsi="Courier New" w:cs="Courier New" w:hint="default"/>
      </w:rPr>
    </w:lvl>
    <w:lvl w:ilvl="5" w:tplc="0C090005" w:tentative="1">
      <w:start w:val="1"/>
      <w:numFmt w:val="bullet"/>
      <w:lvlText w:val=""/>
      <w:lvlJc w:val="left"/>
      <w:pPr>
        <w:ind w:left="5230" w:hanging="360"/>
      </w:pPr>
      <w:rPr>
        <w:rFonts w:ascii="Wingdings" w:hAnsi="Wingdings" w:hint="default"/>
      </w:rPr>
    </w:lvl>
    <w:lvl w:ilvl="6" w:tplc="0C090001" w:tentative="1">
      <w:start w:val="1"/>
      <w:numFmt w:val="bullet"/>
      <w:lvlText w:val=""/>
      <w:lvlJc w:val="left"/>
      <w:pPr>
        <w:ind w:left="5950" w:hanging="360"/>
      </w:pPr>
      <w:rPr>
        <w:rFonts w:ascii="Symbol" w:hAnsi="Symbol" w:hint="default"/>
      </w:rPr>
    </w:lvl>
    <w:lvl w:ilvl="7" w:tplc="0C090003" w:tentative="1">
      <w:start w:val="1"/>
      <w:numFmt w:val="bullet"/>
      <w:lvlText w:val="o"/>
      <w:lvlJc w:val="left"/>
      <w:pPr>
        <w:ind w:left="6670" w:hanging="360"/>
      </w:pPr>
      <w:rPr>
        <w:rFonts w:ascii="Courier New" w:hAnsi="Courier New" w:cs="Courier New" w:hint="default"/>
      </w:rPr>
    </w:lvl>
    <w:lvl w:ilvl="8" w:tplc="0C090005" w:tentative="1">
      <w:start w:val="1"/>
      <w:numFmt w:val="bullet"/>
      <w:lvlText w:val=""/>
      <w:lvlJc w:val="left"/>
      <w:pPr>
        <w:ind w:left="7390" w:hanging="360"/>
      </w:pPr>
      <w:rPr>
        <w:rFonts w:ascii="Wingdings" w:hAnsi="Wingdings" w:hint="default"/>
      </w:rPr>
    </w:lvl>
  </w:abstractNum>
  <w:abstractNum w:abstractNumId="37">
    <w:nsid w:val="7700153A"/>
    <w:multiLevelType w:val="hybridMultilevel"/>
    <w:tmpl w:val="855C89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9660289"/>
    <w:multiLevelType w:val="hybridMultilevel"/>
    <w:tmpl w:val="DA36C9C2"/>
    <w:lvl w:ilvl="0" w:tplc="C0064782">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7A223E2A"/>
    <w:multiLevelType w:val="hybridMultilevel"/>
    <w:tmpl w:val="D46005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num>
  <w:num w:numId="2">
    <w:abstractNumId w:val="27"/>
  </w:num>
  <w:num w:numId="3">
    <w:abstractNumId w:val="5"/>
  </w:num>
  <w:num w:numId="4">
    <w:abstractNumId w:val="23"/>
  </w:num>
  <w:num w:numId="5">
    <w:abstractNumId w:val="38"/>
  </w:num>
  <w:num w:numId="6">
    <w:abstractNumId w:val="26"/>
  </w:num>
  <w:num w:numId="7">
    <w:abstractNumId w:val="30"/>
  </w:num>
  <w:num w:numId="8">
    <w:abstractNumId w:val="37"/>
  </w:num>
  <w:num w:numId="9">
    <w:abstractNumId w:val="15"/>
  </w:num>
  <w:num w:numId="10">
    <w:abstractNumId w:val="6"/>
  </w:num>
  <w:num w:numId="11">
    <w:abstractNumId w:val="20"/>
  </w:num>
  <w:num w:numId="12">
    <w:abstractNumId w:val="17"/>
  </w:num>
  <w:num w:numId="13">
    <w:abstractNumId w:val="9"/>
  </w:num>
  <w:num w:numId="14">
    <w:abstractNumId w:val="14"/>
  </w:num>
  <w:num w:numId="15">
    <w:abstractNumId w:val="8"/>
  </w:num>
  <w:num w:numId="16">
    <w:abstractNumId w:val="28"/>
  </w:num>
  <w:num w:numId="17">
    <w:abstractNumId w:val="12"/>
  </w:num>
  <w:num w:numId="18">
    <w:abstractNumId w:val="24"/>
  </w:num>
  <w:num w:numId="19">
    <w:abstractNumId w:val="22"/>
  </w:num>
  <w:num w:numId="20">
    <w:abstractNumId w:val="31"/>
  </w:num>
  <w:num w:numId="21">
    <w:abstractNumId w:val="39"/>
  </w:num>
  <w:num w:numId="22">
    <w:abstractNumId w:val="18"/>
  </w:num>
  <w:num w:numId="23">
    <w:abstractNumId w:val="13"/>
  </w:num>
  <w:num w:numId="24">
    <w:abstractNumId w:val="34"/>
  </w:num>
  <w:num w:numId="25">
    <w:abstractNumId w:val="36"/>
  </w:num>
  <w:num w:numId="26">
    <w:abstractNumId w:val="3"/>
  </w:num>
  <w:num w:numId="27">
    <w:abstractNumId w:val="19"/>
  </w:num>
  <w:num w:numId="28">
    <w:abstractNumId w:val="4"/>
  </w:num>
  <w:num w:numId="29">
    <w:abstractNumId w:val="2"/>
  </w:num>
  <w:num w:numId="30">
    <w:abstractNumId w:val="1"/>
  </w:num>
  <w:num w:numId="31">
    <w:abstractNumId w:val="0"/>
  </w:num>
  <w:num w:numId="32">
    <w:abstractNumId w:val="25"/>
  </w:num>
  <w:num w:numId="33">
    <w:abstractNumId w:val="4"/>
  </w:num>
  <w:num w:numId="34">
    <w:abstractNumId w:val="4"/>
  </w:num>
  <w:num w:numId="35">
    <w:abstractNumId w:val="4"/>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11"/>
  </w:num>
  <w:num w:numId="39">
    <w:abstractNumId w:val="4"/>
    <w:lvlOverride w:ilvl="0">
      <w:startOverride w:val="1"/>
    </w:lvlOverride>
  </w:num>
  <w:num w:numId="40">
    <w:abstractNumId w:val="33"/>
  </w:num>
  <w:num w:numId="41">
    <w:abstractNumId w:val="10"/>
  </w:num>
  <w:num w:numId="42">
    <w:abstractNumId w:val="35"/>
  </w:num>
  <w:num w:numId="43">
    <w:abstractNumId w:val="7"/>
  </w:num>
  <w:num w:numId="44">
    <w:abstractNumId w:val="16"/>
  </w:num>
  <w:num w:numId="45">
    <w:abstractNumId w:val="29"/>
  </w:num>
  <w:num w:numId="46">
    <w:abstractNumId w:val="32"/>
  </w:num>
  <w:num w:numId="47">
    <w:abstractNumId w:val="21"/>
  </w:num>
  <w:num w:numId="48">
    <w:abstractNumId w:val="4"/>
    <w:lvlOverride w:ilvl="0">
      <w:startOverride w:val="1"/>
    </w:lvlOverride>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1021"/>
  <w:trackRevisions/>
  <w:defaultTabStop w:val="720"/>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useFELayout/>
  </w:compat>
  <w:rsids>
    <w:rsidRoot w:val="008B4977"/>
    <w:rsid w:val="000011F7"/>
    <w:rsid w:val="00001367"/>
    <w:rsid w:val="00003949"/>
    <w:rsid w:val="00003CDA"/>
    <w:rsid w:val="00004612"/>
    <w:rsid w:val="000047B6"/>
    <w:rsid w:val="00004B33"/>
    <w:rsid w:val="000057AA"/>
    <w:rsid w:val="00010678"/>
    <w:rsid w:val="00010AE9"/>
    <w:rsid w:val="000122A8"/>
    <w:rsid w:val="000131D5"/>
    <w:rsid w:val="00014080"/>
    <w:rsid w:val="0001459D"/>
    <w:rsid w:val="000145AD"/>
    <w:rsid w:val="0001548F"/>
    <w:rsid w:val="00016E3D"/>
    <w:rsid w:val="0001739E"/>
    <w:rsid w:val="000174E6"/>
    <w:rsid w:val="00017E2E"/>
    <w:rsid w:val="000202AA"/>
    <w:rsid w:val="00020FCB"/>
    <w:rsid w:val="00023000"/>
    <w:rsid w:val="00023215"/>
    <w:rsid w:val="000273FF"/>
    <w:rsid w:val="000306C1"/>
    <w:rsid w:val="00030B19"/>
    <w:rsid w:val="00032058"/>
    <w:rsid w:val="00032955"/>
    <w:rsid w:val="00033BCB"/>
    <w:rsid w:val="00034D78"/>
    <w:rsid w:val="00035457"/>
    <w:rsid w:val="00036412"/>
    <w:rsid w:val="000364FA"/>
    <w:rsid w:val="000367A5"/>
    <w:rsid w:val="00037368"/>
    <w:rsid w:val="000431A1"/>
    <w:rsid w:val="00045C2B"/>
    <w:rsid w:val="000462D8"/>
    <w:rsid w:val="000518B2"/>
    <w:rsid w:val="000530C7"/>
    <w:rsid w:val="00053655"/>
    <w:rsid w:val="00055692"/>
    <w:rsid w:val="00057636"/>
    <w:rsid w:val="00057C7A"/>
    <w:rsid w:val="00061040"/>
    <w:rsid w:val="000615D1"/>
    <w:rsid w:val="000622FA"/>
    <w:rsid w:val="00064244"/>
    <w:rsid w:val="000653E8"/>
    <w:rsid w:val="00065589"/>
    <w:rsid w:val="00065709"/>
    <w:rsid w:val="0006625F"/>
    <w:rsid w:val="00066433"/>
    <w:rsid w:val="00067A96"/>
    <w:rsid w:val="00070827"/>
    <w:rsid w:val="00073ECE"/>
    <w:rsid w:val="00075BDC"/>
    <w:rsid w:val="00076696"/>
    <w:rsid w:val="00076878"/>
    <w:rsid w:val="00076E9D"/>
    <w:rsid w:val="00076F11"/>
    <w:rsid w:val="00080C6A"/>
    <w:rsid w:val="00081088"/>
    <w:rsid w:val="00085174"/>
    <w:rsid w:val="000861F2"/>
    <w:rsid w:val="00087BA1"/>
    <w:rsid w:val="00091BFF"/>
    <w:rsid w:val="0009274E"/>
    <w:rsid w:val="000932D4"/>
    <w:rsid w:val="0009347B"/>
    <w:rsid w:val="00093A5E"/>
    <w:rsid w:val="00095400"/>
    <w:rsid w:val="000966CC"/>
    <w:rsid w:val="00097715"/>
    <w:rsid w:val="000977C0"/>
    <w:rsid w:val="000A12AC"/>
    <w:rsid w:val="000A1786"/>
    <w:rsid w:val="000A4E7A"/>
    <w:rsid w:val="000A528B"/>
    <w:rsid w:val="000A6D60"/>
    <w:rsid w:val="000A740C"/>
    <w:rsid w:val="000A74C9"/>
    <w:rsid w:val="000A7669"/>
    <w:rsid w:val="000B0031"/>
    <w:rsid w:val="000B299E"/>
    <w:rsid w:val="000B34B8"/>
    <w:rsid w:val="000B3694"/>
    <w:rsid w:val="000B3B71"/>
    <w:rsid w:val="000B4160"/>
    <w:rsid w:val="000B59B0"/>
    <w:rsid w:val="000B75C7"/>
    <w:rsid w:val="000C0308"/>
    <w:rsid w:val="000C20CD"/>
    <w:rsid w:val="000C5C6C"/>
    <w:rsid w:val="000D0427"/>
    <w:rsid w:val="000D072D"/>
    <w:rsid w:val="000D0FA3"/>
    <w:rsid w:val="000D1969"/>
    <w:rsid w:val="000D2847"/>
    <w:rsid w:val="000D2E93"/>
    <w:rsid w:val="000D377E"/>
    <w:rsid w:val="000D494F"/>
    <w:rsid w:val="000D5E3F"/>
    <w:rsid w:val="000D64FF"/>
    <w:rsid w:val="000D709C"/>
    <w:rsid w:val="000E052D"/>
    <w:rsid w:val="000E09D4"/>
    <w:rsid w:val="000E4958"/>
    <w:rsid w:val="000E5711"/>
    <w:rsid w:val="000E7BAB"/>
    <w:rsid w:val="000F427A"/>
    <w:rsid w:val="000F5389"/>
    <w:rsid w:val="000F5898"/>
    <w:rsid w:val="000F6ACA"/>
    <w:rsid w:val="000F715A"/>
    <w:rsid w:val="00102F3A"/>
    <w:rsid w:val="001040F4"/>
    <w:rsid w:val="00105923"/>
    <w:rsid w:val="00107679"/>
    <w:rsid w:val="001110EC"/>
    <w:rsid w:val="001114ED"/>
    <w:rsid w:val="001123E4"/>
    <w:rsid w:val="001137BF"/>
    <w:rsid w:val="001151CB"/>
    <w:rsid w:val="00117BCC"/>
    <w:rsid w:val="0012126F"/>
    <w:rsid w:val="00121D01"/>
    <w:rsid w:val="001225FD"/>
    <w:rsid w:val="00123412"/>
    <w:rsid w:val="00123B6A"/>
    <w:rsid w:val="00124156"/>
    <w:rsid w:val="001247BB"/>
    <w:rsid w:val="001250D3"/>
    <w:rsid w:val="00125936"/>
    <w:rsid w:val="00125F4A"/>
    <w:rsid w:val="00130822"/>
    <w:rsid w:val="00132C54"/>
    <w:rsid w:val="00134771"/>
    <w:rsid w:val="0013562A"/>
    <w:rsid w:val="0014078F"/>
    <w:rsid w:val="00140CC1"/>
    <w:rsid w:val="00140F31"/>
    <w:rsid w:val="00141A1E"/>
    <w:rsid w:val="001431FF"/>
    <w:rsid w:val="0014412D"/>
    <w:rsid w:val="001445E5"/>
    <w:rsid w:val="00146741"/>
    <w:rsid w:val="00146EC8"/>
    <w:rsid w:val="00147923"/>
    <w:rsid w:val="00150311"/>
    <w:rsid w:val="00153B1E"/>
    <w:rsid w:val="0015481C"/>
    <w:rsid w:val="00154A07"/>
    <w:rsid w:val="00154B2A"/>
    <w:rsid w:val="0015649A"/>
    <w:rsid w:val="00157C84"/>
    <w:rsid w:val="00157D0B"/>
    <w:rsid w:val="0016084E"/>
    <w:rsid w:val="00161D9F"/>
    <w:rsid w:val="0016200F"/>
    <w:rsid w:val="001633A0"/>
    <w:rsid w:val="00164518"/>
    <w:rsid w:val="00165548"/>
    <w:rsid w:val="0016654F"/>
    <w:rsid w:val="00166BE0"/>
    <w:rsid w:val="001723FF"/>
    <w:rsid w:val="001732B1"/>
    <w:rsid w:val="00173C97"/>
    <w:rsid w:val="0017530B"/>
    <w:rsid w:val="00175A2B"/>
    <w:rsid w:val="001763B4"/>
    <w:rsid w:val="00180A51"/>
    <w:rsid w:val="00183592"/>
    <w:rsid w:val="0018407E"/>
    <w:rsid w:val="00185336"/>
    <w:rsid w:val="00185791"/>
    <w:rsid w:val="0018638C"/>
    <w:rsid w:val="001866E3"/>
    <w:rsid w:val="00187E04"/>
    <w:rsid w:val="00190DDE"/>
    <w:rsid w:val="001914E8"/>
    <w:rsid w:val="00191561"/>
    <w:rsid w:val="0019194E"/>
    <w:rsid w:val="00193584"/>
    <w:rsid w:val="001949EE"/>
    <w:rsid w:val="00194F0F"/>
    <w:rsid w:val="001970CD"/>
    <w:rsid w:val="001A0464"/>
    <w:rsid w:val="001A3A75"/>
    <w:rsid w:val="001A41E0"/>
    <w:rsid w:val="001A53DF"/>
    <w:rsid w:val="001A5B99"/>
    <w:rsid w:val="001A6DCD"/>
    <w:rsid w:val="001B1EC4"/>
    <w:rsid w:val="001B46F0"/>
    <w:rsid w:val="001B4E32"/>
    <w:rsid w:val="001B5836"/>
    <w:rsid w:val="001C2D8C"/>
    <w:rsid w:val="001C2E4D"/>
    <w:rsid w:val="001C2ECA"/>
    <w:rsid w:val="001D10DF"/>
    <w:rsid w:val="001D18CB"/>
    <w:rsid w:val="001D1E4A"/>
    <w:rsid w:val="001D1EC3"/>
    <w:rsid w:val="001D252E"/>
    <w:rsid w:val="001D26E6"/>
    <w:rsid w:val="001D44DB"/>
    <w:rsid w:val="001D4BF9"/>
    <w:rsid w:val="001D51C1"/>
    <w:rsid w:val="001D5412"/>
    <w:rsid w:val="001D5C7A"/>
    <w:rsid w:val="001D72CF"/>
    <w:rsid w:val="001E241C"/>
    <w:rsid w:val="001E254A"/>
    <w:rsid w:val="001E2AC0"/>
    <w:rsid w:val="001E31E4"/>
    <w:rsid w:val="001E36CF"/>
    <w:rsid w:val="001E40DD"/>
    <w:rsid w:val="001E5584"/>
    <w:rsid w:val="001E5C35"/>
    <w:rsid w:val="001E6227"/>
    <w:rsid w:val="001E6DC6"/>
    <w:rsid w:val="001F0105"/>
    <w:rsid w:val="001F02B6"/>
    <w:rsid w:val="001F0881"/>
    <w:rsid w:val="001F267B"/>
    <w:rsid w:val="001F2732"/>
    <w:rsid w:val="001F5850"/>
    <w:rsid w:val="00202127"/>
    <w:rsid w:val="0020216F"/>
    <w:rsid w:val="002031F9"/>
    <w:rsid w:val="002033E2"/>
    <w:rsid w:val="00203A0E"/>
    <w:rsid w:val="00205448"/>
    <w:rsid w:val="002069BC"/>
    <w:rsid w:val="00206F98"/>
    <w:rsid w:val="002072B6"/>
    <w:rsid w:val="00214609"/>
    <w:rsid w:val="002146CF"/>
    <w:rsid w:val="00215AD5"/>
    <w:rsid w:val="002171CD"/>
    <w:rsid w:val="0021739C"/>
    <w:rsid w:val="00217C6E"/>
    <w:rsid w:val="00220EB5"/>
    <w:rsid w:val="00221346"/>
    <w:rsid w:val="00221466"/>
    <w:rsid w:val="00223A50"/>
    <w:rsid w:val="00223C7F"/>
    <w:rsid w:val="00224E64"/>
    <w:rsid w:val="002258B2"/>
    <w:rsid w:val="002259F9"/>
    <w:rsid w:val="00225E0C"/>
    <w:rsid w:val="002262C9"/>
    <w:rsid w:val="002268DC"/>
    <w:rsid w:val="00226E26"/>
    <w:rsid w:val="0023087F"/>
    <w:rsid w:val="00233428"/>
    <w:rsid w:val="00235FA1"/>
    <w:rsid w:val="0023635C"/>
    <w:rsid w:val="00237BEB"/>
    <w:rsid w:val="00240F34"/>
    <w:rsid w:val="00242EF8"/>
    <w:rsid w:val="00243C23"/>
    <w:rsid w:val="002447A8"/>
    <w:rsid w:val="002448A5"/>
    <w:rsid w:val="002477F5"/>
    <w:rsid w:val="00247C27"/>
    <w:rsid w:val="00250291"/>
    <w:rsid w:val="00252363"/>
    <w:rsid w:val="00253536"/>
    <w:rsid w:val="002539F3"/>
    <w:rsid w:val="00253A79"/>
    <w:rsid w:val="00253D01"/>
    <w:rsid w:val="002556DD"/>
    <w:rsid w:val="00255A14"/>
    <w:rsid w:val="0025697A"/>
    <w:rsid w:val="00257C94"/>
    <w:rsid w:val="00260968"/>
    <w:rsid w:val="00260BF6"/>
    <w:rsid w:val="00261B25"/>
    <w:rsid w:val="00261F46"/>
    <w:rsid w:val="00264A88"/>
    <w:rsid w:val="002660B6"/>
    <w:rsid w:val="00266B9D"/>
    <w:rsid w:val="002706B6"/>
    <w:rsid w:val="00270BF3"/>
    <w:rsid w:val="00272F89"/>
    <w:rsid w:val="0027384C"/>
    <w:rsid w:val="00273CC9"/>
    <w:rsid w:val="00274011"/>
    <w:rsid w:val="002760B6"/>
    <w:rsid w:val="00276C4D"/>
    <w:rsid w:val="00276DFF"/>
    <w:rsid w:val="00280C0B"/>
    <w:rsid w:val="00281E00"/>
    <w:rsid w:val="00282121"/>
    <w:rsid w:val="00282F9B"/>
    <w:rsid w:val="0028300C"/>
    <w:rsid w:val="00283D66"/>
    <w:rsid w:val="00284278"/>
    <w:rsid w:val="002856EE"/>
    <w:rsid w:val="002864F1"/>
    <w:rsid w:val="00286613"/>
    <w:rsid w:val="002872F6"/>
    <w:rsid w:val="00294339"/>
    <w:rsid w:val="00297209"/>
    <w:rsid w:val="002A2167"/>
    <w:rsid w:val="002A2AB8"/>
    <w:rsid w:val="002A4575"/>
    <w:rsid w:val="002A53A6"/>
    <w:rsid w:val="002A5AE6"/>
    <w:rsid w:val="002A6A0B"/>
    <w:rsid w:val="002A74FB"/>
    <w:rsid w:val="002B156E"/>
    <w:rsid w:val="002B185B"/>
    <w:rsid w:val="002B19C9"/>
    <w:rsid w:val="002B4070"/>
    <w:rsid w:val="002B4D5D"/>
    <w:rsid w:val="002B68B0"/>
    <w:rsid w:val="002B6DB2"/>
    <w:rsid w:val="002C0040"/>
    <w:rsid w:val="002C0944"/>
    <w:rsid w:val="002C1AC7"/>
    <w:rsid w:val="002C24C8"/>
    <w:rsid w:val="002C2666"/>
    <w:rsid w:val="002C3F14"/>
    <w:rsid w:val="002C61D0"/>
    <w:rsid w:val="002C6A89"/>
    <w:rsid w:val="002D042B"/>
    <w:rsid w:val="002D0991"/>
    <w:rsid w:val="002D0BD2"/>
    <w:rsid w:val="002D3AC2"/>
    <w:rsid w:val="002D628C"/>
    <w:rsid w:val="002D7145"/>
    <w:rsid w:val="002E1A52"/>
    <w:rsid w:val="002E32B2"/>
    <w:rsid w:val="002E3390"/>
    <w:rsid w:val="002E4E01"/>
    <w:rsid w:val="002E4F3C"/>
    <w:rsid w:val="002E67F3"/>
    <w:rsid w:val="002E733C"/>
    <w:rsid w:val="002F16A5"/>
    <w:rsid w:val="002F187E"/>
    <w:rsid w:val="002F1F80"/>
    <w:rsid w:val="002F64D0"/>
    <w:rsid w:val="002F71A4"/>
    <w:rsid w:val="002F7BDD"/>
    <w:rsid w:val="00303EE3"/>
    <w:rsid w:val="003047F8"/>
    <w:rsid w:val="003056CE"/>
    <w:rsid w:val="00307988"/>
    <w:rsid w:val="00310604"/>
    <w:rsid w:val="00310C9B"/>
    <w:rsid w:val="00311934"/>
    <w:rsid w:val="003119BA"/>
    <w:rsid w:val="00314EAE"/>
    <w:rsid w:val="0031762F"/>
    <w:rsid w:val="00317A97"/>
    <w:rsid w:val="00320441"/>
    <w:rsid w:val="00320D9F"/>
    <w:rsid w:val="003210C4"/>
    <w:rsid w:val="003218E3"/>
    <w:rsid w:val="00322342"/>
    <w:rsid w:val="00322AFE"/>
    <w:rsid w:val="00326F5B"/>
    <w:rsid w:val="003278F6"/>
    <w:rsid w:val="0033181F"/>
    <w:rsid w:val="003319BF"/>
    <w:rsid w:val="0033365C"/>
    <w:rsid w:val="003336AE"/>
    <w:rsid w:val="00335056"/>
    <w:rsid w:val="003360CE"/>
    <w:rsid w:val="00336B69"/>
    <w:rsid w:val="00337E1D"/>
    <w:rsid w:val="00340629"/>
    <w:rsid w:val="00341417"/>
    <w:rsid w:val="00342DA2"/>
    <w:rsid w:val="00343149"/>
    <w:rsid w:val="00343F2B"/>
    <w:rsid w:val="0034428A"/>
    <w:rsid w:val="00344892"/>
    <w:rsid w:val="00346320"/>
    <w:rsid w:val="00347423"/>
    <w:rsid w:val="00350361"/>
    <w:rsid w:val="00350737"/>
    <w:rsid w:val="00350C42"/>
    <w:rsid w:val="003514C4"/>
    <w:rsid w:val="00352EC4"/>
    <w:rsid w:val="003533FC"/>
    <w:rsid w:val="00353455"/>
    <w:rsid w:val="00354765"/>
    <w:rsid w:val="00354854"/>
    <w:rsid w:val="00356601"/>
    <w:rsid w:val="00362555"/>
    <w:rsid w:val="00364907"/>
    <w:rsid w:val="003652DE"/>
    <w:rsid w:val="00366BE5"/>
    <w:rsid w:val="003732CE"/>
    <w:rsid w:val="00375301"/>
    <w:rsid w:val="00380028"/>
    <w:rsid w:val="0038120A"/>
    <w:rsid w:val="00381453"/>
    <w:rsid w:val="00381AA1"/>
    <w:rsid w:val="00381DD2"/>
    <w:rsid w:val="0038340A"/>
    <w:rsid w:val="00383DF8"/>
    <w:rsid w:val="00384835"/>
    <w:rsid w:val="00385209"/>
    <w:rsid w:val="0038569B"/>
    <w:rsid w:val="00387647"/>
    <w:rsid w:val="00387FFE"/>
    <w:rsid w:val="003949C4"/>
    <w:rsid w:val="003961B2"/>
    <w:rsid w:val="0039796C"/>
    <w:rsid w:val="00397DCB"/>
    <w:rsid w:val="003A0100"/>
    <w:rsid w:val="003A041A"/>
    <w:rsid w:val="003A0AB6"/>
    <w:rsid w:val="003A0E47"/>
    <w:rsid w:val="003A133B"/>
    <w:rsid w:val="003A1857"/>
    <w:rsid w:val="003A2275"/>
    <w:rsid w:val="003A2D51"/>
    <w:rsid w:val="003A2DB2"/>
    <w:rsid w:val="003A42FE"/>
    <w:rsid w:val="003A5E4D"/>
    <w:rsid w:val="003A70FB"/>
    <w:rsid w:val="003B0BA7"/>
    <w:rsid w:val="003B2F3C"/>
    <w:rsid w:val="003B313E"/>
    <w:rsid w:val="003B4018"/>
    <w:rsid w:val="003B55D4"/>
    <w:rsid w:val="003B590C"/>
    <w:rsid w:val="003B65EB"/>
    <w:rsid w:val="003B69D3"/>
    <w:rsid w:val="003C176F"/>
    <w:rsid w:val="003C18E5"/>
    <w:rsid w:val="003C208C"/>
    <w:rsid w:val="003C33C9"/>
    <w:rsid w:val="003C393E"/>
    <w:rsid w:val="003C438A"/>
    <w:rsid w:val="003C5E64"/>
    <w:rsid w:val="003C67DD"/>
    <w:rsid w:val="003C6FCC"/>
    <w:rsid w:val="003C6FE1"/>
    <w:rsid w:val="003C7518"/>
    <w:rsid w:val="003C7D80"/>
    <w:rsid w:val="003D0D2B"/>
    <w:rsid w:val="003D5B2F"/>
    <w:rsid w:val="003D7A7B"/>
    <w:rsid w:val="003E1137"/>
    <w:rsid w:val="003E2E55"/>
    <w:rsid w:val="003E3AC0"/>
    <w:rsid w:val="003E4202"/>
    <w:rsid w:val="003E46BD"/>
    <w:rsid w:val="003E6805"/>
    <w:rsid w:val="003E6D9C"/>
    <w:rsid w:val="003E7582"/>
    <w:rsid w:val="003F141F"/>
    <w:rsid w:val="003F15D4"/>
    <w:rsid w:val="003F3C49"/>
    <w:rsid w:val="003F3F5B"/>
    <w:rsid w:val="003F4484"/>
    <w:rsid w:val="003F49F5"/>
    <w:rsid w:val="003F58F4"/>
    <w:rsid w:val="003F7260"/>
    <w:rsid w:val="00400207"/>
    <w:rsid w:val="0040027E"/>
    <w:rsid w:val="004005A3"/>
    <w:rsid w:val="00400CC9"/>
    <w:rsid w:val="004011D3"/>
    <w:rsid w:val="00401C07"/>
    <w:rsid w:val="004028DF"/>
    <w:rsid w:val="00402A8B"/>
    <w:rsid w:val="00403D9B"/>
    <w:rsid w:val="004042E3"/>
    <w:rsid w:val="00405C96"/>
    <w:rsid w:val="004069D5"/>
    <w:rsid w:val="00406E83"/>
    <w:rsid w:val="00407BE1"/>
    <w:rsid w:val="00410151"/>
    <w:rsid w:val="00410D55"/>
    <w:rsid w:val="00411139"/>
    <w:rsid w:val="004127B0"/>
    <w:rsid w:val="00417F2F"/>
    <w:rsid w:val="004209E1"/>
    <w:rsid w:val="00420CFD"/>
    <w:rsid w:val="004210EC"/>
    <w:rsid w:val="004218D3"/>
    <w:rsid w:val="004230EA"/>
    <w:rsid w:val="00423AAD"/>
    <w:rsid w:val="0042522B"/>
    <w:rsid w:val="00427293"/>
    <w:rsid w:val="004273D1"/>
    <w:rsid w:val="004276BE"/>
    <w:rsid w:val="00432C19"/>
    <w:rsid w:val="004338A5"/>
    <w:rsid w:val="004360A8"/>
    <w:rsid w:val="004374A0"/>
    <w:rsid w:val="00440A4E"/>
    <w:rsid w:val="0044174A"/>
    <w:rsid w:val="00443894"/>
    <w:rsid w:val="00443BB9"/>
    <w:rsid w:val="00443DAC"/>
    <w:rsid w:val="00443DFC"/>
    <w:rsid w:val="00444231"/>
    <w:rsid w:val="00444612"/>
    <w:rsid w:val="00444BB3"/>
    <w:rsid w:val="004460A3"/>
    <w:rsid w:val="004470BC"/>
    <w:rsid w:val="00450931"/>
    <w:rsid w:val="00450BF3"/>
    <w:rsid w:val="00450F09"/>
    <w:rsid w:val="0045346C"/>
    <w:rsid w:val="00453DBB"/>
    <w:rsid w:val="00454054"/>
    <w:rsid w:val="0045654E"/>
    <w:rsid w:val="00456958"/>
    <w:rsid w:val="00456C45"/>
    <w:rsid w:val="00457559"/>
    <w:rsid w:val="00460F0D"/>
    <w:rsid w:val="00461C84"/>
    <w:rsid w:val="004621EC"/>
    <w:rsid w:val="00462FC6"/>
    <w:rsid w:val="00463988"/>
    <w:rsid w:val="00465A63"/>
    <w:rsid w:val="00466491"/>
    <w:rsid w:val="00466673"/>
    <w:rsid w:val="00467CE0"/>
    <w:rsid w:val="0047028A"/>
    <w:rsid w:val="0047080F"/>
    <w:rsid w:val="00471439"/>
    <w:rsid w:val="00475A0F"/>
    <w:rsid w:val="00475D7A"/>
    <w:rsid w:val="00477575"/>
    <w:rsid w:val="00480229"/>
    <w:rsid w:val="00480722"/>
    <w:rsid w:val="004808A7"/>
    <w:rsid w:val="0048138C"/>
    <w:rsid w:val="00482505"/>
    <w:rsid w:val="004827E1"/>
    <w:rsid w:val="00484801"/>
    <w:rsid w:val="0048567B"/>
    <w:rsid w:val="004856CC"/>
    <w:rsid w:val="004862DE"/>
    <w:rsid w:val="00490136"/>
    <w:rsid w:val="00491A4D"/>
    <w:rsid w:val="004922F2"/>
    <w:rsid w:val="00493CF5"/>
    <w:rsid w:val="0049516D"/>
    <w:rsid w:val="00495299"/>
    <w:rsid w:val="00496556"/>
    <w:rsid w:val="00497198"/>
    <w:rsid w:val="00497B4D"/>
    <w:rsid w:val="004A0799"/>
    <w:rsid w:val="004A1684"/>
    <w:rsid w:val="004A17B6"/>
    <w:rsid w:val="004A2563"/>
    <w:rsid w:val="004A2A04"/>
    <w:rsid w:val="004A2AB4"/>
    <w:rsid w:val="004A33F8"/>
    <w:rsid w:val="004A38F2"/>
    <w:rsid w:val="004A456E"/>
    <w:rsid w:val="004A5A83"/>
    <w:rsid w:val="004A6121"/>
    <w:rsid w:val="004A6DE2"/>
    <w:rsid w:val="004A73C6"/>
    <w:rsid w:val="004B391F"/>
    <w:rsid w:val="004B3A6F"/>
    <w:rsid w:val="004B3AA8"/>
    <w:rsid w:val="004B3BA5"/>
    <w:rsid w:val="004B3E1B"/>
    <w:rsid w:val="004B3F2C"/>
    <w:rsid w:val="004B49F2"/>
    <w:rsid w:val="004B7347"/>
    <w:rsid w:val="004B7B57"/>
    <w:rsid w:val="004B7F41"/>
    <w:rsid w:val="004C04B9"/>
    <w:rsid w:val="004C16D5"/>
    <w:rsid w:val="004C22AA"/>
    <w:rsid w:val="004C2E21"/>
    <w:rsid w:val="004C313A"/>
    <w:rsid w:val="004C47F5"/>
    <w:rsid w:val="004C5DAA"/>
    <w:rsid w:val="004C5EB4"/>
    <w:rsid w:val="004C6CC6"/>
    <w:rsid w:val="004C74DB"/>
    <w:rsid w:val="004C7565"/>
    <w:rsid w:val="004D3495"/>
    <w:rsid w:val="004D4298"/>
    <w:rsid w:val="004D66B6"/>
    <w:rsid w:val="004D68F7"/>
    <w:rsid w:val="004D781F"/>
    <w:rsid w:val="004E1D29"/>
    <w:rsid w:val="004E1E7B"/>
    <w:rsid w:val="004E4A46"/>
    <w:rsid w:val="004E5C44"/>
    <w:rsid w:val="004E7122"/>
    <w:rsid w:val="004E7AFC"/>
    <w:rsid w:val="004F140A"/>
    <w:rsid w:val="004F14AB"/>
    <w:rsid w:val="004F1997"/>
    <w:rsid w:val="004F2E57"/>
    <w:rsid w:val="004F384E"/>
    <w:rsid w:val="004F53A3"/>
    <w:rsid w:val="004F5947"/>
    <w:rsid w:val="004F6793"/>
    <w:rsid w:val="004F6F37"/>
    <w:rsid w:val="004F7078"/>
    <w:rsid w:val="004F7818"/>
    <w:rsid w:val="00500722"/>
    <w:rsid w:val="00500E82"/>
    <w:rsid w:val="00502313"/>
    <w:rsid w:val="00503052"/>
    <w:rsid w:val="0050334A"/>
    <w:rsid w:val="00504487"/>
    <w:rsid w:val="0050481E"/>
    <w:rsid w:val="005068D5"/>
    <w:rsid w:val="00506D8F"/>
    <w:rsid w:val="0050700E"/>
    <w:rsid w:val="00507403"/>
    <w:rsid w:val="00507472"/>
    <w:rsid w:val="00511329"/>
    <w:rsid w:val="00511F93"/>
    <w:rsid w:val="0051447B"/>
    <w:rsid w:val="00515B9C"/>
    <w:rsid w:val="00515D9C"/>
    <w:rsid w:val="00516CF5"/>
    <w:rsid w:val="00516F61"/>
    <w:rsid w:val="0052071E"/>
    <w:rsid w:val="00521304"/>
    <w:rsid w:val="0052152D"/>
    <w:rsid w:val="00521DF0"/>
    <w:rsid w:val="00522771"/>
    <w:rsid w:val="00522891"/>
    <w:rsid w:val="00522CEA"/>
    <w:rsid w:val="00522E5F"/>
    <w:rsid w:val="0052525C"/>
    <w:rsid w:val="005254B3"/>
    <w:rsid w:val="00526520"/>
    <w:rsid w:val="005267CC"/>
    <w:rsid w:val="00527E63"/>
    <w:rsid w:val="005320F4"/>
    <w:rsid w:val="0053270C"/>
    <w:rsid w:val="00535090"/>
    <w:rsid w:val="00535DDD"/>
    <w:rsid w:val="00542CAB"/>
    <w:rsid w:val="005441F1"/>
    <w:rsid w:val="00544DE4"/>
    <w:rsid w:val="00545851"/>
    <w:rsid w:val="00546653"/>
    <w:rsid w:val="00546F99"/>
    <w:rsid w:val="00551652"/>
    <w:rsid w:val="00552B76"/>
    <w:rsid w:val="0055354F"/>
    <w:rsid w:val="005567F8"/>
    <w:rsid w:val="00557577"/>
    <w:rsid w:val="00560BD8"/>
    <w:rsid w:val="00561293"/>
    <w:rsid w:val="00561FA9"/>
    <w:rsid w:val="00563911"/>
    <w:rsid w:val="00564530"/>
    <w:rsid w:val="00564E59"/>
    <w:rsid w:val="00564EF0"/>
    <w:rsid w:val="0056505E"/>
    <w:rsid w:val="00566217"/>
    <w:rsid w:val="005662CF"/>
    <w:rsid w:val="00567A5B"/>
    <w:rsid w:val="00570C3A"/>
    <w:rsid w:val="005710C1"/>
    <w:rsid w:val="0057348A"/>
    <w:rsid w:val="00574B6A"/>
    <w:rsid w:val="00574CDC"/>
    <w:rsid w:val="00574EF8"/>
    <w:rsid w:val="0057535D"/>
    <w:rsid w:val="005756E0"/>
    <w:rsid w:val="00576A18"/>
    <w:rsid w:val="00576C05"/>
    <w:rsid w:val="00577493"/>
    <w:rsid w:val="00577E22"/>
    <w:rsid w:val="00581086"/>
    <w:rsid w:val="0058158B"/>
    <w:rsid w:val="00582610"/>
    <w:rsid w:val="00584051"/>
    <w:rsid w:val="005848D3"/>
    <w:rsid w:val="00585169"/>
    <w:rsid w:val="00587097"/>
    <w:rsid w:val="00587315"/>
    <w:rsid w:val="005875C4"/>
    <w:rsid w:val="00590DDC"/>
    <w:rsid w:val="00590DDE"/>
    <w:rsid w:val="00590EC8"/>
    <w:rsid w:val="00591D83"/>
    <w:rsid w:val="00592703"/>
    <w:rsid w:val="00592B87"/>
    <w:rsid w:val="0059335D"/>
    <w:rsid w:val="00596330"/>
    <w:rsid w:val="00597CD9"/>
    <w:rsid w:val="005A45B7"/>
    <w:rsid w:val="005A4BAE"/>
    <w:rsid w:val="005A61AF"/>
    <w:rsid w:val="005A67B2"/>
    <w:rsid w:val="005A6850"/>
    <w:rsid w:val="005A7006"/>
    <w:rsid w:val="005B41AB"/>
    <w:rsid w:val="005B4881"/>
    <w:rsid w:val="005B5721"/>
    <w:rsid w:val="005B7DC0"/>
    <w:rsid w:val="005C219F"/>
    <w:rsid w:val="005C2AB6"/>
    <w:rsid w:val="005C3400"/>
    <w:rsid w:val="005C34AD"/>
    <w:rsid w:val="005C434F"/>
    <w:rsid w:val="005C563C"/>
    <w:rsid w:val="005C5762"/>
    <w:rsid w:val="005C75C0"/>
    <w:rsid w:val="005D1204"/>
    <w:rsid w:val="005D1D4F"/>
    <w:rsid w:val="005D33C8"/>
    <w:rsid w:val="005D3E4E"/>
    <w:rsid w:val="005D44DB"/>
    <w:rsid w:val="005D551C"/>
    <w:rsid w:val="005D5915"/>
    <w:rsid w:val="005D76E8"/>
    <w:rsid w:val="005D7716"/>
    <w:rsid w:val="005E0714"/>
    <w:rsid w:val="005E0913"/>
    <w:rsid w:val="005E15D9"/>
    <w:rsid w:val="005E1DD3"/>
    <w:rsid w:val="005E3642"/>
    <w:rsid w:val="005E36E6"/>
    <w:rsid w:val="005E4200"/>
    <w:rsid w:val="005E45C8"/>
    <w:rsid w:val="005E556D"/>
    <w:rsid w:val="005F2146"/>
    <w:rsid w:val="005F30D6"/>
    <w:rsid w:val="005F32F2"/>
    <w:rsid w:val="005F45CC"/>
    <w:rsid w:val="005F497E"/>
    <w:rsid w:val="005F4E9C"/>
    <w:rsid w:val="005F5190"/>
    <w:rsid w:val="005F6A49"/>
    <w:rsid w:val="0060505C"/>
    <w:rsid w:val="006059C9"/>
    <w:rsid w:val="006074E1"/>
    <w:rsid w:val="00610569"/>
    <w:rsid w:val="0061083B"/>
    <w:rsid w:val="00610CD7"/>
    <w:rsid w:val="00611CCB"/>
    <w:rsid w:val="006131FF"/>
    <w:rsid w:val="006151C2"/>
    <w:rsid w:val="00616F13"/>
    <w:rsid w:val="006206CA"/>
    <w:rsid w:val="00621595"/>
    <w:rsid w:val="00623717"/>
    <w:rsid w:val="00623C6A"/>
    <w:rsid w:val="00623E23"/>
    <w:rsid w:val="006256FA"/>
    <w:rsid w:val="00625EED"/>
    <w:rsid w:val="006261B5"/>
    <w:rsid w:val="00627F56"/>
    <w:rsid w:val="00630587"/>
    <w:rsid w:val="00633BEB"/>
    <w:rsid w:val="00633EB5"/>
    <w:rsid w:val="00634002"/>
    <w:rsid w:val="006418BD"/>
    <w:rsid w:val="006424CA"/>
    <w:rsid w:val="00644872"/>
    <w:rsid w:val="0064574B"/>
    <w:rsid w:val="00645B69"/>
    <w:rsid w:val="00645DEF"/>
    <w:rsid w:val="00646541"/>
    <w:rsid w:val="0065022B"/>
    <w:rsid w:val="00650FEB"/>
    <w:rsid w:val="00652300"/>
    <w:rsid w:val="00652916"/>
    <w:rsid w:val="00655F33"/>
    <w:rsid w:val="00657E63"/>
    <w:rsid w:val="006622E2"/>
    <w:rsid w:val="00662DB9"/>
    <w:rsid w:val="00662E92"/>
    <w:rsid w:val="00663909"/>
    <w:rsid w:val="00667ECD"/>
    <w:rsid w:val="00670799"/>
    <w:rsid w:val="00673508"/>
    <w:rsid w:val="00673B17"/>
    <w:rsid w:val="006742B7"/>
    <w:rsid w:val="00675697"/>
    <w:rsid w:val="00675D99"/>
    <w:rsid w:val="00676F2B"/>
    <w:rsid w:val="00680713"/>
    <w:rsid w:val="006817A6"/>
    <w:rsid w:val="00683319"/>
    <w:rsid w:val="006833B5"/>
    <w:rsid w:val="00683F82"/>
    <w:rsid w:val="0068449B"/>
    <w:rsid w:val="00684DEE"/>
    <w:rsid w:val="0068578F"/>
    <w:rsid w:val="006871B0"/>
    <w:rsid w:val="00690A82"/>
    <w:rsid w:val="00691032"/>
    <w:rsid w:val="006951B0"/>
    <w:rsid w:val="006951FB"/>
    <w:rsid w:val="0069588C"/>
    <w:rsid w:val="0069617A"/>
    <w:rsid w:val="00697F62"/>
    <w:rsid w:val="006A0C49"/>
    <w:rsid w:val="006A0CB7"/>
    <w:rsid w:val="006A3F59"/>
    <w:rsid w:val="006A6F2B"/>
    <w:rsid w:val="006B0142"/>
    <w:rsid w:val="006B06C9"/>
    <w:rsid w:val="006B09E5"/>
    <w:rsid w:val="006B0ABA"/>
    <w:rsid w:val="006B0DAD"/>
    <w:rsid w:val="006B17A2"/>
    <w:rsid w:val="006B196F"/>
    <w:rsid w:val="006B1E9D"/>
    <w:rsid w:val="006B22DF"/>
    <w:rsid w:val="006B3468"/>
    <w:rsid w:val="006B3511"/>
    <w:rsid w:val="006B4B1C"/>
    <w:rsid w:val="006B6033"/>
    <w:rsid w:val="006C0879"/>
    <w:rsid w:val="006C110E"/>
    <w:rsid w:val="006C17DF"/>
    <w:rsid w:val="006C25FB"/>
    <w:rsid w:val="006C42AC"/>
    <w:rsid w:val="006C4D78"/>
    <w:rsid w:val="006C64E4"/>
    <w:rsid w:val="006C6DD9"/>
    <w:rsid w:val="006C6F17"/>
    <w:rsid w:val="006D0323"/>
    <w:rsid w:val="006D19B8"/>
    <w:rsid w:val="006D265D"/>
    <w:rsid w:val="006D34FB"/>
    <w:rsid w:val="006D3903"/>
    <w:rsid w:val="006D74EC"/>
    <w:rsid w:val="006E15ED"/>
    <w:rsid w:val="006E4ED6"/>
    <w:rsid w:val="006E7464"/>
    <w:rsid w:val="006E79B3"/>
    <w:rsid w:val="006F001C"/>
    <w:rsid w:val="006F02FD"/>
    <w:rsid w:val="006F065A"/>
    <w:rsid w:val="006F1180"/>
    <w:rsid w:val="006F2095"/>
    <w:rsid w:val="006F39A5"/>
    <w:rsid w:val="006F5919"/>
    <w:rsid w:val="006F6B96"/>
    <w:rsid w:val="006F7A04"/>
    <w:rsid w:val="00700B0D"/>
    <w:rsid w:val="00700FA8"/>
    <w:rsid w:val="007020E8"/>
    <w:rsid w:val="00702631"/>
    <w:rsid w:val="007036F4"/>
    <w:rsid w:val="007060F8"/>
    <w:rsid w:val="00706461"/>
    <w:rsid w:val="00706AA1"/>
    <w:rsid w:val="00706E35"/>
    <w:rsid w:val="00707A1F"/>
    <w:rsid w:val="00707D0D"/>
    <w:rsid w:val="0071021D"/>
    <w:rsid w:val="007105B6"/>
    <w:rsid w:val="007119EF"/>
    <w:rsid w:val="0071607C"/>
    <w:rsid w:val="00716B94"/>
    <w:rsid w:val="00717784"/>
    <w:rsid w:val="00720408"/>
    <w:rsid w:val="007205CD"/>
    <w:rsid w:val="00720CF1"/>
    <w:rsid w:val="00721691"/>
    <w:rsid w:val="007222A8"/>
    <w:rsid w:val="007224FC"/>
    <w:rsid w:val="007238B5"/>
    <w:rsid w:val="00724DC7"/>
    <w:rsid w:val="00724F66"/>
    <w:rsid w:val="007255C8"/>
    <w:rsid w:val="0072720B"/>
    <w:rsid w:val="00730016"/>
    <w:rsid w:val="00730538"/>
    <w:rsid w:val="00730E30"/>
    <w:rsid w:val="0073126E"/>
    <w:rsid w:val="00731D63"/>
    <w:rsid w:val="00732314"/>
    <w:rsid w:val="007330F2"/>
    <w:rsid w:val="007334D1"/>
    <w:rsid w:val="00733882"/>
    <w:rsid w:val="007339AA"/>
    <w:rsid w:val="00733B9E"/>
    <w:rsid w:val="00733C61"/>
    <w:rsid w:val="00734760"/>
    <w:rsid w:val="0073496A"/>
    <w:rsid w:val="00735418"/>
    <w:rsid w:val="007360C5"/>
    <w:rsid w:val="007366F4"/>
    <w:rsid w:val="00740041"/>
    <w:rsid w:val="00742428"/>
    <w:rsid w:val="00742F13"/>
    <w:rsid w:val="00743E10"/>
    <w:rsid w:val="007441E7"/>
    <w:rsid w:val="00745F4C"/>
    <w:rsid w:val="0074726B"/>
    <w:rsid w:val="007477D7"/>
    <w:rsid w:val="00750E0C"/>
    <w:rsid w:val="007514B5"/>
    <w:rsid w:val="00751744"/>
    <w:rsid w:val="007522FE"/>
    <w:rsid w:val="00752516"/>
    <w:rsid w:val="007525E9"/>
    <w:rsid w:val="00753BAC"/>
    <w:rsid w:val="007540AB"/>
    <w:rsid w:val="00754528"/>
    <w:rsid w:val="007554F0"/>
    <w:rsid w:val="00755E8B"/>
    <w:rsid w:val="0075701D"/>
    <w:rsid w:val="00761FBE"/>
    <w:rsid w:val="00764F21"/>
    <w:rsid w:val="00767506"/>
    <w:rsid w:val="00767B03"/>
    <w:rsid w:val="0077023E"/>
    <w:rsid w:val="0077285F"/>
    <w:rsid w:val="00772EEE"/>
    <w:rsid w:val="00772F3D"/>
    <w:rsid w:val="00775783"/>
    <w:rsid w:val="00777224"/>
    <w:rsid w:val="007774B8"/>
    <w:rsid w:val="00777FBE"/>
    <w:rsid w:val="00780225"/>
    <w:rsid w:val="007805C0"/>
    <w:rsid w:val="007807D7"/>
    <w:rsid w:val="00781A75"/>
    <w:rsid w:val="00781BCA"/>
    <w:rsid w:val="0078364F"/>
    <w:rsid w:val="00785D08"/>
    <w:rsid w:val="007869A3"/>
    <w:rsid w:val="00786A56"/>
    <w:rsid w:val="00791004"/>
    <w:rsid w:val="00791D5E"/>
    <w:rsid w:val="00792D5F"/>
    <w:rsid w:val="00793DF3"/>
    <w:rsid w:val="007959EB"/>
    <w:rsid w:val="00795DFE"/>
    <w:rsid w:val="007A046F"/>
    <w:rsid w:val="007A0C30"/>
    <w:rsid w:val="007A0CF3"/>
    <w:rsid w:val="007A1AA6"/>
    <w:rsid w:val="007A1F65"/>
    <w:rsid w:val="007A3562"/>
    <w:rsid w:val="007A47B5"/>
    <w:rsid w:val="007A5447"/>
    <w:rsid w:val="007A7893"/>
    <w:rsid w:val="007B152D"/>
    <w:rsid w:val="007B3217"/>
    <w:rsid w:val="007B4B58"/>
    <w:rsid w:val="007B5237"/>
    <w:rsid w:val="007B74EA"/>
    <w:rsid w:val="007C0530"/>
    <w:rsid w:val="007C22B4"/>
    <w:rsid w:val="007C2317"/>
    <w:rsid w:val="007C3A82"/>
    <w:rsid w:val="007C476B"/>
    <w:rsid w:val="007C5A35"/>
    <w:rsid w:val="007C705D"/>
    <w:rsid w:val="007D0414"/>
    <w:rsid w:val="007D12A5"/>
    <w:rsid w:val="007D12F1"/>
    <w:rsid w:val="007D18D3"/>
    <w:rsid w:val="007D38C7"/>
    <w:rsid w:val="007D3DEA"/>
    <w:rsid w:val="007D4506"/>
    <w:rsid w:val="007D60A1"/>
    <w:rsid w:val="007D62EA"/>
    <w:rsid w:val="007D7C25"/>
    <w:rsid w:val="007E0E74"/>
    <w:rsid w:val="007E0FF2"/>
    <w:rsid w:val="007E189A"/>
    <w:rsid w:val="007E18FF"/>
    <w:rsid w:val="007E1E3D"/>
    <w:rsid w:val="007E1FDA"/>
    <w:rsid w:val="007E2222"/>
    <w:rsid w:val="007E2816"/>
    <w:rsid w:val="007E289C"/>
    <w:rsid w:val="007E3D46"/>
    <w:rsid w:val="007E3EB0"/>
    <w:rsid w:val="007E418F"/>
    <w:rsid w:val="007E4CC1"/>
    <w:rsid w:val="007E5014"/>
    <w:rsid w:val="007E5259"/>
    <w:rsid w:val="007E537F"/>
    <w:rsid w:val="007E5732"/>
    <w:rsid w:val="007E6B5F"/>
    <w:rsid w:val="007E7780"/>
    <w:rsid w:val="007E794A"/>
    <w:rsid w:val="007F1F4C"/>
    <w:rsid w:val="007F2F5D"/>
    <w:rsid w:val="007F5C19"/>
    <w:rsid w:val="007F67DF"/>
    <w:rsid w:val="007F7BEA"/>
    <w:rsid w:val="007F7FE6"/>
    <w:rsid w:val="00801AAD"/>
    <w:rsid w:val="00802155"/>
    <w:rsid w:val="00802924"/>
    <w:rsid w:val="00803BD6"/>
    <w:rsid w:val="008049A0"/>
    <w:rsid w:val="00805813"/>
    <w:rsid w:val="008105BD"/>
    <w:rsid w:val="00813CF8"/>
    <w:rsid w:val="008145FD"/>
    <w:rsid w:val="00816605"/>
    <w:rsid w:val="008169F0"/>
    <w:rsid w:val="0081780B"/>
    <w:rsid w:val="008205E1"/>
    <w:rsid w:val="00820A9B"/>
    <w:rsid w:val="00821DE4"/>
    <w:rsid w:val="00822895"/>
    <w:rsid w:val="00823088"/>
    <w:rsid w:val="00823654"/>
    <w:rsid w:val="00823833"/>
    <w:rsid w:val="0082492F"/>
    <w:rsid w:val="008258AC"/>
    <w:rsid w:val="00825A3D"/>
    <w:rsid w:val="00826317"/>
    <w:rsid w:val="00826845"/>
    <w:rsid w:val="00826FEB"/>
    <w:rsid w:val="00831ABF"/>
    <w:rsid w:val="008326E8"/>
    <w:rsid w:val="00832DD6"/>
    <w:rsid w:val="0083330A"/>
    <w:rsid w:val="00833B7A"/>
    <w:rsid w:val="00833B7E"/>
    <w:rsid w:val="00833FCD"/>
    <w:rsid w:val="00834C2A"/>
    <w:rsid w:val="00834ED5"/>
    <w:rsid w:val="00834FEB"/>
    <w:rsid w:val="008367CB"/>
    <w:rsid w:val="0083724E"/>
    <w:rsid w:val="008402CD"/>
    <w:rsid w:val="00841577"/>
    <w:rsid w:val="00841685"/>
    <w:rsid w:val="00841817"/>
    <w:rsid w:val="0084266C"/>
    <w:rsid w:val="00842BDD"/>
    <w:rsid w:val="008475F2"/>
    <w:rsid w:val="008477C7"/>
    <w:rsid w:val="00851643"/>
    <w:rsid w:val="00852A04"/>
    <w:rsid w:val="00855483"/>
    <w:rsid w:val="00856D43"/>
    <w:rsid w:val="00856DF5"/>
    <w:rsid w:val="0086201B"/>
    <w:rsid w:val="008627A4"/>
    <w:rsid w:val="00862B44"/>
    <w:rsid w:val="0086326E"/>
    <w:rsid w:val="00863567"/>
    <w:rsid w:val="008642D8"/>
    <w:rsid w:val="008648DA"/>
    <w:rsid w:val="0087037D"/>
    <w:rsid w:val="00871577"/>
    <w:rsid w:val="0087366A"/>
    <w:rsid w:val="00873823"/>
    <w:rsid w:val="00876552"/>
    <w:rsid w:val="008800C2"/>
    <w:rsid w:val="00880B8A"/>
    <w:rsid w:val="00880D41"/>
    <w:rsid w:val="00881739"/>
    <w:rsid w:val="008818B5"/>
    <w:rsid w:val="0088308A"/>
    <w:rsid w:val="00883DDB"/>
    <w:rsid w:val="00885345"/>
    <w:rsid w:val="00885C26"/>
    <w:rsid w:val="00885FA7"/>
    <w:rsid w:val="00887259"/>
    <w:rsid w:val="00887ED1"/>
    <w:rsid w:val="00891439"/>
    <w:rsid w:val="00891F17"/>
    <w:rsid w:val="00892034"/>
    <w:rsid w:val="00892461"/>
    <w:rsid w:val="00892ABB"/>
    <w:rsid w:val="00896A1C"/>
    <w:rsid w:val="008A0B41"/>
    <w:rsid w:val="008A208A"/>
    <w:rsid w:val="008A20AF"/>
    <w:rsid w:val="008A3E83"/>
    <w:rsid w:val="008A4DDC"/>
    <w:rsid w:val="008A7696"/>
    <w:rsid w:val="008A7BCC"/>
    <w:rsid w:val="008B0877"/>
    <w:rsid w:val="008B0903"/>
    <w:rsid w:val="008B12C6"/>
    <w:rsid w:val="008B15B5"/>
    <w:rsid w:val="008B479A"/>
    <w:rsid w:val="008B4977"/>
    <w:rsid w:val="008B4C42"/>
    <w:rsid w:val="008B74B6"/>
    <w:rsid w:val="008B7C85"/>
    <w:rsid w:val="008C01C7"/>
    <w:rsid w:val="008C3A92"/>
    <w:rsid w:val="008C57E1"/>
    <w:rsid w:val="008C6669"/>
    <w:rsid w:val="008D03A8"/>
    <w:rsid w:val="008D2C92"/>
    <w:rsid w:val="008D3DDB"/>
    <w:rsid w:val="008D3FD6"/>
    <w:rsid w:val="008D4AF7"/>
    <w:rsid w:val="008D4EB0"/>
    <w:rsid w:val="008D648B"/>
    <w:rsid w:val="008D72D1"/>
    <w:rsid w:val="008D779B"/>
    <w:rsid w:val="008E028A"/>
    <w:rsid w:val="008E0F25"/>
    <w:rsid w:val="008E38A1"/>
    <w:rsid w:val="008E5A91"/>
    <w:rsid w:val="008E63E0"/>
    <w:rsid w:val="008E718C"/>
    <w:rsid w:val="008E7F52"/>
    <w:rsid w:val="008F087D"/>
    <w:rsid w:val="008F0961"/>
    <w:rsid w:val="008F0BD3"/>
    <w:rsid w:val="008F3ADA"/>
    <w:rsid w:val="008F61DD"/>
    <w:rsid w:val="008F66AF"/>
    <w:rsid w:val="008F7111"/>
    <w:rsid w:val="00901290"/>
    <w:rsid w:val="00901A3E"/>
    <w:rsid w:val="00902B08"/>
    <w:rsid w:val="00903153"/>
    <w:rsid w:val="009050F2"/>
    <w:rsid w:val="00905226"/>
    <w:rsid w:val="00905BC6"/>
    <w:rsid w:val="00907679"/>
    <w:rsid w:val="00907D12"/>
    <w:rsid w:val="00910F9B"/>
    <w:rsid w:val="00912A1F"/>
    <w:rsid w:val="00913293"/>
    <w:rsid w:val="009206B0"/>
    <w:rsid w:val="00922874"/>
    <w:rsid w:val="00925051"/>
    <w:rsid w:val="0093104C"/>
    <w:rsid w:val="00931A23"/>
    <w:rsid w:val="009320D2"/>
    <w:rsid w:val="00932A3A"/>
    <w:rsid w:val="00933BAB"/>
    <w:rsid w:val="0093524F"/>
    <w:rsid w:val="00935F1D"/>
    <w:rsid w:val="009409C1"/>
    <w:rsid w:val="009424A0"/>
    <w:rsid w:val="009469FA"/>
    <w:rsid w:val="0094737D"/>
    <w:rsid w:val="00947F44"/>
    <w:rsid w:val="00950E7B"/>
    <w:rsid w:val="0095148A"/>
    <w:rsid w:val="00951500"/>
    <w:rsid w:val="00952955"/>
    <w:rsid w:val="00956B37"/>
    <w:rsid w:val="00957110"/>
    <w:rsid w:val="00961942"/>
    <w:rsid w:val="00961D6F"/>
    <w:rsid w:val="00961F86"/>
    <w:rsid w:val="009631BC"/>
    <w:rsid w:val="00967605"/>
    <w:rsid w:val="00970089"/>
    <w:rsid w:val="0097334A"/>
    <w:rsid w:val="00973935"/>
    <w:rsid w:val="00973C77"/>
    <w:rsid w:val="009740E9"/>
    <w:rsid w:val="00976C49"/>
    <w:rsid w:val="0097700C"/>
    <w:rsid w:val="00981430"/>
    <w:rsid w:val="0098433F"/>
    <w:rsid w:val="00984CE2"/>
    <w:rsid w:val="0098582A"/>
    <w:rsid w:val="00987FAC"/>
    <w:rsid w:val="009906A7"/>
    <w:rsid w:val="00990DE5"/>
    <w:rsid w:val="00992FA7"/>
    <w:rsid w:val="00995177"/>
    <w:rsid w:val="009954E1"/>
    <w:rsid w:val="00995ACA"/>
    <w:rsid w:val="00996D0B"/>
    <w:rsid w:val="00997690"/>
    <w:rsid w:val="00997753"/>
    <w:rsid w:val="00997DD7"/>
    <w:rsid w:val="009A09DF"/>
    <w:rsid w:val="009A0F12"/>
    <w:rsid w:val="009A11CF"/>
    <w:rsid w:val="009A2C2F"/>
    <w:rsid w:val="009A35D4"/>
    <w:rsid w:val="009A3990"/>
    <w:rsid w:val="009A43B8"/>
    <w:rsid w:val="009A48D0"/>
    <w:rsid w:val="009A6E5D"/>
    <w:rsid w:val="009A7C24"/>
    <w:rsid w:val="009B178C"/>
    <w:rsid w:val="009B2405"/>
    <w:rsid w:val="009B35E5"/>
    <w:rsid w:val="009B3694"/>
    <w:rsid w:val="009B3A15"/>
    <w:rsid w:val="009B3F56"/>
    <w:rsid w:val="009B4157"/>
    <w:rsid w:val="009B483D"/>
    <w:rsid w:val="009B5D3D"/>
    <w:rsid w:val="009B6188"/>
    <w:rsid w:val="009C13B5"/>
    <w:rsid w:val="009C13D2"/>
    <w:rsid w:val="009C15A0"/>
    <w:rsid w:val="009C1FDB"/>
    <w:rsid w:val="009C2D7C"/>
    <w:rsid w:val="009C417C"/>
    <w:rsid w:val="009C4965"/>
    <w:rsid w:val="009C4AF5"/>
    <w:rsid w:val="009C5A28"/>
    <w:rsid w:val="009C5CAD"/>
    <w:rsid w:val="009C6169"/>
    <w:rsid w:val="009C732B"/>
    <w:rsid w:val="009C740B"/>
    <w:rsid w:val="009D02F6"/>
    <w:rsid w:val="009D6301"/>
    <w:rsid w:val="009D7690"/>
    <w:rsid w:val="009D7F06"/>
    <w:rsid w:val="009E0E4B"/>
    <w:rsid w:val="009E3864"/>
    <w:rsid w:val="009E612F"/>
    <w:rsid w:val="009E66E3"/>
    <w:rsid w:val="009E7AD8"/>
    <w:rsid w:val="009F0010"/>
    <w:rsid w:val="009F0807"/>
    <w:rsid w:val="009F270D"/>
    <w:rsid w:val="009F2B3E"/>
    <w:rsid w:val="009F400B"/>
    <w:rsid w:val="009F76FF"/>
    <w:rsid w:val="00A0060F"/>
    <w:rsid w:val="00A008DD"/>
    <w:rsid w:val="00A00E44"/>
    <w:rsid w:val="00A04D27"/>
    <w:rsid w:val="00A07C93"/>
    <w:rsid w:val="00A10804"/>
    <w:rsid w:val="00A10A26"/>
    <w:rsid w:val="00A10C19"/>
    <w:rsid w:val="00A11103"/>
    <w:rsid w:val="00A1227D"/>
    <w:rsid w:val="00A13A59"/>
    <w:rsid w:val="00A14432"/>
    <w:rsid w:val="00A16D29"/>
    <w:rsid w:val="00A200F5"/>
    <w:rsid w:val="00A2188C"/>
    <w:rsid w:val="00A221BF"/>
    <w:rsid w:val="00A237DA"/>
    <w:rsid w:val="00A23957"/>
    <w:rsid w:val="00A250CD"/>
    <w:rsid w:val="00A25A5E"/>
    <w:rsid w:val="00A279F0"/>
    <w:rsid w:val="00A313AE"/>
    <w:rsid w:val="00A31ABC"/>
    <w:rsid w:val="00A325E8"/>
    <w:rsid w:val="00A32E8B"/>
    <w:rsid w:val="00A33B69"/>
    <w:rsid w:val="00A34264"/>
    <w:rsid w:val="00A36D7B"/>
    <w:rsid w:val="00A370CF"/>
    <w:rsid w:val="00A37891"/>
    <w:rsid w:val="00A40EC1"/>
    <w:rsid w:val="00A42A46"/>
    <w:rsid w:val="00A435D9"/>
    <w:rsid w:val="00A43B5F"/>
    <w:rsid w:val="00A44886"/>
    <w:rsid w:val="00A45720"/>
    <w:rsid w:val="00A45C0C"/>
    <w:rsid w:val="00A469C7"/>
    <w:rsid w:val="00A47043"/>
    <w:rsid w:val="00A47C5B"/>
    <w:rsid w:val="00A5042F"/>
    <w:rsid w:val="00A50CD3"/>
    <w:rsid w:val="00A51E5C"/>
    <w:rsid w:val="00A52E31"/>
    <w:rsid w:val="00A53415"/>
    <w:rsid w:val="00A53A3A"/>
    <w:rsid w:val="00A552E6"/>
    <w:rsid w:val="00A55697"/>
    <w:rsid w:val="00A5709A"/>
    <w:rsid w:val="00A576F6"/>
    <w:rsid w:val="00A609D1"/>
    <w:rsid w:val="00A60CFB"/>
    <w:rsid w:val="00A6167A"/>
    <w:rsid w:val="00A61BAF"/>
    <w:rsid w:val="00A623B3"/>
    <w:rsid w:val="00A62634"/>
    <w:rsid w:val="00A637AA"/>
    <w:rsid w:val="00A72921"/>
    <w:rsid w:val="00A72EE5"/>
    <w:rsid w:val="00A738FF"/>
    <w:rsid w:val="00A7430E"/>
    <w:rsid w:val="00A745E2"/>
    <w:rsid w:val="00A7501E"/>
    <w:rsid w:val="00A75F7B"/>
    <w:rsid w:val="00A81B84"/>
    <w:rsid w:val="00A82626"/>
    <w:rsid w:val="00A841BF"/>
    <w:rsid w:val="00A85ACB"/>
    <w:rsid w:val="00A862A9"/>
    <w:rsid w:val="00A9245B"/>
    <w:rsid w:val="00A9315C"/>
    <w:rsid w:val="00A94835"/>
    <w:rsid w:val="00A951F4"/>
    <w:rsid w:val="00A96113"/>
    <w:rsid w:val="00A966F5"/>
    <w:rsid w:val="00A96980"/>
    <w:rsid w:val="00AA10D1"/>
    <w:rsid w:val="00AA196E"/>
    <w:rsid w:val="00AA23C0"/>
    <w:rsid w:val="00AA42D6"/>
    <w:rsid w:val="00AA48A8"/>
    <w:rsid w:val="00AA4C23"/>
    <w:rsid w:val="00AA5577"/>
    <w:rsid w:val="00AA58E5"/>
    <w:rsid w:val="00AA5F29"/>
    <w:rsid w:val="00AA652F"/>
    <w:rsid w:val="00AA6A6B"/>
    <w:rsid w:val="00AA6ACA"/>
    <w:rsid w:val="00AA737B"/>
    <w:rsid w:val="00AA7A03"/>
    <w:rsid w:val="00AB0226"/>
    <w:rsid w:val="00AB1161"/>
    <w:rsid w:val="00AB1700"/>
    <w:rsid w:val="00AB2C4C"/>
    <w:rsid w:val="00AB2EEE"/>
    <w:rsid w:val="00AB33BF"/>
    <w:rsid w:val="00AB508B"/>
    <w:rsid w:val="00AB59BA"/>
    <w:rsid w:val="00AB5FCC"/>
    <w:rsid w:val="00AB6835"/>
    <w:rsid w:val="00AC0963"/>
    <w:rsid w:val="00AC0C67"/>
    <w:rsid w:val="00AC135A"/>
    <w:rsid w:val="00AC1AF4"/>
    <w:rsid w:val="00AC1B0B"/>
    <w:rsid w:val="00AC27AC"/>
    <w:rsid w:val="00AC4BEC"/>
    <w:rsid w:val="00AD01B3"/>
    <w:rsid w:val="00AD1236"/>
    <w:rsid w:val="00AD1BAD"/>
    <w:rsid w:val="00AD459E"/>
    <w:rsid w:val="00AD592B"/>
    <w:rsid w:val="00AD6D6A"/>
    <w:rsid w:val="00AE0500"/>
    <w:rsid w:val="00AE0ADB"/>
    <w:rsid w:val="00AE1503"/>
    <w:rsid w:val="00AE1CFC"/>
    <w:rsid w:val="00AE1E44"/>
    <w:rsid w:val="00AE2979"/>
    <w:rsid w:val="00AE2C06"/>
    <w:rsid w:val="00AE5C6D"/>
    <w:rsid w:val="00AE65A3"/>
    <w:rsid w:val="00AF0DEC"/>
    <w:rsid w:val="00AF206E"/>
    <w:rsid w:val="00AF5261"/>
    <w:rsid w:val="00AF5FEF"/>
    <w:rsid w:val="00AF7618"/>
    <w:rsid w:val="00AF7928"/>
    <w:rsid w:val="00B00DD8"/>
    <w:rsid w:val="00B012BD"/>
    <w:rsid w:val="00B01E5B"/>
    <w:rsid w:val="00B0201E"/>
    <w:rsid w:val="00B02C78"/>
    <w:rsid w:val="00B038E7"/>
    <w:rsid w:val="00B041FB"/>
    <w:rsid w:val="00B04530"/>
    <w:rsid w:val="00B0554A"/>
    <w:rsid w:val="00B06ABF"/>
    <w:rsid w:val="00B108E0"/>
    <w:rsid w:val="00B10913"/>
    <w:rsid w:val="00B11877"/>
    <w:rsid w:val="00B12316"/>
    <w:rsid w:val="00B14B9B"/>
    <w:rsid w:val="00B14DF7"/>
    <w:rsid w:val="00B20361"/>
    <w:rsid w:val="00B2039F"/>
    <w:rsid w:val="00B205E5"/>
    <w:rsid w:val="00B2277E"/>
    <w:rsid w:val="00B22C0C"/>
    <w:rsid w:val="00B23C83"/>
    <w:rsid w:val="00B26B9E"/>
    <w:rsid w:val="00B26F55"/>
    <w:rsid w:val="00B278C0"/>
    <w:rsid w:val="00B3019F"/>
    <w:rsid w:val="00B31952"/>
    <w:rsid w:val="00B3230A"/>
    <w:rsid w:val="00B32D14"/>
    <w:rsid w:val="00B33573"/>
    <w:rsid w:val="00B35983"/>
    <w:rsid w:val="00B36C17"/>
    <w:rsid w:val="00B37695"/>
    <w:rsid w:val="00B37CFD"/>
    <w:rsid w:val="00B41416"/>
    <w:rsid w:val="00B4157C"/>
    <w:rsid w:val="00B417B6"/>
    <w:rsid w:val="00B424D0"/>
    <w:rsid w:val="00B43742"/>
    <w:rsid w:val="00B50EF4"/>
    <w:rsid w:val="00B514E0"/>
    <w:rsid w:val="00B54CE3"/>
    <w:rsid w:val="00B55D29"/>
    <w:rsid w:val="00B56565"/>
    <w:rsid w:val="00B5716C"/>
    <w:rsid w:val="00B57AE4"/>
    <w:rsid w:val="00B57BDB"/>
    <w:rsid w:val="00B60913"/>
    <w:rsid w:val="00B63C77"/>
    <w:rsid w:val="00B64428"/>
    <w:rsid w:val="00B6446A"/>
    <w:rsid w:val="00B6452D"/>
    <w:rsid w:val="00B65EA7"/>
    <w:rsid w:val="00B65FC7"/>
    <w:rsid w:val="00B66234"/>
    <w:rsid w:val="00B67FA4"/>
    <w:rsid w:val="00B70EC4"/>
    <w:rsid w:val="00B721A3"/>
    <w:rsid w:val="00B741C5"/>
    <w:rsid w:val="00B74250"/>
    <w:rsid w:val="00B75DB7"/>
    <w:rsid w:val="00B7777B"/>
    <w:rsid w:val="00B80FA9"/>
    <w:rsid w:val="00B818AC"/>
    <w:rsid w:val="00B8342A"/>
    <w:rsid w:val="00B840D5"/>
    <w:rsid w:val="00B84A46"/>
    <w:rsid w:val="00B86F2F"/>
    <w:rsid w:val="00B873DC"/>
    <w:rsid w:val="00B87452"/>
    <w:rsid w:val="00B87E06"/>
    <w:rsid w:val="00B90258"/>
    <w:rsid w:val="00B910EF"/>
    <w:rsid w:val="00B9251B"/>
    <w:rsid w:val="00B96D88"/>
    <w:rsid w:val="00B97251"/>
    <w:rsid w:val="00BA1EBB"/>
    <w:rsid w:val="00BA231E"/>
    <w:rsid w:val="00BA24A5"/>
    <w:rsid w:val="00BA2560"/>
    <w:rsid w:val="00BA3CC8"/>
    <w:rsid w:val="00BA3E40"/>
    <w:rsid w:val="00BA45FA"/>
    <w:rsid w:val="00BA4A51"/>
    <w:rsid w:val="00BA5567"/>
    <w:rsid w:val="00BA5A4F"/>
    <w:rsid w:val="00BA5DD1"/>
    <w:rsid w:val="00BA611B"/>
    <w:rsid w:val="00BA794F"/>
    <w:rsid w:val="00BA7A69"/>
    <w:rsid w:val="00BA7FF5"/>
    <w:rsid w:val="00BB00EA"/>
    <w:rsid w:val="00BB01D5"/>
    <w:rsid w:val="00BB0DFE"/>
    <w:rsid w:val="00BB10EC"/>
    <w:rsid w:val="00BB3EFB"/>
    <w:rsid w:val="00BB64A0"/>
    <w:rsid w:val="00BC05ED"/>
    <w:rsid w:val="00BC2F61"/>
    <w:rsid w:val="00BC33EE"/>
    <w:rsid w:val="00BC3E93"/>
    <w:rsid w:val="00BC4101"/>
    <w:rsid w:val="00BC7BE4"/>
    <w:rsid w:val="00BD05A6"/>
    <w:rsid w:val="00BD0835"/>
    <w:rsid w:val="00BD1A63"/>
    <w:rsid w:val="00BD3AA0"/>
    <w:rsid w:val="00BD5074"/>
    <w:rsid w:val="00BD5083"/>
    <w:rsid w:val="00BD5171"/>
    <w:rsid w:val="00BD6C2E"/>
    <w:rsid w:val="00BE1B8F"/>
    <w:rsid w:val="00BE2A5D"/>
    <w:rsid w:val="00BE2C44"/>
    <w:rsid w:val="00BE326C"/>
    <w:rsid w:val="00BE3F0D"/>
    <w:rsid w:val="00BE433C"/>
    <w:rsid w:val="00BE51FF"/>
    <w:rsid w:val="00BE56D2"/>
    <w:rsid w:val="00BE5B6A"/>
    <w:rsid w:val="00BE77BD"/>
    <w:rsid w:val="00BF02D4"/>
    <w:rsid w:val="00BF16A8"/>
    <w:rsid w:val="00BF2614"/>
    <w:rsid w:val="00BF2737"/>
    <w:rsid w:val="00BF3168"/>
    <w:rsid w:val="00BF3DE3"/>
    <w:rsid w:val="00BF4F0F"/>
    <w:rsid w:val="00BF54CD"/>
    <w:rsid w:val="00BF5745"/>
    <w:rsid w:val="00BF5FF0"/>
    <w:rsid w:val="00BF60DB"/>
    <w:rsid w:val="00BF619D"/>
    <w:rsid w:val="00BF6FCB"/>
    <w:rsid w:val="00BF7E22"/>
    <w:rsid w:val="00C0077A"/>
    <w:rsid w:val="00C00D47"/>
    <w:rsid w:val="00C031DF"/>
    <w:rsid w:val="00C039C0"/>
    <w:rsid w:val="00C05ED2"/>
    <w:rsid w:val="00C0667A"/>
    <w:rsid w:val="00C06E00"/>
    <w:rsid w:val="00C101D8"/>
    <w:rsid w:val="00C1083B"/>
    <w:rsid w:val="00C14963"/>
    <w:rsid w:val="00C16B64"/>
    <w:rsid w:val="00C16F1A"/>
    <w:rsid w:val="00C16F27"/>
    <w:rsid w:val="00C20029"/>
    <w:rsid w:val="00C2077B"/>
    <w:rsid w:val="00C21B5A"/>
    <w:rsid w:val="00C22981"/>
    <w:rsid w:val="00C26E79"/>
    <w:rsid w:val="00C318C2"/>
    <w:rsid w:val="00C31F87"/>
    <w:rsid w:val="00C32F9F"/>
    <w:rsid w:val="00C33966"/>
    <w:rsid w:val="00C339F0"/>
    <w:rsid w:val="00C34445"/>
    <w:rsid w:val="00C346A6"/>
    <w:rsid w:val="00C405E1"/>
    <w:rsid w:val="00C40CCC"/>
    <w:rsid w:val="00C40F86"/>
    <w:rsid w:val="00C41EDB"/>
    <w:rsid w:val="00C4269E"/>
    <w:rsid w:val="00C45808"/>
    <w:rsid w:val="00C46003"/>
    <w:rsid w:val="00C467DD"/>
    <w:rsid w:val="00C46B5A"/>
    <w:rsid w:val="00C46BE1"/>
    <w:rsid w:val="00C507C7"/>
    <w:rsid w:val="00C51D34"/>
    <w:rsid w:val="00C52A6A"/>
    <w:rsid w:val="00C52C96"/>
    <w:rsid w:val="00C53F79"/>
    <w:rsid w:val="00C53FB7"/>
    <w:rsid w:val="00C54B3A"/>
    <w:rsid w:val="00C5597D"/>
    <w:rsid w:val="00C55C16"/>
    <w:rsid w:val="00C56814"/>
    <w:rsid w:val="00C571D2"/>
    <w:rsid w:val="00C5733C"/>
    <w:rsid w:val="00C61075"/>
    <w:rsid w:val="00C62A39"/>
    <w:rsid w:val="00C6368D"/>
    <w:rsid w:val="00C643C6"/>
    <w:rsid w:val="00C64B0E"/>
    <w:rsid w:val="00C65C82"/>
    <w:rsid w:val="00C66DB5"/>
    <w:rsid w:val="00C670DA"/>
    <w:rsid w:val="00C67190"/>
    <w:rsid w:val="00C7146D"/>
    <w:rsid w:val="00C71E90"/>
    <w:rsid w:val="00C72E8A"/>
    <w:rsid w:val="00C733AD"/>
    <w:rsid w:val="00C73EDF"/>
    <w:rsid w:val="00C74932"/>
    <w:rsid w:val="00C75338"/>
    <w:rsid w:val="00C778E6"/>
    <w:rsid w:val="00C80618"/>
    <w:rsid w:val="00C81837"/>
    <w:rsid w:val="00C84067"/>
    <w:rsid w:val="00C8458F"/>
    <w:rsid w:val="00C8557A"/>
    <w:rsid w:val="00C85CFA"/>
    <w:rsid w:val="00C86AB3"/>
    <w:rsid w:val="00C87195"/>
    <w:rsid w:val="00C90600"/>
    <w:rsid w:val="00C9083C"/>
    <w:rsid w:val="00C90F36"/>
    <w:rsid w:val="00C916BD"/>
    <w:rsid w:val="00C946DA"/>
    <w:rsid w:val="00C94A63"/>
    <w:rsid w:val="00C95345"/>
    <w:rsid w:val="00C96BB0"/>
    <w:rsid w:val="00C96D11"/>
    <w:rsid w:val="00C9781A"/>
    <w:rsid w:val="00CA0CD8"/>
    <w:rsid w:val="00CA34BE"/>
    <w:rsid w:val="00CA408F"/>
    <w:rsid w:val="00CA40A5"/>
    <w:rsid w:val="00CA427A"/>
    <w:rsid w:val="00CA6E8E"/>
    <w:rsid w:val="00CA74D5"/>
    <w:rsid w:val="00CA74F9"/>
    <w:rsid w:val="00CB20C6"/>
    <w:rsid w:val="00CB24CB"/>
    <w:rsid w:val="00CB6ED6"/>
    <w:rsid w:val="00CC024E"/>
    <w:rsid w:val="00CC3E07"/>
    <w:rsid w:val="00CC56E4"/>
    <w:rsid w:val="00CC72A3"/>
    <w:rsid w:val="00CC7D60"/>
    <w:rsid w:val="00CD038E"/>
    <w:rsid w:val="00CD03E8"/>
    <w:rsid w:val="00CD16F1"/>
    <w:rsid w:val="00CD3B89"/>
    <w:rsid w:val="00CD4FEF"/>
    <w:rsid w:val="00CD5EDC"/>
    <w:rsid w:val="00CD6FF8"/>
    <w:rsid w:val="00CE170F"/>
    <w:rsid w:val="00CE3D23"/>
    <w:rsid w:val="00CE5305"/>
    <w:rsid w:val="00CE533F"/>
    <w:rsid w:val="00CE7E39"/>
    <w:rsid w:val="00CF05FF"/>
    <w:rsid w:val="00CF130D"/>
    <w:rsid w:val="00CF1371"/>
    <w:rsid w:val="00CF1AD2"/>
    <w:rsid w:val="00CF205A"/>
    <w:rsid w:val="00CF2FF9"/>
    <w:rsid w:val="00CF43CF"/>
    <w:rsid w:val="00CF4F01"/>
    <w:rsid w:val="00CF51DA"/>
    <w:rsid w:val="00CF5827"/>
    <w:rsid w:val="00CF5A71"/>
    <w:rsid w:val="00CF60A2"/>
    <w:rsid w:val="00CF6A7F"/>
    <w:rsid w:val="00CF7458"/>
    <w:rsid w:val="00CF76CC"/>
    <w:rsid w:val="00D01757"/>
    <w:rsid w:val="00D02604"/>
    <w:rsid w:val="00D0403C"/>
    <w:rsid w:val="00D0429A"/>
    <w:rsid w:val="00D14105"/>
    <w:rsid w:val="00D14884"/>
    <w:rsid w:val="00D154FE"/>
    <w:rsid w:val="00D156F9"/>
    <w:rsid w:val="00D1672B"/>
    <w:rsid w:val="00D17AEB"/>
    <w:rsid w:val="00D209DA"/>
    <w:rsid w:val="00D22A2A"/>
    <w:rsid w:val="00D24130"/>
    <w:rsid w:val="00D24474"/>
    <w:rsid w:val="00D25111"/>
    <w:rsid w:val="00D25152"/>
    <w:rsid w:val="00D26960"/>
    <w:rsid w:val="00D26D6E"/>
    <w:rsid w:val="00D27996"/>
    <w:rsid w:val="00D27FA8"/>
    <w:rsid w:val="00D30D0E"/>
    <w:rsid w:val="00D3109A"/>
    <w:rsid w:val="00D31F82"/>
    <w:rsid w:val="00D330E0"/>
    <w:rsid w:val="00D334F4"/>
    <w:rsid w:val="00D34145"/>
    <w:rsid w:val="00D34C7E"/>
    <w:rsid w:val="00D360F1"/>
    <w:rsid w:val="00D3638D"/>
    <w:rsid w:val="00D36F43"/>
    <w:rsid w:val="00D373A1"/>
    <w:rsid w:val="00D37476"/>
    <w:rsid w:val="00D37859"/>
    <w:rsid w:val="00D379A1"/>
    <w:rsid w:val="00D37B38"/>
    <w:rsid w:val="00D407F2"/>
    <w:rsid w:val="00D40FAD"/>
    <w:rsid w:val="00D4172E"/>
    <w:rsid w:val="00D41888"/>
    <w:rsid w:val="00D42042"/>
    <w:rsid w:val="00D42FBC"/>
    <w:rsid w:val="00D45103"/>
    <w:rsid w:val="00D45A67"/>
    <w:rsid w:val="00D46B25"/>
    <w:rsid w:val="00D47139"/>
    <w:rsid w:val="00D50021"/>
    <w:rsid w:val="00D50AC0"/>
    <w:rsid w:val="00D52417"/>
    <w:rsid w:val="00D53054"/>
    <w:rsid w:val="00D53190"/>
    <w:rsid w:val="00D533B4"/>
    <w:rsid w:val="00D55F21"/>
    <w:rsid w:val="00D56AAD"/>
    <w:rsid w:val="00D57412"/>
    <w:rsid w:val="00D57570"/>
    <w:rsid w:val="00D62A8B"/>
    <w:rsid w:val="00D658BA"/>
    <w:rsid w:val="00D667D1"/>
    <w:rsid w:val="00D66B69"/>
    <w:rsid w:val="00D67C00"/>
    <w:rsid w:val="00D67FA3"/>
    <w:rsid w:val="00D73527"/>
    <w:rsid w:val="00D75290"/>
    <w:rsid w:val="00D764CD"/>
    <w:rsid w:val="00D76A92"/>
    <w:rsid w:val="00D773F2"/>
    <w:rsid w:val="00D77EF2"/>
    <w:rsid w:val="00D81325"/>
    <w:rsid w:val="00D814CE"/>
    <w:rsid w:val="00D81C28"/>
    <w:rsid w:val="00D82851"/>
    <w:rsid w:val="00D83094"/>
    <w:rsid w:val="00D84C9B"/>
    <w:rsid w:val="00D85889"/>
    <w:rsid w:val="00D86071"/>
    <w:rsid w:val="00D874B4"/>
    <w:rsid w:val="00D8751C"/>
    <w:rsid w:val="00D87FBA"/>
    <w:rsid w:val="00D902AD"/>
    <w:rsid w:val="00D90C70"/>
    <w:rsid w:val="00D942A3"/>
    <w:rsid w:val="00D946BB"/>
    <w:rsid w:val="00D956A8"/>
    <w:rsid w:val="00D95F74"/>
    <w:rsid w:val="00D96486"/>
    <w:rsid w:val="00D97775"/>
    <w:rsid w:val="00DA0A59"/>
    <w:rsid w:val="00DA2097"/>
    <w:rsid w:val="00DA3D73"/>
    <w:rsid w:val="00DA74E8"/>
    <w:rsid w:val="00DA75DE"/>
    <w:rsid w:val="00DA7AF3"/>
    <w:rsid w:val="00DB10B3"/>
    <w:rsid w:val="00DB1556"/>
    <w:rsid w:val="00DB2836"/>
    <w:rsid w:val="00DB31A2"/>
    <w:rsid w:val="00DB340F"/>
    <w:rsid w:val="00DB3C74"/>
    <w:rsid w:val="00DB3DD4"/>
    <w:rsid w:val="00DB4167"/>
    <w:rsid w:val="00DB43F2"/>
    <w:rsid w:val="00DB7678"/>
    <w:rsid w:val="00DB7E03"/>
    <w:rsid w:val="00DC076D"/>
    <w:rsid w:val="00DC174A"/>
    <w:rsid w:val="00DC25A7"/>
    <w:rsid w:val="00DC59E5"/>
    <w:rsid w:val="00DC5A5E"/>
    <w:rsid w:val="00DC6AD1"/>
    <w:rsid w:val="00DC7147"/>
    <w:rsid w:val="00DD04FD"/>
    <w:rsid w:val="00DD0DA5"/>
    <w:rsid w:val="00DD1150"/>
    <w:rsid w:val="00DD16DE"/>
    <w:rsid w:val="00DD1F86"/>
    <w:rsid w:val="00DD2CEE"/>
    <w:rsid w:val="00DD4218"/>
    <w:rsid w:val="00DD501C"/>
    <w:rsid w:val="00DD608F"/>
    <w:rsid w:val="00DD60FD"/>
    <w:rsid w:val="00DD7B6A"/>
    <w:rsid w:val="00DE2064"/>
    <w:rsid w:val="00DE41C2"/>
    <w:rsid w:val="00DE44C5"/>
    <w:rsid w:val="00DE4C0B"/>
    <w:rsid w:val="00DE5353"/>
    <w:rsid w:val="00DE55C7"/>
    <w:rsid w:val="00DE5ECF"/>
    <w:rsid w:val="00DE6BA2"/>
    <w:rsid w:val="00DE726B"/>
    <w:rsid w:val="00DE7859"/>
    <w:rsid w:val="00DF05C4"/>
    <w:rsid w:val="00DF11BD"/>
    <w:rsid w:val="00DF2A6C"/>
    <w:rsid w:val="00DF32E2"/>
    <w:rsid w:val="00DF3BD3"/>
    <w:rsid w:val="00DF3D08"/>
    <w:rsid w:val="00DF4EBA"/>
    <w:rsid w:val="00DF718E"/>
    <w:rsid w:val="00DF7431"/>
    <w:rsid w:val="00E00764"/>
    <w:rsid w:val="00E00C82"/>
    <w:rsid w:val="00E01CCF"/>
    <w:rsid w:val="00E02112"/>
    <w:rsid w:val="00E02F62"/>
    <w:rsid w:val="00E036C4"/>
    <w:rsid w:val="00E036F3"/>
    <w:rsid w:val="00E03797"/>
    <w:rsid w:val="00E06704"/>
    <w:rsid w:val="00E138D8"/>
    <w:rsid w:val="00E15FDA"/>
    <w:rsid w:val="00E16544"/>
    <w:rsid w:val="00E17B5E"/>
    <w:rsid w:val="00E17B80"/>
    <w:rsid w:val="00E17BE5"/>
    <w:rsid w:val="00E201EA"/>
    <w:rsid w:val="00E20D56"/>
    <w:rsid w:val="00E2171D"/>
    <w:rsid w:val="00E22705"/>
    <w:rsid w:val="00E2448F"/>
    <w:rsid w:val="00E25201"/>
    <w:rsid w:val="00E26ED0"/>
    <w:rsid w:val="00E26FA3"/>
    <w:rsid w:val="00E27FE3"/>
    <w:rsid w:val="00E33A9A"/>
    <w:rsid w:val="00E34790"/>
    <w:rsid w:val="00E34AE7"/>
    <w:rsid w:val="00E368C7"/>
    <w:rsid w:val="00E36B7A"/>
    <w:rsid w:val="00E37FE0"/>
    <w:rsid w:val="00E405F2"/>
    <w:rsid w:val="00E40AD3"/>
    <w:rsid w:val="00E412BA"/>
    <w:rsid w:val="00E42658"/>
    <w:rsid w:val="00E426F6"/>
    <w:rsid w:val="00E4362E"/>
    <w:rsid w:val="00E4397A"/>
    <w:rsid w:val="00E43F4D"/>
    <w:rsid w:val="00E43F82"/>
    <w:rsid w:val="00E44975"/>
    <w:rsid w:val="00E44B40"/>
    <w:rsid w:val="00E45FF3"/>
    <w:rsid w:val="00E4616A"/>
    <w:rsid w:val="00E47BE0"/>
    <w:rsid w:val="00E51025"/>
    <w:rsid w:val="00E515C3"/>
    <w:rsid w:val="00E5290B"/>
    <w:rsid w:val="00E537FA"/>
    <w:rsid w:val="00E5522F"/>
    <w:rsid w:val="00E558BE"/>
    <w:rsid w:val="00E56843"/>
    <w:rsid w:val="00E56C18"/>
    <w:rsid w:val="00E57A19"/>
    <w:rsid w:val="00E606DD"/>
    <w:rsid w:val="00E60805"/>
    <w:rsid w:val="00E61C89"/>
    <w:rsid w:val="00E62147"/>
    <w:rsid w:val="00E627E6"/>
    <w:rsid w:val="00E63E60"/>
    <w:rsid w:val="00E641C4"/>
    <w:rsid w:val="00E64AFB"/>
    <w:rsid w:val="00E65F70"/>
    <w:rsid w:val="00E66362"/>
    <w:rsid w:val="00E66D1C"/>
    <w:rsid w:val="00E70B97"/>
    <w:rsid w:val="00E716FC"/>
    <w:rsid w:val="00E726F4"/>
    <w:rsid w:val="00E731E4"/>
    <w:rsid w:val="00E7445F"/>
    <w:rsid w:val="00E7455C"/>
    <w:rsid w:val="00E74E22"/>
    <w:rsid w:val="00E7582E"/>
    <w:rsid w:val="00E75A4C"/>
    <w:rsid w:val="00E76C91"/>
    <w:rsid w:val="00E82A0A"/>
    <w:rsid w:val="00E833EB"/>
    <w:rsid w:val="00E83B80"/>
    <w:rsid w:val="00E83E37"/>
    <w:rsid w:val="00E840ED"/>
    <w:rsid w:val="00E845AE"/>
    <w:rsid w:val="00E85A68"/>
    <w:rsid w:val="00E90B74"/>
    <w:rsid w:val="00E9202F"/>
    <w:rsid w:val="00E93DDE"/>
    <w:rsid w:val="00E93F87"/>
    <w:rsid w:val="00E9525F"/>
    <w:rsid w:val="00E97379"/>
    <w:rsid w:val="00E9741B"/>
    <w:rsid w:val="00EA14FC"/>
    <w:rsid w:val="00EA1C71"/>
    <w:rsid w:val="00EA467A"/>
    <w:rsid w:val="00EA4ED9"/>
    <w:rsid w:val="00EB0459"/>
    <w:rsid w:val="00EB3A78"/>
    <w:rsid w:val="00EB3D1A"/>
    <w:rsid w:val="00EB3D2D"/>
    <w:rsid w:val="00EB4BD8"/>
    <w:rsid w:val="00EB6A76"/>
    <w:rsid w:val="00EC10F8"/>
    <w:rsid w:val="00EC2198"/>
    <w:rsid w:val="00EC5A75"/>
    <w:rsid w:val="00ED0D11"/>
    <w:rsid w:val="00ED2D20"/>
    <w:rsid w:val="00ED4C32"/>
    <w:rsid w:val="00EE04D0"/>
    <w:rsid w:val="00EE0DAD"/>
    <w:rsid w:val="00EE2B24"/>
    <w:rsid w:val="00EE33F1"/>
    <w:rsid w:val="00EE3F90"/>
    <w:rsid w:val="00EE6C9D"/>
    <w:rsid w:val="00EF110D"/>
    <w:rsid w:val="00EF1295"/>
    <w:rsid w:val="00EF1BC9"/>
    <w:rsid w:val="00EF2C16"/>
    <w:rsid w:val="00EF456E"/>
    <w:rsid w:val="00EF4615"/>
    <w:rsid w:val="00EF49D4"/>
    <w:rsid w:val="00EF5745"/>
    <w:rsid w:val="00EF5826"/>
    <w:rsid w:val="00EF66D2"/>
    <w:rsid w:val="00EF6ED9"/>
    <w:rsid w:val="00EF7035"/>
    <w:rsid w:val="00EF771B"/>
    <w:rsid w:val="00F00313"/>
    <w:rsid w:val="00F01855"/>
    <w:rsid w:val="00F02F6B"/>
    <w:rsid w:val="00F048E7"/>
    <w:rsid w:val="00F04C02"/>
    <w:rsid w:val="00F06127"/>
    <w:rsid w:val="00F063AE"/>
    <w:rsid w:val="00F06F94"/>
    <w:rsid w:val="00F07997"/>
    <w:rsid w:val="00F07A74"/>
    <w:rsid w:val="00F07D0F"/>
    <w:rsid w:val="00F138C8"/>
    <w:rsid w:val="00F13CE7"/>
    <w:rsid w:val="00F1514A"/>
    <w:rsid w:val="00F15BC5"/>
    <w:rsid w:val="00F164DB"/>
    <w:rsid w:val="00F164FB"/>
    <w:rsid w:val="00F16EA1"/>
    <w:rsid w:val="00F17DBE"/>
    <w:rsid w:val="00F20841"/>
    <w:rsid w:val="00F2259D"/>
    <w:rsid w:val="00F233F0"/>
    <w:rsid w:val="00F23F24"/>
    <w:rsid w:val="00F246C6"/>
    <w:rsid w:val="00F26379"/>
    <w:rsid w:val="00F27EF1"/>
    <w:rsid w:val="00F32150"/>
    <w:rsid w:val="00F3279B"/>
    <w:rsid w:val="00F3530F"/>
    <w:rsid w:val="00F35CBF"/>
    <w:rsid w:val="00F36970"/>
    <w:rsid w:val="00F36D28"/>
    <w:rsid w:val="00F3735F"/>
    <w:rsid w:val="00F379BE"/>
    <w:rsid w:val="00F40595"/>
    <w:rsid w:val="00F41BA0"/>
    <w:rsid w:val="00F421AA"/>
    <w:rsid w:val="00F43E2D"/>
    <w:rsid w:val="00F443E7"/>
    <w:rsid w:val="00F4676A"/>
    <w:rsid w:val="00F47E16"/>
    <w:rsid w:val="00F5009E"/>
    <w:rsid w:val="00F50A29"/>
    <w:rsid w:val="00F511BB"/>
    <w:rsid w:val="00F563F1"/>
    <w:rsid w:val="00F574C4"/>
    <w:rsid w:val="00F62A76"/>
    <w:rsid w:val="00F63910"/>
    <w:rsid w:val="00F64353"/>
    <w:rsid w:val="00F65770"/>
    <w:rsid w:val="00F65D2A"/>
    <w:rsid w:val="00F6677C"/>
    <w:rsid w:val="00F70E30"/>
    <w:rsid w:val="00F71B0A"/>
    <w:rsid w:val="00F71F7D"/>
    <w:rsid w:val="00F73B3E"/>
    <w:rsid w:val="00F73D32"/>
    <w:rsid w:val="00F73D6A"/>
    <w:rsid w:val="00F75A43"/>
    <w:rsid w:val="00F76379"/>
    <w:rsid w:val="00F769C5"/>
    <w:rsid w:val="00F801CE"/>
    <w:rsid w:val="00F8021B"/>
    <w:rsid w:val="00F80D0A"/>
    <w:rsid w:val="00F81090"/>
    <w:rsid w:val="00F812EB"/>
    <w:rsid w:val="00F81AF9"/>
    <w:rsid w:val="00F83069"/>
    <w:rsid w:val="00F83135"/>
    <w:rsid w:val="00F832AC"/>
    <w:rsid w:val="00F8399E"/>
    <w:rsid w:val="00F8464C"/>
    <w:rsid w:val="00F850DF"/>
    <w:rsid w:val="00F85668"/>
    <w:rsid w:val="00F87491"/>
    <w:rsid w:val="00F90152"/>
    <w:rsid w:val="00F906D8"/>
    <w:rsid w:val="00F907CB"/>
    <w:rsid w:val="00F92E06"/>
    <w:rsid w:val="00F93A51"/>
    <w:rsid w:val="00F94219"/>
    <w:rsid w:val="00F94BC6"/>
    <w:rsid w:val="00F9589C"/>
    <w:rsid w:val="00F96863"/>
    <w:rsid w:val="00F96DA7"/>
    <w:rsid w:val="00FA0160"/>
    <w:rsid w:val="00FA016E"/>
    <w:rsid w:val="00FA0B0E"/>
    <w:rsid w:val="00FA0EF9"/>
    <w:rsid w:val="00FB23AF"/>
    <w:rsid w:val="00FB412E"/>
    <w:rsid w:val="00FB4D51"/>
    <w:rsid w:val="00FB718E"/>
    <w:rsid w:val="00FC0361"/>
    <w:rsid w:val="00FC1531"/>
    <w:rsid w:val="00FC1B01"/>
    <w:rsid w:val="00FC2E58"/>
    <w:rsid w:val="00FC38B7"/>
    <w:rsid w:val="00FC41E4"/>
    <w:rsid w:val="00FC5996"/>
    <w:rsid w:val="00FC79F0"/>
    <w:rsid w:val="00FC7B1B"/>
    <w:rsid w:val="00FD1717"/>
    <w:rsid w:val="00FD1E15"/>
    <w:rsid w:val="00FD227B"/>
    <w:rsid w:val="00FD3A06"/>
    <w:rsid w:val="00FD3D45"/>
    <w:rsid w:val="00FD47D3"/>
    <w:rsid w:val="00FD4EFA"/>
    <w:rsid w:val="00FD5526"/>
    <w:rsid w:val="00FD578C"/>
    <w:rsid w:val="00FE06BA"/>
    <w:rsid w:val="00FE1435"/>
    <w:rsid w:val="00FE3AA7"/>
    <w:rsid w:val="00FE3EB2"/>
    <w:rsid w:val="00FE42A1"/>
    <w:rsid w:val="00FE4364"/>
    <w:rsid w:val="00FE6C74"/>
    <w:rsid w:val="00FE6F6B"/>
    <w:rsid w:val="00FE7E3F"/>
    <w:rsid w:val="00FF10FB"/>
    <w:rsid w:val="00FF2428"/>
    <w:rsid w:val="00FF2713"/>
    <w:rsid w:val="00FF2BCB"/>
    <w:rsid w:val="00FF55A6"/>
    <w:rsid w:val="00FF624B"/>
    <w:rsid w:val="00FF6F18"/>
    <w:rsid w:val="00FF741B"/>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87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caption" w:uiPriority="0" w:qFormat="1"/>
    <w:lsdException w:name="table of figures" w:qFormat="1"/>
    <w:lsdException w:name="List Bullet" w:uiPriority="0" w:qFormat="1"/>
    <w:lsdException w:name="List Number" w:qFormat="1"/>
    <w:lsdException w:name="List Bullet 2" w:uiPriority="0" w:qFormat="1"/>
    <w:lsdException w:name="List Bullet 3" w:uiPriority="0" w:qFormat="1"/>
    <w:lsdException w:name="List Number 2" w:qFormat="1"/>
    <w:lsdException w:name="List Number 3" w:qFormat="1"/>
    <w:lsdException w:name="List Number 4"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F93"/>
  </w:style>
  <w:style w:type="paragraph" w:styleId="Heading1">
    <w:name w:val="heading 1"/>
    <w:aliases w:val="1 NoNum"/>
    <w:next w:val="bt"/>
    <w:link w:val="Heading1Char"/>
    <w:qFormat/>
    <w:rsid w:val="003C7518"/>
    <w:pPr>
      <w:keepNext/>
      <w:tabs>
        <w:tab w:val="left" w:pos="851"/>
      </w:tabs>
      <w:spacing w:after="120" w:line="240" w:lineRule="auto"/>
      <w:outlineLvl w:val="0"/>
    </w:pPr>
    <w:rPr>
      <w:rFonts w:ascii="Calibri" w:eastAsia="Times New Roman" w:hAnsi="Calibri" w:cs="Times New Roman"/>
      <w:b/>
      <w:bCs/>
      <w:sz w:val="34"/>
      <w:szCs w:val="28"/>
    </w:rPr>
  </w:style>
  <w:style w:type="paragraph" w:styleId="Heading2">
    <w:name w:val="heading 2"/>
    <w:next w:val="bt"/>
    <w:link w:val="Heading2Char"/>
    <w:qFormat/>
    <w:rsid w:val="0095148A"/>
    <w:pPr>
      <w:keepNext/>
      <w:numPr>
        <w:ilvl w:val="1"/>
        <w:numId w:val="24"/>
      </w:numPr>
      <w:tabs>
        <w:tab w:val="left" w:pos="851"/>
      </w:tabs>
      <w:spacing w:before="360" w:after="240" w:line="240" w:lineRule="auto"/>
      <w:ind w:left="578" w:hanging="578"/>
      <w:outlineLvl w:val="1"/>
    </w:pPr>
    <w:rPr>
      <w:rFonts w:ascii="Calibri" w:eastAsia="Times New Roman" w:hAnsi="Calibri" w:cs="Arial"/>
      <w:b/>
      <w:bCs/>
      <w:iCs/>
      <w:color w:val="595959" w:themeColor="text1" w:themeTint="A6"/>
      <w:sz w:val="28"/>
      <w:szCs w:val="28"/>
      <w:lang w:eastAsia="en-AU"/>
    </w:rPr>
  </w:style>
  <w:style w:type="paragraph" w:styleId="Heading3">
    <w:name w:val="heading 3"/>
    <w:basedOn w:val="bt"/>
    <w:next w:val="bt"/>
    <w:link w:val="Heading3Char"/>
    <w:qFormat/>
    <w:rsid w:val="007E5014"/>
    <w:pPr>
      <w:outlineLvl w:val="2"/>
    </w:pPr>
    <w:rPr>
      <w:b/>
    </w:rPr>
  </w:style>
  <w:style w:type="paragraph" w:styleId="Heading4">
    <w:name w:val="heading 4"/>
    <w:next w:val="bt"/>
    <w:link w:val="Heading4Char"/>
    <w:autoRedefine/>
    <w:qFormat/>
    <w:rsid w:val="0016654F"/>
    <w:pPr>
      <w:spacing w:before="360" w:after="240" w:line="240" w:lineRule="auto"/>
      <w:outlineLvl w:val="3"/>
    </w:pPr>
    <w:rPr>
      <w:rFonts w:eastAsia="Times New Roman" w:cs="Times New Roman"/>
      <w:b/>
      <w:bCs/>
      <w:szCs w:val="16"/>
      <w:lang w:val="en-AU"/>
    </w:rPr>
  </w:style>
  <w:style w:type="paragraph" w:styleId="Heading5">
    <w:name w:val="heading 5"/>
    <w:basedOn w:val="Normal"/>
    <w:next w:val="Normal"/>
    <w:link w:val="Heading5Char"/>
    <w:uiPriority w:val="9"/>
    <w:unhideWhenUsed/>
    <w:qFormat/>
    <w:rsid w:val="00297209"/>
    <w:pPr>
      <w:keepNext/>
      <w:keepLines/>
      <w:spacing w:before="20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
    <w:name w:val="bt"/>
    <w:link w:val="btChar"/>
    <w:qFormat/>
    <w:rsid w:val="00AA7A03"/>
    <w:pPr>
      <w:spacing w:before="180" w:after="240" w:line="270" w:lineRule="exact"/>
    </w:pPr>
    <w:rPr>
      <w:rFonts w:ascii="Calibri" w:eastAsia="Times New Roman" w:hAnsi="Calibri" w:cs="Times New Roman"/>
      <w:sz w:val="20"/>
      <w:szCs w:val="24"/>
      <w:lang w:eastAsia="en-AU"/>
    </w:rPr>
  </w:style>
  <w:style w:type="character" w:customStyle="1" w:styleId="Heading1Char">
    <w:name w:val="Heading 1 Char"/>
    <w:aliases w:val="1 NoNum Char"/>
    <w:basedOn w:val="DefaultParagraphFont"/>
    <w:link w:val="Heading1"/>
    <w:rsid w:val="003C7518"/>
    <w:rPr>
      <w:rFonts w:ascii="Calibri" w:eastAsia="Times New Roman" w:hAnsi="Calibri" w:cs="Times New Roman"/>
      <w:b/>
      <w:bCs/>
      <w:sz w:val="34"/>
      <w:szCs w:val="28"/>
    </w:rPr>
  </w:style>
  <w:style w:type="character" w:customStyle="1" w:styleId="Heading2Char">
    <w:name w:val="Heading 2 Char"/>
    <w:basedOn w:val="DefaultParagraphFont"/>
    <w:link w:val="Heading2"/>
    <w:uiPriority w:val="9"/>
    <w:rsid w:val="0095148A"/>
    <w:rPr>
      <w:rFonts w:ascii="Calibri" w:eastAsia="Times New Roman" w:hAnsi="Calibri" w:cs="Arial"/>
      <w:b/>
      <w:bCs/>
      <w:iCs/>
      <w:color w:val="595959" w:themeColor="text1" w:themeTint="A6"/>
      <w:sz w:val="28"/>
      <w:szCs w:val="28"/>
      <w:lang w:eastAsia="en-AU"/>
    </w:rPr>
  </w:style>
  <w:style w:type="character" w:customStyle="1" w:styleId="Heading3Char">
    <w:name w:val="Heading 3 Char"/>
    <w:basedOn w:val="DefaultParagraphFont"/>
    <w:link w:val="Heading3"/>
    <w:rsid w:val="007E5014"/>
    <w:rPr>
      <w:rFonts w:ascii="Calibri" w:eastAsia="Times New Roman" w:hAnsi="Calibri" w:cs="Times New Roman"/>
      <w:b/>
      <w:sz w:val="20"/>
      <w:szCs w:val="24"/>
      <w:lang w:eastAsia="en-AU"/>
    </w:rPr>
  </w:style>
  <w:style w:type="character" w:customStyle="1" w:styleId="Heading4Char">
    <w:name w:val="Heading 4 Char"/>
    <w:basedOn w:val="DefaultParagraphFont"/>
    <w:link w:val="Heading4"/>
    <w:rsid w:val="0016654F"/>
    <w:rPr>
      <w:rFonts w:eastAsia="Times New Roman" w:cs="Times New Roman"/>
      <w:b/>
      <w:bCs/>
      <w:szCs w:val="16"/>
      <w:lang w:val="en-AU"/>
    </w:rPr>
  </w:style>
  <w:style w:type="paragraph" w:styleId="BalloonText">
    <w:name w:val="Balloon Text"/>
    <w:basedOn w:val="Normal"/>
    <w:link w:val="BalloonTextChar"/>
    <w:uiPriority w:val="99"/>
    <w:semiHidden/>
    <w:unhideWhenUsed/>
    <w:rsid w:val="00AA7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F62"/>
    <w:rPr>
      <w:rFonts w:ascii="Tahoma" w:hAnsi="Tahoma" w:cs="Tahoma"/>
      <w:sz w:val="16"/>
      <w:szCs w:val="16"/>
    </w:rPr>
  </w:style>
  <w:style w:type="paragraph" w:styleId="NoSpacing">
    <w:name w:val="No Spacing"/>
    <w:link w:val="NoSpacingChar"/>
    <w:uiPriority w:val="1"/>
    <w:qFormat/>
    <w:rsid w:val="00AA7A03"/>
    <w:pPr>
      <w:spacing w:after="0" w:line="240" w:lineRule="auto"/>
    </w:pPr>
  </w:style>
  <w:style w:type="character" w:customStyle="1" w:styleId="NoSpacingChar">
    <w:name w:val="No Spacing Char"/>
    <w:basedOn w:val="DefaultParagraphFont"/>
    <w:link w:val="NoSpacing"/>
    <w:uiPriority w:val="1"/>
    <w:rsid w:val="00E02F62"/>
    <w:rPr>
      <w:rFonts w:eastAsiaTheme="minorEastAsia"/>
      <w:lang w:val="en-US"/>
    </w:rPr>
  </w:style>
  <w:style w:type="paragraph" w:styleId="TOCHeading">
    <w:name w:val="TOC Heading"/>
    <w:basedOn w:val="Heading1"/>
    <w:next w:val="Normal"/>
    <w:link w:val="TOCHeadingChar"/>
    <w:uiPriority w:val="39"/>
    <w:semiHidden/>
    <w:unhideWhenUsed/>
    <w:qFormat/>
    <w:rsid w:val="00AA7A03"/>
    <w:pPr>
      <w:outlineLvl w:val="9"/>
    </w:pPr>
  </w:style>
  <w:style w:type="paragraph" w:styleId="Header">
    <w:name w:val="header"/>
    <w:basedOn w:val="Normal"/>
    <w:link w:val="HeaderChar"/>
    <w:uiPriority w:val="99"/>
    <w:unhideWhenUsed/>
    <w:qFormat/>
    <w:rsid w:val="00AA7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F62"/>
  </w:style>
  <w:style w:type="paragraph" w:styleId="Footer">
    <w:name w:val="footer"/>
    <w:basedOn w:val="Normal"/>
    <w:link w:val="FooterChar"/>
    <w:uiPriority w:val="99"/>
    <w:unhideWhenUsed/>
    <w:rsid w:val="00AA7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F62"/>
  </w:style>
  <w:style w:type="paragraph" w:customStyle="1" w:styleId="btbold">
    <w:name w:val="bt_bold"/>
    <w:basedOn w:val="bt"/>
    <w:next w:val="bt"/>
    <w:qFormat/>
    <w:rsid w:val="00AA7A03"/>
    <w:pPr>
      <w:spacing w:after="120"/>
    </w:pPr>
    <w:rPr>
      <w:b/>
    </w:rPr>
  </w:style>
  <w:style w:type="paragraph" w:customStyle="1" w:styleId="btindent">
    <w:name w:val="bt_indent"/>
    <w:basedOn w:val="bt"/>
    <w:next w:val="bt"/>
    <w:qFormat/>
    <w:rsid w:val="00AA7A03"/>
    <w:pPr>
      <w:ind w:left="709"/>
    </w:pPr>
  </w:style>
  <w:style w:type="paragraph" w:customStyle="1" w:styleId="btitalics">
    <w:name w:val="bt_italics"/>
    <w:basedOn w:val="bt"/>
    <w:next w:val="bt"/>
    <w:qFormat/>
    <w:rsid w:val="00AA7A03"/>
    <w:rPr>
      <w:i/>
    </w:rPr>
  </w:style>
  <w:style w:type="character" w:customStyle="1" w:styleId="bt-highlighttext">
    <w:name w:val="bt-highlight text"/>
    <w:basedOn w:val="DefaultParagraphFont"/>
    <w:qFormat/>
    <w:rsid w:val="00AA7A03"/>
    <w:rPr>
      <w:rFonts w:ascii="Calibri" w:hAnsi="Calibri"/>
      <w:color w:val="0000FF"/>
      <w:sz w:val="24"/>
      <w:lang w:eastAsia="en-US"/>
    </w:rPr>
  </w:style>
  <w:style w:type="paragraph" w:styleId="Caption">
    <w:name w:val="caption"/>
    <w:basedOn w:val="bt"/>
    <w:next w:val="bt"/>
    <w:autoRedefine/>
    <w:qFormat/>
    <w:rsid w:val="00BA45FA"/>
    <w:pPr>
      <w:keepNext/>
      <w:spacing w:after="180" w:line="240" w:lineRule="auto"/>
      <w:ind w:left="28" w:hanging="28"/>
    </w:pPr>
    <w:rPr>
      <w:rFonts w:asciiTheme="minorHAnsi" w:hAnsiTheme="minorHAnsi"/>
      <w:b/>
      <w:bCs/>
      <w:i/>
      <w:color w:val="333333"/>
      <w:szCs w:val="20"/>
    </w:rPr>
  </w:style>
  <w:style w:type="paragraph" w:styleId="CommentText">
    <w:name w:val="annotation text"/>
    <w:basedOn w:val="Normal"/>
    <w:link w:val="CommentTextChar"/>
    <w:semiHidden/>
    <w:rsid w:val="00AA7A03"/>
    <w:pPr>
      <w:spacing w:after="0" w:line="240" w:lineRule="auto"/>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semiHidden/>
    <w:rsid w:val="00564530"/>
    <w:rPr>
      <w:rFonts w:ascii="Arial" w:eastAsia="Times New Roman" w:hAnsi="Arial" w:cs="Times New Roman"/>
      <w:sz w:val="20"/>
      <w:szCs w:val="20"/>
      <w:lang w:eastAsia="en-AU"/>
    </w:rPr>
  </w:style>
  <w:style w:type="character" w:styleId="Emphasis">
    <w:name w:val="Emphasis"/>
    <w:basedOn w:val="DefaultParagraphFont"/>
    <w:qFormat/>
    <w:rsid w:val="00AA7A03"/>
    <w:rPr>
      <w:rFonts w:ascii="Calibri" w:hAnsi="Calibri"/>
      <w:i/>
      <w:iCs/>
      <w:sz w:val="20"/>
    </w:rPr>
  </w:style>
  <w:style w:type="paragraph" w:customStyle="1" w:styleId="Heading11">
    <w:name w:val="Heading 1_1"/>
    <w:basedOn w:val="Heading1"/>
    <w:next w:val="bt"/>
    <w:qFormat/>
    <w:rsid w:val="00FF2BCB"/>
    <w:pPr>
      <w:numPr>
        <w:numId w:val="24"/>
      </w:numPr>
      <w:tabs>
        <w:tab w:val="clear" w:pos="851"/>
      </w:tabs>
      <w:spacing w:before="240" w:after="240"/>
    </w:pPr>
    <w:rPr>
      <w:lang w:val="en-AU"/>
    </w:rPr>
  </w:style>
  <w:style w:type="paragraph" w:customStyle="1" w:styleId="Heading2nonum">
    <w:name w:val="Heading 2_no num"/>
    <w:basedOn w:val="Heading2"/>
    <w:next w:val="bt"/>
    <w:qFormat/>
    <w:rsid w:val="00AA7A03"/>
    <w:pPr>
      <w:numPr>
        <w:ilvl w:val="0"/>
        <w:numId w:val="0"/>
      </w:numPr>
    </w:pPr>
    <w:rPr>
      <w:b w:val="0"/>
      <w:lang w:eastAsia="en-US"/>
    </w:rPr>
  </w:style>
  <w:style w:type="paragraph" w:styleId="ListBullet">
    <w:name w:val="List Bullet"/>
    <w:basedOn w:val="bt"/>
    <w:qFormat/>
    <w:rsid w:val="00AA7A03"/>
    <w:pPr>
      <w:numPr>
        <w:numId w:val="25"/>
      </w:numPr>
    </w:pPr>
  </w:style>
  <w:style w:type="paragraph" w:styleId="ListBullet2">
    <w:name w:val="List Bullet 2"/>
    <w:basedOn w:val="bt"/>
    <w:qFormat/>
    <w:rsid w:val="00AA7A03"/>
    <w:pPr>
      <w:numPr>
        <w:numId w:val="26"/>
      </w:numPr>
    </w:pPr>
  </w:style>
  <w:style w:type="paragraph" w:styleId="ListBullet3">
    <w:name w:val="List Bullet 3"/>
    <w:basedOn w:val="bt"/>
    <w:qFormat/>
    <w:rsid w:val="00AA7A03"/>
    <w:pPr>
      <w:numPr>
        <w:numId w:val="27"/>
      </w:numPr>
    </w:pPr>
  </w:style>
  <w:style w:type="paragraph" w:styleId="ListContinue">
    <w:name w:val="List Continue"/>
    <w:basedOn w:val="Normal"/>
    <w:qFormat/>
    <w:rsid w:val="00AA7A03"/>
    <w:pPr>
      <w:spacing w:after="120" w:line="240" w:lineRule="auto"/>
      <w:ind w:left="283"/>
    </w:pPr>
    <w:rPr>
      <w:rFonts w:ascii="Arial" w:eastAsia="Times New Roman" w:hAnsi="Arial" w:cs="Times New Roman"/>
      <w:sz w:val="20"/>
      <w:szCs w:val="24"/>
      <w:lang w:eastAsia="en-AU"/>
    </w:rPr>
  </w:style>
  <w:style w:type="paragraph" w:styleId="ListContinue2">
    <w:name w:val="List Continue 2"/>
    <w:basedOn w:val="Normal"/>
    <w:qFormat/>
    <w:rsid w:val="00AA7A03"/>
    <w:pPr>
      <w:spacing w:after="120" w:line="240" w:lineRule="auto"/>
      <w:ind w:left="566"/>
    </w:pPr>
    <w:rPr>
      <w:rFonts w:ascii="Arial" w:eastAsia="Times New Roman" w:hAnsi="Arial" w:cs="Times New Roman"/>
      <w:sz w:val="20"/>
      <w:szCs w:val="24"/>
      <w:lang w:eastAsia="en-AU"/>
    </w:rPr>
  </w:style>
  <w:style w:type="paragraph" w:styleId="ListContinue3">
    <w:name w:val="List Continue 3"/>
    <w:basedOn w:val="Normal"/>
    <w:qFormat/>
    <w:rsid w:val="00AA7A03"/>
    <w:pPr>
      <w:spacing w:after="120" w:line="240" w:lineRule="auto"/>
      <w:ind w:left="849"/>
    </w:pPr>
    <w:rPr>
      <w:rFonts w:ascii="Arial" w:eastAsia="Times New Roman" w:hAnsi="Arial" w:cs="Times New Roman"/>
      <w:sz w:val="20"/>
      <w:szCs w:val="24"/>
      <w:lang w:eastAsia="en-AU"/>
    </w:rPr>
  </w:style>
  <w:style w:type="character" w:styleId="Strong">
    <w:name w:val="Strong"/>
    <w:basedOn w:val="DefaultParagraphFont"/>
    <w:qFormat/>
    <w:rsid w:val="00AA7A03"/>
    <w:rPr>
      <w:rFonts w:ascii="Calibri" w:hAnsi="Calibri"/>
      <w:b/>
      <w:bCs/>
    </w:rPr>
  </w:style>
  <w:style w:type="paragraph" w:customStyle="1" w:styleId="Tabletext">
    <w:name w:val="Table text"/>
    <w:basedOn w:val="bt"/>
    <w:autoRedefine/>
    <w:qFormat/>
    <w:rsid w:val="00AA7A03"/>
    <w:pPr>
      <w:spacing w:before="60" w:after="60" w:line="240" w:lineRule="auto"/>
    </w:pPr>
    <w:rPr>
      <w:rFonts w:ascii="Arial Narrow" w:hAnsi="Arial Narrow"/>
      <w:szCs w:val="20"/>
    </w:rPr>
  </w:style>
  <w:style w:type="paragraph" w:customStyle="1" w:styleId="TabletextBold">
    <w:name w:val="Table text Bold"/>
    <w:basedOn w:val="Tabletext"/>
    <w:next w:val="Tabletext"/>
    <w:qFormat/>
    <w:rsid w:val="00AA7A03"/>
    <w:rPr>
      <w:b/>
      <w:bCs/>
    </w:rPr>
  </w:style>
  <w:style w:type="paragraph" w:customStyle="1" w:styleId="tabletextbullet">
    <w:name w:val="table text bullet"/>
    <w:basedOn w:val="Normal"/>
    <w:qFormat/>
    <w:rsid w:val="0095148A"/>
    <w:pPr>
      <w:numPr>
        <w:numId w:val="32"/>
      </w:numPr>
      <w:spacing w:before="60" w:after="60" w:line="270" w:lineRule="exact"/>
    </w:pPr>
    <w:rPr>
      <w:rFonts w:ascii="Arial Narrow" w:eastAsia="Times New Roman" w:hAnsi="Arial Narrow" w:cs="Times New Roman"/>
      <w:sz w:val="20"/>
      <w:szCs w:val="20"/>
      <w:lang w:eastAsia="en-AU"/>
    </w:rPr>
  </w:style>
  <w:style w:type="paragraph" w:customStyle="1" w:styleId="tableheaderrow">
    <w:name w:val="table_header row"/>
    <w:basedOn w:val="Tabletext"/>
    <w:qFormat/>
    <w:rsid w:val="00AA7A03"/>
    <w:rPr>
      <w:b/>
    </w:rPr>
  </w:style>
  <w:style w:type="paragraph" w:styleId="IntenseQuote">
    <w:name w:val="Intense Quote"/>
    <w:basedOn w:val="bt"/>
    <w:next w:val="bt"/>
    <w:link w:val="IntenseQuoteChar"/>
    <w:autoRedefine/>
    <w:uiPriority w:val="30"/>
    <w:qFormat/>
    <w:rsid w:val="00AA7A03"/>
    <w:pPr>
      <w:pBdr>
        <w:bottom w:val="single" w:sz="4" w:space="4" w:color="76923C" w:themeColor="accent3" w:themeShade="BF"/>
      </w:pBdr>
      <w:spacing w:before="200" w:after="280"/>
      <w:ind w:left="936" w:right="936"/>
    </w:pPr>
    <w:rPr>
      <w:bCs/>
      <w:i/>
      <w:iCs/>
      <w:color w:val="404040" w:themeColor="text1" w:themeTint="BF"/>
    </w:rPr>
  </w:style>
  <w:style w:type="character" w:customStyle="1" w:styleId="IntenseQuoteChar">
    <w:name w:val="Intense Quote Char"/>
    <w:basedOn w:val="DefaultParagraphFont"/>
    <w:link w:val="IntenseQuote"/>
    <w:uiPriority w:val="30"/>
    <w:rsid w:val="009320D2"/>
    <w:rPr>
      <w:rFonts w:ascii="Calibri" w:eastAsia="Times New Roman" w:hAnsi="Calibri" w:cs="Times New Roman"/>
      <w:bCs/>
      <w:i/>
      <w:iCs/>
      <w:color w:val="404040" w:themeColor="text1" w:themeTint="BF"/>
      <w:sz w:val="20"/>
      <w:szCs w:val="24"/>
      <w:lang w:eastAsia="en-AU"/>
    </w:rPr>
  </w:style>
  <w:style w:type="paragraph" w:customStyle="1" w:styleId="btbullet">
    <w:name w:val="bt_bullet"/>
    <w:basedOn w:val="bt"/>
    <w:qFormat/>
    <w:rsid w:val="00AA7A03"/>
    <w:pPr>
      <w:numPr>
        <w:numId w:val="23"/>
      </w:numPr>
      <w:spacing w:before="60" w:after="60" w:line="264" w:lineRule="auto"/>
    </w:pPr>
  </w:style>
  <w:style w:type="table" w:styleId="TableGrid">
    <w:name w:val="Table Grid"/>
    <w:basedOn w:val="TableNormal"/>
    <w:uiPriority w:val="59"/>
    <w:rsid w:val="00AA7A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AA7A0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AA7A0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rsid w:val="00AA7A0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IntenseEmphasis">
    <w:name w:val="Intense Emphasis"/>
    <w:basedOn w:val="DefaultParagraphFont"/>
    <w:uiPriority w:val="21"/>
    <w:qFormat/>
    <w:rsid w:val="00AA7A03"/>
    <w:rPr>
      <w:b/>
      <w:bCs/>
      <w:i/>
      <w:iCs/>
      <w:color w:val="262626" w:themeColor="text1" w:themeTint="D9"/>
    </w:rPr>
  </w:style>
  <w:style w:type="paragraph" w:customStyle="1" w:styleId="source">
    <w:name w:val="source"/>
    <w:basedOn w:val="bt"/>
    <w:next w:val="bt"/>
    <w:qFormat/>
    <w:rsid w:val="004B3BA5"/>
    <w:pPr>
      <w:spacing w:before="0" w:line="240" w:lineRule="auto"/>
    </w:pPr>
    <w:rPr>
      <w:i/>
      <w:sz w:val="18"/>
    </w:rPr>
  </w:style>
  <w:style w:type="paragraph" w:styleId="TOC1">
    <w:name w:val="toc 1"/>
    <w:basedOn w:val="Normal"/>
    <w:next w:val="Normal"/>
    <w:autoRedefine/>
    <w:uiPriority w:val="39"/>
    <w:unhideWhenUsed/>
    <w:qFormat/>
    <w:rsid w:val="00AA7A03"/>
    <w:pPr>
      <w:tabs>
        <w:tab w:val="left" w:pos="284"/>
        <w:tab w:val="left" w:pos="851"/>
        <w:tab w:val="right" w:leader="dot" w:pos="9016"/>
      </w:tabs>
      <w:spacing w:after="100"/>
    </w:pPr>
  </w:style>
  <w:style w:type="paragraph" w:styleId="TOC2">
    <w:name w:val="toc 2"/>
    <w:basedOn w:val="Normal"/>
    <w:next w:val="Normal"/>
    <w:autoRedefine/>
    <w:uiPriority w:val="39"/>
    <w:unhideWhenUsed/>
    <w:qFormat/>
    <w:rsid w:val="00AA7A03"/>
    <w:pPr>
      <w:tabs>
        <w:tab w:val="left" w:pos="567"/>
        <w:tab w:val="left" w:pos="993"/>
        <w:tab w:val="right" w:leader="dot" w:pos="9016"/>
      </w:tabs>
      <w:spacing w:after="100"/>
      <w:ind w:left="567"/>
    </w:pPr>
  </w:style>
  <w:style w:type="character" w:styleId="Hyperlink">
    <w:name w:val="Hyperlink"/>
    <w:basedOn w:val="DefaultParagraphFont"/>
    <w:uiPriority w:val="99"/>
    <w:unhideWhenUsed/>
    <w:rsid w:val="00AA7A03"/>
    <w:rPr>
      <w:color w:val="0000FF" w:themeColor="hyperlink"/>
      <w:u w:val="single"/>
    </w:rPr>
  </w:style>
  <w:style w:type="paragraph" w:styleId="TableofFigures">
    <w:name w:val="table of figures"/>
    <w:basedOn w:val="Normal"/>
    <w:next w:val="Normal"/>
    <w:uiPriority w:val="99"/>
    <w:unhideWhenUsed/>
    <w:qFormat/>
    <w:rsid w:val="00826FEB"/>
    <w:pPr>
      <w:spacing w:before="120" w:after="120"/>
    </w:pPr>
  </w:style>
  <w:style w:type="paragraph" w:styleId="Title">
    <w:name w:val="Title"/>
    <w:basedOn w:val="bt"/>
    <w:next w:val="Subtitle"/>
    <w:link w:val="TitleChar"/>
    <w:uiPriority w:val="10"/>
    <w:qFormat/>
    <w:rsid w:val="00AA7A03"/>
    <w:pPr>
      <w:spacing w:after="300" w:line="240" w:lineRule="auto"/>
      <w:contextualSpacing/>
    </w:pPr>
    <w:rPr>
      <w:rFonts w:eastAsiaTheme="majorEastAsia" w:cstheme="majorBidi"/>
      <w:spacing w:val="5"/>
      <w:kern w:val="28"/>
      <w:sz w:val="52"/>
      <w:szCs w:val="52"/>
    </w:rPr>
  </w:style>
  <w:style w:type="paragraph" w:styleId="Subtitle">
    <w:name w:val="Subtitle"/>
    <w:basedOn w:val="bt"/>
    <w:next w:val="bt"/>
    <w:link w:val="SubtitleChar"/>
    <w:uiPriority w:val="11"/>
    <w:qFormat/>
    <w:rsid w:val="00AA7A03"/>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E93DDE"/>
    <w:rPr>
      <w:rFonts w:ascii="Calibri" w:eastAsiaTheme="majorEastAsia" w:hAnsi="Calibri" w:cstheme="majorBidi"/>
      <w:i/>
      <w:iCs/>
      <w:spacing w:val="15"/>
      <w:sz w:val="24"/>
      <w:szCs w:val="24"/>
      <w:lang w:eastAsia="en-AU"/>
    </w:rPr>
  </w:style>
  <w:style w:type="character" w:customStyle="1" w:styleId="TitleChar">
    <w:name w:val="Title Char"/>
    <w:basedOn w:val="DefaultParagraphFont"/>
    <w:link w:val="Title"/>
    <w:uiPriority w:val="10"/>
    <w:rsid w:val="00C8557A"/>
    <w:rPr>
      <w:rFonts w:ascii="Calibri" w:eastAsiaTheme="majorEastAsia" w:hAnsi="Calibri" w:cstheme="majorBidi"/>
      <w:spacing w:val="5"/>
      <w:kern w:val="28"/>
      <w:sz w:val="52"/>
      <w:szCs w:val="52"/>
      <w:lang w:eastAsia="en-AU"/>
    </w:rPr>
  </w:style>
  <w:style w:type="paragraph" w:styleId="TOC3">
    <w:name w:val="toc 3"/>
    <w:basedOn w:val="Normal"/>
    <w:next w:val="Normal"/>
    <w:autoRedefine/>
    <w:uiPriority w:val="39"/>
    <w:unhideWhenUsed/>
    <w:rsid w:val="00AA7A03"/>
    <w:pPr>
      <w:tabs>
        <w:tab w:val="right" w:leader="dot" w:pos="9016"/>
      </w:tabs>
      <w:spacing w:after="100"/>
      <w:ind w:left="851"/>
    </w:pPr>
  </w:style>
  <w:style w:type="table" w:styleId="MediumShading1-Accent3">
    <w:name w:val="Medium Shading 1 Accent 3"/>
    <w:basedOn w:val="TableNormal"/>
    <w:uiPriority w:val="63"/>
    <w:rsid w:val="00AA7A03"/>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Grid3-Accent3">
    <w:name w:val="Medium Grid 3 Accent 3"/>
    <w:basedOn w:val="TableNormal"/>
    <w:uiPriority w:val="69"/>
    <w:rsid w:val="00AA7A0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styleId="FollowedHyperlink">
    <w:name w:val="FollowedHyperlink"/>
    <w:basedOn w:val="DefaultParagraphFont"/>
    <w:uiPriority w:val="99"/>
    <w:semiHidden/>
    <w:unhideWhenUsed/>
    <w:rsid w:val="00AA7A03"/>
    <w:rPr>
      <w:color w:val="800080" w:themeColor="followedHyperlink"/>
      <w:u w:val="single"/>
    </w:rPr>
  </w:style>
  <w:style w:type="paragraph" w:customStyle="1" w:styleId="btpicture">
    <w:name w:val="bt_picture"/>
    <w:basedOn w:val="bt"/>
    <w:next w:val="bt"/>
    <w:qFormat/>
    <w:rsid w:val="00AA7A03"/>
    <w:pPr>
      <w:spacing w:after="0" w:line="240" w:lineRule="auto"/>
    </w:pPr>
    <w:rPr>
      <w:sz w:val="18"/>
    </w:rPr>
  </w:style>
  <w:style w:type="paragraph" w:styleId="FootnoteText">
    <w:name w:val="footnote text"/>
    <w:basedOn w:val="Normal"/>
    <w:link w:val="FootnoteTextChar"/>
    <w:uiPriority w:val="99"/>
    <w:unhideWhenUsed/>
    <w:rsid w:val="00AA7A03"/>
    <w:pPr>
      <w:spacing w:after="0" w:line="240" w:lineRule="auto"/>
    </w:pPr>
    <w:rPr>
      <w:sz w:val="20"/>
      <w:szCs w:val="20"/>
    </w:rPr>
  </w:style>
  <w:style w:type="character" w:customStyle="1" w:styleId="FootnoteTextChar">
    <w:name w:val="Footnote Text Char"/>
    <w:basedOn w:val="DefaultParagraphFont"/>
    <w:link w:val="FootnoteText"/>
    <w:uiPriority w:val="99"/>
    <w:rsid w:val="00DD1150"/>
    <w:rPr>
      <w:rFonts w:eastAsiaTheme="minorEastAsia"/>
      <w:sz w:val="20"/>
      <w:szCs w:val="20"/>
      <w:lang w:val="en-US"/>
    </w:rPr>
  </w:style>
  <w:style w:type="character" w:styleId="SubtleEmphasis">
    <w:name w:val="Subtle Emphasis"/>
    <w:basedOn w:val="DefaultParagraphFont"/>
    <w:uiPriority w:val="19"/>
    <w:qFormat/>
    <w:rsid w:val="00AA7A03"/>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AA7A03"/>
    <w:pPr>
      <w:spacing w:after="0" w:line="240" w:lineRule="auto"/>
    </w:pPr>
    <w:rPr>
      <w:color w:val="365F91" w:themeColor="accent1" w:themeShade="BF"/>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Quote">
    <w:name w:val="Quote"/>
    <w:basedOn w:val="Normal"/>
    <w:next w:val="Normal"/>
    <w:link w:val="QuoteChar"/>
    <w:uiPriority w:val="29"/>
    <w:qFormat/>
    <w:rsid w:val="00AA7A03"/>
    <w:rPr>
      <w:i/>
      <w:iCs/>
      <w:color w:val="000000" w:themeColor="text1"/>
    </w:rPr>
  </w:style>
  <w:style w:type="character" w:customStyle="1" w:styleId="QuoteChar">
    <w:name w:val="Quote Char"/>
    <w:basedOn w:val="DefaultParagraphFont"/>
    <w:link w:val="Quote"/>
    <w:uiPriority w:val="29"/>
    <w:rsid w:val="00803BD6"/>
    <w:rPr>
      <w:i/>
      <w:iCs/>
      <w:color w:val="000000" w:themeColor="text1"/>
    </w:rPr>
  </w:style>
  <w:style w:type="paragraph" w:styleId="ListParagraph">
    <w:name w:val="List Paragraph"/>
    <w:basedOn w:val="Normal"/>
    <w:uiPriority w:val="34"/>
    <w:qFormat/>
    <w:rsid w:val="00AA7A03"/>
    <w:pPr>
      <w:ind w:left="720"/>
      <w:contextualSpacing/>
    </w:pPr>
  </w:style>
  <w:style w:type="character" w:styleId="SubtleReference">
    <w:name w:val="Subtle Reference"/>
    <w:basedOn w:val="DefaultParagraphFont"/>
    <w:uiPriority w:val="31"/>
    <w:qFormat/>
    <w:rsid w:val="00AA7A03"/>
    <w:rPr>
      <w:smallCaps/>
      <w:color w:val="C0504D" w:themeColor="accent2"/>
      <w:u w:val="single"/>
    </w:rPr>
  </w:style>
  <w:style w:type="character" w:styleId="IntenseReference">
    <w:name w:val="Intense Reference"/>
    <w:basedOn w:val="DefaultParagraphFont"/>
    <w:uiPriority w:val="32"/>
    <w:qFormat/>
    <w:rsid w:val="00AA7A03"/>
    <w:rPr>
      <w:b/>
      <w:bCs/>
      <w:smallCaps/>
      <w:color w:val="C0504D" w:themeColor="accent2"/>
      <w:spacing w:val="5"/>
      <w:u w:val="single"/>
    </w:rPr>
  </w:style>
  <w:style w:type="table" w:styleId="LightShading-Accent5">
    <w:name w:val="Light Shading Accent 5"/>
    <w:basedOn w:val="TableNormal"/>
    <w:uiPriority w:val="60"/>
    <w:rsid w:val="00AA7A0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1">
    <w:name w:val="Light Shading1"/>
    <w:basedOn w:val="TableNormal"/>
    <w:uiPriority w:val="60"/>
    <w:rsid w:val="00AA7A0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AA7A03"/>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4">
    <w:name w:val="Light Shading Accent 4"/>
    <w:basedOn w:val="TableNormal"/>
    <w:uiPriority w:val="60"/>
    <w:rsid w:val="00AA7A0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AA7A03"/>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Number">
    <w:name w:val="List Number"/>
    <w:basedOn w:val="bt"/>
    <w:uiPriority w:val="99"/>
    <w:unhideWhenUsed/>
    <w:qFormat/>
    <w:rsid w:val="00731D63"/>
    <w:pPr>
      <w:numPr>
        <w:numId w:val="34"/>
      </w:numPr>
      <w:spacing w:before="40" w:after="40"/>
      <w:contextualSpacing/>
    </w:pPr>
  </w:style>
  <w:style w:type="paragraph" w:styleId="ListNumber2">
    <w:name w:val="List Number 2"/>
    <w:basedOn w:val="bt"/>
    <w:uiPriority w:val="99"/>
    <w:unhideWhenUsed/>
    <w:qFormat/>
    <w:rsid w:val="00AA7A03"/>
    <w:pPr>
      <w:numPr>
        <w:numId w:val="29"/>
      </w:numPr>
      <w:contextualSpacing/>
    </w:pPr>
  </w:style>
  <w:style w:type="paragraph" w:styleId="ListNumber3">
    <w:name w:val="List Number 3"/>
    <w:basedOn w:val="bt"/>
    <w:uiPriority w:val="99"/>
    <w:unhideWhenUsed/>
    <w:qFormat/>
    <w:rsid w:val="00AA7A03"/>
    <w:pPr>
      <w:numPr>
        <w:numId w:val="30"/>
      </w:numPr>
      <w:contextualSpacing/>
    </w:pPr>
  </w:style>
  <w:style w:type="paragraph" w:styleId="ListNumber4">
    <w:name w:val="List Number 4"/>
    <w:basedOn w:val="bt"/>
    <w:uiPriority w:val="99"/>
    <w:unhideWhenUsed/>
    <w:qFormat/>
    <w:rsid w:val="00AA7A03"/>
    <w:pPr>
      <w:numPr>
        <w:numId w:val="31"/>
      </w:numPr>
      <w:tabs>
        <w:tab w:val="left" w:pos="1701"/>
      </w:tabs>
      <w:contextualSpacing/>
    </w:pPr>
  </w:style>
  <w:style w:type="table" w:customStyle="1" w:styleId="MediumGrid31">
    <w:name w:val="Medium Grid 31"/>
    <w:basedOn w:val="TableNormal"/>
    <w:uiPriority w:val="69"/>
    <w:rsid w:val="00AA7A0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Accent5">
    <w:name w:val="Medium Shading 1 Accent 5"/>
    <w:basedOn w:val="TableNormal"/>
    <w:uiPriority w:val="63"/>
    <w:rsid w:val="00AA7A0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bttextbox">
    <w:name w:val="bt_textbox"/>
    <w:basedOn w:val="bt"/>
    <w:qFormat/>
    <w:rsid w:val="00AA7A03"/>
  </w:style>
  <w:style w:type="paragraph" w:customStyle="1" w:styleId="Default">
    <w:name w:val="Default"/>
    <w:rsid w:val="00AA7A03"/>
    <w:pPr>
      <w:autoSpaceDE w:val="0"/>
      <w:autoSpaceDN w:val="0"/>
      <w:adjustRightInd w:val="0"/>
      <w:spacing w:after="0" w:line="240" w:lineRule="auto"/>
    </w:pPr>
    <w:rPr>
      <w:rFonts w:ascii="DIN" w:hAnsi="DIN" w:cs="DIN"/>
      <w:color w:val="000000"/>
      <w:sz w:val="24"/>
      <w:szCs w:val="24"/>
    </w:rPr>
  </w:style>
  <w:style w:type="paragraph" w:styleId="TOC4">
    <w:name w:val="toc 4"/>
    <w:basedOn w:val="Normal"/>
    <w:next w:val="Normal"/>
    <w:autoRedefine/>
    <w:uiPriority w:val="39"/>
    <w:unhideWhenUsed/>
    <w:rsid w:val="00AA7A03"/>
    <w:pPr>
      <w:spacing w:after="100"/>
      <w:ind w:left="660"/>
    </w:pPr>
    <w:rPr>
      <w:lang w:eastAsia="en-AU"/>
    </w:rPr>
  </w:style>
  <w:style w:type="paragraph" w:styleId="TOC5">
    <w:name w:val="toc 5"/>
    <w:basedOn w:val="Normal"/>
    <w:next w:val="Normal"/>
    <w:autoRedefine/>
    <w:uiPriority w:val="39"/>
    <w:unhideWhenUsed/>
    <w:rsid w:val="00AA7A03"/>
    <w:pPr>
      <w:spacing w:after="100"/>
      <w:ind w:left="880"/>
    </w:pPr>
    <w:rPr>
      <w:lang w:eastAsia="en-AU"/>
    </w:rPr>
  </w:style>
  <w:style w:type="paragraph" w:styleId="TOC6">
    <w:name w:val="toc 6"/>
    <w:basedOn w:val="Normal"/>
    <w:next w:val="Normal"/>
    <w:autoRedefine/>
    <w:uiPriority w:val="39"/>
    <w:unhideWhenUsed/>
    <w:rsid w:val="00AA7A03"/>
    <w:pPr>
      <w:spacing w:after="100"/>
      <w:ind w:left="1100"/>
    </w:pPr>
    <w:rPr>
      <w:lang w:eastAsia="en-AU"/>
    </w:rPr>
  </w:style>
  <w:style w:type="paragraph" w:styleId="TOC7">
    <w:name w:val="toc 7"/>
    <w:basedOn w:val="Normal"/>
    <w:next w:val="Normal"/>
    <w:autoRedefine/>
    <w:uiPriority w:val="39"/>
    <w:unhideWhenUsed/>
    <w:rsid w:val="00AA7A03"/>
    <w:pPr>
      <w:spacing w:after="100"/>
      <w:ind w:left="1320"/>
    </w:pPr>
    <w:rPr>
      <w:lang w:eastAsia="en-AU"/>
    </w:rPr>
  </w:style>
  <w:style w:type="paragraph" w:styleId="TOC8">
    <w:name w:val="toc 8"/>
    <w:basedOn w:val="Normal"/>
    <w:next w:val="Normal"/>
    <w:autoRedefine/>
    <w:uiPriority w:val="39"/>
    <w:unhideWhenUsed/>
    <w:rsid w:val="00AA7A03"/>
    <w:pPr>
      <w:spacing w:after="100"/>
      <w:ind w:left="1540"/>
    </w:pPr>
    <w:rPr>
      <w:lang w:eastAsia="en-AU"/>
    </w:rPr>
  </w:style>
  <w:style w:type="paragraph" w:styleId="TOC9">
    <w:name w:val="toc 9"/>
    <w:basedOn w:val="Normal"/>
    <w:next w:val="Normal"/>
    <w:autoRedefine/>
    <w:uiPriority w:val="39"/>
    <w:unhideWhenUsed/>
    <w:rsid w:val="00AA7A03"/>
    <w:pPr>
      <w:spacing w:after="100"/>
      <w:ind w:left="1760"/>
    </w:pPr>
    <w:rPr>
      <w:lang w:eastAsia="en-AU"/>
    </w:rPr>
  </w:style>
  <w:style w:type="paragraph" w:styleId="NormalWeb">
    <w:name w:val="Normal (Web)"/>
    <w:basedOn w:val="Normal"/>
    <w:uiPriority w:val="99"/>
    <w:semiHidden/>
    <w:unhideWhenUsed/>
    <w:rsid w:val="00AA7A0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AA7A03"/>
    <w:rPr>
      <w:sz w:val="16"/>
      <w:szCs w:val="16"/>
    </w:rPr>
  </w:style>
  <w:style w:type="paragraph" w:styleId="CommentSubject">
    <w:name w:val="annotation subject"/>
    <w:basedOn w:val="CommentText"/>
    <w:next w:val="CommentText"/>
    <w:link w:val="CommentSubjectChar"/>
    <w:uiPriority w:val="99"/>
    <w:semiHidden/>
    <w:unhideWhenUsed/>
    <w:rsid w:val="00AA7A03"/>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67FA4"/>
    <w:rPr>
      <w:rFonts w:ascii="Arial" w:eastAsia="Times New Roman" w:hAnsi="Arial" w:cs="Times New Roman"/>
      <w:b/>
      <w:bCs/>
      <w:sz w:val="20"/>
      <w:szCs w:val="20"/>
      <w:lang w:eastAsia="en-AU"/>
    </w:rPr>
  </w:style>
  <w:style w:type="character" w:styleId="PlaceholderText">
    <w:name w:val="Placeholder Text"/>
    <w:basedOn w:val="DefaultParagraphFont"/>
    <w:uiPriority w:val="99"/>
    <w:semiHidden/>
    <w:rsid w:val="00AA7A03"/>
    <w:rPr>
      <w:color w:val="808080"/>
    </w:rPr>
  </w:style>
  <w:style w:type="paragraph" w:customStyle="1" w:styleId="head">
    <w:name w:val="head"/>
    <w:basedOn w:val="bt"/>
    <w:rsid w:val="00A94835"/>
  </w:style>
  <w:style w:type="paragraph" w:customStyle="1" w:styleId="toc">
    <w:name w:val="toc"/>
    <w:basedOn w:val="head"/>
    <w:rsid w:val="00A94835"/>
  </w:style>
  <w:style w:type="paragraph" w:customStyle="1" w:styleId="TOCH">
    <w:name w:val="TOC H"/>
    <w:basedOn w:val="toc"/>
    <w:next w:val="TOCHeading"/>
    <w:qFormat/>
    <w:rsid w:val="003C7518"/>
    <w:rPr>
      <w:rFonts w:asciiTheme="minorHAnsi" w:hAnsiTheme="minorHAnsi"/>
      <w:b/>
      <w:sz w:val="34"/>
    </w:rPr>
  </w:style>
  <w:style w:type="character" w:customStyle="1" w:styleId="btChar">
    <w:name w:val="bt Char"/>
    <w:basedOn w:val="DefaultParagraphFont"/>
    <w:link w:val="bt"/>
    <w:rsid w:val="00A94835"/>
    <w:rPr>
      <w:rFonts w:ascii="Calibri" w:eastAsia="Times New Roman" w:hAnsi="Calibri" w:cs="Times New Roman"/>
      <w:sz w:val="20"/>
      <w:szCs w:val="24"/>
      <w:lang w:eastAsia="en-AU"/>
    </w:rPr>
  </w:style>
  <w:style w:type="character" w:styleId="PageNumber">
    <w:name w:val="page number"/>
    <w:basedOn w:val="DefaultParagraphFont"/>
    <w:uiPriority w:val="99"/>
    <w:semiHidden/>
    <w:unhideWhenUsed/>
    <w:rsid w:val="006B196F"/>
  </w:style>
  <w:style w:type="character" w:styleId="FootnoteReference">
    <w:name w:val="footnote reference"/>
    <w:basedOn w:val="DefaultParagraphFont"/>
    <w:uiPriority w:val="99"/>
    <w:unhideWhenUsed/>
    <w:rsid w:val="00466491"/>
    <w:rPr>
      <w:vertAlign w:val="superscript"/>
    </w:rPr>
  </w:style>
  <w:style w:type="paragraph" w:styleId="Revision">
    <w:name w:val="Revision"/>
    <w:hidden/>
    <w:uiPriority w:val="99"/>
    <w:semiHidden/>
    <w:rsid w:val="00FC5996"/>
    <w:pPr>
      <w:spacing w:after="0" w:line="240" w:lineRule="auto"/>
    </w:pPr>
  </w:style>
  <w:style w:type="paragraph" w:customStyle="1" w:styleId="Heading-Yellow">
    <w:name w:val="Heading-Yellow"/>
    <w:basedOn w:val="TOCHeading"/>
    <w:link w:val="Heading-YellowChar"/>
    <w:qFormat/>
    <w:rsid w:val="00FF6F18"/>
  </w:style>
  <w:style w:type="paragraph" w:customStyle="1" w:styleId="Header-Main">
    <w:name w:val="Header-Main"/>
    <w:basedOn w:val="Header"/>
    <w:link w:val="Header-MainChar"/>
    <w:qFormat/>
    <w:rsid w:val="00DF32E2"/>
    <w:pPr>
      <w:pBdr>
        <w:bottom w:val="single" w:sz="4" w:space="1" w:color="5F497A" w:themeColor="accent4" w:themeShade="BF"/>
        <w:between w:val="single" w:sz="4" w:space="1" w:color="5F497A" w:themeColor="accent4" w:themeShade="BF"/>
      </w:pBdr>
      <w:tabs>
        <w:tab w:val="clear" w:pos="9026"/>
        <w:tab w:val="right" w:pos="9072"/>
      </w:tabs>
      <w:spacing w:line="276" w:lineRule="auto"/>
      <w:jc w:val="center"/>
    </w:pPr>
    <w:rPr>
      <w:b/>
      <w:sz w:val="20"/>
    </w:rPr>
  </w:style>
  <w:style w:type="character" w:customStyle="1" w:styleId="TOCHeadingChar">
    <w:name w:val="TOC Heading Char"/>
    <w:basedOn w:val="Heading1Char"/>
    <w:link w:val="TOCHeading"/>
    <w:uiPriority w:val="39"/>
    <w:semiHidden/>
    <w:rsid w:val="00AC1B0B"/>
    <w:rPr>
      <w:rFonts w:ascii="Calibri" w:eastAsia="Times New Roman" w:hAnsi="Calibri" w:cs="Times New Roman"/>
      <w:b/>
      <w:bCs/>
      <w:sz w:val="34"/>
      <w:szCs w:val="28"/>
      <w:lang w:val="en-US"/>
    </w:rPr>
  </w:style>
  <w:style w:type="character" w:customStyle="1" w:styleId="Heading-YellowChar">
    <w:name w:val="Heading-Yellow Char"/>
    <w:basedOn w:val="TOCHeadingChar"/>
    <w:link w:val="Heading-Yellow"/>
    <w:rsid w:val="00FF6F18"/>
    <w:rPr>
      <w:b/>
      <w:bCs/>
    </w:rPr>
  </w:style>
  <w:style w:type="paragraph" w:customStyle="1" w:styleId="Header-Sub">
    <w:name w:val="Header-Sub"/>
    <w:basedOn w:val="Header"/>
    <w:link w:val="Header-SubChar"/>
    <w:qFormat/>
    <w:rsid w:val="00DF32E2"/>
    <w:pPr>
      <w:pBdr>
        <w:bottom w:val="single" w:sz="4" w:space="1" w:color="5F497A" w:themeColor="accent4" w:themeShade="BF"/>
        <w:between w:val="single" w:sz="4" w:space="1" w:color="5F497A" w:themeColor="accent4" w:themeShade="BF"/>
      </w:pBdr>
      <w:tabs>
        <w:tab w:val="clear" w:pos="9026"/>
        <w:tab w:val="right" w:pos="9072"/>
      </w:tabs>
      <w:spacing w:line="276" w:lineRule="auto"/>
      <w:jc w:val="center"/>
    </w:pPr>
    <w:rPr>
      <w:sz w:val="20"/>
    </w:rPr>
  </w:style>
  <w:style w:type="character" w:customStyle="1" w:styleId="Header-MainChar">
    <w:name w:val="Header-Main Char"/>
    <w:basedOn w:val="HeaderChar"/>
    <w:link w:val="Header-Main"/>
    <w:rsid w:val="00DF32E2"/>
    <w:rPr>
      <w:b/>
      <w:sz w:val="20"/>
    </w:rPr>
  </w:style>
  <w:style w:type="character" w:customStyle="1" w:styleId="Header-SubChar">
    <w:name w:val="Header-Sub Char"/>
    <w:basedOn w:val="HeaderChar"/>
    <w:link w:val="Header-Sub"/>
    <w:rsid w:val="00DF32E2"/>
    <w:rPr>
      <w:sz w:val="20"/>
    </w:rPr>
  </w:style>
  <w:style w:type="character" w:customStyle="1" w:styleId="Heading5Char">
    <w:name w:val="Heading 5 Char"/>
    <w:basedOn w:val="DefaultParagraphFont"/>
    <w:link w:val="Heading5"/>
    <w:uiPriority w:val="9"/>
    <w:rsid w:val="00297209"/>
    <w:rPr>
      <w:rFonts w:eastAsiaTheme="majorEastAsia" w:cstheme="majorBidi"/>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List Bullet" w:uiPriority="0" w:qFormat="1"/>
    <w:lsdException w:name="List Number" w:qFormat="1"/>
    <w:lsdException w:name="List Bullet 2" w:uiPriority="0" w:qFormat="1"/>
    <w:lsdException w:name="List Bullet 3" w:uiPriority="0" w:qFormat="1"/>
    <w:lsdException w:name="List Number 2" w:qFormat="1"/>
    <w:lsdException w:name="List Number 3" w:qFormat="1"/>
    <w:lsdException w:name="List Number 4"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NoNum"/>
    <w:next w:val="bt"/>
    <w:link w:val="Heading1Char"/>
    <w:qFormat/>
    <w:rsid w:val="00AA7A03"/>
    <w:pPr>
      <w:keepNext/>
      <w:tabs>
        <w:tab w:val="left" w:pos="851"/>
      </w:tabs>
      <w:spacing w:after="120" w:line="240" w:lineRule="auto"/>
      <w:outlineLvl w:val="0"/>
    </w:pPr>
    <w:rPr>
      <w:rFonts w:ascii="Calibri" w:eastAsia="Times New Roman" w:hAnsi="Calibri" w:cs="Times New Roman"/>
      <w:b/>
      <w:bCs/>
      <w:sz w:val="34"/>
      <w:szCs w:val="28"/>
    </w:rPr>
  </w:style>
  <w:style w:type="paragraph" w:styleId="Heading2">
    <w:name w:val="heading 2"/>
    <w:next w:val="bt"/>
    <w:link w:val="Heading2Char"/>
    <w:qFormat/>
    <w:rsid w:val="0095148A"/>
    <w:pPr>
      <w:keepNext/>
      <w:numPr>
        <w:ilvl w:val="1"/>
        <w:numId w:val="24"/>
      </w:numPr>
      <w:tabs>
        <w:tab w:val="left" w:pos="851"/>
      </w:tabs>
      <w:spacing w:before="360" w:after="240" w:line="240" w:lineRule="auto"/>
      <w:ind w:left="578" w:hanging="578"/>
      <w:outlineLvl w:val="1"/>
    </w:pPr>
    <w:rPr>
      <w:rFonts w:ascii="Calibri" w:eastAsia="Times New Roman" w:hAnsi="Calibri" w:cs="Arial"/>
      <w:b/>
      <w:bCs/>
      <w:iCs/>
      <w:color w:val="595959" w:themeColor="text1" w:themeTint="A6"/>
      <w:sz w:val="28"/>
      <w:szCs w:val="28"/>
      <w:lang w:eastAsia="en-AU"/>
    </w:rPr>
  </w:style>
  <w:style w:type="paragraph" w:styleId="Heading3">
    <w:name w:val="heading 3"/>
    <w:basedOn w:val="bt"/>
    <w:next w:val="bt"/>
    <w:link w:val="Heading3Char"/>
    <w:qFormat/>
    <w:rsid w:val="007E5014"/>
    <w:pPr>
      <w:outlineLvl w:val="2"/>
    </w:pPr>
    <w:rPr>
      <w:b/>
    </w:rPr>
  </w:style>
  <w:style w:type="paragraph" w:styleId="Heading4">
    <w:name w:val="heading 4"/>
    <w:next w:val="bt"/>
    <w:link w:val="Heading4Char"/>
    <w:qFormat/>
    <w:rsid w:val="00AA7A03"/>
    <w:pPr>
      <w:spacing w:before="360" w:after="240" w:line="240" w:lineRule="auto"/>
      <w:outlineLvl w:val="3"/>
    </w:pPr>
    <w:rPr>
      <w:rFonts w:eastAsia="Times New Roman" w:cs="Times New Roman"/>
      <w:bCs/>
      <w:sz w:val="2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
    <w:name w:val="bt"/>
    <w:link w:val="btChar"/>
    <w:qFormat/>
    <w:rsid w:val="00AA7A03"/>
    <w:pPr>
      <w:spacing w:before="180" w:after="240" w:line="270" w:lineRule="exact"/>
    </w:pPr>
    <w:rPr>
      <w:rFonts w:ascii="Calibri" w:eastAsia="Times New Roman" w:hAnsi="Calibri" w:cs="Times New Roman"/>
      <w:sz w:val="20"/>
      <w:szCs w:val="24"/>
      <w:lang w:eastAsia="en-AU"/>
    </w:rPr>
  </w:style>
  <w:style w:type="character" w:customStyle="1" w:styleId="Heading1Char">
    <w:name w:val="Heading 1 Char"/>
    <w:aliases w:val="1 NoNum Char"/>
    <w:basedOn w:val="DefaultParagraphFont"/>
    <w:link w:val="Heading1"/>
    <w:rsid w:val="00961D6F"/>
    <w:rPr>
      <w:rFonts w:ascii="Calibri" w:eastAsia="Times New Roman" w:hAnsi="Calibri" w:cs="Times New Roman"/>
      <w:b/>
      <w:bCs/>
      <w:sz w:val="34"/>
      <w:szCs w:val="28"/>
    </w:rPr>
  </w:style>
  <w:style w:type="character" w:customStyle="1" w:styleId="Heading2Char">
    <w:name w:val="Heading 2 Char"/>
    <w:basedOn w:val="DefaultParagraphFont"/>
    <w:link w:val="Heading2"/>
    <w:rsid w:val="0095148A"/>
    <w:rPr>
      <w:rFonts w:ascii="Calibri" w:eastAsia="Times New Roman" w:hAnsi="Calibri" w:cs="Arial"/>
      <w:b/>
      <w:bCs/>
      <w:iCs/>
      <w:color w:val="595959" w:themeColor="text1" w:themeTint="A6"/>
      <w:sz w:val="28"/>
      <w:szCs w:val="28"/>
      <w:lang w:eastAsia="en-AU"/>
    </w:rPr>
  </w:style>
  <w:style w:type="character" w:customStyle="1" w:styleId="Heading3Char">
    <w:name w:val="Heading 3 Char"/>
    <w:basedOn w:val="DefaultParagraphFont"/>
    <w:link w:val="Heading3"/>
    <w:rsid w:val="007E5014"/>
    <w:rPr>
      <w:rFonts w:ascii="Calibri" w:eastAsia="Times New Roman" w:hAnsi="Calibri" w:cs="Times New Roman"/>
      <w:b/>
      <w:sz w:val="20"/>
      <w:szCs w:val="24"/>
      <w:lang w:eastAsia="en-AU"/>
    </w:rPr>
  </w:style>
  <w:style w:type="character" w:customStyle="1" w:styleId="Heading4Char">
    <w:name w:val="Heading 4 Char"/>
    <w:basedOn w:val="DefaultParagraphFont"/>
    <w:link w:val="Heading4"/>
    <w:rsid w:val="00833B7E"/>
    <w:rPr>
      <w:rFonts w:eastAsia="Times New Roman" w:cs="Times New Roman"/>
      <w:bCs/>
      <w:sz w:val="28"/>
      <w:szCs w:val="16"/>
    </w:rPr>
  </w:style>
  <w:style w:type="paragraph" w:styleId="BalloonText">
    <w:name w:val="Balloon Text"/>
    <w:basedOn w:val="Normal"/>
    <w:link w:val="BalloonTextChar"/>
    <w:uiPriority w:val="99"/>
    <w:semiHidden/>
    <w:unhideWhenUsed/>
    <w:rsid w:val="00AA7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F62"/>
    <w:rPr>
      <w:rFonts w:ascii="Tahoma" w:hAnsi="Tahoma" w:cs="Tahoma"/>
      <w:sz w:val="16"/>
      <w:szCs w:val="16"/>
    </w:rPr>
  </w:style>
  <w:style w:type="paragraph" w:styleId="NoSpacing">
    <w:name w:val="No Spacing"/>
    <w:link w:val="NoSpacingChar"/>
    <w:uiPriority w:val="1"/>
    <w:qFormat/>
    <w:rsid w:val="00AA7A03"/>
    <w:pPr>
      <w:spacing w:after="0" w:line="240" w:lineRule="auto"/>
    </w:pPr>
  </w:style>
  <w:style w:type="character" w:customStyle="1" w:styleId="NoSpacingChar">
    <w:name w:val="No Spacing Char"/>
    <w:basedOn w:val="DefaultParagraphFont"/>
    <w:link w:val="NoSpacing"/>
    <w:uiPriority w:val="1"/>
    <w:rsid w:val="00E02F62"/>
    <w:rPr>
      <w:rFonts w:eastAsiaTheme="minorEastAsia"/>
      <w:lang w:val="en-US"/>
    </w:rPr>
  </w:style>
  <w:style w:type="paragraph" w:styleId="TOCHeading">
    <w:name w:val="TOC Heading"/>
    <w:basedOn w:val="Heading1"/>
    <w:next w:val="Normal"/>
    <w:link w:val="TOCHeadingChar"/>
    <w:uiPriority w:val="39"/>
    <w:semiHidden/>
    <w:unhideWhenUsed/>
    <w:qFormat/>
    <w:rsid w:val="00AA7A03"/>
    <w:pPr>
      <w:outlineLvl w:val="9"/>
    </w:pPr>
  </w:style>
  <w:style w:type="paragraph" w:styleId="Header">
    <w:name w:val="header"/>
    <w:basedOn w:val="Normal"/>
    <w:link w:val="HeaderChar"/>
    <w:uiPriority w:val="99"/>
    <w:unhideWhenUsed/>
    <w:rsid w:val="00AA7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F62"/>
  </w:style>
  <w:style w:type="paragraph" w:styleId="Footer">
    <w:name w:val="footer"/>
    <w:basedOn w:val="Normal"/>
    <w:link w:val="FooterChar"/>
    <w:uiPriority w:val="99"/>
    <w:unhideWhenUsed/>
    <w:rsid w:val="00AA7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F62"/>
  </w:style>
  <w:style w:type="paragraph" w:customStyle="1" w:styleId="btbold">
    <w:name w:val="bt_bold"/>
    <w:basedOn w:val="bt"/>
    <w:next w:val="bt"/>
    <w:qFormat/>
    <w:rsid w:val="00AA7A03"/>
    <w:pPr>
      <w:spacing w:after="120"/>
    </w:pPr>
    <w:rPr>
      <w:b/>
    </w:rPr>
  </w:style>
  <w:style w:type="paragraph" w:customStyle="1" w:styleId="btindent">
    <w:name w:val="bt_indent"/>
    <w:basedOn w:val="bt"/>
    <w:next w:val="bt"/>
    <w:qFormat/>
    <w:rsid w:val="00AA7A03"/>
    <w:pPr>
      <w:ind w:left="709"/>
    </w:pPr>
  </w:style>
  <w:style w:type="paragraph" w:customStyle="1" w:styleId="btitalics">
    <w:name w:val="bt_italics"/>
    <w:basedOn w:val="bt"/>
    <w:next w:val="bt"/>
    <w:qFormat/>
    <w:rsid w:val="00AA7A03"/>
    <w:rPr>
      <w:i/>
    </w:rPr>
  </w:style>
  <w:style w:type="character" w:customStyle="1" w:styleId="bt-highlighttext">
    <w:name w:val="bt-highlight text"/>
    <w:basedOn w:val="DefaultParagraphFont"/>
    <w:qFormat/>
    <w:rsid w:val="00AA7A03"/>
    <w:rPr>
      <w:rFonts w:ascii="Calibri" w:hAnsi="Calibri"/>
      <w:color w:val="0000FF"/>
      <w:sz w:val="24"/>
      <w:lang w:eastAsia="en-US"/>
    </w:rPr>
  </w:style>
  <w:style w:type="paragraph" w:styleId="Caption">
    <w:name w:val="caption"/>
    <w:basedOn w:val="bt"/>
    <w:next w:val="bt"/>
    <w:qFormat/>
    <w:rsid w:val="00AA7A03"/>
    <w:pPr>
      <w:keepNext/>
      <w:spacing w:after="180" w:line="240" w:lineRule="auto"/>
      <w:ind w:left="28" w:hanging="28"/>
    </w:pPr>
    <w:rPr>
      <w:rFonts w:ascii="Arial" w:hAnsi="Arial"/>
      <w:bCs/>
      <w:i/>
      <w:color w:val="333333"/>
      <w:szCs w:val="20"/>
    </w:rPr>
  </w:style>
  <w:style w:type="paragraph" w:styleId="CommentText">
    <w:name w:val="annotation text"/>
    <w:basedOn w:val="Normal"/>
    <w:link w:val="CommentTextChar"/>
    <w:semiHidden/>
    <w:rsid w:val="00AA7A03"/>
    <w:pPr>
      <w:spacing w:after="0" w:line="240" w:lineRule="auto"/>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semiHidden/>
    <w:rsid w:val="00564530"/>
    <w:rPr>
      <w:rFonts w:ascii="Arial" w:eastAsia="Times New Roman" w:hAnsi="Arial" w:cs="Times New Roman"/>
      <w:sz w:val="20"/>
      <w:szCs w:val="20"/>
      <w:lang w:eastAsia="en-AU"/>
    </w:rPr>
  </w:style>
  <w:style w:type="character" w:styleId="Emphasis">
    <w:name w:val="Emphasis"/>
    <w:basedOn w:val="DefaultParagraphFont"/>
    <w:qFormat/>
    <w:rsid w:val="00AA7A03"/>
    <w:rPr>
      <w:rFonts w:ascii="Calibri" w:hAnsi="Calibri"/>
      <w:i/>
      <w:iCs/>
      <w:sz w:val="20"/>
    </w:rPr>
  </w:style>
  <w:style w:type="paragraph" w:customStyle="1" w:styleId="Heading11">
    <w:name w:val="Heading 1_1"/>
    <w:basedOn w:val="Heading1"/>
    <w:next w:val="bt"/>
    <w:qFormat/>
    <w:rsid w:val="00AA7A03"/>
    <w:pPr>
      <w:numPr>
        <w:numId w:val="24"/>
      </w:numPr>
      <w:tabs>
        <w:tab w:val="clear" w:pos="851"/>
      </w:tabs>
      <w:spacing w:after="240"/>
    </w:pPr>
  </w:style>
  <w:style w:type="paragraph" w:customStyle="1" w:styleId="Heading2nonum">
    <w:name w:val="Heading 2_no num"/>
    <w:basedOn w:val="Heading2"/>
    <w:next w:val="bt"/>
    <w:qFormat/>
    <w:rsid w:val="00AA7A03"/>
    <w:pPr>
      <w:numPr>
        <w:ilvl w:val="0"/>
        <w:numId w:val="0"/>
      </w:numPr>
    </w:pPr>
    <w:rPr>
      <w:b w:val="0"/>
      <w:lang w:eastAsia="en-US"/>
    </w:rPr>
  </w:style>
  <w:style w:type="paragraph" w:styleId="ListBullet">
    <w:name w:val="List Bullet"/>
    <w:basedOn w:val="bt"/>
    <w:qFormat/>
    <w:rsid w:val="00AA7A03"/>
    <w:pPr>
      <w:numPr>
        <w:numId w:val="25"/>
      </w:numPr>
    </w:pPr>
  </w:style>
  <w:style w:type="paragraph" w:styleId="ListBullet2">
    <w:name w:val="List Bullet 2"/>
    <w:basedOn w:val="bt"/>
    <w:qFormat/>
    <w:rsid w:val="00AA7A03"/>
    <w:pPr>
      <w:numPr>
        <w:numId w:val="26"/>
      </w:numPr>
    </w:pPr>
  </w:style>
  <w:style w:type="paragraph" w:styleId="ListBullet3">
    <w:name w:val="List Bullet 3"/>
    <w:basedOn w:val="bt"/>
    <w:qFormat/>
    <w:rsid w:val="00AA7A03"/>
    <w:pPr>
      <w:numPr>
        <w:numId w:val="27"/>
      </w:numPr>
    </w:pPr>
  </w:style>
  <w:style w:type="paragraph" w:styleId="ListContinue">
    <w:name w:val="List Continue"/>
    <w:basedOn w:val="Normal"/>
    <w:qFormat/>
    <w:rsid w:val="00AA7A03"/>
    <w:pPr>
      <w:spacing w:after="120" w:line="240" w:lineRule="auto"/>
      <w:ind w:left="283"/>
    </w:pPr>
    <w:rPr>
      <w:rFonts w:ascii="Arial" w:eastAsia="Times New Roman" w:hAnsi="Arial" w:cs="Times New Roman"/>
      <w:sz w:val="20"/>
      <w:szCs w:val="24"/>
      <w:lang w:eastAsia="en-AU"/>
    </w:rPr>
  </w:style>
  <w:style w:type="paragraph" w:styleId="ListContinue2">
    <w:name w:val="List Continue 2"/>
    <w:basedOn w:val="Normal"/>
    <w:qFormat/>
    <w:rsid w:val="00AA7A03"/>
    <w:pPr>
      <w:spacing w:after="120" w:line="240" w:lineRule="auto"/>
      <w:ind w:left="566"/>
    </w:pPr>
    <w:rPr>
      <w:rFonts w:ascii="Arial" w:eastAsia="Times New Roman" w:hAnsi="Arial" w:cs="Times New Roman"/>
      <w:sz w:val="20"/>
      <w:szCs w:val="24"/>
      <w:lang w:eastAsia="en-AU"/>
    </w:rPr>
  </w:style>
  <w:style w:type="paragraph" w:styleId="ListContinue3">
    <w:name w:val="List Continue 3"/>
    <w:basedOn w:val="Normal"/>
    <w:qFormat/>
    <w:rsid w:val="00AA7A03"/>
    <w:pPr>
      <w:spacing w:after="120" w:line="240" w:lineRule="auto"/>
      <w:ind w:left="849"/>
    </w:pPr>
    <w:rPr>
      <w:rFonts w:ascii="Arial" w:eastAsia="Times New Roman" w:hAnsi="Arial" w:cs="Times New Roman"/>
      <w:sz w:val="20"/>
      <w:szCs w:val="24"/>
      <w:lang w:eastAsia="en-AU"/>
    </w:rPr>
  </w:style>
  <w:style w:type="character" w:styleId="Strong">
    <w:name w:val="Strong"/>
    <w:basedOn w:val="DefaultParagraphFont"/>
    <w:qFormat/>
    <w:rsid w:val="00AA7A03"/>
    <w:rPr>
      <w:rFonts w:ascii="Calibri" w:hAnsi="Calibri"/>
      <w:b/>
      <w:bCs/>
    </w:rPr>
  </w:style>
  <w:style w:type="paragraph" w:customStyle="1" w:styleId="Tabletext">
    <w:name w:val="Table text"/>
    <w:basedOn w:val="bt"/>
    <w:autoRedefine/>
    <w:qFormat/>
    <w:rsid w:val="00AA7A03"/>
    <w:pPr>
      <w:spacing w:before="60" w:after="60" w:line="240" w:lineRule="auto"/>
    </w:pPr>
    <w:rPr>
      <w:rFonts w:ascii="Arial Narrow" w:hAnsi="Arial Narrow"/>
      <w:szCs w:val="20"/>
    </w:rPr>
  </w:style>
  <w:style w:type="paragraph" w:customStyle="1" w:styleId="TabletextBold">
    <w:name w:val="Table text Bold"/>
    <w:basedOn w:val="Tabletext"/>
    <w:next w:val="Tabletext"/>
    <w:qFormat/>
    <w:rsid w:val="00AA7A03"/>
    <w:rPr>
      <w:b/>
      <w:bCs/>
    </w:rPr>
  </w:style>
  <w:style w:type="paragraph" w:customStyle="1" w:styleId="tabletextbullet">
    <w:name w:val="table text bullet"/>
    <w:basedOn w:val="Normal"/>
    <w:qFormat/>
    <w:rsid w:val="0095148A"/>
    <w:pPr>
      <w:numPr>
        <w:numId w:val="32"/>
      </w:numPr>
      <w:spacing w:before="60" w:after="60" w:line="270" w:lineRule="exact"/>
    </w:pPr>
    <w:rPr>
      <w:rFonts w:ascii="Arial Narrow" w:eastAsia="Times New Roman" w:hAnsi="Arial Narrow" w:cs="Times New Roman"/>
      <w:sz w:val="20"/>
      <w:szCs w:val="20"/>
      <w:lang w:eastAsia="en-AU"/>
    </w:rPr>
  </w:style>
  <w:style w:type="paragraph" w:customStyle="1" w:styleId="tableheaderrow">
    <w:name w:val="table_header row"/>
    <w:basedOn w:val="Tabletext"/>
    <w:qFormat/>
    <w:rsid w:val="00AA7A03"/>
    <w:rPr>
      <w:b/>
    </w:rPr>
  </w:style>
  <w:style w:type="paragraph" w:styleId="IntenseQuote">
    <w:name w:val="Intense Quote"/>
    <w:basedOn w:val="bt"/>
    <w:next w:val="bt"/>
    <w:link w:val="IntenseQuoteChar"/>
    <w:autoRedefine/>
    <w:uiPriority w:val="30"/>
    <w:qFormat/>
    <w:rsid w:val="00AA7A03"/>
    <w:pPr>
      <w:pBdr>
        <w:bottom w:val="single" w:sz="4" w:space="4" w:color="76923C" w:themeColor="accent3" w:themeShade="BF"/>
      </w:pBdr>
      <w:spacing w:before="200" w:after="280"/>
      <w:ind w:left="936" w:right="936"/>
    </w:pPr>
    <w:rPr>
      <w:bCs/>
      <w:i/>
      <w:iCs/>
      <w:color w:val="404040" w:themeColor="text1" w:themeTint="BF"/>
    </w:rPr>
  </w:style>
  <w:style w:type="character" w:customStyle="1" w:styleId="IntenseQuoteChar">
    <w:name w:val="Intense Quote Char"/>
    <w:basedOn w:val="DefaultParagraphFont"/>
    <w:link w:val="IntenseQuote"/>
    <w:uiPriority w:val="30"/>
    <w:rsid w:val="009320D2"/>
    <w:rPr>
      <w:rFonts w:ascii="Calibri" w:eastAsia="Times New Roman" w:hAnsi="Calibri" w:cs="Times New Roman"/>
      <w:bCs/>
      <w:i/>
      <w:iCs/>
      <w:color w:val="404040" w:themeColor="text1" w:themeTint="BF"/>
      <w:sz w:val="20"/>
      <w:szCs w:val="24"/>
      <w:lang w:eastAsia="en-AU"/>
    </w:rPr>
  </w:style>
  <w:style w:type="paragraph" w:customStyle="1" w:styleId="btbullet">
    <w:name w:val="bt_bullet"/>
    <w:basedOn w:val="bt"/>
    <w:qFormat/>
    <w:rsid w:val="00AA7A03"/>
    <w:pPr>
      <w:numPr>
        <w:numId w:val="23"/>
      </w:numPr>
      <w:spacing w:before="60" w:after="60" w:line="264" w:lineRule="auto"/>
    </w:pPr>
  </w:style>
  <w:style w:type="table" w:styleId="TableGrid">
    <w:name w:val="Table Grid"/>
    <w:basedOn w:val="TableNormal"/>
    <w:uiPriority w:val="59"/>
    <w:rsid w:val="00AA7A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AA7A0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AA7A0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rsid w:val="00AA7A0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IntenseEmphasis">
    <w:name w:val="Intense Emphasis"/>
    <w:basedOn w:val="DefaultParagraphFont"/>
    <w:uiPriority w:val="21"/>
    <w:qFormat/>
    <w:rsid w:val="00AA7A03"/>
    <w:rPr>
      <w:b/>
      <w:bCs/>
      <w:i/>
      <w:iCs/>
      <w:color w:val="262626" w:themeColor="text1" w:themeTint="D9"/>
    </w:rPr>
  </w:style>
  <w:style w:type="paragraph" w:customStyle="1" w:styleId="source">
    <w:name w:val="source"/>
    <w:basedOn w:val="bt"/>
    <w:next w:val="bt"/>
    <w:qFormat/>
    <w:rsid w:val="00731D63"/>
    <w:pPr>
      <w:spacing w:before="0" w:line="240" w:lineRule="auto"/>
    </w:pPr>
    <w:rPr>
      <w:sz w:val="18"/>
    </w:rPr>
  </w:style>
  <w:style w:type="paragraph" w:styleId="TOC1">
    <w:name w:val="toc 1"/>
    <w:basedOn w:val="Normal"/>
    <w:next w:val="Normal"/>
    <w:autoRedefine/>
    <w:uiPriority w:val="39"/>
    <w:unhideWhenUsed/>
    <w:rsid w:val="00AA7A03"/>
    <w:pPr>
      <w:tabs>
        <w:tab w:val="left" w:pos="284"/>
        <w:tab w:val="left" w:pos="851"/>
        <w:tab w:val="right" w:leader="dot" w:pos="9016"/>
      </w:tabs>
      <w:spacing w:after="100"/>
    </w:pPr>
  </w:style>
  <w:style w:type="paragraph" w:styleId="TOC2">
    <w:name w:val="toc 2"/>
    <w:basedOn w:val="Normal"/>
    <w:next w:val="Normal"/>
    <w:autoRedefine/>
    <w:uiPriority w:val="39"/>
    <w:unhideWhenUsed/>
    <w:rsid w:val="00AA7A03"/>
    <w:pPr>
      <w:tabs>
        <w:tab w:val="left" w:pos="567"/>
        <w:tab w:val="left" w:pos="993"/>
        <w:tab w:val="right" w:leader="dot" w:pos="9016"/>
      </w:tabs>
      <w:spacing w:after="100"/>
      <w:ind w:left="567"/>
    </w:pPr>
  </w:style>
  <w:style w:type="character" w:styleId="Hyperlink">
    <w:name w:val="Hyperlink"/>
    <w:basedOn w:val="DefaultParagraphFont"/>
    <w:uiPriority w:val="99"/>
    <w:unhideWhenUsed/>
    <w:rsid w:val="00AA7A03"/>
    <w:rPr>
      <w:color w:val="0000FF" w:themeColor="hyperlink"/>
      <w:u w:val="single"/>
    </w:rPr>
  </w:style>
  <w:style w:type="paragraph" w:styleId="TableofFigures">
    <w:name w:val="table of figures"/>
    <w:basedOn w:val="Normal"/>
    <w:next w:val="Normal"/>
    <w:uiPriority w:val="99"/>
    <w:unhideWhenUsed/>
    <w:rsid w:val="00AA7A03"/>
    <w:pPr>
      <w:spacing w:after="0"/>
    </w:pPr>
  </w:style>
  <w:style w:type="paragraph" w:styleId="Title">
    <w:name w:val="Title"/>
    <w:basedOn w:val="bt"/>
    <w:next w:val="Subtitle"/>
    <w:link w:val="TitleChar"/>
    <w:uiPriority w:val="10"/>
    <w:qFormat/>
    <w:rsid w:val="00AA7A03"/>
    <w:pPr>
      <w:spacing w:after="300" w:line="240" w:lineRule="auto"/>
      <w:contextualSpacing/>
    </w:pPr>
    <w:rPr>
      <w:rFonts w:eastAsiaTheme="majorEastAsia" w:cstheme="majorBidi"/>
      <w:spacing w:val="5"/>
      <w:kern w:val="28"/>
      <w:sz w:val="52"/>
      <w:szCs w:val="52"/>
    </w:rPr>
  </w:style>
  <w:style w:type="paragraph" w:styleId="Subtitle">
    <w:name w:val="Subtitle"/>
    <w:basedOn w:val="bt"/>
    <w:next w:val="bt"/>
    <w:link w:val="SubtitleChar"/>
    <w:uiPriority w:val="11"/>
    <w:qFormat/>
    <w:rsid w:val="00AA7A03"/>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E93DDE"/>
    <w:rPr>
      <w:rFonts w:ascii="Calibri" w:eastAsiaTheme="majorEastAsia" w:hAnsi="Calibri" w:cstheme="majorBidi"/>
      <w:i/>
      <w:iCs/>
      <w:spacing w:val="15"/>
      <w:sz w:val="24"/>
      <w:szCs w:val="24"/>
      <w:lang w:eastAsia="en-AU"/>
    </w:rPr>
  </w:style>
  <w:style w:type="character" w:customStyle="1" w:styleId="TitleChar">
    <w:name w:val="Title Char"/>
    <w:basedOn w:val="DefaultParagraphFont"/>
    <w:link w:val="Title"/>
    <w:uiPriority w:val="10"/>
    <w:rsid w:val="00C8557A"/>
    <w:rPr>
      <w:rFonts w:ascii="Calibri" w:eastAsiaTheme="majorEastAsia" w:hAnsi="Calibri" w:cstheme="majorBidi"/>
      <w:spacing w:val="5"/>
      <w:kern w:val="28"/>
      <w:sz w:val="52"/>
      <w:szCs w:val="52"/>
      <w:lang w:eastAsia="en-AU"/>
    </w:rPr>
  </w:style>
  <w:style w:type="paragraph" w:styleId="TOC3">
    <w:name w:val="toc 3"/>
    <w:basedOn w:val="Normal"/>
    <w:next w:val="Normal"/>
    <w:autoRedefine/>
    <w:uiPriority w:val="39"/>
    <w:unhideWhenUsed/>
    <w:rsid w:val="00AA7A03"/>
    <w:pPr>
      <w:tabs>
        <w:tab w:val="right" w:leader="dot" w:pos="9016"/>
      </w:tabs>
      <w:spacing w:after="100"/>
      <w:ind w:left="851"/>
    </w:pPr>
  </w:style>
  <w:style w:type="table" w:styleId="MediumShading1-Accent3">
    <w:name w:val="Medium Shading 1 Accent 3"/>
    <w:basedOn w:val="TableNormal"/>
    <w:uiPriority w:val="63"/>
    <w:rsid w:val="00AA7A03"/>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Grid3-Accent3">
    <w:name w:val="Medium Grid 3 Accent 3"/>
    <w:basedOn w:val="TableNormal"/>
    <w:uiPriority w:val="69"/>
    <w:rsid w:val="00AA7A0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styleId="FollowedHyperlink">
    <w:name w:val="FollowedHyperlink"/>
    <w:basedOn w:val="DefaultParagraphFont"/>
    <w:uiPriority w:val="99"/>
    <w:semiHidden/>
    <w:unhideWhenUsed/>
    <w:rsid w:val="00AA7A03"/>
    <w:rPr>
      <w:color w:val="800080" w:themeColor="followedHyperlink"/>
      <w:u w:val="single"/>
    </w:rPr>
  </w:style>
  <w:style w:type="paragraph" w:customStyle="1" w:styleId="btpicture">
    <w:name w:val="bt_picture"/>
    <w:basedOn w:val="bt"/>
    <w:next w:val="bt"/>
    <w:qFormat/>
    <w:rsid w:val="00AA7A03"/>
    <w:pPr>
      <w:spacing w:after="0" w:line="240" w:lineRule="auto"/>
    </w:pPr>
    <w:rPr>
      <w:sz w:val="18"/>
    </w:rPr>
  </w:style>
  <w:style w:type="paragraph" w:styleId="FootnoteText">
    <w:name w:val="footnote text"/>
    <w:basedOn w:val="Normal"/>
    <w:link w:val="FootnoteTextChar"/>
    <w:uiPriority w:val="99"/>
    <w:unhideWhenUsed/>
    <w:rsid w:val="00AA7A03"/>
    <w:pPr>
      <w:spacing w:after="0" w:line="240" w:lineRule="auto"/>
    </w:pPr>
    <w:rPr>
      <w:sz w:val="20"/>
      <w:szCs w:val="20"/>
    </w:rPr>
  </w:style>
  <w:style w:type="character" w:customStyle="1" w:styleId="FootnoteTextChar">
    <w:name w:val="Footnote Text Char"/>
    <w:basedOn w:val="DefaultParagraphFont"/>
    <w:link w:val="FootnoteText"/>
    <w:uiPriority w:val="99"/>
    <w:rsid w:val="00DD1150"/>
    <w:rPr>
      <w:rFonts w:eastAsiaTheme="minorEastAsia"/>
      <w:sz w:val="20"/>
      <w:szCs w:val="20"/>
      <w:lang w:val="en-US"/>
    </w:rPr>
  </w:style>
  <w:style w:type="character" w:styleId="SubtleEmphasis">
    <w:name w:val="Subtle Emphasis"/>
    <w:basedOn w:val="DefaultParagraphFont"/>
    <w:uiPriority w:val="19"/>
    <w:qFormat/>
    <w:rsid w:val="00AA7A03"/>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AA7A03"/>
    <w:pPr>
      <w:spacing w:after="0" w:line="240" w:lineRule="auto"/>
    </w:pPr>
    <w:rPr>
      <w:color w:val="365F91" w:themeColor="accent1" w:themeShade="BF"/>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Quote">
    <w:name w:val="Quote"/>
    <w:basedOn w:val="Normal"/>
    <w:next w:val="Normal"/>
    <w:link w:val="QuoteChar"/>
    <w:uiPriority w:val="29"/>
    <w:qFormat/>
    <w:rsid w:val="00AA7A03"/>
    <w:rPr>
      <w:i/>
      <w:iCs/>
      <w:color w:val="000000" w:themeColor="text1"/>
    </w:rPr>
  </w:style>
  <w:style w:type="character" w:customStyle="1" w:styleId="QuoteChar">
    <w:name w:val="Quote Char"/>
    <w:basedOn w:val="DefaultParagraphFont"/>
    <w:link w:val="Quote"/>
    <w:uiPriority w:val="29"/>
    <w:rsid w:val="00803BD6"/>
    <w:rPr>
      <w:i/>
      <w:iCs/>
      <w:color w:val="000000" w:themeColor="text1"/>
    </w:rPr>
  </w:style>
  <w:style w:type="paragraph" w:styleId="ListParagraph">
    <w:name w:val="List Paragraph"/>
    <w:basedOn w:val="Normal"/>
    <w:uiPriority w:val="34"/>
    <w:qFormat/>
    <w:rsid w:val="00AA7A03"/>
    <w:pPr>
      <w:ind w:left="720"/>
      <w:contextualSpacing/>
    </w:pPr>
  </w:style>
  <w:style w:type="character" w:styleId="SubtleReference">
    <w:name w:val="Subtle Reference"/>
    <w:basedOn w:val="DefaultParagraphFont"/>
    <w:uiPriority w:val="31"/>
    <w:qFormat/>
    <w:rsid w:val="00AA7A03"/>
    <w:rPr>
      <w:smallCaps/>
      <w:color w:val="C0504D" w:themeColor="accent2"/>
      <w:u w:val="single"/>
    </w:rPr>
  </w:style>
  <w:style w:type="character" w:styleId="IntenseReference">
    <w:name w:val="Intense Reference"/>
    <w:basedOn w:val="DefaultParagraphFont"/>
    <w:uiPriority w:val="32"/>
    <w:qFormat/>
    <w:rsid w:val="00AA7A03"/>
    <w:rPr>
      <w:b/>
      <w:bCs/>
      <w:smallCaps/>
      <w:color w:val="C0504D" w:themeColor="accent2"/>
      <w:spacing w:val="5"/>
      <w:u w:val="single"/>
    </w:rPr>
  </w:style>
  <w:style w:type="table" w:styleId="LightShading-Accent5">
    <w:name w:val="Light Shading Accent 5"/>
    <w:basedOn w:val="TableNormal"/>
    <w:uiPriority w:val="60"/>
    <w:rsid w:val="00AA7A0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1">
    <w:name w:val="Light Shading1"/>
    <w:basedOn w:val="TableNormal"/>
    <w:uiPriority w:val="60"/>
    <w:rsid w:val="00AA7A0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AA7A03"/>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4">
    <w:name w:val="Light Shading Accent 4"/>
    <w:basedOn w:val="TableNormal"/>
    <w:uiPriority w:val="60"/>
    <w:rsid w:val="00AA7A0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AA7A03"/>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Number">
    <w:name w:val="List Number"/>
    <w:basedOn w:val="bt"/>
    <w:uiPriority w:val="99"/>
    <w:unhideWhenUsed/>
    <w:qFormat/>
    <w:rsid w:val="00731D63"/>
    <w:pPr>
      <w:numPr>
        <w:numId w:val="34"/>
      </w:numPr>
      <w:spacing w:before="40" w:after="40"/>
      <w:contextualSpacing/>
    </w:pPr>
  </w:style>
  <w:style w:type="paragraph" w:styleId="ListNumber2">
    <w:name w:val="List Number 2"/>
    <w:basedOn w:val="bt"/>
    <w:uiPriority w:val="99"/>
    <w:unhideWhenUsed/>
    <w:qFormat/>
    <w:rsid w:val="00AA7A03"/>
    <w:pPr>
      <w:numPr>
        <w:numId w:val="29"/>
      </w:numPr>
      <w:contextualSpacing/>
    </w:pPr>
  </w:style>
  <w:style w:type="paragraph" w:styleId="ListNumber3">
    <w:name w:val="List Number 3"/>
    <w:basedOn w:val="bt"/>
    <w:uiPriority w:val="99"/>
    <w:unhideWhenUsed/>
    <w:qFormat/>
    <w:rsid w:val="00AA7A03"/>
    <w:pPr>
      <w:numPr>
        <w:numId w:val="30"/>
      </w:numPr>
      <w:contextualSpacing/>
    </w:pPr>
  </w:style>
  <w:style w:type="paragraph" w:styleId="ListNumber4">
    <w:name w:val="List Number 4"/>
    <w:basedOn w:val="bt"/>
    <w:uiPriority w:val="99"/>
    <w:unhideWhenUsed/>
    <w:qFormat/>
    <w:rsid w:val="00AA7A03"/>
    <w:pPr>
      <w:numPr>
        <w:numId w:val="31"/>
      </w:numPr>
      <w:tabs>
        <w:tab w:val="left" w:pos="1701"/>
      </w:tabs>
      <w:contextualSpacing/>
    </w:pPr>
  </w:style>
  <w:style w:type="table" w:customStyle="1" w:styleId="MediumGrid31">
    <w:name w:val="Medium Grid 31"/>
    <w:basedOn w:val="TableNormal"/>
    <w:uiPriority w:val="69"/>
    <w:rsid w:val="00AA7A0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Accent5">
    <w:name w:val="Medium Shading 1 Accent 5"/>
    <w:basedOn w:val="TableNormal"/>
    <w:uiPriority w:val="63"/>
    <w:rsid w:val="00AA7A0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bttextbox">
    <w:name w:val="bt_textbox"/>
    <w:basedOn w:val="bt"/>
    <w:qFormat/>
    <w:rsid w:val="00AA7A03"/>
  </w:style>
  <w:style w:type="paragraph" w:customStyle="1" w:styleId="Default">
    <w:name w:val="Default"/>
    <w:rsid w:val="00AA7A03"/>
    <w:pPr>
      <w:autoSpaceDE w:val="0"/>
      <w:autoSpaceDN w:val="0"/>
      <w:adjustRightInd w:val="0"/>
      <w:spacing w:after="0" w:line="240" w:lineRule="auto"/>
    </w:pPr>
    <w:rPr>
      <w:rFonts w:ascii="DIN" w:hAnsi="DIN" w:cs="DIN"/>
      <w:color w:val="000000"/>
      <w:sz w:val="24"/>
      <w:szCs w:val="24"/>
    </w:rPr>
  </w:style>
  <w:style w:type="paragraph" w:styleId="TOC4">
    <w:name w:val="toc 4"/>
    <w:basedOn w:val="Normal"/>
    <w:next w:val="Normal"/>
    <w:autoRedefine/>
    <w:uiPriority w:val="39"/>
    <w:unhideWhenUsed/>
    <w:rsid w:val="00AA7A03"/>
    <w:pPr>
      <w:spacing w:after="100"/>
      <w:ind w:left="660"/>
    </w:pPr>
    <w:rPr>
      <w:lang w:eastAsia="en-AU"/>
    </w:rPr>
  </w:style>
  <w:style w:type="paragraph" w:styleId="TOC5">
    <w:name w:val="toc 5"/>
    <w:basedOn w:val="Normal"/>
    <w:next w:val="Normal"/>
    <w:autoRedefine/>
    <w:uiPriority w:val="39"/>
    <w:unhideWhenUsed/>
    <w:rsid w:val="00AA7A03"/>
    <w:pPr>
      <w:spacing w:after="100"/>
      <w:ind w:left="880"/>
    </w:pPr>
    <w:rPr>
      <w:lang w:eastAsia="en-AU"/>
    </w:rPr>
  </w:style>
  <w:style w:type="paragraph" w:styleId="TOC6">
    <w:name w:val="toc 6"/>
    <w:basedOn w:val="Normal"/>
    <w:next w:val="Normal"/>
    <w:autoRedefine/>
    <w:uiPriority w:val="39"/>
    <w:unhideWhenUsed/>
    <w:rsid w:val="00AA7A03"/>
    <w:pPr>
      <w:spacing w:after="100"/>
      <w:ind w:left="1100"/>
    </w:pPr>
    <w:rPr>
      <w:lang w:eastAsia="en-AU"/>
    </w:rPr>
  </w:style>
  <w:style w:type="paragraph" w:styleId="TOC7">
    <w:name w:val="toc 7"/>
    <w:basedOn w:val="Normal"/>
    <w:next w:val="Normal"/>
    <w:autoRedefine/>
    <w:uiPriority w:val="39"/>
    <w:unhideWhenUsed/>
    <w:rsid w:val="00AA7A03"/>
    <w:pPr>
      <w:spacing w:after="100"/>
      <w:ind w:left="1320"/>
    </w:pPr>
    <w:rPr>
      <w:lang w:eastAsia="en-AU"/>
    </w:rPr>
  </w:style>
  <w:style w:type="paragraph" w:styleId="TOC8">
    <w:name w:val="toc 8"/>
    <w:basedOn w:val="Normal"/>
    <w:next w:val="Normal"/>
    <w:autoRedefine/>
    <w:uiPriority w:val="39"/>
    <w:unhideWhenUsed/>
    <w:rsid w:val="00AA7A03"/>
    <w:pPr>
      <w:spacing w:after="100"/>
      <w:ind w:left="1540"/>
    </w:pPr>
    <w:rPr>
      <w:lang w:eastAsia="en-AU"/>
    </w:rPr>
  </w:style>
  <w:style w:type="paragraph" w:styleId="TOC9">
    <w:name w:val="toc 9"/>
    <w:basedOn w:val="Normal"/>
    <w:next w:val="Normal"/>
    <w:autoRedefine/>
    <w:uiPriority w:val="39"/>
    <w:unhideWhenUsed/>
    <w:rsid w:val="00AA7A03"/>
    <w:pPr>
      <w:spacing w:after="100"/>
      <w:ind w:left="1760"/>
    </w:pPr>
    <w:rPr>
      <w:lang w:eastAsia="en-AU"/>
    </w:rPr>
  </w:style>
  <w:style w:type="paragraph" w:styleId="NormalWeb">
    <w:name w:val="Normal (Web)"/>
    <w:basedOn w:val="Normal"/>
    <w:uiPriority w:val="99"/>
    <w:semiHidden/>
    <w:unhideWhenUsed/>
    <w:rsid w:val="00AA7A0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AA7A03"/>
    <w:rPr>
      <w:sz w:val="16"/>
      <w:szCs w:val="16"/>
    </w:rPr>
  </w:style>
  <w:style w:type="paragraph" w:styleId="CommentSubject">
    <w:name w:val="annotation subject"/>
    <w:basedOn w:val="CommentText"/>
    <w:next w:val="CommentText"/>
    <w:link w:val="CommentSubjectChar"/>
    <w:uiPriority w:val="99"/>
    <w:semiHidden/>
    <w:unhideWhenUsed/>
    <w:rsid w:val="00AA7A03"/>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67FA4"/>
    <w:rPr>
      <w:rFonts w:ascii="Arial" w:eastAsia="Times New Roman" w:hAnsi="Arial" w:cs="Times New Roman"/>
      <w:b/>
      <w:bCs/>
      <w:sz w:val="20"/>
      <w:szCs w:val="20"/>
      <w:lang w:eastAsia="en-AU"/>
    </w:rPr>
  </w:style>
  <w:style w:type="character" w:styleId="PlaceholderText">
    <w:name w:val="Placeholder Text"/>
    <w:basedOn w:val="DefaultParagraphFont"/>
    <w:uiPriority w:val="99"/>
    <w:semiHidden/>
    <w:rsid w:val="00AA7A03"/>
    <w:rPr>
      <w:color w:val="808080"/>
    </w:rPr>
  </w:style>
  <w:style w:type="paragraph" w:customStyle="1" w:styleId="head">
    <w:name w:val="head"/>
    <w:basedOn w:val="bt"/>
    <w:rsid w:val="00A94835"/>
  </w:style>
  <w:style w:type="paragraph" w:customStyle="1" w:styleId="toc">
    <w:name w:val="toc"/>
    <w:basedOn w:val="head"/>
    <w:rsid w:val="00A94835"/>
  </w:style>
  <w:style w:type="paragraph" w:customStyle="1" w:styleId="TOCH">
    <w:name w:val="TOC H"/>
    <w:basedOn w:val="toc"/>
    <w:rsid w:val="00A94835"/>
  </w:style>
  <w:style w:type="character" w:customStyle="1" w:styleId="btChar">
    <w:name w:val="bt Char"/>
    <w:basedOn w:val="DefaultParagraphFont"/>
    <w:link w:val="bt"/>
    <w:rsid w:val="00A94835"/>
    <w:rPr>
      <w:rFonts w:ascii="Calibri" w:eastAsia="Times New Roman" w:hAnsi="Calibri" w:cs="Times New Roman"/>
      <w:sz w:val="20"/>
      <w:szCs w:val="24"/>
      <w:lang w:eastAsia="en-AU"/>
    </w:rPr>
  </w:style>
  <w:style w:type="character" w:styleId="PageNumber">
    <w:name w:val="page number"/>
    <w:basedOn w:val="DefaultParagraphFont"/>
    <w:uiPriority w:val="99"/>
    <w:semiHidden/>
    <w:unhideWhenUsed/>
    <w:rsid w:val="006B196F"/>
  </w:style>
  <w:style w:type="character" w:styleId="FootnoteReference">
    <w:name w:val="footnote reference"/>
    <w:basedOn w:val="DefaultParagraphFont"/>
    <w:uiPriority w:val="99"/>
    <w:unhideWhenUsed/>
    <w:rsid w:val="00466491"/>
    <w:rPr>
      <w:vertAlign w:val="superscript"/>
    </w:rPr>
  </w:style>
  <w:style w:type="paragraph" w:styleId="Revision">
    <w:name w:val="Revision"/>
    <w:hidden/>
    <w:uiPriority w:val="99"/>
    <w:semiHidden/>
    <w:rsid w:val="00FC5996"/>
    <w:pPr>
      <w:spacing w:after="0" w:line="240" w:lineRule="auto"/>
    </w:pPr>
  </w:style>
  <w:style w:type="paragraph" w:customStyle="1" w:styleId="Heading-Yellow">
    <w:name w:val="Heading-Yellow"/>
    <w:basedOn w:val="TOCHeading"/>
    <w:link w:val="Heading-YellowChar"/>
    <w:qFormat/>
    <w:rsid w:val="00AC1B0B"/>
    <w:rPr>
      <w:color w:val="C59C26"/>
    </w:rPr>
  </w:style>
  <w:style w:type="paragraph" w:customStyle="1" w:styleId="Header-Main">
    <w:name w:val="Header-Main"/>
    <w:basedOn w:val="Header"/>
    <w:link w:val="Header-MainChar"/>
    <w:qFormat/>
    <w:rsid w:val="00885C26"/>
    <w:pPr>
      <w:pBdr>
        <w:bottom w:val="single" w:sz="4" w:space="1" w:color="5F497A" w:themeColor="accent4" w:themeShade="BF"/>
        <w:between w:val="single" w:sz="4" w:space="1" w:color="5F497A" w:themeColor="accent4" w:themeShade="BF"/>
      </w:pBdr>
      <w:tabs>
        <w:tab w:val="clear" w:pos="9026"/>
        <w:tab w:val="right" w:pos="9072"/>
      </w:tabs>
      <w:spacing w:line="276" w:lineRule="auto"/>
      <w:jc w:val="center"/>
    </w:pPr>
    <w:rPr>
      <w:b/>
    </w:rPr>
  </w:style>
  <w:style w:type="character" w:customStyle="1" w:styleId="TOCHeadingChar">
    <w:name w:val="TOC Heading Char"/>
    <w:basedOn w:val="Heading1Char"/>
    <w:link w:val="TOCHeading"/>
    <w:uiPriority w:val="39"/>
    <w:semiHidden/>
    <w:rsid w:val="00AC1B0B"/>
    <w:rPr>
      <w:rFonts w:ascii="Calibri" w:eastAsia="Times New Roman" w:hAnsi="Calibri" w:cs="Times New Roman"/>
      <w:b/>
      <w:bCs/>
      <w:sz w:val="34"/>
      <w:szCs w:val="28"/>
      <w:lang w:val="en-US"/>
    </w:rPr>
  </w:style>
  <w:style w:type="character" w:customStyle="1" w:styleId="Heading-YellowChar">
    <w:name w:val="Heading-Yellow Char"/>
    <w:basedOn w:val="TOCHeadingChar"/>
    <w:link w:val="Heading-Yellow"/>
    <w:rsid w:val="00AC1B0B"/>
    <w:rPr>
      <w:rFonts w:ascii="Calibri" w:eastAsia="Times New Roman" w:hAnsi="Calibri" w:cs="Times New Roman"/>
      <w:b/>
      <w:bCs/>
      <w:color w:val="C59C26"/>
      <w:sz w:val="34"/>
      <w:szCs w:val="28"/>
      <w:lang w:val="en-US"/>
    </w:rPr>
  </w:style>
  <w:style w:type="paragraph" w:customStyle="1" w:styleId="Header-Sub">
    <w:name w:val="Header-Sub"/>
    <w:basedOn w:val="Header"/>
    <w:link w:val="Header-SubChar"/>
    <w:qFormat/>
    <w:rsid w:val="00885C26"/>
    <w:pPr>
      <w:pBdr>
        <w:bottom w:val="single" w:sz="4" w:space="1" w:color="5F497A" w:themeColor="accent4" w:themeShade="BF"/>
        <w:between w:val="single" w:sz="4" w:space="1" w:color="5F497A" w:themeColor="accent4" w:themeShade="BF"/>
      </w:pBdr>
      <w:tabs>
        <w:tab w:val="clear" w:pos="9026"/>
        <w:tab w:val="right" w:pos="9072"/>
      </w:tabs>
      <w:spacing w:line="276" w:lineRule="auto"/>
      <w:jc w:val="center"/>
    </w:pPr>
  </w:style>
  <w:style w:type="character" w:customStyle="1" w:styleId="Header-MainChar">
    <w:name w:val="Header-Main Char"/>
    <w:basedOn w:val="HeaderChar"/>
    <w:link w:val="Header-Main"/>
    <w:rsid w:val="00885C26"/>
    <w:rPr>
      <w:b/>
    </w:rPr>
  </w:style>
  <w:style w:type="character" w:customStyle="1" w:styleId="Header-SubChar">
    <w:name w:val="Header-Sub Char"/>
    <w:basedOn w:val="HeaderChar"/>
    <w:link w:val="Header-Sub"/>
    <w:rsid w:val="00885C26"/>
  </w:style>
</w:styles>
</file>

<file path=word/webSettings.xml><?xml version="1.0" encoding="utf-8"?>
<w:webSettings xmlns:r="http://schemas.openxmlformats.org/officeDocument/2006/relationships" xmlns:w="http://schemas.openxmlformats.org/wordprocessingml/2006/main">
  <w:divs>
    <w:div w:id="328212409">
      <w:bodyDiv w:val="1"/>
      <w:marLeft w:val="0"/>
      <w:marRight w:val="0"/>
      <w:marTop w:val="0"/>
      <w:marBottom w:val="0"/>
      <w:divBdr>
        <w:top w:val="none" w:sz="0" w:space="0" w:color="auto"/>
        <w:left w:val="none" w:sz="0" w:space="0" w:color="auto"/>
        <w:bottom w:val="none" w:sz="0" w:space="0" w:color="auto"/>
        <w:right w:val="none" w:sz="0" w:space="0" w:color="auto"/>
      </w:divBdr>
    </w:div>
    <w:div w:id="756947737">
      <w:bodyDiv w:val="1"/>
      <w:marLeft w:val="0"/>
      <w:marRight w:val="0"/>
      <w:marTop w:val="0"/>
      <w:marBottom w:val="0"/>
      <w:divBdr>
        <w:top w:val="none" w:sz="0" w:space="0" w:color="auto"/>
        <w:left w:val="none" w:sz="0" w:space="0" w:color="auto"/>
        <w:bottom w:val="none" w:sz="0" w:space="0" w:color="auto"/>
        <w:right w:val="none" w:sz="0" w:space="0" w:color="auto"/>
      </w:divBdr>
    </w:div>
    <w:div w:id="1165172242">
      <w:bodyDiv w:val="1"/>
      <w:marLeft w:val="0"/>
      <w:marRight w:val="0"/>
      <w:marTop w:val="0"/>
      <w:marBottom w:val="0"/>
      <w:divBdr>
        <w:top w:val="none" w:sz="0" w:space="0" w:color="auto"/>
        <w:left w:val="none" w:sz="0" w:space="0" w:color="auto"/>
        <w:bottom w:val="none" w:sz="0" w:space="0" w:color="auto"/>
        <w:right w:val="none" w:sz="0" w:space="0" w:color="auto"/>
      </w:divBdr>
    </w:div>
    <w:div w:id="1507138523">
      <w:bodyDiv w:val="1"/>
      <w:marLeft w:val="0"/>
      <w:marRight w:val="0"/>
      <w:marTop w:val="0"/>
      <w:marBottom w:val="0"/>
      <w:divBdr>
        <w:top w:val="none" w:sz="0" w:space="0" w:color="auto"/>
        <w:left w:val="none" w:sz="0" w:space="0" w:color="auto"/>
        <w:bottom w:val="none" w:sz="0" w:space="0" w:color="auto"/>
        <w:right w:val="none" w:sz="0" w:space="0" w:color="auto"/>
      </w:divBdr>
    </w:div>
    <w:div w:id="1673025044">
      <w:bodyDiv w:val="1"/>
      <w:marLeft w:val="0"/>
      <w:marRight w:val="0"/>
      <w:marTop w:val="0"/>
      <w:marBottom w:val="0"/>
      <w:divBdr>
        <w:top w:val="none" w:sz="0" w:space="0" w:color="auto"/>
        <w:left w:val="none" w:sz="0" w:space="0" w:color="auto"/>
        <w:bottom w:val="none" w:sz="0" w:space="0" w:color="auto"/>
        <w:right w:val="none" w:sz="0" w:space="0" w:color="auto"/>
      </w:divBdr>
    </w:div>
    <w:div w:id="196380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tpli.vic.gov.au/regionalgrowthplans" TargetMode="Externa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yperlink" Target="http://www.dtpli.vic.gov.au/regionalgrowthplan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10.xm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13.xml"/><Relationship Id="rId10" Type="http://schemas.openxmlformats.org/officeDocument/2006/relationships/hyperlink" Target="http://www.dtpli.vic.gov.au/regionalgrowthplan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6C1DB-7A79-4C83-BE7E-4A561307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60</Pages>
  <Words>25671</Words>
  <Characters>146327</Characters>
  <Application>Microsoft Office Word</Application>
  <DocSecurity>0</DocSecurity>
  <Lines>1219</Lines>
  <Paragraphs>343</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171655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McGuinness</dc:creator>
  <cp:lastModifiedBy>vickry6</cp:lastModifiedBy>
  <cp:revision>4</cp:revision>
  <cp:lastPrinted>2014-03-03T01:36:00Z</cp:lastPrinted>
  <dcterms:created xsi:type="dcterms:W3CDTF">2014-05-23T04:29:00Z</dcterms:created>
  <dcterms:modified xsi:type="dcterms:W3CDTF">2014-06-24T06:13:00Z</dcterms:modified>
</cp:coreProperties>
</file>