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3075" w:right="3090"/>
        <w:jc w:val="center"/>
      </w:pPr>
      <w:r>
        <w:rPr/>
        <w:t>For Public Notice via Internet</w:t>
      </w:r>
    </w:p>
    <w:p>
      <w:pPr>
        <w:pStyle w:val="BodyText"/>
        <w:spacing w:before="2"/>
        <w:rPr>
          <w:b/>
          <w:sz w:val="24"/>
        </w:rPr>
      </w:pPr>
    </w:p>
    <w:p>
      <w:pPr>
        <w:spacing w:before="0"/>
        <w:ind w:left="916" w:right="0" w:firstLine="0"/>
        <w:jc w:val="left"/>
        <w:rPr>
          <w:b/>
          <w:i/>
          <w:sz w:val="22"/>
        </w:rPr>
      </w:pPr>
      <w:r>
        <w:rPr>
          <w:b/>
          <w:sz w:val="22"/>
        </w:rPr>
        <w:t>REASONS FOR DECISION UNDER </w:t>
      </w:r>
      <w:r>
        <w:rPr>
          <w:b/>
          <w:i/>
          <w:sz w:val="22"/>
        </w:rPr>
        <w:t>ENVIRONMENT EFFECTS ACT 1978</w:t>
      </w:r>
    </w:p>
    <w:p>
      <w:pPr>
        <w:pStyle w:val="BodyText"/>
        <w:spacing w:before="37"/>
        <w:ind w:left="3075" w:right="3089"/>
        <w:jc w:val="center"/>
        <w:rPr>
          <w:b/>
        </w:rPr>
      </w:pPr>
      <w:r>
        <w:rPr>
          <w:b/>
        </w:rPr>
        <w:t>(</w:t>
      </w:r>
      <w:r>
        <w:rPr/>
        <w:t>Referral Number 2020R-18</w:t>
      </w:r>
      <w:r>
        <w:rPr>
          <w:b/>
        </w:rPr>
        <w:t>)</w:t>
      </w:r>
    </w:p>
    <w:p>
      <w:pPr>
        <w:pStyle w:val="BodyText"/>
        <w:rPr>
          <w:b/>
          <w:sz w:val="24"/>
        </w:rPr>
      </w:pPr>
    </w:p>
    <w:p>
      <w:pPr>
        <w:pStyle w:val="BodyText"/>
        <w:spacing w:before="2"/>
        <w:rPr>
          <w:b/>
          <w:sz w:val="21"/>
        </w:rPr>
      </w:pPr>
    </w:p>
    <w:p>
      <w:pPr>
        <w:pStyle w:val="Heading1"/>
        <w:tabs>
          <w:tab w:pos="1943" w:val="left" w:leader="none"/>
        </w:tabs>
        <w:spacing w:line="504" w:lineRule="auto" w:before="1"/>
        <w:ind w:right="3753"/>
      </w:pPr>
      <w:r>
        <w:rPr/>
        <w:t>Title of proposal: Viva Energy Gas Terminal Project Proponent:</w:t>
        <w:tab/>
        <w:t>Viva Energy Gas Australia Pty</w:t>
      </w:r>
      <w:r>
        <w:rPr>
          <w:spacing w:val="-7"/>
        </w:rPr>
        <w:t> </w:t>
      </w:r>
      <w:r>
        <w:rPr/>
        <w:t>Ltd</w:t>
      </w:r>
    </w:p>
    <w:p>
      <w:pPr>
        <w:pStyle w:val="BodyText"/>
        <w:spacing w:before="8"/>
        <w:rPr>
          <w:b/>
          <w:sz w:val="20"/>
        </w:rPr>
      </w:pPr>
    </w:p>
    <w:p>
      <w:pPr>
        <w:spacing w:before="0"/>
        <w:ind w:left="100" w:right="0" w:firstLine="0"/>
        <w:jc w:val="left"/>
        <w:rPr>
          <w:b/>
          <w:sz w:val="22"/>
        </w:rPr>
      </w:pPr>
      <w:r>
        <w:rPr>
          <w:b/>
          <w:sz w:val="22"/>
        </w:rPr>
        <w:t>Description of project:</w:t>
      </w:r>
    </w:p>
    <w:p>
      <w:pPr>
        <w:pStyle w:val="BodyText"/>
        <w:spacing w:line="276" w:lineRule="auto" w:before="37"/>
        <w:ind w:left="100" w:right="112"/>
        <w:jc w:val="both"/>
      </w:pPr>
      <w:r>
        <w:rPr/>
        <w:t>The project comprises a gas terminal with continuous mooring of a floating storage and regasification unit (FSRU), extension to the existing Refinery Pier to support a jetty arm and other ancillaries infrastructure, construction of nitrogen and odorant injection facilities and a</w:t>
      </w:r>
    </w:p>
    <w:p>
      <w:pPr>
        <w:pStyle w:val="ListParagraph"/>
        <w:numPr>
          <w:ilvl w:val="1"/>
          <w:numId w:val="1"/>
        </w:numPr>
        <w:tabs>
          <w:tab w:pos="471" w:val="left" w:leader="none"/>
        </w:tabs>
        <w:spacing w:line="240" w:lineRule="auto" w:before="2" w:after="0"/>
        <w:ind w:left="470" w:right="0" w:hanging="370"/>
        <w:jc w:val="left"/>
        <w:rPr>
          <w:sz w:val="22"/>
        </w:rPr>
      </w:pPr>
      <w:r>
        <w:rPr>
          <w:sz w:val="22"/>
        </w:rPr>
        <w:t>kilometre gas pipeline connecting to the South West Pipeline at</w:t>
      </w:r>
      <w:r>
        <w:rPr>
          <w:spacing w:val="-10"/>
          <w:sz w:val="22"/>
        </w:rPr>
        <w:t> </w:t>
      </w:r>
      <w:r>
        <w:rPr>
          <w:sz w:val="22"/>
        </w:rPr>
        <w:t>Lara.</w:t>
      </w:r>
    </w:p>
    <w:p>
      <w:pPr>
        <w:pStyle w:val="BodyText"/>
        <w:spacing w:before="1"/>
        <w:rPr>
          <w:sz w:val="24"/>
        </w:rPr>
      </w:pPr>
    </w:p>
    <w:p>
      <w:pPr>
        <w:pStyle w:val="BodyText"/>
        <w:ind w:left="100"/>
      </w:pPr>
      <w:r>
        <w:rPr/>
        <w:t>Key components of the project are:</w:t>
      </w:r>
    </w:p>
    <w:p>
      <w:pPr>
        <w:pStyle w:val="ListParagraph"/>
        <w:numPr>
          <w:ilvl w:val="2"/>
          <w:numId w:val="1"/>
        </w:numPr>
        <w:tabs>
          <w:tab w:pos="814" w:val="left" w:leader="none"/>
        </w:tabs>
        <w:spacing w:line="276" w:lineRule="auto" w:before="37" w:after="0"/>
        <w:ind w:left="813" w:right="117" w:hanging="355"/>
        <w:jc w:val="both"/>
        <w:rPr>
          <w:sz w:val="22"/>
        </w:rPr>
      </w:pPr>
      <w:r>
        <w:rPr>
          <w:sz w:val="22"/>
        </w:rPr>
        <w:t>a jetty footprint of two hectares (including the existing Refinery Pier footprint) for construction of an angled jetty arm (approximately 570 metres long) to the existing Refinery Pier and ancillary jetty infrastructure including high pressure gas unloading arms;</w:t>
      </w:r>
    </w:p>
    <w:p>
      <w:pPr>
        <w:pStyle w:val="ListParagraph"/>
        <w:numPr>
          <w:ilvl w:val="2"/>
          <w:numId w:val="1"/>
        </w:numPr>
        <w:tabs>
          <w:tab w:pos="813" w:val="left" w:leader="none"/>
          <w:tab w:pos="814" w:val="left" w:leader="none"/>
        </w:tabs>
        <w:spacing w:line="265" w:lineRule="exact" w:before="0" w:after="0"/>
        <w:ind w:left="813" w:right="0" w:hanging="355"/>
        <w:jc w:val="left"/>
        <w:rPr>
          <w:sz w:val="22"/>
        </w:rPr>
      </w:pPr>
      <w:r>
        <w:rPr>
          <w:sz w:val="22"/>
        </w:rPr>
        <w:t>continuous mooring of an FSRU, up to 300 metres in length, at the new</w:t>
      </w:r>
      <w:r>
        <w:rPr>
          <w:spacing w:val="-16"/>
          <w:sz w:val="22"/>
        </w:rPr>
        <w:t> </w:t>
      </w:r>
      <w:r>
        <w:rPr>
          <w:sz w:val="22"/>
        </w:rPr>
        <w:t>berth;</w:t>
      </w:r>
    </w:p>
    <w:p>
      <w:pPr>
        <w:pStyle w:val="ListParagraph"/>
        <w:numPr>
          <w:ilvl w:val="2"/>
          <w:numId w:val="1"/>
        </w:numPr>
        <w:tabs>
          <w:tab w:pos="813" w:val="left" w:leader="none"/>
          <w:tab w:pos="814" w:val="left" w:leader="none"/>
        </w:tabs>
        <w:spacing w:line="240" w:lineRule="auto" w:before="38" w:after="0"/>
        <w:ind w:left="813" w:right="0" w:hanging="355"/>
        <w:jc w:val="left"/>
        <w:rPr>
          <w:sz w:val="22"/>
        </w:rPr>
      </w:pPr>
      <w:r>
        <w:rPr>
          <w:sz w:val="22"/>
        </w:rPr>
        <w:t>dredging to deepen an area of 30 hectares in the vicinity of the Refinery</w:t>
      </w:r>
      <w:r>
        <w:rPr>
          <w:spacing w:val="-17"/>
          <w:sz w:val="22"/>
        </w:rPr>
        <w:t> </w:t>
      </w:r>
      <w:r>
        <w:rPr>
          <w:sz w:val="22"/>
        </w:rPr>
        <w:t>Pier;</w:t>
      </w:r>
    </w:p>
    <w:p>
      <w:pPr>
        <w:pStyle w:val="ListParagraph"/>
        <w:numPr>
          <w:ilvl w:val="2"/>
          <w:numId w:val="1"/>
        </w:numPr>
        <w:tabs>
          <w:tab w:pos="813" w:val="left" w:leader="none"/>
          <w:tab w:pos="814" w:val="left" w:leader="none"/>
        </w:tabs>
        <w:spacing w:line="240" w:lineRule="auto" w:before="35" w:after="0"/>
        <w:ind w:left="813" w:right="0" w:hanging="355"/>
        <w:jc w:val="left"/>
        <w:rPr>
          <w:sz w:val="22"/>
        </w:rPr>
      </w:pPr>
      <w:r>
        <w:rPr>
          <w:sz w:val="22"/>
        </w:rPr>
        <w:t>construction of nitrogen and odorant injection facilities on refinery</w:t>
      </w:r>
      <w:r>
        <w:rPr>
          <w:spacing w:val="-12"/>
          <w:sz w:val="22"/>
        </w:rPr>
        <w:t> </w:t>
      </w:r>
      <w:r>
        <w:rPr>
          <w:sz w:val="22"/>
        </w:rPr>
        <w:t>premises;</w:t>
      </w:r>
    </w:p>
    <w:p>
      <w:pPr>
        <w:pStyle w:val="ListParagraph"/>
        <w:numPr>
          <w:ilvl w:val="2"/>
          <w:numId w:val="1"/>
        </w:numPr>
        <w:tabs>
          <w:tab w:pos="813" w:val="left" w:leader="none"/>
          <w:tab w:pos="814" w:val="left" w:leader="none"/>
        </w:tabs>
        <w:spacing w:line="271" w:lineRule="auto" w:before="38" w:after="0"/>
        <w:ind w:left="813" w:right="116" w:hanging="355"/>
        <w:jc w:val="left"/>
        <w:rPr>
          <w:sz w:val="22"/>
        </w:rPr>
      </w:pPr>
      <w:r>
        <w:rPr>
          <w:sz w:val="22"/>
        </w:rPr>
        <w:t>construction of 2.5 kilometres of aboveground gas pipeline connecting the FSRU to the new injection facility;</w:t>
      </w:r>
      <w:r>
        <w:rPr>
          <w:spacing w:val="-6"/>
          <w:sz w:val="22"/>
        </w:rPr>
        <w:t> </w:t>
      </w:r>
      <w:r>
        <w:rPr>
          <w:sz w:val="22"/>
        </w:rPr>
        <w:t>and</w:t>
      </w:r>
    </w:p>
    <w:p>
      <w:pPr>
        <w:pStyle w:val="ListParagraph"/>
        <w:numPr>
          <w:ilvl w:val="2"/>
          <w:numId w:val="1"/>
        </w:numPr>
        <w:tabs>
          <w:tab w:pos="813" w:val="left" w:leader="none"/>
          <w:tab w:pos="814" w:val="left" w:leader="none"/>
        </w:tabs>
        <w:spacing w:line="273" w:lineRule="auto" w:before="5" w:after="0"/>
        <w:ind w:left="813" w:right="113" w:hanging="355"/>
        <w:jc w:val="left"/>
        <w:rPr>
          <w:sz w:val="22"/>
        </w:rPr>
      </w:pPr>
      <w:r>
        <w:rPr>
          <w:sz w:val="22"/>
        </w:rPr>
        <w:t>construction of four kilometres of underground gas transmission pipeline, connecting to the South West Pipeline (SWP) at</w:t>
      </w:r>
      <w:r>
        <w:rPr>
          <w:spacing w:val="-3"/>
          <w:sz w:val="22"/>
        </w:rPr>
        <w:t> </w:t>
      </w:r>
      <w:r>
        <w:rPr>
          <w:sz w:val="22"/>
        </w:rPr>
        <w:t>Lara.</w:t>
      </w:r>
    </w:p>
    <w:p>
      <w:pPr>
        <w:pStyle w:val="BodyText"/>
        <w:spacing w:before="1"/>
        <w:rPr>
          <w:sz w:val="21"/>
        </w:rPr>
      </w:pPr>
    </w:p>
    <w:p>
      <w:pPr>
        <w:pStyle w:val="Heading1"/>
      </w:pPr>
      <w:r>
        <w:rPr/>
        <w:t>Decision:</w:t>
      </w:r>
    </w:p>
    <w:p>
      <w:pPr>
        <w:pStyle w:val="BodyText"/>
        <w:spacing w:line="276" w:lineRule="auto" w:before="37"/>
        <w:ind w:left="100" w:right="22"/>
      </w:pPr>
      <w:r>
        <w:rPr/>
        <w:t>The Minister for Planning has decided that an environment effects statement is required for the Viva Energy Gas Terminal Project</w:t>
      </w:r>
    </w:p>
    <w:p>
      <w:pPr>
        <w:pStyle w:val="BodyText"/>
        <w:rPr>
          <w:sz w:val="21"/>
        </w:rPr>
      </w:pPr>
    </w:p>
    <w:p>
      <w:pPr>
        <w:pStyle w:val="Heading1"/>
      </w:pPr>
      <w:r>
        <w:rPr/>
        <w:t>Reasons for decision:</w:t>
      </w:r>
    </w:p>
    <w:p>
      <w:pPr>
        <w:pStyle w:val="BodyText"/>
        <w:spacing w:line="276" w:lineRule="auto" w:before="38"/>
        <w:ind w:left="100" w:right="110"/>
        <w:jc w:val="both"/>
      </w:pPr>
      <w:r>
        <w:rPr/>
        <w:t>The</w:t>
      </w:r>
      <w:r>
        <w:rPr>
          <w:spacing w:val="-13"/>
        </w:rPr>
        <w:t> </w:t>
      </w:r>
      <w:r>
        <w:rPr/>
        <w:t>project</w:t>
      </w:r>
      <w:r>
        <w:rPr>
          <w:spacing w:val="-14"/>
        </w:rPr>
        <w:t> </w:t>
      </w:r>
      <w:r>
        <w:rPr/>
        <w:t>has</w:t>
      </w:r>
      <w:r>
        <w:rPr>
          <w:spacing w:val="-15"/>
        </w:rPr>
        <w:t> </w:t>
      </w:r>
      <w:r>
        <w:rPr/>
        <w:t>the</w:t>
      </w:r>
      <w:r>
        <w:rPr>
          <w:spacing w:val="-15"/>
        </w:rPr>
        <w:t> </w:t>
      </w:r>
      <w:r>
        <w:rPr/>
        <w:t>potential</w:t>
      </w:r>
      <w:r>
        <w:rPr>
          <w:spacing w:val="-14"/>
        </w:rPr>
        <w:t> </w:t>
      </w:r>
      <w:r>
        <w:rPr/>
        <w:t>for</w:t>
      </w:r>
      <w:r>
        <w:rPr>
          <w:spacing w:val="-14"/>
        </w:rPr>
        <w:t> </w:t>
      </w:r>
      <w:r>
        <w:rPr/>
        <w:t>significant</w:t>
      </w:r>
      <w:r>
        <w:rPr>
          <w:spacing w:val="-14"/>
        </w:rPr>
        <w:t> </w:t>
      </w:r>
      <w:r>
        <w:rPr/>
        <w:t>adverse</w:t>
      </w:r>
      <w:r>
        <w:rPr>
          <w:spacing w:val="-15"/>
        </w:rPr>
        <w:t> </w:t>
      </w:r>
      <w:r>
        <w:rPr/>
        <w:t>effects</w:t>
      </w:r>
      <w:r>
        <w:rPr>
          <w:spacing w:val="-12"/>
        </w:rPr>
        <w:t> </w:t>
      </w:r>
      <w:r>
        <w:rPr/>
        <w:t>on</w:t>
      </w:r>
      <w:r>
        <w:rPr>
          <w:spacing w:val="-15"/>
        </w:rPr>
        <w:t> </w:t>
      </w:r>
      <w:r>
        <w:rPr/>
        <w:t>the</w:t>
      </w:r>
      <w:r>
        <w:rPr>
          <w:spacing w:val="-15"/>
        </w:rPr>
        <w:t> </w:t>
      </w:r>
      <w:r>
        <w:rPr/>
        <w:t>marine</w:t>
      </w:r>
      <w:r>
        <w:rPr>
          <w:spacing w:val="-9"/>
        </w:rPr>
        <w:t> </w:t>
      </w:r>
      <w:r>
        <w:rPr/>
        <w:t>environment</w:t>
      </w:r>
      <w:r>
        <w:rPr>
          <w:spacing w:val="-14"/>
        </w:rPr>
        <w:t> </w:t>
      </w:r>
      <w:r>
        <w:rPr/>
        <w:t>of</w:t>
      </w:r>
      <w:r>
        <w:rPr>
          <w:spacing w:val="-11"/>
        </w:rPr>
        <w:t> </w:t>
      </w:r>
      <w:r>
        <w:rPr/>
        <w:t>Corio Bay including marine water quality. Sediment mobilisation and water discharges may impact on</w:t>
      </w:r>
      <w:r>
        <w:rPr>
          <w:spacing w:val="-6"/>
        </w:rPr>
        <w:t> </w:t>
      </w:r>
      <w:r>
        <w:rPr/>
        <w:t>the</w:t>
      </w:r>
      <w:r>
        <w:rPr>
          <w:spacing w:val="-8"/>
        </w:rPr>
        <w:t> </w:t>
      </w:r>
      <w:r>
        <w:rPr/>
        <w:t>marine</w:t>
      </w:r>
      <w:r>
        <w:rPr>
          <w:spacing w:val="-5"/>
        </w:rPr>
        <w:t> </w:t>
      </w:r>
      <w:r>
        <w:rPr/>
        <w:t>ecosystem,</w:t>
      </w:r>
      <w:r>
        <w:rPr>
          <w:spacing w:val="-5"/>
        </w:rPr>
        <w:t> </w:t>
      </w:r>
      <w:r>
        <w:rPr/>
        <w:t>including</w:t>
      </w:r>
      <w:r>
        <w:rPr>
          <w:spacing w:val="-5"/>
        </w:rPr>
        <w:t> </w:t>
      </w:r>
      <w:r>
        <w:rPr/>
        <w:t>seagrass</w:t>
      </w:r>
      <w:r>
        <w:rPr>
          <w:spacing w:val="-6"/>
        </w:rPr>
        <w:t> </w:t>
      </w:r>
      <w:r>
        <w:rPr/>
        <w:t>and</w:t>
      </w:r>
      <w:r>
        <w:rPr>
          <w:spacing w:val="-8"/>
        </w:rPr>
        <w:t> </w:t>
      </w:r>
      <w:r>
        <w:rPr/>
        <w:t>other</w:t>
      </w:r>
      <w:r>
        <w:rPr>
          <w:spacing w:val="-4"/>
        </w:rPr>
        <w:t> </w:t>
      </w:r>
      <w:r>
        <w:rPr/>
        <w:t>habitat</w:t>
      </w:r>
      <w:r>
        <w:rPr>
          <w:spacing w:val="-8"/>
        </w:rPr>
        <w:t> </w:t>
      </w:r>
      <w:r>
        <w:rPr/>
        <w:t>for</w:t>
      </w:r>
      <w:r>
        <w:rPr>
          <w:spacing w:val="-4"/>
        </w:rPr>
        <w:t> </w:t>
      </w:r>
      <w:r>
        <w:rPr/>
        <w:t>listed</w:t>
      </w:r>
      <w:r>
        <w:rPr>
          <w:spacing w:val="-8"/>
        </w:rPr>
        <w:t> </w:t>
      </w:r>
      <w:r>
        <w:rPr/>
        <w:t>fauna</w:t>
      </w:r>
      <w:r>
        <w:rPr>
          <w:spacing w:val="-6"/>
        </w:rPr>
        <w:t> </w:t>
      </w:r>
      <w:r>
        <w:rPr/>
        <w:t>species,</w:t>
      </w:r>
      <w:r>
        <w:rPr>
          <w:spacing w:val="-6"/>
        </w:rPr>
        <w:t> </w:t>
      </w:r>
      <w:r>
        <w:rPr/>
        <w:t>some of</w:t>
      </w:r>
      <w:r>
        <w:rPr>
          <w:spacing w:val="-15"/>
        </w:rPr>
        <w:t> </w:t>
      </w:r>
      <w:r>
        <w:rPr/>
        <w:t>which</w:t>
      </w:r>
      <w:r>
        <w:rPr>
          <w:spacing w:val="-18"/>
        </w:rPr>
        <w:t> </w:t>
      </w:r>
      <w:r>
        <w:rPr/>
        <w:t>are</w:t>
      </w:r>
      <w:r>
        <w:rPr>
          <w:spacing w:val="-17"/>
        </w:rPr>
        <w:t> </w:t>
      </w:r>
      <w:r>
        <w:rPr/>
        <w:t>listed</w:t>
      </w:r>
      <w:r>
        <w:rPr>
          <w:spacing w:val="-15"/>
        </w:rPr>
        <w:t> </w:t>
      </w:r>
      <w:r>
        <w:rPr/>
        <w:t>under</w:t>
      </w:r>
      <w:r>
        <w:rPr>
          <w:spacing w:val="-17"/>
        </w:rPr>
        <w:t> </w:t>
      </w:r>
      <w:r>
        <w:rPr/>
        <w:t>the</w:t>
      </w:r>
      <w:r>
        <w:rPr>
          <w:spacing w:val="-15"/>
        </w:rPr>
        <w:t> </w:t>
      </w:r>
      <w:r>
        <w:rPr>
          <w:i/>
        </w:rPr>
        <w:t>Flora</w:t>
      </w:r>
      <w:r>
        <w:rPr>
          <w:i/>
          <w:spacing w:val="-17"/>
        </w:rPr>
        <w:t> </w:t>
      </w:r>
      <w:r>
        <w:rPr>
          <w:i/>
        </w:rPr>
        <w:t>and</w:t>
      </w:r>
      <w:r>
        <w:rPr>
          <w:i/>
          <w:spacing w:val="-15"/>
        </w:rPr>
        <w:t> </w:t>
      </w:r>
      <w:r>
        <w:rPr>
          <w:i/>
        </w:rPr>
        <w:t>Fauna</w:t>
      </w:r>
      <w:r>
        <w:rPr>
          <w:i/>
          <w:spacing w:val="-20"/>
        </w:rPr>
        <w:t> </w:t>
      </w:r>
      <w:r>
        <w:rPr>
          <w:i/>
        </w:rPr>
        <w:t>Guarantee</w:t>
      </w:r>
      <w:r>
        <w:rPr>
          <w:i/>
          <w:spacing w:val="-16"/>
        </w:rPr>
        <w:t> </w:t>
      </w:r>
      <w:r>
        <w:rPr>
          <w:i/>
        </w:rPr>
        <w:t>Act</w:t>
      </w:r>
      <w:r>
        <w:rPr>
          <w:i/>
          <w:spacing w:val="-14"/>
        </w:rPr>
        <w:t> </w:t>
      </w:r>
      <w:r>
        <w:rPr>
          <w:i/>
        </w:rPr>
        <w:t>1995</w:t>
      </w:r>
      <w:r>
        <w:rPr>
          <w:i/>
          <w:spacing w:val="-15"/>
        </w:rPr>
        <w:t> </w:t>
      </w:r>
      <w:r>
        <w:rPr/>
        <w:t>and</w:t>
      </w:r>
      <w:r>
        <w:rPr>
          <w:spacing w:val="-17"/>
        </w:rPr>
        <w:t> </w:t>
      </w:r>
      <w:r>
        <w:rPr>
          <w:i/>
        </w:rPr>
        <w:t>Environment</w:t>
      </w:r>
      <w:r>
        <w:rPr>
          <w:i/>
          <w:spacing w:val="-16"/>
        </w:rPr>
        <w:t> </w:t>
      </w:r>
      <w:r>
        <w:rPr>
          <w:i/>
        </w:rPr>
        <w:t>Protection </w:t>
      </w:r>
      <w:r>
        <w:rPr>
          <w:i/>
        </w:rPr>
        <w:t>and Biodiversity Conservation Act 1999</w:t>
      </w:r>
      <w:r>
        <w:rPr/>
        <w:t>. The potentially significant effects from construction and operation of the FSRU will occur within Corio Bay and potentially the Port Phillip Bay (Western Shoreline) and Bellarine Peninsular Ramsar</w:t>
      </w:r>
      <w:r>
        <w:rPr>
          <w:spacing w:val="-7"/>
        </w:rPr>
        <w:t> </w:t>
      </w:r>
      <w:r>
        <w:rPr/>
        <w:t>site.</w:t>
      </w:r>
    </w:p>
    <w:p>
      <w:pPr>
        <w:pStyle w:val="BodyText"/>
        <w:spacing w:before="9"/>
        <w:rPr>
          <w:sz w:val="20"/>
        </w:rPr>
      </w:pPr>
    </w:p>
    <w:p>
      <w:pPr>
        <w:pStyle w:val="BodyText"/>
        <w:spacing w:line="278" w:lineRule="auto"/>
        <w:ind w:left="100"/>
      </w:pPr>
      <w:r>
        <w:rPr/>
        <w:t>The project has the potential for contributing to greenhouse gas emissions which warrant further investigation of the nature and extent.</w:t>
      </w:r>
    </w:p>
    <w:p>
      <w:pPr>
        <w:pStyle w:val="BodyText"/>
        <w:spacing w:before="6"/>
        <w:rPr>
          <w:sz w:val="20"/>
        </w:rPr>
      </w:pPr>
    </w:p>
    <w:p>
      <w:pPr>
        <w:pStyle w:val="BodyText"/>
        <w:spacing w:line="276" w:lineRule="auto"/>
        <w:ind w:left="100" w:right="113"/>
        <w:jc w:val="both"/>
      </w:pPr>
      <w:r>
        <w:rPr/>
        <w:t>Other potential effects of the project on air quality, noise, land use, Aboriginal and historic heritage,</w:t>
      </w:r>
      <w:r>
        <w:rPr>
          <w:spacing w:val="-17"/>
        </w:rPr>
        <w:t> </w:t>
      </w:r>
      <w:r>
        <w:rPr/>
        <w:t>native</w:t>
      </w:r>
      <w:r>
        <w:rPr>
          <w:spacing w:val="-18"/>
        </w:rPr>
        <w:t> </w:t>
      </w:r>
      <w:r>
        <w:rPr/>
        <w:t>vegetation,</w:t>
      </w:r>
      <w:r>
        <w:rPr>
          <w:spacing w:val="-15"/>
        </w:rPr>
        <w:t> </w:t>
      </w:r>
      <w:r>
        <w:rPr/>
        <w:t>groundwater,</w:t>
      </w:r>
      <w:r>
        <w:rPr>
          <w:spacing w:val="-16"/>
        </w:rPr>
        <w:t> </w:t>
      </w:r>
      <w:r>
        <w:rPr/>
        <w:t>traffic</w:t>
      </w:r>
      <w:r>
        <w:rPr>
          <w:spacing w:val="-18"/>
        </w:rPr>
        <w:t> </w:t>
      </w:r>
      <w:r>
        <w:rPr/>
        <w:t>and</w:t>
      </w:r>
      <w:r>
        <w:rPr>
          <w:spacing w:val="-15"/>
        </w:rPr>
        <w:t> </w:t>
      </w:r>
      <w:r>
        <w:rPr/>
        <w:t>transport,</w:t>
      </w:r>
      <w:r>
        <w:rPr>
          <w:spacing w:val="-17"/>
        </w:rPr>
        <w:t> </w:t>
      </w:r>
      <w:r>
        <w:rPr/>
        <w:t>as</w:t>
      </w:r>
      <w:r>
        <w:rPr>
          <w:spacing w:val="-16"/>
        </w:rPr>
        <w:t> </w:t>
      </w:r>
      <w:r>
        <w:rPr/>
        <w:t>well</w:t>
      </w:r>
      <w:r>
        <w:rPr>
          <w:spacing w:val="-17"/>
        </w:rPr>
        <w:t> </w:t>
      </w:r>
      <w:r>
        <w:rPr/>
        <w:t>as</w:t>
      </w:r>
      <w:r>
        <w:rPr>
          <w:spacing w:val="-16"/>
        </w:rPr>
        <w:t> </w:t>
      </w:r>
      <w:r>
        <w:rPr/>
        <w:t>visual</w:t>
      </w:r>
      <w:r>
        <w:rPr>
          <w:spacing w:val="-15"/>
        </w:rPr>
        <w:t> </w:t>
      </w:r>
      <w:r>
        <w:rPr/>
        <w:t>amenity</w:t>
      </w:r>
      <w:r>
        <w:rPr>
          <w:spacing w:val="-17"/>
        </w:rPr>
        <w:t> </w:t>
      </w:r>
      <w:r>
        <w:rPr/>
        <w:t>should be addressed through integrated</w:t>
      </w:r>
      <w:r>
        <w:rPr>
          <w:spacing w:val="-10"/>
        </w:rPr>
        <w:t> </w:t>
      </w:r>
      <w:r>
        <w:rPr/>
        <w:t>assessments.</w:t>
      </w:r>
    </w:p>
    <w:p>
      <w:pPr>
        <w:spacing w:after="0" w:line="276" w:lineRule="auto"/>
        <w:jc w:val="both"/>
        <w:sectPr>
          <w:footerReference w:type="default" r:id="rId5"/>
          <w:type w:val="continuous"/>
          <w:pgSz w:w="11910" w:h="16850"/>
          <w:pgMar w:footer="350" w:top="1360" w:bottom="540" w:left="1340" w:right="1320"/>
        </w:sectPr>
      </w:pPr>
    </w:p>
    <w:p>
      <w:pPr>
        <w:pStyle w:val="BodyText"/>
        <w:spacing w:before="79"/>
        <w:ind w:right="117"/>
        <w:jc w:val="right"/>
      </w:pPr>
      <w:r>
        <w:rPr/>
        <w:t>Referral Number 2020R-18</w:t>
      </w:r>
    </w:p>
    <w:p>
      <w:pPr>
        <w:pStyle w:val="BodyText"/>
        <w:rPr>
          <w:sz w:val="20"/>
        </w:rPr>
      </w:pPr>
    </w:p>
    <w:p>
      <w:pPr>
        <w:pStyle w:val="BodyText"/>
        <w:spacing w:before="7"/>
        <w:rPr>
          <w:sz w:val="20"/>
        </w:rPr>
      </w:pPr>
    </w:p>
    <w:p>
      <w:pPr>
        <w:pStyle w:val="BodyText"/>
        <w:spacing w:line="276" w:lineRule="auto"/>
        <w:ind w:left="100" w:right="112"/>
        <w:jc w:val="both"/>
      </w:pPr>
      <w:r>
        <w:rPr/>
        <w:t>An environment effects statement is warranted to provide an integrated, robust and transparent process to assess the project’s potentially significant effects and associated uncertainties, and to evaluate the effectiveness of the proposed avoidance, minimisation, mitigation and offsetting measures, prior to any statutory approval decisions.</w:t>
      </w:r>
    </w:p>
    <w:p>
      <w:pPr>
        <w:pStyle w:val="BodyText"/>
        <w:spacing w:before="11"/>
        <w:rPr>
          <w:sz w:val="20"/>
        </w:rPr>
      </w:pPr>
    </w:p>
    <w:p>
      <w:pPr>
        <w:spacing w:line="276" w:lineRule="auto" w:before="0"/>
        <w:ind w:left="100" w:right="114" w:firstLine="0"/>
        <w:jc w:val="both"/>
        <w:rPr>
          <w:sz w:val="22"/>
        </w:rPr>
      </w:pPr>
      <w:r>
        <w:rPr>
          <w:sz w:val="22"/>
        </w:rPr>
        <w:t>An</w:t>
      </w:r>
      <w:r>
        <w:rPr>
          <w:spacing w:val="-4"/>
          <w:sz w:val="22"/>
        </w:rPr>
        <w:t> </w:t>
      </w:r>
      <w:r>
        <w:rPr>
          <w:sz w:val="22"/>
        </w:rPr>
        <w:t>EES</w:t>
      </w:r>
      <w:r>
        <w:rPr>
          <w:spacing w:val="-4"/>
          <w:sz w:val="22"/>
        </w:rPr>
        <w:t> </w:t>
      </w:r>
      <w:r>
        <w:rPr>
          <w:sz w:val="22"/>
        </w:rPr>
        <w:t>would</w:t>
      </w:r>
      <w:r>
        <w:rPr>
          <w:spacing w:val="-3"/>
          <w:sz w:val="22"/>
        </w:rPr>
        <w:t> </w:t>
      </w:r>
      <w:r>
        <w:rPr>
          <w:sz w:val="22"/>
        </w:rPr>
        <w:t>also</w:t>
      </w:r>
      <w:r>
        <w:rPr>
          <w:spacing w:val="-4"/>
          <w:sz w:val="22"/>
        </w:rPr>
        <w:t> </w:t>
      </w:r>
      <w:r>
        <w:rPr>
          <w:sz w:val="22"/>
        </w:rPr>
        <w:t>enable</w:t>
      </w:r>
      <w:r>
        <w:rPr>
          <w:spacing w:val="-3"/>
          <w:sz w:val="22"/>
        </w:rPr>
        <w:t> </w:t>
      </w:r>
      <w:r>
        <w:rPr>
          <w:sz w:val="22"/>
        </w:rPr>
        <w:t>a</w:t>
      </w:r>
      <w:r>
        <w:rPr>
          <w:spacing w:val="-4"/>
          <w:sz w:val="22"/>
        </w:rPr>
        <w:t> </w:t>
      </w:r>
      <w:r>
        <w:rPr>
          <w:sz w:val="22"/>
        </w:rPr>
        <w:t>transparent</w:t>
      </w:r>
      <w:r>
        <w:rPr>
          <w:spacing w:val="-5"/>
          <w:sz w:val="22"/>
        </w:rPr>
        <w:t> </w:t>
      </w:r>
      <w:r>
        <w:rPr>
          <w:sz w:val="22"/>
        </w:rPr>
        <w:t>and</w:t>
      </w:r>
      <w:r>
        <w:rPr>
          <w:spacing w:val="-3"/>
          <w:sz w:val="22"/>
        </w:rPr>
        <w:t> </w:t>
      </w:r>
      <w:r>
        <w:rPr>
          <w:sz w:val="22"/>
        </w:rPr>
        <w:t>rigorous</w:t>
      </w:r>
      <w:r>
        <w:rPr>
          <w:spacing w:val="-4"/>
          <w:sz w:val="22"/>
        </w:rPr>
        <w:t> </w:t>
      </w:r>
      <w:r>
        <w:rPr>
          <w:sz w:val="22"/>
        </w:rPr>
        <w:t>process</w:t>
      </w:r>
      <w:r>
        <w:rPr>
          <w:spacing w:val="-5"/>
          <w:sz w:val="22"/>
        </w:rPr>
        <w:t> </w:t>
      </w:r>
      <w:r>
        <w:rPr>
          <w:sz w:val="22"/>
        </w:rPr>
        <w:t>for</w:t>
      </w:r>
      <w:r>
        <w:rPr>
          <w:spacing w:val="-3"/>
          <w:sz w:val="22"/>
        </w:rPr>
        <w:t> </w:t>
      </w:r>
      <w:r>
        <w:rPr>
          <w:sz w:val="22"/>
        </w:rPr>
        <w:t>consideration</w:t>
      </w:r>
      <w:r>
        <w:rPr>
          <w:spacing w:val="-3"/>
          <w:sz w:val="22"/>
        </w:rPr>
        <w:t> </w:t>
      </w:r>
      <w:r>
        <w:rPr>
          <w:sz w:val="22"/>
        </w:rPr>
        <w:t>of</w:t>
      </w:r>
      <w:r>
        <w:rPr>
          <w:spacing w:val="-3"/>
          <w:sz w:val="22"/>
        </w:rPr>
        <w:t> </w:t>
      </w:r>
      <w:r>
        <w:rPr>
          <w:sz w:val="22"/>
        </w:rPr>
        <w:t>potentially significant</w:t>
      </w:r>
      <w:r>
        <w:rPr>
          <w:spacing w:val="-13"/>
          <w:sz w:val="22"/>
        </w:rPr>
        <w:t> </w:t>
      </w:r>
      <w:r>
        <w:rPr>
          <w:sz w:val="22"/>
        </w:rPr>
        <w:t>adverse</w:t>
      </w:r>
      <w:r>
        <w:rPr>
          <w:spacing w:val="-16"/>
          <w:sz w:val="22"/>
        </w:rPr>
        <w:t> </w:t>
      </w:r>
      <w:r>
        <w:rPr>
          <w:sz w:val="22"/>
        </w:rPr>
        <w:t>effects</w:t>
      </w:r>
      <w:r>
        <w:rPr>
          <w:spacing w:val="-13"/>
          <w:sz w:val="22"/>
        </w:rPr>
        <w:t> </w:t>
      </w:r>
      <w:r>
        <w:rPr>
          <w:sz w:val="22"/>
        </w:rPr>
        <w:t>of</w:t>
      </w:r>
      <w:r>
        <w:rPr>
          <w:spacing w:val="-16"/>
          <w:sz w:val="22"/>
        </w:rPr>
        <w:t> </w:t>
      </w:r>
      <w:r>
        <w:rPr>
          <w:sz w:val="22"/>
        </w:rPr>
        <w:t>the</w:t>
      </w:r>
      <w:r>
        <w:rPr>
          <w:spacing w:val="-16"/>
          <w:sz w:val="22"/>
        </w:rPr>
        <w:t> </w:t>
      </w:r>
      <w:r>
        <w:rPr>
          <w:sz w:val="22"/>
        </w:rPr>
        <w:t>project</w:t>
      </w:r>
      <w:r>
        <w:rPr>
          <w:spacing w:val="-18"/>
          <w:sz w:val="22"/>
        </w:rPr>
        <w:t> </w:t>
      </w:r>
      <w:r>
        <w:rPr>
          <w:sz w:val="22"/>
        </w:rPr>
        <w:t>to</w:t>
      </w:r>
      <w:r>
        <w:rPr>
          <w:spacing w:val="-16"/>
          <w:sz w:val="22"/>
        </w:rPr>
        <w:t> </w:t>
      </w:r>
      <w:r>
        <w:rPr>
          <w:sz w:val="22"/>
        </w:rPr>
        <w:t>inform</w:t>
      </w:r>
      <w:r>
        <w:rPr>
          <w:spacing w:val="-15"/>
          <w:sz w:val="22"/>
        </w:rPr>
        <w:t> </w:t>
      </w:r>
      <w:r>
        <w:rPr>
          <w:sz w:val="22"/>
        </w:rPr>
        <w:t>relevant</w:t>
      </w:r>
      <w:r>
        <w:rPr>
          <w:spacing w:val="-16"/>
          <w:sz w:val="22"/>
        </w:rPr>
        <w:t> </w:t>
      </w:r>
      <w:r>
        <w:rPr>
          <w:sz w:val="22"/>
        </w:rPr>
        <w:t>statutory</w:t>
      </w:r>
      <w:r>
        <w:rPr>
          <w:spacing w:val="-16"/>
          <w:sz w:val="22"/>
        </w:rPr>
        <w:t> </w:t>
      </w:r>
      <w:r>
        <w:rPr>
          <w:sz w:val="22"/>
        </w:rPr>
        <w:t>decision-making,</w:t>
      </w:r>
      <w:r>
        <w:rPr>
          <w:spacing w:val="-16"/>
          <w:sz w:val="22"/>
        </w:rPr>
        <w:t> </w:t>
      </w:r>
      <w:r>
        <w:rPr>
          <w:sz w:val="22"/>
        </w:rPr>
        <w:t>including under the </w:t>
      </w:r>
      <w:r>
        <w:rPr>
          <w:i/>
          <w:sz w:val="22"/>
        </w:rPr>
        <w:t>Planning and Environment Act 1987</w:t>
      </w:r>
      <w:r>
        <w:rPr>
          <w:sz w:val="22"/>
        </w:rPr>
        <w:t>, </w:t>
      </w:r>
      <w:r>
        <w:rPr>
          <w:i/>
          <w:sz w:val="22"/>
        </w:rPr>
        <w:t>Flora and Fauna Guarantee Act 1995</w:t>
      </w:r>
      <w:r>
        <w:rPr>
          <w:sz w:val="22"/>
        </w:rPr>
        <w:t>, </w:t>
      </w:r>
      <w:r>
        <w:rPr>
          <w:i/>
          <w:sz w:val="22"/>
        </w:rPr>
        <w:t>Environment Protection Act 1970</w:t>
      </w:r>
      <w:r>
        <w:rPr>
          <w:sz w:val="22"/>
        </w:rPr>
        <w:t>, </w:t>
      </w:r>
      <w:r>
        <w:rPr>
          <w:i/>
          <w:sz w:val="22"/>
        </w:rPr>
        <w:t>Marine Coastal Act 2018 </w:t>
      </w:r>
      <w:r>
        <w:rPr>
          <w:sz w:val="22"/>
        </w:rPr>
        <w:t>and </w:t>
      </w:r>
      <w:r>
        <w:rPr>
          <w:i/>
          <w:sz w:val="22"/>
        </w:rPr>
        <w:t>Pipeline Act</w:t>
      </w:r>
      <w:r>
        <w:rPr>
          <w:i/>
          <w:spacing w:val="-7"/>
          <w:sz w:val="22"/>
        </w:rPr>
        <w:t> </w:t>
      </w:r>
      <w:r>
        <w:rPr>
          <w:i/>
          <w:sz w:val="22"/>
        </w:rPr>
        <w:t>2005</w:t>
      </w:r>
      <w:r>
        <w:rPr>
          <w:sz w:val="22"/>
        </w:rPr>
        <w:t>.</w:t>
      </w:r>
    </w:p>
    <w:p>
      <w:pPr>
        <w:pStyle w:val="BodyText"/>
        <w:rPr>
          <w:sz w:val="24"/>
        </w:rPr>
      </w:pPr>
    </w:p>
    <w:p>
      <w:pPr>
        <w:pStyle w:val="Heading1"/>
        <w:spacing w:before="204"/>
        <w:jc w:val="both"/>
      </w:pPr>
      <w:r>
        <w:rPr/>
        <w:t>Date of decision: 28 /12 / 2020</w:t>
      </w:r>
    </w:p>
    <w:sectPr>
      <w:pgSz w:w="11910" w:h="16850"/>
      <w:pgMar w:header="0" w:footer="350" w:top="640" w:bottom="5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4.929993pt;margin-top:813.559998pt;width:45.35pt;height:14pt;mso-position-horizontal-relative:page;mso-position-vertical-relative:page;z-index:-2848" type="#_x0000_t202" filled="false" stroked="false">
          <v:textbox inset="0,0,0,0">
            <w:txbxContent>
              <w:p>
                <w:pPr>
                  <w:spacing w:line="264" w:lineRule="exact" w:before="0"/>
                  <w:ind w:left="20" w:right="0" w:firstLine="0"/>
                  <w:jc w:val="left"/>
                  <w:rPr>
                    <w:rFonts w:ascii="Calibri"/>
                    <w:sz w:val="24"/>
                  </w:rPr>
                </w:pPr>
                <w:r>
                  <w:rPr>
                    <w:rFonts w:ascii="Calibri"/>
                    <w:sz w:val="24"/>
                  </w:rPr>
                  <w:t>OFFICIAL</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
      <w:numFmt w:val="decimal"/>
      <w:lvlText w:val="%1"/>
      <w:lvlJc w:val="left"/>
      <w:pPr>
        <w:ind w:left="470" w:hanging="370"/>
        <w:jc w:val="left"/>
      </w:pPr>
      <w:rPr>
        <w:rFonts w:hint="default"/>
        <w:lang w:val="en-au" w:eastAsia="en-au" w:bidi="en-au"/>
      </w:rPr>
    </w:lvl>
    <w:lvl w:ilvl="1">
      <w:start w:val="5"/>
      <w:numFmt w:val="decimal"/>
      <w:lvlText w:val="%1.%2"/>
      <w:lvlJc w:val="left"/>
      <w:pPr>
        <w:ind w:left="470" w:hanging="370"/>
        <w:jc w:val="left"/>
      </w:pPr>
      <w:rPr>
        <w:rFonts w:hint="default" w:ascii="Arial" w:hAnsi="Arial" w:eastAsia="Arial" w:cs="Arial"/>
        <w:w w:val="100"/>
        <w:sz w:val="22"/>
        <w:szCs w:val="22"/>
        <w:lang w:val="en-au" w:eastAsia="en-au" w:bidi="en-au"/>
      </w:rPr>
    </w:lvl>
    <w:lvl w:ilvl="2">
      <w:start w:val="0"/>
      <w:numFmt w:val="bullet"/>
      <w:lvlText w:val=""/>
      <w:lvlJc w:val="left"/>
      <w:pPr>
        <w:ind w:left="813" w:hanging="356"/>
      </w:pPr>
      <w:rPr>
        <w:rFonts w:hint="default" w:ascii="Symbol" w:hAnsi="Symbol" w:eastAsia="Symbol" w:cs="Symbol"/>
        <w:w w:val="100"/>
        <w:sz w:val="22"/>
        <w:szCs w:val="22"/>
        <w:lang w:val="en-au" w:eastAsia="en-au" w:bidi="en-au"/>
      </w:rPr>
    </w:lvl>
    <w:lvl w:ilvl="3">
      <w:start w:val="0"/>
      <w:numFmt w:val="bullet"/>
      <w:lvlText w:val="•"/>
      <w:lvlJc w:val="left"/>
      <w:pPr>
        <w:ind w:left="2692" w:hanging="356"/>
      </w:pPr>
      <w:rPr>
        <w:rFonts w:hint="default"/>
        <w:lang w:val="en-au" w:eastAsia="en-au" w:bidi="en-au"/>
      </w:rPr>
    </w:lvl>
    <w:lvl w:ilvl="4">
      <w:start w:val="0"/>
      <w:numFmt w:val="bullet"/>
      <w:lvlText w:val="•"/>
      <w:lvlJc w:val="left"/>
      <w:pPr>
        <w:ind w:left="3628" w:hanging="356"/>
      </w:pPr>
      <w:rPr>
        <w:rFonts w:hint="default"/>
        <w:lang w:val="en-au" w:eastAsia="en-au" w:bidi="en-au"/>
      </w:rPr>
    </w:lvl>
    <w:lvl w:ilvl="5">
      <w:start w:val="0"/>
      <w:numFmt w:val="bullet"/>
      <w:lvlText w:val="•"/>
      <w:lvlJc w:val="left"/>
      <w:pPr>
        <w:ind w:left="4565" w:hanging="356"/>
      </w:pPr>
      <w:rPr>
        <w:rFonts w:hint="default"/>
        <w:lang w:val="en-au" w:eastAsia="en-au" w:bidi="en-au"/>
      </w:rPr>
    </w:lvl>
    <w:lvl w:ilvl="6">
      <w:start w:val="0"/>
      <w:numFmt w:val="bullet"/>
      <w:lvlText w:val="•"/>
      <w:lvlJc w:val="left"/>
      <w:pPr>
        <w:ind w:left="5501" w:hanging="356"/>
      </w:pPr>
      <w:rPr>
        <w:rFonts w:hint="default"/>
        <w:lang w:val="en-au" w:eastAsia="en-au" w:bidi="en-au"/>
      </w:rPr>
    </w:lvl>
    <w:lvl w:ilvl="7">
      <w:start w:val="0"/>
      <w:numFmt w:val="bullet"/>
      <w:lvlText w:val="•"/>
      <w:lvlJc w:val="left"/>
      <w:pPr>
        <w:ind w:left="6437" w:hanging="356"/>
      </w:pPr>
      <w:rPr>
        <w:rFonts w:hint="default"/>
        <w:lang w:val="en-au" w:eastAsia="en-au" w:bidi="en-au"/>
      </w:rPr>
    </w:lvl>
    <w:lvl w:ilvl="8">
      <w:start w:val="0"/>
      <w:numFmt w:val="bullet"/>
      <w:lvlText w:val="•"/>
      <w:lvlJc w:val="left"/>
      <w:pPr>
        <w:ind w:left="7373" w:hanging="356"/>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rPr>
      <w:rFonts w:ascii="Arial" w:hAnsi="Arial" w:eastAsia="Arial" w:cs="Arial"/>
      <w:sz w:val="22"/>
      <w:szCs w:val="22"/>
      <w:lang w:val="en-au" w:eastAsia="en-au" w:bidi="en-au"/>
    </w:rPr>
  </w:style>
  <w:style w:styleId="Heading1" w:type="paragraph">
    <w:name w:val="Heading 1"/>
    <w:basedOn w:val="Normal"/>
    <w:uiPriority w:val="1"/>
    <w:qFormat/>
    <w:pPr>
      <w:ind w:left="100"/>
      <w:outlineLvl w:val="1"/>
    </w:pPr>
    <w:rPr>
      <w:rFonts w:ascii="Arial" w:hAnsi="Arial" w:eastAsia="Arial" w:cs="Arial"/>
      <w:b/>
      <w:bCs/>
      <w:sz w:val="22"/>
      <w:szCs w:val="22"/>
      <w:lang w:val="en-au" w:eastAsia="en-au" w:bidi="en-au"/>
    </w:rPr>
  </w:style>
  <w:style w:styleId="ListParagraph" w:type="paragraph">
    <w:name w:val="List Paragraph"/>
    <w:basedOn w:val="Normal"/>
    <w:uiPriority w:val="1"/>
    <w:qFormat/>
    <w:pPr>
      <w:spacing w:before="38"/>
      <w:ind w:left="813" w:hanging="355"/>
    </w:pPr>
    <w:rPr>
      <w:rFonts w:ascii="Arial" w:hAnsi="Arial" w:eastAsia="Arial" w:cs="Arial"/>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thomas.wiltshire@delwp.vic.gov.au</dc:creator>
  <dc:title>Brief Attachment 2 - Reasons for decision 2020R06</dc:title>
  <dcterms:created xsi:type="dcterms:W3CDTF">2021-03-09T03:22:09Z</dcterms:created>
  <dcterms:modified xsi:type="dcterms:W3CDTF">2021-03-09T03:22:09Z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Microsoft® Word for Office 365</vt:lpwstr>
  </property>
  <property fmtid="{D5CDD505-2E9C-101B-9397-08002B2CF9AE}" pid="4" name="LastSaved">
    <vt:filetime>2021-03-09T00:00:00Z</vt:filetime>
  </property>
</Properties>
</file>