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FC" w:rsidRPr="00E66AE9" w:rsidRDefault="004D5270" w:rsidP="00E66AE9">
      <w:bookmarkStart w:id="0" w:name="_GoBack"/>
      <w:bookmarkEnd w:id="0"/>
      <w:r>
        <w:t xml:space="preserve"> </w:t>
      </w:r>
    </w:p>
    <w:p w:rsidR="005B7F3D" w:rsidRPr="00E66AE9" w:rsidRDefault="005B7F3D" w:rsidP="00E66AE9"/>
    <w:p w:rsidR="005B7F3D" w:rsidRPr="00E66AE9" w:rsidRDefault="005B7F3D" w:rsidP="00E66AE9"/>
    <w:p w:rsidR="005B7F3D" w:rsidRPr="00E66AE9" w:rsidRDefault="005B7F3D" w:rsidP="00E66AE9"/>
    <w:p w:rsidR="00B304FC" w:rsidRPr="00E66AE9" w:rsidRDefault="00B304FC" w:rsidP="00E66AE9"/>
    <w:p w:rsidR="00B304FC" w:rsidRPr="00E66AE9" w:rsidRDefault="00B304FC" w:rsidP="00E66AE9"/>
    <w:p w:rsidR="00B304FC" w:rsidRPr="00E66AE9" w:rsidRDefault="00B304FC" w:rsidP="00E66AE9"/>
    <w:p w:rsidR="00B304FC" w:rsidRPr="00E66AE9" w:rsidRDefault="00E66AE9" w:rsidP="00E66AE9">
      <w:pPr>
        <w:jc w:val="center"/>
        <w:rPr>
          <w:rFonts w:ascii="Arial" w:hAnsi="Arial" w:cs="Arial"/>
          <w:b/>
          <w:sz w:val="36"/>
          <w:szCs w:val="36"/>
        </w:rPr>
      </w:pPr>
      <w:r w:rsidRPr="00E66AE9">
        <w:rPr>
          <w:rFonts w:ascii="Arial" w:hAnsi="Arial" w:cs="Arial"/>
          <w:b/>
          <w:sz w:val="36"/>
          <w:szCs w:val="36"/>
        </w:rPr>
        <w:t>WESTERN</w:t>
      </w:r>
      <w:r w:rsidR="00740DCA" w:rsidRPr="00E66AE9">
        <w:rPr>
          <w:rFonts w:ascii="Arial" w:hAnsi="Arial" w:cs="Arial"/>
          <w:b/>
          <w:sz w:val="36"/>
          <w:szCs w:val="36"/>
        </w:rPr>
        <w:t xml:space="preserve"> HIGHWAY </w:t>
      </w:r>
      <w:r w:rsidR="00A77B31" w:rsidRPr="00E66AE9">
        <w:rPr>
          <w:rFonts w:ascii="Arial" w:hAnsi="Arial" w:cs="Arial"/>
          <w:b/>
          <w:sz w:val="36"/>
          <w:szCs w:val="36"/>
        </w:rPr>
        <w:t>PROJE</w:t>
      </w:r>
      <w:r w:rsidR="0007726E" w:rsidRPr="00E66AE9">
        <w:rPr>
          <w:rFonts w:ascii="Arial" w:hAnsi="Arial" w:cs="Arial"/>
          <w:b/>
          <w:sz w:val="36"/>
          <w:szCs w:val="36"/>
        </w:rPr>
        <w:t>C</w:t>
      </w:r>
      <w:r w:rsidR="00A77B31" w:rsidRPr="00E66AE9">
        <w:rPr>
          <w:rFonts w:ascii="Arial" w:hAnsi="Arial" w:cs="Arial"/>
          <w:b/>
          <w:sz w:val="36"/>
          <w:szCs w:val="36"/>
        </w:rPr>
        <w:t>T</w:t>
      </w:r>
    </w:p>
    <w:p w:rsidR="00E66AE9" w:rsidRPr="00E66AE9" w:rsidRDefault="00E66AE9" w:rsidP="00E66AE9">
      <w:pPr>
        <w:jc w:val="center"/>
        <w:rPr>
          <w:rFonts w:ascii="Arial" w:hAnsi="Arial" w:cs="Arial"/>
          <w:b/>
          <w:sz w:val="36"/>
          <w:szCs w:val="36"/>
        </w:rPr>
      </w:pPr>
      <w:r w:rsidRPr="00E66AE9">
        <w:rPr>
          <w:rFonts w:ascii="Arial" w:hAnsi="Arial" w:cs="Arial"/>
          <w:b/>
          <w:sz w:val="36"/>
          <w:szCs w:val="36"/>
        </w:rPr>
        <w:t>SECTION 2 BEAUFORT TO ARARAT</w:t>
      </w:r>
    </w:p>
    <w:p w:rsidR="00E66AE9" w:rsidRPr="00E66AE9" w:rsidRDefault="00E66AE9" w:rsidP="00E66AE9">
      <w:pPr>
        <w:jc w:val="center"/>
        <w:rPr>
          <w:rFonts w:ascii="Arial" w:hAnsi="Arial" w:cs="Arial"/>
          <w:b/>
          <w:sz w:val="32"/>
          <w:szCs w:val="32"/>
        </w:rPr>
      </w:pPr>
    </w:p>
    <w:p w:rsidR="00E66AE9" w:rsidRPr="00E66AE9" w:rsidRDefault="00E66AE9" w:rsidP="00E66AE9">
      <w:pPr>
        <w:jc w:val="center"/>
        <w:rPr>
          <w:rFonts w:ascii="Arial" w:hAnsi="Arial" w:cs="Arial"/>
          <w:b/>
          <w:sz w:val="32"/>
          <w:szCs w:val="32"/>
        </w:rPr>
      </w:pPr>
    </w:p>
    <w:p w:rsidR="00E66AE9" w:rsidRDefault="00E66AE9" w:rsidP="00E66AE9">
      <w:pPr>
        <w:jc w:val="center"/>
        <w:rPr>
          <w:rFonts w:ascii="Arial" w:hAnsi="Arial" w:cs="Arial"/>
          <w:b/>
          <w:sz w:val="32"/>
          <w:szCs w:val="32"/>
        </w:rPr>
      </w:pPr>
    </w:p>
    <w:p w:rsidR="00E66AE9" w:rsidRPr="00E66AE9" w:rsidRDefault="00E66AE9" w:rsidP="00E66AE9">
      <w:pPr>
        <w:jc w:val="center"/>
        <w:rPr>
          <w:rFonts w:ascii="Arial" w:hAnsi="Arial" w:cs="Arial"/>
          <w:b/>
          <w:sz w:val="32"/>
          <w:szCs w:val="32"/>
        </w:rPr>
      </w:pPr>
    </w:p>
    <w:p w:rsidR="00B304FC" w:rsidRPr="00E66AE9" w:rsidRDefault="00B304FC" w:rsidP="00E66AE9">
      <w:pPr>
        <w:jc w:val="center"/>
        <w:rPr>
          <w:rFonts w:ascii="Arial" w:hAnsi="Arial" w:cs="Arial"/>
          <w:b/>
          <w:sz w:val="36"/>
          <w:szCs w:val="36"/>
        </w:rPr>
      </w:pPr>
      <w:r w:rsidRPr="00E66AE9">
        <w:rPr>
          <w:rFonts w:ascii="Arial" w:hAnsi="Arial" w:cs="Arial"/>
          <w:b/>
          <w:sz w:val="36"/>
          <w:szCs w:val="36"/>
        </w:rPr>
        <w:t>ASSESSMENT</w:t>
      </w:r>
    </w:p>
    <w:p w:rsidR="00B304FC" w:rsidRPr="00E66AE9" w:rsidRDefault="00B304FC" w:rsidP="00E66AE9">
      <w:pPr>
        <w:rPr>
          <w:rFonts w:ascii="Arial" w:hAnsi="Arial" w:cs="Arial"/>
          <w:b/>
        </w:rPr>
      </w:pPr>
    </w:p>
    <w:p w:rsidR="00B304FC" w:rsidRPr="00E66AE9" w:rsidRDefault="00B304FC" w:rsidP="00E66AE9">
      <w:pPr>
        <w:jc w:val="center"/>
        <w:rPr>
          <w:rFonts w:ascii="Arial" w:hAnsi="Arial" w:cs="Arial"/>
          <w:b/>
          <w:sz w:val="28"/>
          <w:szCs w:val="28"/>
        </w:rPr>
      </w:pPr>
      <w:r w:rsidRPr="00E66AE9">
        <w:rPr>
          <w:rFonts w:ascii="Arial" w:hAnsi="Arial" w:cs="Arial"/>
          <w:b/>
          <w:sz w:val="28"/>
          <w:szCs w:val="28"/>
        </w:rPr>
        <w:t>under</w:t>
      </w:r>
    </w:p>
    <w:p w:rsidR="00B304FC" w:rsidRPr="00E66AE9" w:rsidRDefault="00B304FC" w:rsidP="00E66AE9">
      <w:pPr>
        <w:rPr>
          <w:rFonts w:ascii="Arial" w:hAnsi="Arial" w:cs="Arial"/>
          <w:b/>
          <w:i/>
          <w:sz w:val="36"/>
          <w:szCs w:val="36"/>
        </w:rPr>
      </w:pPr>
    </w:p>
    <w:p w:rsidR="00B304FC" w:rsidRPr="00E66AE9" w:rsidRDefault="00B304FC" w:rsidP="00E66AE9">
      <w:pPr>
        <w:jc w:val="center"/>
        <w:rPr>
          <w:rFonts w:ascii="Arial" w:hAnsi="Arial" w:cs="Arial"/>
          <w:b/>
          <w:i/>
          <w:sz w:val="36"/>
          <w:szCs w:val="36"/>
        </w:rPr>
      </w:pPr>
      <w:r w:rsidRPr="00E66AE9">
        <w:rPr>
          <w:rFonts w:ascii="Arial" w:hAnsi="Arial" w:cs="Arial"/>
          <w:b/>
          <w:i/>
          <w:sz w:val="36"/>
          <w:szCs w:val="36"/>
        </w:rPr>
        <w:t>ENVIRONMENT EFFECTS ACT 1978</w:t>
      </w:r>
    </w:p>
    <w:p w:rsidR="00B304FC" w:rsidRPr="00E66AE9" w:rsidRDefault="00B304FC" w:rsidP="00E66AE9">
      <w:pPr>
        <w:rPr>
          <w:rFonts w:ascii="Arial" w:hAnsi="Arial" w:cs="Arial"/>
          <w:b/>
        </w:rPr>
      </w:pPr>
    </w:p>
    <w:p w:rsidR="00B304FC" w:rsidRPr="00E66AE9" w:rsidRDefault="00B304FC" w:rsidP="00E66AE9">
      <w:pPr>
        <w:rPr>
          <w:rFonts w:ascii="Arial" w:hAnsi="Arial" w:cs="Arial"/>
          <w:b/>
        </w:rPr>
      </w:pPr>
    </w:p>
    <w:p w:rsidR="00B304FC" w:rsidRPr="00E66AE9" w:rsidRDefault="00B304FC" w:rsidP="00E66AE9">
      <w:pPr>
        <w:rPr>
          <w:rFonts w:ascii="Arial" w:hAnsi="Arial" w:cs="Arial"/>
          <w:b/>
        </w:rPr>
      </w:pPr>
    </w:p>
    <w:p w:rsidR="00E66AE9" w:rsidRPr="00E66AE9" w:rsidRDefault="00E66AE9" w:rsidP="00E66AE9">
      <w:pPr>
        <w:rPr>
          <w:rFonts w:ascii="Arial" w:hAnsi="Arial" w:cs="Arial"/>
          <w:b/>
        </w:rPr>
      </w:pPr>
    </w:p>
    <w:p w:rsidR="00E66AE9" w:rsidRPr="00E66AE9" w:rsidRDefault="00E66AE9" w:rsidP="00E66AE9">
      <w:pPr>
        <w:rPr>
          <w:rFonts w:ascii="Arial" w:hAnsi="Arial" w:cs="Arial"/>
          <w:b/>
        </w:rPr>
      </w:pPr>
    </w:p>
    <w:p w:rsidR="00E66AE9" w:rsidRDefault="00E66AE9" w:rsidP="00E66AE9">
      <w:pPr>
        <w:rPr>
          <w:rFonts w:ascii="Arial" w:hAnsi="Arial" w:cs="Arial"/>
          <w:b/>
        </w:rPr>
      </w:pPr>
    </w:p>
    <w:p w:rsidR="00E66AE9" w:rsidRDefault="00E66AE9" w:rsidP="00E66AE9">
      <w:pPr>
        <w:rPr>
          <w:rFonts w:ascii="Arial" w:hAnsi="Arial" w:cs="Arial"/>
          <w:b/>
        </w:rPr>
      </w:pPr>
    </w:p>
    <w:p w:rsidR="00E66AE9" w:rsidRPr="00E66AE9" w:rsidRDefault="00E66AE9" w:rsidP="00E66AE9">
      <w:pPr>
        <w:rPr>
          <w:rFonts w:ascii="Arial" w:hAnsi="Arial" w:cs="Arial"/>
          <w:b/>
        </w:rPr>
      </w:pPr>
    </w:p>
    <w:p w:rsidR="00E66AE9" w:rsidRPr="00E66AE9" w:rsidRDefault="00E66AE9" w:rsidP="00E66AE9">
      <w:pPr>
        <w:rPr>
          <w:rFonts w:ascii="Arial" w:hAnsi="Arial" w:cs="Arial"/>
          <w:b/>
        </w:rPr>
      </w:pPr>
    </w:p>
    <w:p w:rsidR="00E66AE9" w:rsidRPr="00E66AE9" w:rsidRDefault="00E66AE9" w:rsidP="00E66AE9">
      <w:pPr>
        <w:rPr>
          <w:rFonts w:ascii="Arial" w:hAnsi="Arial" w:cs="Arial"/>
          <w:b/>
        </w:rPr>
      </w:pPr>
    </w:p>
    <w:p w:rsidR="00E66AE9" w:rsidRPr="00E66AE9" w:rsidRDefault="00E66AE9" w:rsidP="00E66AE9">
      <w:pPr>
        <w:rPr>
          <w:rFonts w:ascii="Arial" w:hAnsi="Arial" w:cs="Arial"/>
          <w:b/>
        </w:rPr>
      </w:pPr>
    </w:p>
    <w:p w:rsidR="00E66AE9" w:rsidRPr="00E66AE9" w:rsidRDefault="00E66AE9" w:rsidP="00E66AE9">
      <w:pPr>
        <w:rPr>
          <w:rFonts w:ascii="Arial" w:hAnsi="Arial" w:cs="Arial"/>
          <w:b/>
        </w:rPr>
      </w:pPr>
    </w:p>
    <w:p w:rsidR="00B304FC" w:rsidRPr="00E66AE9" w:rsidRDefault="00B304FC" w:rsidP="00E66AE9">
      <w:pPr>
        <w:rPr>
          <w:rFonts w:ascii="Arial" w:hAnsi="Arial" w:cs="Arial"/>
          <w:b/>
        </w:rPr>
      </w:pPr>
    </w:p>
    <w:p w:rsidR="00B304FC" w:rsidRPr="00146D6F" w:rsidRDefault="00B304FC" w:rsidP="00E66AE9">
      <w:pPr>
        <w:jc w:val="center"/>
        <w:rPr>
          <w:rFonts w:ascii="Arial" w:hAnsi="Arial" w:cs="Arial"/>
          <w:b/>
          <w:sz w:val="28"/>
          <w:szCs w:val="28"/>
        </w:rPr>
      </w:pPr>
      <w:r w:rsidRPr="00146D6F">
        <w:rPr>
          <w:rFonts w:ascii="Arial" w:hAnsi="Arial" w:cs="Arial"/>
          <w:b/>
          <w:sz w:val="28"/>
          <w:szCs w:val="28"/>
        </w:rPr>
        <w:t>Minister for Planning</w:t>
      </w:r>
    </w:p>
    <w:p w:rsidR="00B304FC" w:rsidRPr="00E66AE9" w:rsidRDefault="002E24E5" w:rsidP="00E66AE9">
      <w:pPr>
        <w:jc w:val="center"/>
        <w:rPr>
          <w:rFonts w:ascii="Arial" w:hAnsi="Arial" w:cs="Arial"/>
          <w:b/>
          <w:sz w:val="28"/>
          <w:szCs w:val="28"/>
        </w:rPr>
      </w:pPr>
      <w:r>
        <w:rPr>
          <w:rFonts w:ascii="Arial" w:hAnsi="Arial" w:cs="Arial"/>
          <w:b/>
          <w:sz w:val="28"/>
          <w:szCs w:val="28"/>
        </w:rPr>
        <w:t>May</w:t>
      </w:r>
      <w:r w:rsidR="00E66AE9" w:rsidRPr="00146D6F">
        <w:rPr>
          <w:rFonts w:ascii="Arial" w:hAnsi="Arial" w:cs="Arial"/>
          <w:b/>
          <w:sz w:val="28"/>
          <w:szCs w:val="28"/>
        </w:rPr>
        <w:t xml:space="preserve"> 2013</w:t>
      </w:r>
    </w:p>
    <w:p w:rsidR="0084086E" w:rsidRDefault="0084086E" w:rsidP="0084086E">
      <w:bookmarkStart w:id="1" w:name="_Toc272402196"/>
      <w:bookmarkStart w:id="2" w:name="_Toc282096529"/>
      <w:bookmarkStart w:id="3" w:name="_Toc282160667"/>
      <w:bookmarkStart w:id="4" w:name="_Toc282176803"/>
      <w:bookmarkStart w:id="5" w:name="_Toc282177538"/>
      <w:bookmarkStart w:id="6" w:name="_Toc290303352"/>
      <w:bookmarkStart w:id="7" w:name="_Toc290303430"/>
      <w:bookmarkStart w:id="8" w:name="_Toc291767696"/>
      <w:bookmarkStart w:id="9" w:name="_Toc291768392"/>
      <w:bookmarkStart w:id="10" w:name="_Toc292197584"/>
      <w:bookmarkStart w:id="11" w:name="_Toc292198102"/>
      <w:bookmarkStart w:id="12" w:name="_Toc292200374"/>
      <w:bookmarkStart w:id="13" w:name="_Toc292367929"/>
      <w:bookmarkStart w:id="14" w:name="_Toc292368670"/>
      <w:bookmarkStart w:id="15" w:name="_Toc292374582"/>
      <w:bookmarkStart w:id="16" w:name="_Toc293090540"/>
      <w:bookmarkStart w:id="17" w:name="_Toc293311179"/>
      <w:bookmarkStart w:id="18" w:name="_Toc293422275"/>
    </w:p>
    <w:p w:rsidR="002827FB" w:rsidRPr="003D4718" w:rsidRDefault="002827FB" w:rsidP="003D4718">
      <w:pPr>
        <w:spacing w:after="480"/>
        <w:jc w:val="center"/>
        <w:rPr>
          <w:b/>
          <w:sz w:val="28"/>
          <w:szCs w:val="28"/>
        </w:rPr>
      </w:pPr>
      <w:r w:rsidRPr="003D4718">
        <w:rPr>
          <w:b/>
          <w:sz w:val="28"/>
          <w:szCs w:val="28"/>
        </w:rPr>
        <w:lastRenderedPageBreak/>
        <w:t>GLOSSARY</w:t>
      </w:r>
    </w:p>
    <w:p w:rsidR="00D77A84" w:rsidRPr="00D77A84" w:rsidRDefault="00D77A84" w:rsidP="00D77A84">
      <w:pPr>
        <w:shd w:val="clear" w:color="auto" w:fill="FFFFFF" w:themeFill="background1"/>
        <w:jc w:val="left"/>
      </w:pPr>
      <w:r w:rsidRPr="00D77A84">
        <w:t>AH Act</w:t>
      </w:r>
      <w:r w:rsidRPr="00D77A84">
        <w:tab/>
      </w:r>
      <w:r w:rsidRPr="00D77A84">
        <w:tab/>
        <w:t>Aboriginal Heritage Act 2006</w:t>
      </w:r>
    </w:p>
    <w:p w:rsidR="00D77A84" w:rsidRPr="00D77A84" w:rsidRDefault="00D77A84" w:rsidP="00D77A84">
      <w:pPr>
        <w:shd w:val="clear" w:color="auto" w:fill="FFFFFF" w:themeFill="background1"/>
        <w:jc w:val="left"/>
      </w:pPr>
      <w:r w:rsidRPr="00D77A84">
        <w:t>AMP</w:t>
      </w:r>
      <w:r w:rsidRPr="00D77A84">
        <w:tab/>
      </w:r>
      <w:r w:rsidRPr="00D77A84">
        <w:tab/>
        <w:t>Access Management Policy</w:t>
      </w:r>
    </w:p>
    <w:p w:rsidR="00D77A84" w:rsidRPr="00D77A84" w:rsidRDefault="00D77A84" w:rsidP="00D77A84">
      <w:pPr>
        <w:shd w:val="clear" w:color="auto" w:fill="FFFFFF" w:themeFill="background1"/>
        <w:jc w:val="left"/>
      </w:pPr>
      <w:r w:rsidRPr="00D77A84">
        <w:t>ASS</w:t>
      </w:r>
      <w:r w:rsidRPr="00D77A84">
        <w:tab/>
      </w:r>
      <w:r w:rsidRPr="00D77A84">
        <w:tab/>
        <w:t>Acid sulphate soils</w:t>
      </w:r>
    </w:p>
    <w:p w:rsidR="00D77A84" w:rsidRPr="00D77A84" w:rsidRDefault="00D77A84" w:rsidP="00D77A84">
      <w:pPr>
        <w:shd w:val="clear" w:color="auto" w:fill="FFFFFF" w:themeFill="background1"/>
        <w:jc w:val="left"/>
      </w:pPr>
      <w:r w:rsidRPr="00D77A84">
        <w:t>CEMP</w:t>
      </w:r>
      <w:r w:rsidRPr="00D77A84">
        <w:tab/>
      </w:r>
      <w:r w:rsidRPr="00D77A84">
        <w:tab/>
        <w:t>Construction Environmental Management Plans</w:t>
      </w:r>
    </w:p>
    <w:p w:rsidR="007B253E" w:rsidRDefault="007B253E" w:rsidP="00D77A84">
      <w:pPr>
        <w:shd w:val="clear" w:color="auto" w:fill="FFFFFF" w:themeFill="background1"/>
        <w:jc w:val="left"/>
      </w:pPr>
      <w:r>
        <w:t>CFA</w:t>
      </w:r>
      <w:r>
        <w:tab/>
      </w:r>
      <w:r>
        <w:tab/>
        <w:t>Country Fire Authority</w:t>
      </w:r>
    </w:p>
    <w:p w:rsidR="00D77A84" w:rsidRPr="00D77A84" w:rsidRDefault="00D77A84" w:rsidP="00D77A84">
      <w:pPr>
        <w:shd w:val="clear" w:color="auto" w:fill="FFFFFF" w:themeFill="background1"/>
        <w:jc w:val="left"/>
      </w:pPr>
      <w:r w:rsidRPr="00D77A84">
        <w:t>CHMP</w:t>
      </w:r>
      <w:r w:rsidRPr="00D77A84">
        <w:tab/>
      </w:r>
      <w:r w:rsidRPr="00D77A84">
        <w:tab/>
        <w:t>Cultural Heritage Management Plan, prepared under Aboriginal Heritage Act 2006</w:t>
      </w:r>
    </w:p>
    <w:p w:rsidR="007B253E" w:rsidRDefault="007B253E" w:rsidP="00D77A84">
      <w:pPr>
        <w:shd w:val="clear" w:color="auto" w:fill="FFFFFF" w:themeFill="background1"/>
        <w:jc w:val="left"/>
      </w:pPr>
      <w:r>
        <w:t>CMA</w:t>
      </w:r>
      <w:r>
        <w:tab/>
      </w:r>
      <w:r>
        <w:tab/>
        <w:t>Catchment Management Authority</w:t>
      </w:r>
    </w:p>
    <w:p w:rsidR="00D77A84" w:rsidRPr="00D77A84" w:rsidRDefault="00D77A84" w:rsidP="00D77A84">
      <w:pPr>
        <w:shd w:val="clear" w:color="auto" w:fill="FFFFFF" w:themeFill="background1"/>
        <w:jc w:val="left"/>
      </w:pPr>
      <w:r w:rsidRPr="00D77A84">
        <w:t xml:space="preserve">DPCD </w:t>
      </w:r>
      <w:r w:rsidRPr="00D77A84">
        <w:tab/>
      </w:r>
      <w:r w:rsidRPr="00D77A84">
        <w:tab/>
        <w:t>Victorian Department of Planning and Community Development</w:t>
      </w:r>
    </w:p>
    <w:p w:rsidR="00D77A84" w:rsidRPr="00D77A84" w:rsidRDefault="00D77A84" w:rsidP="00D77A84">
      <w:pPr>
        <w:shd w:val="clear" w:color="auto" w:fill="FFFFFF" w:themeFill="background1"/>
        <w:jc w:val="left"/>
      </w:pPr>
      <w:r w:rsidRPr="00D77A84">
        <w:t>DPI</w:t>
      </w:r>
      <w:r w:rsidRPr="00D77A84">
        <w:tab/>
      </w:r>
      <w:r w:rsidRPr="00D77A84">
        <w:tab/>
        <w:t>Victorian Department of Primary Industries</w:t>
      </w:r>
    </w:p>
    <w:p w:rsidR="00D77A84" w:rsidRPr="00D77A84" w:rsidRDefault="00D77A84" w:rsidP="00D77A84">
      <w:pPr>
        <w:shd w:val="clear" w:color="auto" w:fill="FFFFFF" w:themeFill="background1"/>
        <w:jc w:val="left"/>
      </w:pPr>
      <w:r w:rsidRPr="00D77A84">
        <w:t xml:space="preserve">DSE </w:t>
      </w:r>
      <w:r w:rsidRPr="00D77A84">
        <w:tab/>
      </w:r>
      <w:r w:rsidRPr="00D77A84">
        <w:tab/>
        <w:t>Victorian Department of Sustainability and Environment</w:t>
      </w:r>
    </w:p>
    <w:p w:rsidR="00D77A84" w:rsidRPr="00D77A84" w:rsidRDefault="009F763A" w:rsidP="00D77A84">
      <w:pPr>
        <w:shd w:val="clear" w:color="auto" w:fill="FFFFFF" w:themeFill="background1"/>
        <w:jc w:val="left"/>
      </w:pPr>
      <w:r>
        <w:t>DSEWPC</w:t>
      </w:r>
      <w:r w:rsidR="00D77A84" w:rsidRPr="00D77A84">
        <w:tab/>
        <w:t>Commonwealth Department of Sustainability, Environment, Water, Populations and Communities</w:t>
      </w:r>
    </w:p>
    <w:p w:rsidR="00D77A84" w:rsidRPr="00D77A84" w:rsidRDefault="00D77A84" w:rsidP="00D77A84">
      <w:pPr>
        <w:shd w:val="clear" w:color="auto" w:fill="FFFFFF" w:themeFill="background1"/>
        <w:jc w:val="left"/>
      </w:pPr>
      <w:r w:rsidRPr="00D77A84">
        <w:t>EE Act</w:t>
      </w:r>
      <w:r w:rsidRPr="00D77A84">
        <w:tab/>
      </w:r>
      <w:r w:rsidRPr="00D77A84">
        <w:tab/>
        <w:t>Environment Effects Act 1978</w:t>
      </w:r>
    </w:p>
    <w:p w:rsidR="00D77A84" w:rsidRPr="00D77A84" w:rsidRDefault="00D77A84" w:rsidP="00D77A84">
      <w:pPr>
        <w:shd w:val="clear" w:color="auto" w:fill="FFFFFF" w:themeFill="background1"/>
        <w:jc w:val="left"/>
      </w:pPr>
      <w:r w:rsidRPr="00D77A84">
        <w:t>EES</w:t>
      </w:r>
      <w:r w:rsidRPr="00D77A84">
        <w:tab/>
      </w:r>
      <w:r w:rsidRPr="00D77A84">
        <w:tab/>
        <w:t>Environment Effects Statement</w:t>
      </w:r>
    </w:p>
    <w:p w:rsidR="00D77A84" w:rsidRPr="00D77A84" w:rsidRDefault="00D77A84" w:rsidP="00D77A84">
      <w:pPr>
        <w:shd w:val="clear" w:color="auto" w:fill="FFFFFF" w:themeFill="background1"/>
        <w:jc w:val="left"/>
      </w:pPr>
      <w:r w:rsidRPr="00D77A84">
        <w:t>EMF</w:t>
      </w:r>
      <w:r w:rsidRPr="00D77A84">
        <w:tab/>
      </w:r>
      <w:r w:rsidRPr="00D77A84">
        <w:tab/>
        <w:t>Environmental Management Framework</w:t>
      </w:r>
    </w:p>
    <w:p w:rsidR="00D77A84" w:rsidRPr="00D77A84" w:rsidRDefault="00D77A84" w:rsidP="00D77A84">
      <w:pPr>
        <w:shd w:val="clear" w:color="auto" w:fill="FFFFFF" w:themeFill="background1"/>
        <w:jc w:val="left"/>
      </w:pPr>
      <w:r w:rsidRPr="00D77A84">
        <w:t>EMS</w:t>
      </w:r>
      <w:r w:rsidRPr="00D77A84">
        <w:tab/>
      </w:r>
      <w:r w:rsidRPr="00D77A84">
        <w:tab/>
        <w:t>Environmental Management Strategy</w:t>
      </w:r>
    </w:p>
    <w:p w:rsidR="007B253E" w:rsidRDefault="007B253E" w:rsidP="00D77A84">
      <w:pPr>
        <w:shd w:val="clear" w:color="auto" w:fill="FFFFFF" w:themeFill="background1"/>
        <w:jc w:val="left"/>
      </w:pPr>
      <w:r>
        <w:t>EPA</w:t>
      </w:r>
      <w:r>
        <w:tab/>
      </w:r>
      <w:r>
        <w:tab/>
        <w:t xml:space="preserve">Environment Protection Authority </w:t>
      </w:r>
    </w:p>
    <w:p w:rsidR="007B253E" w:rsidRDefault="007B253E" w:rsidP="00D77A84">
      <w:pPr>
        <w:shd w:val="clear" w:color="auto" w:fill="FFFFFF" w:themeFill="background1"/>
        <w:jc w:val="left"/>
      </w:pPr>
      <w:r>
        <w:t>EP Act</w:t>
      </w:r>
      <w:r>
        <w:tab/>
      </w:r>
      <w:r>
        <w:tab/>
        <w:t>Environment Protection Act 1970</w:t>
      </w:r>
    </w:p>
    <w:p w:rsidR="00D77A84" w:rsidRPr="00D77A84" w:rsidRDefault="00D77A84" w:rsidP="00D77A84">
      <w:pPr>
        <w:shd w:val="clear" w:color="auto" w:fill="FFFFFF" w:themeFill="background1"/>
        <w:jc w:val="left"/>
      </w:pPr>
      <w:r w:rsidRPr="00D77A84">
        <w:t>EPBC Act</w:t>
      </w:r>
      <w:r w:rsidRPr="00D77A84">
        <w:tab/>
        <w:t>Environment Protection and Biodiversity Conservation Act 1999</w:t>
      </w:r>
    </w:p>
    <w:p w:rsidR="00D77A84" w:rsidRPr="00D77A84" w:rsidRDefault="00D77A84" w:rsidP="00D77A84">
      <w:pPr>
        <w:shd w:val="clear" w:color="auto" w:fill="FFFFFF" w:themeFill="background1"/>
        <w:jc w:val="left"/>
      </w:pPr>
      <w:r w:rsidRPr="00D77A84">
        <w:t>ESD</w:t>
      </w:r>
      <w:r w:rsidRPr="00D77A84">
        <w:tab/>
      </w:r>
      <w:r w:rsidRPr="00D77A84">
        <w:tab/>
        <w:t>ecologically sustainable development</w:t>
      </w:r>
    </w:p>
    <w:p w:rsidR="00D77A84" w:rsidRPr="00D77A84" w:rsidRDefault="00D77A84" w:rsidP="00D77A84">
      <w:pPr>
        <w:shd w:val="clear" w:color="auto" w:fill="FFFFFF" w:themeFill="background1"/>
        <w:jc w:val="left"/>
      </w:pPr>
      <w:r w:rsidRPr="00D77A84">
        <w:t>EVC</w:t>
      </w:r>
      <w:r w:rsidRPr="00D77A84">
        <w:tab/>
      </w:r>
      <w:r w:rsidRPr="00D77A84">
        <w:tab/>
        <w:t>Ecological Vegetation Class</w:t>
      </w:r>
    </w:p>
    <w:p w:rsidR="00D77A84" w:rsidRPr="00D77A84" w:rsidRDefault="00D77A84" w:rsidP="00D77A84">
      <w:pPr>
        <w:shd w:val="clear" w:color="auto" w:fill="FFFFFF" w:themeFill="background1"/>
        <w:jc w:val="left"/>
      </w:pPr>
      <w:r w:rsidRPr="00D77A84">
        <w:t>FFG Act</w:t>
      </w:r>
      <w:r w:rsidRPr="00D77A84">
        <w:tab/>
      </w:r>
      <w:r w:rsidRPr="00D77A84">
        <w:tab/>
        <w:t>Flora and Fauna Guarantee Act 1988 (Vic.)</w:t>
      </w:r>
    </w:p>
    <w:p w:rsidR="00D77A84" w:rsidRPr="00D77A84" w:rsidRDefault="00D77A84" w:rsidP="00D77A84">
      <w:pPr>
        <w:shd w:val="clear" w:color="auto" w:fill="FFFFFF" w:themeFill="background1"/>
        <w:jc w:val="left"/>
      </w:pPr>
      <w:r w:rsidRPr="00D77A84">
        <w:t>GEWVVP</w:t>
      </w:r>
      <w:r w:rsidRPr="00D77A84">
        <w:tab/>
        <w:t xml:space="preserve">Grassy Eucalypt Woodland of the Victorian </w:t>
      </w:r>
      <w:r w:rsidR="00162FA7" w:rsidRPr="00D77A84">
        <w:t>Volcanic</w:t>
      </w:r>
      <w:r w:rsidRPr="00D77A84">
        <w:t xml:space="preserve"> Plain</w:t>
      </w:r>
    </w:p>
    <w:p w:rsidR="00D77A84" w:rsidRPr="00D77A84" w:rsidRDefault="00D77A84" w:rsidP="00D77A84">
      <w:pPr>
        <w:shd w:val="clear" w:color="auto" w:fill="FFFFFF" w:themeFill="background1"/>
        <w:jc w:val="left"/>
      </w:pPr>
      <w:r w:rsidRPr="00D77A84">
        <w:t>GDE</w:t>
      </w:r>
      <w:r w:rsidRPr="00D77A84">
        <w:tab/>
      </w:r>
      <w:r w:rsidRPr="00D77A84">
        <w:tab/>
        <w:t>Groundwater Dependant Ecosystems</w:t>
      </w:r>
    </w:p>
    <w:p w:rsidR="00D77A84" w:rsidRPr="00D77A84" w:rsidRDefault="00D77A84" w:rsidP="00D77A84">
      <w:pPr>
        <w:shd w:val="clear" w:color="auto" w:fill="FFFFFF" w:themeFill="background1"/>
        <w:jc w:val="left"/>
      </w:pPr>
      <w:r w:rsidRPr="00D77A84">
        <w:t>GSM</w:t>
      </w:r>
      <w:r w:rsidRPr="00D77A84">
        <w:tab/>
      </w:r>
      <w:r w:rsidRPr="00D77A84">
        <w:tab/>
        <w:t>Golden Sun Moth</w:t>
      </w:r>
    </w:p>
    <w:p w:rsidR="00D77A84" w:rsidRDefault="00D77A84" w:rsidP="00D77A84">
      <w:pPr>
        <w:shd w:val="clear" w:color="auto" w:fill="FFFFFF" w:themeFill="background1"/>
        <w:jc w:val="left"/>
      </w:pPr>
      <w:r w:rsidRPr="00D77A84">
        <w:t>ha</w:t>
      </w:r>
      <w:r w:rsidRPr="00D77A84">
        <w:tab/>
      </w:r>
      <w:r w:rsidRPr="00D77A84">
        <w:tab/>
        <w:t>hectares</w:t>
      </w:r>
    </w:p>
    <w:p w:rsidR="006D3D73" w:rsidRPr="00D77A84" w:rsidRDefault="006D3D73" w:rsidP="00D77A84">
      <w:pPr>
        <w:shd w:val="clear" w:color="auto" w:fill="FFFFFF" w:themeFill="background1"/>
        <w:jc w:val="left"/>
      </w:pPr>
      <w:r>
        <w:t>HCS</w:t>
      </w:r>
      <w:r>
        <w:tab/>
      </w:r>
      <w:r>
        <w:tab/>
        <w:t>high conservation significance</w:t>
      </w:r>
    </w:p>
    <w:p w:rsidR="00D77A84" w:rsidRPr="00D77A84" w:rsidRDefault="00D77A84" w:rsidP="00D77A84">
      <w:pPr>
        <w:shd w:val="clear" w:color="auto" w:fill="FFFFFF" w:themeFill="background1"/>
        <w:jc w:val="left"/>
      </w:pPr>
      <w:r w:rsidRPr="00D77A84">
        <w:t>Hha</w:t>
      </w:r>
      <w:r w:rsidRPr="00D77A84">
        <w:tab/>
      </w:r>
      <w:r w:rsidRPr="00D77A84">
        <w:tab/>
        <w:t>habitat hectares</w:t>
      </w:r>
    </w:p>
    <w:p w:rsidR="00D77A84" w:rsidRPr="00D77A84" w:rsidRDefault="00D77A84" w:rsidP="00D77A84">
      <w:pPr>
        <w:shd w:val="clear" w:color="auto" w:fill="FFFFFF" w:themeFill="background1"/>
        <w:jc w:val="left"/>
      </w:pPr>
      <w:r w:rsidRPr="00D77A84">
        <w:t>km</w:t>
      </w:r>
      <w:r w:rsidRPr="00D77A84">
        <w:tab/>
      </w:r>
      <w:r w:rsidRPr="00D77A84">
        <w:tab/>
        <w:t>kilometres</w:t>
      </w:r>
    </w:p>
    <w:p w:rsidR="00D77A84" w:rsidRPr="00D77A84" w:rsidRDefault="00D77A84" w:rsidP="00D77A84">
      <w:pPr>
        <w:shd w:val="clear" w:color="auto" w:fill="FFFFFF" w:themeFill="background1"/>
        <w:jc w:val="left"/>
      </w:pPr>
      <w:r w:rsidRPr="00D77A84">
        <w:t>LOTs</w:t>
      </w:r>
      <w:r w:rsidRPr="00D77A84">
        <w:tab/>
      </w:r>
      <w:r w:rsidRPr="00D77A84">
        <w:tab/>
        <w:t>Large Old Trees</w:t>
      </w:r>
    </w:p>
    <w:p w:rsidR="00D77A84" w:rsidRPr="00D77A84" w:rsidRDefault="00D77A84" w:rsidP="00D77A84">
      <w:pPr>
        <w:shd w:val="clear" w:color="auto" w:fill="FFFFFF" w:themeFill="background1"/>
        <w:jc w:val="left"/>
      </w:pPr>
      <w:r w:rsidRPr="00D77A84">
        <w:t>LPPF</w:t>
      </w:r>
      <w:r w:rsidRPr="00D77A84">
        <w:tab/>
      </w:r>
      <w:r w:rsidRPr="00D77A84">
        <w:tab/>
        <w:t>Local Planning Policy Framework</w:t>
      </w:r>
    </w:p>
    <w:p w:rsidR="00D77A84" w:rsidRPr="00D77A84" w:rsidRDefault="00D77A84" w:rsidP="00D77A84">
      <w:pPr>
        <w:shd w:val="clear" w:color="auto" w:fill="FFFFFF" w:themeFill="background1"/>
        <w:jc w:val="left"/>
      </w:pPr>
      <w:r w:rsidRPr="00D77A84">
        <w:t>m</w:t>
      </w:r>
      <w:r w:rsidRPr="00D77A84">
        <w:tab/>
      </w:r>
      <w:r w:rsidRPr="00D77A84">
        <w:tab/>
        <w:t>metres</w:t>
      </w:r>
    </w:p>
    <w:p w:rsidR="00D77A84" w:rsidRPr="00D77A84" w:rsidRDefault="00D77A84" w:rsidP="00D77A84">
      <w:pPr>
        <w:shd w:val="clear" w:color="auto" w:fill="FFFFFF" w:themeFill="background1"/>
        <w:jc w:val="left"/>
      </w:pPr>
      <w:r w:rsidRPr="00D77A84">
        <w:t>NES</w:t>
      </w:r>
      <w:r w:rsidRPr="00D77A84">
        <w:tab/>
      </w:r>
      <w:r w:rsidRPr="00D77A84">
        <w:tab/>
        <w:t>national environmental significance</w:t>
      </w:r>
    </w:p>
    <w:p w:rsidR="00D77A84" w:rsidRPr="00D77A84" w:rsidRDefault="00D77A84" w:rsidP="00D77A84">
      <w:pPr>
        <w:shd w:val="clear" w:color="auto" w:fill="FFFFFF" w:themeFill="background1"/>
        <w:jc w:val="left"/>
      </w:pPr>
      <w:r w:rsidRPr="00D77A84">
        <w:t>NTGVVP</w:t>
      </w:r>
      <w:r w:rsidRPr="00D77A84">
        <w:tab/>
        <w:t>Natural Temperate Grassland of the Victorian Volcanic Plain</w:t>
      </w:r>
    </w:p>
    <w:p w:rsidR="00D77A84" w:rsidRPr="00D77A84" w:rsidRDefault="00D77A84" w:rsidP="00D77A84">
      <w:pPr>
        <w:shd w:val="clear" w:color="auto" w:fill="FFFFFF" w:themeFill="background1"/>
        <w:jc w:val="left"/>
      </w:pPr>
      <w:r w:rsidRPr="00D77A84">
        <w:t>NVMF</w:t>
      </w:r>
      <w:r w:rsidRPr="00D77A84">
        <w:tab/>
      </w:r>
      <w:r w:rsidRPr="00D77A84">
        <w:tab/>
        <w:t>Victoria’s Native Vegetation Management Framework</w:t>
      </w:r>
    </w:p>
    <w:p w:rsidR="00D77A84" w:rsidRPr="00D77A84" w:rsidRDefault="00D77A84" w:rsidP="00D77A84">
      <w:pPr>
        <w:shd w:val="clear" w:color="auto" w:fill="FFFFFF" w:themeFill="background1"/>
        <w:jc w:val="left"/>
      </w:pPr>
      <w:r w:rsidRPr="00D77A84">
        <w:t>P&amp;E Act</w:t>
      </w:r>
      <w:r w:rsidRPr="00D77A84">
        <w:tab/>
      </w:r>
      <w:r w:rsidRPr="00D77A84">
        <w:tab/>
        <w:t>Planning and Environment Act 1987</w:t>
      </w:r>
    </w:p>
    <w:p w:rsidR="00D77A84" w:rsidRPr="00D77A84" w:rsidRDefault="00D77A84" w:rsidP="00D77A84">
      <w:pPr>
        <w:shd w:val="clear" w:color="auto" w:fill="FFFFFF" w:themeFill="background1"/>
        <w:jc w:val="left"/>
      </w:pPr>
      <w:r w:rsidRPr="00D77A84">
        <w:lastRenderedPageBreak/>
        <w:t>PAO</w:t>
      </w:r>
      <w:r w:rsidRPr="00D77A84">
        <w:tab/>
      </w:r>
      <w:r w:rsidRPr="00D77A84">
        <w:tab/>
        <w:t>Public Acquisition Overlay</w:t>
      </w:r>
    </w:p>
    <w:p w:rsidR="00D77A84" w:rsidRPr="00D77A84" w:rsidRDefault="00D77A84" w:rsidP="00D77A84">
      <w:pPr>
        <w:shd w:val="clear" w:color="auto" w:fill="FFFFFF" w:themeFill="background1"/>
        <w:jc w:val="left"/>
      </w:pPr>
      <w:r w:rsidRPr="00D77A84">
        <w:t>PEPS</w:t>
      </w:r>
      <w:r w:rsidRPr="00D77A84">
        <w:tab/>
      </w:r>
      <w:r w:rsidRPr="00D77A84">
        <w:tab/>
        <w:t>Project Environmental Protection Strategy</w:t>
      </w:r>
    </w:p>
    <w:p w:rsidR="00D77A84" w:rsidRPr="00D77A84" w:rsidRDefault="00D77A84" w:rsidP="00D77A84">
      <w:pPr>
        <w:shd w:val="clear" w:color="auto" w:fill="FFFFFF" w:themeFill="background1"/>
        <w:jc w:val="left"/>
      </w:pPr>
      <w:r w:rsidRPr="00D77A84">
        <w:t>PSA</w:t>
      </w:r>
      <w:r w:rsidRPr="00D77A84">
        <w:tab/>
      </w:r>
      <w:r w:rsidRPr="00D77A84">
        <w:tab/>
        <w:t>Planning Scheme Amendment</w:t>
      </w:r>
    </w:p>
    <w:p w:rsidR="00D77A84" w:rsidRPr="00D77A84" w:rsidRDefault="00D77A84" w:rsidP="00D77A84">
      <w:pPr>
        <w:shd w:val="clear" w:color="auto" w:fill="FFFFFF" w:themeFill="background1"/>
        <w:jc w:val="left"/>
      </w:pPr>
      <w:r w:rsidRPr="00D77A84">
        <w:t>SEPP</w:t>
      </w:r>
      <w:r w:rsidRPr="00D77A84">
        <w:tab/>
      </w:r>
      <w:r w:rsidRPr="00D77A84">
        <w:tab/>
        <w:t>State Environment Protection Policy</w:t>
      </w:r>
    </w:p>
    <w:p w:rsidR="00D77A84" w:rsidRPr="00D77A84" w:rsidRDefault="00D77A84" w:rsidP="00D77A84">
      <w:pPr>
        <w:shd w:val="clear" w:color="auto" w:fill="FFFFFF" w:themeFill="background1"/>
        <w:jc w:val="left"/>
      </w:pPr>
      <w:r w:rsidRPr="00D77A84">
        <w:t>SPPF</w:t>
      </w:r>
      <w:r w:rsidRPr="00D77A84">
        <w:tab/>
      </w:r>
      <w:r w:rsidRPr="00D77A84">
        <w:tab/>
        <w:t>State Planning Policy Framework</w:t>
      </w:r>
    </w:p>
    <w:p w:rsidR="00D77A84" w:rsidRDefault="00D77A84" w:rsidP="00D77A84">
      <w:pPr>
        <w:shd w:val="clear" w:color="auto" w:fill="FFFFFF" w:themeFill="background1"/>
        <w:jc w:val="left"/>
      </w:pPr>
      <w:r w:rsidRPr="00D77A84">
        <w:t>TMP</w:t>
      </w:r>
      <w:r w:rsidRPr="00D77A84">
        <w:tab/>
      </w:r>
      <w:r w:rsidRPr="00D77A84">
        <w:tab/>
        <w:t>Traffic Management Plan</w:t>
      </w:r>
    </w:p>
    <w:p w:rsidR="003D4718" w:rsidRDefault="006D3D73" w:rsidP="003D4718">
      <w:pPr>
        <w:shd w:val="clear" w:color="auto" w:fill="FFFFFF" w:themeFill="background1"/>
        <w:jc w:val="left"/>
      </w:pPr>
      <w:r>
        <w:t>VHCS</w:t>
      </w:r>
      <w:r>
        <w:tab/>
      </w:r>
      <w:r>
        <w:tab/>
        <w:t>very high conservation significance</w:t>
      </w:r>
    </w:p>
    <w:p w:rsidR="003D4718" w:rsidRDefault="00E310F3" w:rsidP="003D4718">
      <w:pPr>
        <w:shd w:val="clear" w:color="auto" w:fill="FFFFFF" w:themeFill="background1"/>
        <w:jc w:val="left"/>
      </w:pPr>
      <w:r w:rsidRPr="00D77A84">
        <w:t>WHP2</w:t>
      </w:r>
      <w:r w:rsidRPr="00D77A84">
        <w:tab/>
      </w:r>
      <w:r w:rsidRPr="00D77A84">
        <w:tab/>
        <w:t>Western Highway Project Section 2 (Beaufort to Ararat)</w:t>
      </w:r>
    </w:p>
    <w:p w:rsidR="00514663" w:rsidRPr="003D4718" w:rsidRDefault="002827FB" w:rsidP="003D4718">
      <w:pPr>
        <w:shd w:val="clear" w:color="auto" w:fill="FFFFFF" w:themeFill="background1"/>
        <w:jc w:val="center"/>
        <w:rPr>
          <w:b/>
          <w:sz w:val="28"/>
          <w:szCs w:val="28"/>
        </w:rPr>
      </w:pPr>
      <w:r w:rsidRPr="00E310F3">
        <w:br w:type="page"/>
      </w:r>
      <w:r w:rsidR="00131AAC" w:rsidRPr="003D4718">
        <w:rPr>
          <w:b/>
          <w:sz w:val="28"/>
          <w:szCs w:val="28"/>
        </w:rPr>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E139E9" w:rsidRDefault="00AA5706" w:rsidP="00E139E9">
      <w:pPr>
        <w:pStyle w:val="TOC1"/>
        <w:spacing w:after="180"/>
        <w:rPr>
          <w:rFonts w:asciiTheme="minorHAnsi" w:eastAsiaTheme="minorEastAsia" w:hAnsiTheme="minorHAnsi" w:cstheme="minorBidi"/>
          <w:b w:val="0"/>
          <w:caps w:val="0"/>
          <w:sz w:val="22"/>
          <w:szCs w:val="22"/>
        </w:rPr>
      </w:pPr>
      <w:r w:rsidRPr="00E66AE9">
        <w:fldChar w:fldCharType="begin"/>
      </w:r>
      <w:r w:rsidR="00B304FC" w:rsidRPr="00E66AE9">
        <w:instrText xml:space="preserve"> TOC \o "1-3" \h \z \u </w:instrText>
      </w:r>
      <w:r w:rsidRPr="00E66AE9">
        <w:fldChar w:fldCharType="separate"/>
      </w:r>
      <w:hyperlink w:anchor="_Toc354582213" w:history="1">
        <w:r w:rsidR="00E139E9" w:rsidRPr="00283947">
          <w:rPr>
            <w:rStyle w:val="Hyperlink"/>
          </w:rPr>
          <w:t>1</w:t>
        </w:r>
        <w:r w:rsidR="00E139E9">
          <w:rPr>
            <w:rFonts w:asciiTheme="minorHAnsi" w:eastAsiaTheme="minorEastAsia" w:hAnsiTheme="minorHAnsi" w:cstheme="minorBidi"/>
            <w:b w:val="0"/>
            <w:caps w:val="0"/>
            <w:sz w:val="22"/>
            <w:szCs w:val="22"/>
          </w:rPr>
          <w:tab/>
        </w:r>
        <w:r w:rsidR="00E139E9" w:rsidRPr="00283947">
          <w:rPr>
            <w:rStyle w:val="Hyperlink"/>
          </w:rPr>
          <w:t>Introduction</w:t>
        </w:r>
        <w:r w:rsidR="00E139E9">
          <w:rPr>
            <w:webHidden/>
          </w:rPr>
          <w:tab/>
        </w:r>
        <w:r>
          <w:rPr>
            <w:webHidden/>
          </w:rPr>
          <w:fldChar w:fldCharType="begin"/>
        </w:r>
        <w:r w:rsidR="00E139E9">
          <w:rPr>
            <w:webHidden/>
          </w:rPr>
          <w:instrText xml:space="preserve"> PAGEREF _Toc354582213 \h </w:instrText>
        </w:r>
        <w:r>
          <w:rPr>
            <w:webHidden/>
          </w:rPr>
        </w:r>
        <w:r>
          <w:rPr>
            <w:webHidden/>
          </w:rPr>
          <w:fldChar w:fldCharType="separate"/>
        </w:r>
        <w:r w:rsidR="00562F22">
          <w:rPr>
            <w:webHidden/>
          </w:rPr>
          <w:t>1</w:t>
        </w:r>
        <w:r>
          <w:rPr>
            <w:webHidden/>
          </w:rPr>
          <w:fldChar w:fldCharType="end"/>
        </w:r>
      </w:hyperlink>
    </w:p>
    <w:p w:rsidR="00E139E9" w:rsidRDefault="000F57C9" w:rsidP="00E139E9">
      <w:pPr>
        <w:pStyle w:val="TOC2"/>
        <w:spacing w:after="180"/>
        <w:rPr>
          <w:rFonts w:asciiTheme="minorHAnsi" w:eastAsiaTheme="minorEastAsia" w:hAnsiTheme="minorHAnsi" w:cstheme="minorBidi"/>
          <w:b w:val="0"/>
          <w:szCs w:val="22"/>
        </w:rPr>
      </w:pPr>
      <w:hyperlink w:anchor="_Toc354582214" w:history="1">
        <w:r w:rsidR="00E139E9" w:rsidRPr="00283947">
          <w:rPr>
            <w:rStyle w:val="Hyperlink"/>
          </w:rPr>
          <w:t>1.1</w:t>
        </w:r>
        <w:r w:rsidR="00E139E9">
          <w:rPr>
            <w:rFonts w:asciiTheme="minorHAnsi" w:eastAsiaTheme="minorEastAsia" w:hAnsiTheme="minorHAnsi" w:cstheme="minorBidi"/>
            <w:b w:val="0"/>
            <w:szCs w:val="22"/>
          </w:rPr>
          <w:tab/>
        </w:r>
        <w:r w:rsidR="00E139E9" w:rsidRPr="00283947">
          <w:rPr>
            <w:rStyle w:val="Hyperlink"/>
          </w:rPr>
          <w:t>Purpose of this Document</w:t>
        </w:r>
        <w:r w:rsidR="00E139E9">
          <w:rPr>
            <w:webHidden/>
          </w:rPr>
          <w:tab/>
        </w:r>
        <w:r w:rsidR="00AA5706">
          <w:rPr>
            <w:webHidden/>
          </w:rPr>
          <w:fldChar w:fldCharType="begin"/>
        </w:r>
        <w:r w:rsidR="00E139E9">
          <w:rPr>
            <w:webHidden/>
          </w:rPr>
          <w:instrText xml:space="preserve"> PAGEREF _Toc354582214 \h </w:instrText>
        </w:r>
        <w:r w:rsidR="00AA5706">
          <w:rPr>
            <w:webHidden/>
          </w:rPr>
        </w:r>
        <w:r w:rsidR="00AA5706">
          <w:rPr>
            <w:webHidden/>
          </w:rPr>
          <w:fldChar w:fldCharType="separate"/>
        </w:r>
        <w:r w:rsidR="00562F22">
          <w:rPr>
            <w:webHidden/>
          </w:rPr>
          <w:t>1</w:t>
        </w:r>
        <w:r w:rsidR="00AA5706">
          <w:rPr>
            <w:webHidden/>
          </w:rPr>
          <w:fldChar w:fldCharType="end"/>
        </w:r>
      </w:hyperlink>
    </w:p>
    <w:p w:rsidR="00E139E9" w:rsidRDefault="000F57C9" w:rsidP="00E139E9">
      <w:pPr>
        <w:pStyle w:val="TOC2"/>
        <w:spacing w:after="180"/>
        <w:rPr>
          <w:rFonts w:asciiTheme="minorHAnsi" w:eastAsiaTheme="minorEastAsia" w:hAnsiTheme="minorHAnsi" w:cstheme="minorBidi"/>
          <w:b w:val="0"/>
          <w:szCs w:val="22"/>
        </w:rPr>
      </w:pPr>
      <w:hyperlink w:anchor="_Toc354582215" w:history="1">
        <w:r w:rsidR="00E139E9" w:rsidRPr="00283947">
          <w:rPr>
            <w:rStyle w:val="Hyperlink"/>
          </w:rPr>
          <w:t>1.2</w:t>
        </w:r>
        <w:r w:rsidR="00E139E9">
          <w:rPr>
            <w:rFonts w:asciiTheme="minorHAnsi" w:eastAsiaTheme="minorEastAsia" w:hAnsiTheme="minorHAnsi" w:cstheme="minorBidi"/>
            <w:b w:val="0"/>
            <w:szCs w:val="22"/>
          </w:rPr>
          <w:tab/>
        </w:r>
        <w:r w:rsidR="00E139E9" w:rsidRPr="00283947">
          <w:rPr>
            <w:rStyle w:val="Hyperlink"/>
          </w:rPr>
          <w:t>Project Description</w:t>
        </w:r>
        <w:r w:rsidR="00E139E9">
          <w:rPr>
            <w:webHidden/>
          </w:rPr>
          <w:tab/>
        </w:r>
        <w:r w:rsidR="00AA5706">
          <w:rPr>
            <w:webHidden/>
          </w:rPr>
          <w:fldChar w:fldCharType="begin"/>
        </w:r>
        <w:r w:rsidR="00E139E9">
          <w:rPr>
            <w:webHidden/>
          </w:rPr>
          <w:instrText xml:space="preserve"> PAGEREF _Toc354582215 \h </w:instrText>
        </w:r>
        <w:r w:rsidR="00AA5706">
          <w:rPr>
            <w:webHidden/>
          </w:rPr>
        </w:r>
        <w:r w:rsidR="00AA5706">
          <w:rPr>
            <w:webHidden/>
          </w:rPr>
          <w:fldChar w:fldCharType="separate"/>
        </w:r>
        <w:r w:rsidR="00562F22">
          <w:rPr>
            <w:webHidden/>
          </w:rPr>
          <w:t>1</w:t>
        </w:r>
        <w:r w:rsidR="00AA5706">
          <w:rPr>
            <w:webHidden/>
          </w:rPr>
          <w:fldChar w:fldCharType="end"/>
        </w:r>
      </w:hyperlink>
    </w:p>
    <w:p w:rsidR="00E139E9" w:rsidRDefault="000F57C9" w:rsidP="00E139E9">
      <w:pPr>
        <w:pStyle w:val="TOC2"/>
        <w:spacing w:after="180"/>
        <w:rPr>
          <w:rFonts w:asciiTheme="minorHAnsi" w:eastAsiaTheme="minorEastAsia" w:hAnsiTheme="minorHAnsi" w:cstheme="minorBidi"/>
          <w:b w:val="0"/>
          <w:szCs w:val="22"/>
        </w:rPr>
      </w:pPr>
      <w:hyperlink w:anchor="_Toc354582216" w:history="1">
        <w:r w:rsidR="00E139E9" w:rsidRPr="00283947">
          <w:rPr>
            <w:rStyle w:val="Hyperlink"/>
          </w:rPr>
          <w:t>1.3</w:t>
        </w:r>
        <w:r w:rsidR="00E139E9">
          <w:rPr>
            <w:rFonts w:asciiTheme="minorHAnsi" w:eastAsiaTheme="minorEastAsia" w:hAnsiTheme="minorHAnsi" w:cstheme="minorBidi"/>
            <w:b w:val="0"/>
            <w:szCs w:val="22"/>
          </w:rPr>
          <w:tab/>
        </w:r>
        <w:r w:rsidR="00E139E9" w:rsidRPr="00283947">
          <w:rPr>
            <w:rStyle w:val="Hyperlink"/>
          </w:rPr>
          <w:t>Structure of this Assessment</w:t>
        </w:r>
        <w:r w:rsidR="00E139E9">
          <w:rPr>
            <w:webHidden/>
          </w:rPr>
          <w:tab/>
        </w:r>
        <w:r w:rsidR="00AA5706">
          <w:rPr>
            <w:webHidden/>
          </w:rPr>
          <w:fldChar w:fldCharType="begin"/>
        </w:r>
        <w:r w:rsidR="00E139E9">
          <w:rPr>
            <w:webHidden/>
          </w:rPr>
          <w:instrText xml:space="preserve"> PAGEREF _Toc354582216 \h </w:instrText>
        </w:r>
        <w:r w:rsidR="00AA5706">
          <w:rPr>
            <w:webHidden/>
          </w:rPr>
        </w:r>
        <w:r w:rsidR="00AA5706">
          <w:rPr>
            <w:webHidden/>
          </w:rPr>
          <w:fldChar w:fldCharType="separate"/>
        </w:r>
        <w:r w:rsidR="00562F22">
          <w:rPr>
            <w:webHidden/>
          </w:rPr>
          <w:t>1</w:t>
        </w:r>
        <w:r w:rsidR="00AA5706">
          <w:rPr>
            <w:webHidden/>
          </w:rPr>
          <w:fldChar w:fldCharType="end"/>
        </w:r>
      </w:hyperlink>
    </w:p>
    <w:p w:rsidR="00E139E9" w:rsidRDefault="000F57C9" w:rsidP="00E139E9">
      <w:pPr>
        <w:pStyle w:val="TOC1"/>
        <w:spacing w:after="180"/>
        <w:rPr>
          <w:rFonts w:asciiTheme="minorHAnsi" w:eastAsiaTheme="minorEastAsia" w:hAnsiTheme="minorHAnsi" w:cstheme="minorBidi"/>
          <w:b w:val="0"/>
          <w:caps w:val="0"/>
          <w:sz w:val="22"/>
          <w:szCs w:val="22"/>
        </w:rPr>
      </w:pPr>
      <w:hyperlink w:anchor="_Toc354582217" w:history="1">
        <w:r w:rsidR="00E139E9" w:rsidRPr="00283947">
          <w:rPr>
            <w:rStyle w:val="Hyperlink"/>
          </w:rPr>
          <w:t>2</w:t>
        </w:r>
        <w:r w:rsidR="00E139E9">
          <w:rPr>
            <w:rFonts w:asciiTheme="minorHAnsi" w:eastAsiaTheme="minorEastAsia" w:hAnsiTheme="minorHAnsi" w:cstheme="minorBidi"/>
            <w:b w:val="0"/>
            <w:caps w:val="0"/>
            <w:sz w:val="22"/>
            <w:szCs w:val="22"/>
          </w:rPr>
          <w:tab/>
        </w:r>
        <w:r w:rsidR="00E139E9" w:rsidRPr="00283947">
          <w:rPr>
            <w:rStyle w:val="Hyperlink"/>
          </w:rPr>
          <w:t>Statutory Processes</w:t>
        </w:r>
        <w:r w:rsidR="00E139E9">
          <w:rPr>
            <w:webHidden/>
          </w:rPr>
          <w:tab/>
        </w:r>
        <w:r w:rsidR="00AA5706">
          <w:rPr>
            <w:webHidden/>
          </w:rPr>
          <w:fldChar w:fldCharType="begin"/>
        </w:r>
        <w:r w:rsidR="00E139E9">
          <w:rPr>
            <w:webHidden/>
          </w:rPr>
          <w:instrText xml:space="preserve"> PAGEREF _Toc354582217 \h </w:instrText>
        </w:r>
        <w:r w:rsidR="00AA5706">
          <w:rPr>
            <w:webHidden/>
          </w:rPr>
        </w:r>
        <w:r w:rsidR="00AA5706">
          <w:rPr>
            <w:webHidden/>
          </w:rPr>
          <w:fldChar w:fldCharType="separate"/>
        </w:r>
        <w:r w:rsidR="00562F22">
          <w:rPr>
            <w:webHidden/>
          </w:rPr>
          <w:t>3</w:t>
        </w:r>
        <w:r w:rsidR="00AA5706">
          <w:rPr>
            <w:webHidden/>
          </w:rPr>
          <w:fldChar w:fldCharType="end"/>
        </w:r>
      </w:hyperlink>
    </w:p>
    <w:p w:rsidR="00E139E9" w:rsidRDefault="000F57C9" w:rsidP="00E139E9">
      <w:pPr>
        <w:pStyle w:val="TOC2"/>
        <w:spacing w:after="180"/>
        <w:rPr>
          <w:rFonts w:asciiTheme="minorHAnsi" w:eastAsiaTheme="minorEastAsia" w:hAnsiTheme="minorHAnsi" w:cstheme="minorBidi"/>
          <w:b w:val="0"/>
          <w:szCs w:val="22"/>
        </w:rPr>
      </w:pPr>
      <w:hyperlink w:anchor="_Toc354582218" w:history="1">
        <w:r w:rsidR="00E139E9" w:rsidRPr="00283947">
          <w:rPr>
            <w:rStyle w:val="Hyperlink"/>
          </w:rPr>
          <w:t>2.1</w:t>
        </w:r>
        <w:r w:rsidR="00E139E9">
          <w:rPr>
            <w:rFonts w:asciiTheme="minorHAnsi" w:eastAsiaTheme="minorEastAsia" w:hAnsiTheme="minorHAnsi" w:cstheme="minorBidi"/>
            <w:b w:val="0"/>
            <w:szCs w:val="22"/>
          </w:rPr>
          <w:tab/>
        </w:r>
        <w:r w:rsidR="00E139E9" w:rsidRPr="00283947">
          <w:rPr>
            <w:rStyle w:val="Hyperlink"/>
          </w:rPr>
          <w:t>Environment Effects Act 1978</w:t>
        </w:r>
        <w:r w:rsidR="00E139E9">
          <w:rPr>
            <w:webHidden/>
          </w:rPr>
          <w:tab/>
        </w:r>
        <w:r w:rsidR="00AA5706">
          <w:rPr>
            <w:webHidden/>
          </w:rPr>
          <w:fldChar w:fldCharType="begin"/>
        </w:r>
        <w:r w:rsidR="00E139E9">
          <w:rPr>
            <w:webHidden/>
          </w:rPr>
          <w:instrText xml:space="preserve"> PAGEREF _Toc354582218 \h </w:instrText>
        </w:r>
        <w:r w:rsidR="00AA5706">
          <w:rPr>
            <w:webHidden/>
          </w:rPr>
        </w:r>
        <w:r w:rsidR="00AA5706">
          <w:rPr>
            <w:webHidden/>
          </w:rPr>
          <w:fldChar w:fldCharType="separate"/>
        </w:r>
        <w:r w:rsidR="00562F22">
          <w:rPr>
            <w:webHidden/>
          </w:rPr>
          <w:t>3</w:t>
        </w:r>
        <w:r w:rsidR="00AA5706">
          <w:rPr>
            <w:webHidden/>
          </w:rPr>
          <w:fldChar w:fldCharType="end"/>
        </w:r>
      </w:hyperlink>
    </w:p>
    <w:p w:rsidR="00E139E9" w:rsidRDefault="000F57C9" w:rsidP="00E139E9">
      <w:pPr>
        <w:pStyle w:val="TOC2"/>
        <w:spacing w:after="180"/>
        <w:rPr>
          <w:rFonts w:asciiTheme="minorHAnsi" w:eastAsiaTheme="minorEastAsia" w:hAnsiTheme="minorHAnsi" w:cstheme="minorBidi"/>
          <w:b w:val="0"/>
          <w:szCs w:val="22"/>
        </w:rPr>
      </w:pPr>
      <w:hyperlink w:anchor="_Toc354582219" w:history="1">
        <w:r w:rsidR="00E139E9" w:rsidRPr="00283947">
          <w:rPr>
            <w:rStyle w:val="Hyperlink"/>
          </w:rPr>
          <w:t>2.2</w:t>
        </w:r>
        <w:r w:rsidR="00E139E9">
          <w:rPr>
            <w:rFonts w:asciiTheme="minorHAnsi" w:eastAsiaTheme="minorEastAsia" w:hAnsiTheme="minorHAnsi" w:cstheme="minorBidi"/>
            <w:b w:val="0"/>
            <w:szCs w:val="22"/>
          </w:rPr>
          <w:tab/>
        </w:r>
        <w:r w:rsidR="00E139E9" w:rsidRPr="00283947">
          <w:rPr>
            <w:rStyle w:val="Hyperlink"/>
          </w:rPr>
          <w:t>Victorian Statutory Approvals</w:t>
        </w:r>
        <w:r w:rsidR="00E139E9">
          <w:rPr>
            <w:webHidden/>
          </w:rPr>
          <w:tab/>
        </w:r>
        <w:r w:rsidR="00AA5706">
          <w:rPr>
            <w:webHidden/>
          </w:rPr>
          <w:fldChar w:fldCharType="begin"/>
        </w:r>
        <w:r w:rsidR="00E139E9">
          <w:rPr>
            <w:webHidden/>
          </w:rPr>
          <w:instrText xml:space="preserve"> PAGEREF _Toc354582219 \h </w:instrText>
        </w:r>
        <w:r w:rsidR="00AA5706">
          <w:rPr>
            <w:webHidden/>
          </w:rPr>
        </w:r>
        <w:r w:rsidR="00AA5706">
          <w:rPr>
            <w:webHidden/>
          </w:rPr>
          <w:fldChar w:fldCharType="separate"/>
        </w:r>
        <w:r w:rsidR="00562F22">
          <w:rPr>
            <w:webHidden/>
          </w:rPr>
          <w:t>3</w:t>
        </w:r>
        <w:r w:rsidR="00AA5706">
          <w:rPr>
            <w:webHidden/>
          </w:rPr>
          <w:fldChar w:fldCharType="end"/>
        </w:r>
      </w:hyperlink>
    </w:p>
    <w:p w:rsidR="00E139E9" w:rsidRDefault="000F57C9" w:rsidP="00E139E9">
      <w:pPr>
        <w:pStyle w:val="TOC2"/>
        <w:spacing w:after="180"/>
        <w:rPr>
          <w:rFonts w:asciiTheme="minorHAnsi" w:eastAsiaTheme="minorEastAsia" w:hAnsiTheme="minorHAnsi" w:cstheme="minorBidi"/>
          <w:b w:val="0"/>
          <w:szCs w:val="22"/>
        </w:rPr>
      </w:pPr>
      <w:hyperlink w:anchor="_Toc354582220" w:history="1">
        <w:r w:rsidR="00E139E9" w:rsidRPr="00283947">
          <w:rPr>
            <w:rStyle w:val="Hyperlink"/>
          </w:rPr>
          <w:t>2.3</w:t>
        </w:r>
        <w:r w:rsidR="00E139E9">
          <w:rPr>
            <w:rFonts w:asciiTheme="minorHAnsi" w:eastAsiaTheme="minorEastAsia" w:hAnsiTheme="minorHAnsi" w:cstheme="minorBidi"/>
            <w:b w:val="0"/>
            <w:szCs w:val="22"/>
          </w:rPr>
          <w:tab/>
        </w:r>
        <w:r w:rsidR="00E139E9" w:rsidRPr="00283947">
          <w:rPr>
            <w:rStyle w:val="Hyperlink"/>
          </w:rPr>
          <w:t>Commonwealth Statutory Approval</w:t>
        </w:r>
        <w:r w:rsidR="00E139E9">
          <w:rPr>
            <w:webHidden/>
          </w:rPr>
          <w:tab/>
        </w:r>
        <w:r w:rsidR="00AA5706">
          <w:rPr>
            <w:webHidden/>
          </w:rPr>
          <w:fldChar w:fldCharType="begin"/>
        </w:r>
        <w:r w:rsidR="00E139E9">
          <w:rPr>
            <w:webHidden/>
          </w:rPr>
          <w:instrText xml:space="preserve"> PAGEREF _Toc354582220 \h </w:instrText>
        </w:r>
        <w:r w:rsidR="00AA5706">
          <w:rPr>
            <w:webHidden/>
          </w:rPr>
        </w:r>
        <w:r w:rsidR="00AA5706">
          <w:rPr>
            <w:webHidden/>
          </w:rPr>
          <w:fldChar w:fldCharType="separate"/>
        </w:r>
        <w:r w:rsidR="00562F22">
          <w:rPr>
            <w:webHidden/>
          </w:rPr>
          <w:t>3</w:t>
        </w:r>
        <w:r w:rsidR="00AA5706">
          <w:rPr>
            <w:webHidden/>
          </w:rPr>
          <w:fldChar w:fldCharType="end"/>
        </w:r>
      </w:hyperlink>
    </w:p>
    <w:p w:rsidR="00E139E9" w:rsidRDefault="000F57C9" w:rsidP="00E139E9">
      <w:pPr>
        <w:pStyle w:val="TOC1"/>
        <w:spacing w:after="180"/>
        <w:rPr>
          <w:rFonts w:asciiTheme="minorHAnsi" w:eastAsiaTheme="minorEastAsia" w:hAnsiTheme="minorHAnsi" w:cstheme="minorBidi"/>
          <w:b w:val="0"/>
          <w:caps w:val="0"/>
          <w:sz w:val="22"/>
          <w:szCs w:val="22"/>
        </w:rPr>
      </w:pPr>
      <w:hyperlink w:anchor="_Toc354582221" w:history="1">
        <w:r w:rsidR="00E139E9" w:rsidRPr="00283947">
          <w:rPr>
            <w:rStyle w:val="Hyperlink"/>
          </w:rPr>
          <w:t>3</w:t>
        </w:r>
        <w:r w:rsidR="00E139E9">
          <w:rPr>
            <w:rFonts w:asciiTheme="minorHAnsi" w:eastAsiaTheme="minorEastAsia" w:hAnsiTheme="minorHAnsi" w:cstheme="minorBidi"/>
            <w:b w:val="0"/>
            <w:caps w:val="0"/>
            <w:sz w:val="22"/>
            <w:szCs w:val="22"/>
          </w:rPr>
          <w:tab/>
        </w:r>
        <w:r w:rsidR="00E139E9" w:rsidRPr="00283947">
          <w:rPr>
            <w:rStyle w:val="Hyperlink"/>
          </w:rPr>
          <w:t>Integrated Assessment</w:t>
        </w:r>
        <w:r w:rsidR="00E139E9">
          <w:rPr>
            <w:webHidden/>
          </w:rPr>
          <w:tab/>
        </w:r>
        <w:r w:rsidR="00AA5706">
          <w:rPr>
            <w:webHidden/>
          </w:rPr>
          <w:fldChar w:fldCharType="begin"/>
        </w:r>
        <w:r w:rsidR="00E139E9">
          <w:rPr>
            <w:webHidden/>
          </w:rPr>
          <w:instrText xml:space="preserve"> PAGEREF _Toc354582221 \h </w:instrText>
        </w:r>
        <w:r w:rsidR="00AA5706">
          <w:rPr>
            <w:webHidden/>
          </w:rPr>
        </w:r>
        <w:r w:rsidR="00AA5706">
          <w:rPr>
            <w:webHidden/>
          </w:rPr>
          <w:fldChar w:fldCharType="separate"/>
        </w:r>
        <w:r w:rsidR="00562F22">
          <w:rPr>
            <w:webHidden/>
          </w:rPr>
          <w:t>4</w:t>
        </w:r>
        <w:r w:rsidR="00AA5706">
          <w:rPr>
            <w:webHidden/>
          </w:rPr>
          <w:fldChar w:fldCharType="end"/>
        </w:r>
      </w:hyperlink>
    </w:p>
    <w:p w:rsidR="00E139E9" w:rsidRDefault="000F57C9" w:rsidP="00E139E9">
      <w:pPr>
        <w:pStyle w:val="TOC2"/>
        <w:spacing w:after="180"/>
        <w:rPr>
          <w:rFonts w:asciiTheme="minorHAnsi" w:eastAsiaTheme="minorEastAsia" w:hAnsiTheme="minorHAnsi" w:cstheme="minorBidi"/>
          <w:b w:val="0"/>
          <w:szCs w:val="22"/>
        </w:rPr>
      </w:pPr>
      <w:hyperlink w:anchor="_Toc354582222" w:history="1">
        <w:r w:rsidR="00E139E9" w:rsidRPr="00283947">
          <w:rPr>
            <w:rStyle w:val="Hyperlink"/>
          </w:rPr>
          <w:t>3.1</w:t>
        </w:r>
        <w:r w:rsidR="00E139E9">
          <w:rPr>
            <w:rFonts w:asciiTheme="minorHAnsi" w:eastAsiaTheme="minorEastAsia" w:hAnsiTheme="minorHAnsi" w:cstheme="minorBidi"/>
            <w:b w:val="0"/>
            <w:szCs w:val="22"/>
          </w:rPr>
          <w:tab/>
        </w:r>
        <w:r w:rsidR="00E139E9" w:rsidRPr="00283947">
          <w:rPr>
            <w:rStyle w:val="Hyperlink"/>
          </w:rPr>
          <w:t>Approach to this Assessment</w:t>
        </w:r>
        <w:r w:rsidR="00E139E9">
          <w:rPr>
            <w:webHidden/>
          </w:rPr>
          <w:tab/>
        </w:r>
        <w:r w:rsidR="00AA5706">
          <w:rPr>
            <w:webHidden/>
          </w:rPr>
          <w:fldChar w:fldCharType="begin"/>
        </w:r>
        <w:r w:rsidR="00E139E9">
          <w:rPr>
            <w:webHidden/>
          </w:rPr>
          <w:instrText xml:space="preserve"> PAGEREF _Toc354582222 \h </w:instrText>
        </w:r>
        <w:r w:rsidR="00AA5706">
          <w:rPr>
            <w:webHidden/>
          </w:rPr>
        </w:r>
        <w:r w:rsidR="00AA5706">
          <w:rPr>
            <w:webHidden/>
          </w:rPr>
          <w:fldChar w:fldCharType="separate"/>
        </w:r>
        <w:r w:rsidR="00562F22">
          <w:rPr>
            <w:webHidden/>
          </w:rPr>
          <w:t>4</w:t>
        </w:r>
        <w:r w:rsidR="00AA5706">
          <w:rPr>
            <w:webHidden/>
          </w:rPr>
          <w:fldChar w:fldCharType="end"/>
        </w:r>
      </w:hyperlink>
    </w:p>
    <w:p w:rsidR="00E139E9" w:rsidRDefault="000F57C9" w:rsidP="00E139E9">
      <w:pPr>
        <w:pStyle w:val="TOC2"/>
        <w:spacing w:after="180"/>
        <w:rPr>
          <w:rFonts w:asciiTheme="minorHAnsi" w:eastAsiaTheme="minorEastAsia" w:hAnsiTheme="minorHAnsi" w:cstheme="minorBidi"/>
          <w:b w:val="0"/>
          <w:szCs w:val="22"/>
        </w:rPr>
      </w:pPr>
      <w:hyperlink w:anchor="_Toc354582223" w:history="1">
        <w:r w:rsidR="00E139E9" w:rsidRPr="00283947">
          <w:rPr>
            <w:rStyle w:val="Hyperlink"/>
          </w:rPr>
          <w:t>3.2</w:t>
        </w:r>
        <w:r w:rsidR="00E139E9">
          <w:rPr>
            <w:rFonts w:asciiTheme="minorHAnsi" w:eastAsiaTheme="minorEastAsia" w:hAnsiTheme="minorHAnsi" w:cstheme="minorBidi"/>
            <w:b w:val="0"/>
            <w:szCs w:val="22"/>
          </w:rPr>
          <w:tab/>
        </w:r>
        <w:r w:rsidR="00E139E9" w:rsidRPr="00283947">
          <w:rPr>
            <w:rStyle w:val="Hyperlink"/>
          </w:rPr>
          <w:t>Assessment of Options</w:t>
        </w:r>
        <w:r w:rsidR="00E139E9">
          <w:rPr>
            <w:webHidden/>
          </w:rPr>
          <w:tab/>
        </w:r>
        <w:r w:rsidR="00AA5706">
          <w:rPr>
            <w:webHidden/>
          </w:rPr>
          <w:fldChar w:fldCharType="begin"/>
        </w:r>
        <w:r w:rsidR="00E139E9">
          <w:rPr>
            <w:webHidden/>
          </w:rPr>
          <w:instrText xml:space="preserve"> PAGEREF _Toc354582223 \h </w:instrText>
        </w:r>
        <w:r w:rsidR="00AA5706">
          <w:rPr>
            <w:webHidden/>
          </w:rPr>
        </w:r>
        <w:r w:rsidR="00AA5706">
          <w:rPr>
            <w:webHidden/>
          </w:rPr>
          <w:fldChar w:fldCharType="separate"/>
        </w:r>
        <w:r w:rsidR="00562F22">
          <w:rPr>
            <w:webHidden/>
          </w:rPr>
          <w:t>6</w:t>
        </w:r>
        <w:r w:rsidR="00AA5706">
          <w:rPr>
            <w:webHidden/>
          </w:rPr>
          <w:fldChar w:fldCharType="end"/>
        </w:r>
      </w:hyperlink>
    </w:p>
    <w:p w:rsidR="00E139E9" w:rsidRDefault="000F57C9" w:rsidP="00E139E9">
      <w:pPr>
        <w:pStyle w:val="TOC2"/>
        <w:spacing w:after="180"/>
        <w:rPr>
          <w:rFonts w:asciiTheme="minorHAnsi" w:eastAsiaTheme="minorEastAsia" w:hAnsiTheme="minorHAnsi" w:cstheme="minorBidi"/>
          <w:b w:val="0"/>
          <w:szCs w:val="22"/>
        </w:rPr>
      </w:pPr>
      <w:hyperlink w:anchor="_Toc354582224" w:history="1">
        <w:r w:rsidR="00E139E9" w:rsidRPr="00283947">
          <w:rPr>
            <w:rStyle w:val="Hyperlink"/>
          </w:rPr>
          <w:t>3.3</w:t>
        </w:r>
        <w:r w:rsidR="00E139E9">
          <w:rPr>
            <w:rFonts w:asciiTheme="minorHAnsi" w:eastAsiaTheme="minorEastAsia" w:hAnsiTheme="minorHAnsi" w:cstheme="minorBidi"/>
            <w:b w:val="0"/>
            <w:szCs w:val="22"/>
          </w:rPr>
          <w:tab/>
        </w:r>
        <w:r w:rsidR="00E139E9" w:rsidRPr="00283947">
          <w:rPr>
            <w:rStyle w:val="Hyperlink"/>
          </w:rPr>
          <w:t xml:space="preserve">Road </w:t>
        </w:r>
        <w:r w:rsidR="00280581">
          <w:rPr>
            <w:rStyle w:val="Hyperlink"/>
          </w:rPr>
          <w:t>S</w:t>
        </w:r>
        <w:r w:rsidR="00E139E9" w:rsidRPr="00283947">
          <w:rPr>
            <w:rStyle w:val="Hyperlink"/>
          </w:rPr>
          <w:t xml:space="preserve">afety and </w:t>
        </w:r>
        <w:r w:rsidR="00280581">
          <w:rPr>
            <w:rStyle w:val="Hyperlink"/>
          </w:rPr>
          <w:t>C</w:t>
        </w:r>
        <w:r w:rsidR="00E139E9" w:rsidRPr="00283947">
          <w:rPr>
            <w:rStyle w:val="Hyperlink"/>
          </w:rPr>
          <w:t>apacity</w:t>
        </w:r>
        <w:r w:rsidR="00E139E9">
          <w:rPr>
            <w:webHidden/>
          </w:rPr>
          <w:tab/>
        </w:r>
        <w:r w:rsidR="00AA5706">
          <w:rPr>
            <w:webHidden/>
          </w:rPr>
          <w:fldChar w:fldCharType="begin"/>
        </w:r>
        <w:r w:rsidR="00E139E9">
          <w:rPr>
            <w:webHidden/>
          </w:rPr>
          <w:instrText xml:space="preserve"> PAGEREF _Toc354582224 \h </w:instrText>
        </w:r>
        <w:r w:rsidR="00AA5706">
          <w:rPr>
            <w:webHidden/>
          </w:rPr>
        </w:r>
        <w:r w:rsidR="00AA5706">
          <w:rPr>
            <w:webHidden/>
          </w:rPr>
          <w:fldChar w:fldCharType="separate"/>
        </w:r>
        <w:r w:rsidR="00562F22">
          <w:rPr>
            <w:webHidden/>
          </w:rPr>
          <w:t>7</w:t>
        </w:r>
        <w:r w:rsidR="00AA5706">
          <w:rPr>
            <w:webHidden/>
          </w:rPr>
          <w:fldChar w:fldCharType="end"/>
        </w:r>
      </w:hyperlink>
    </w:p>
    <w:p w:rsidR="00E139E9" w:rsidRDefault="000F57C9" w:rsidP="00E139E9">
      <w:pPr>
        <w:pStyle w:val="TOC2"/>
        <w:spacing w:after="180"/>
        <w:rPr>
          <w:rFonts w:asciiTheme="minorHAnsi" w:eastAsiaTheme="minorEastAsia" w:hAnsiTheme="minorHAnsi" w:cstheme="minorBidi"/>
          <w:b w:val="0"/>
          <w:szCs w:val="22"/>
        </w:rPr>
      </w:pPr>
      <w:hyperlink w:anchor="_Toc354582225" w:history="1">
        <w:r w:rsidR="00E139E9" w:rsidRPr="00283947">
          <w:rPr>
            <w:rStyle w:val="Hyperlink"/>
          </w:rPr>
          <w:t>3.4</w:t>
        </w:r>
        <w:r w:rsidR="00E139E9">
          <w:rPr>
            <w:rFonts w:asciiTheme="minorHAnsi" w:eastAsiaTheme="minorEastAsia" w:hAnsiTheme="minorHAnsi" w:cstheme="minorBidi"/>
            <w:b w:val="0"/>
            <w:szCs w:val="22"/>
          </w:rPr>
          <w:tab/>
        </w:r>
        <w:r w:rsidR="00E139E9" w:rsidRPr="00283947">
          <w:rPr>
            <w:rStyle w:val="Hyperlink"/>
          </w:rPr>
          <w:t>Biodiversity and Habitat</w:t>
        </w:r>
        <w:r w:rsidR="00E139E9">
          <w:rPr>
            <w:webHidden/>
          </w:rPr>
          <w:tab/>
        </w:r>
        <w:r w:rsidR="00AA5706">
          <w:rPr>
            <w:webHidden/>
          </w:rPr>
          <w:fldChar w:fldCharType="begin"/>
        </w:r>
        <w:r w:rsidR="00E139E9">
          <w:rPr>
            <w:webHidden/>
          </w:rPr>
          <w:instrText xml:space="preserve"> PAGEREF _Toc354582225 \h </w:instrText>
        </w:r>
        <w:r w:rsidR="00AA5706">
          <w:rPr>
            <w:webHidden/>
          </w:rPr>
        </w:r>
        <w:r w:rsidR="00AA5706">
          <w:rPr>
            <w:webHidden/>
          </w:rPr>
          <w:fldChar w:fldCharType="separate"/>
        </w:r>
        <w:r w:rsidR="00562F22">
          <w:rPr>
            <w:webHidden/>
          </w:rPr>
          <w:t>8</w:t>
        </w:r>
        <w:r w:rsidR="00AA5706">
          <w:rPr>
            <w:webHidden/>
          </w:rPr>
          <w:fldChar w:fldCharType="end"/>
        </w:r>
      </w:hyperlink>
    </w:p>
    <w:p w:rsidR="00E139E9" w:rsidRDefault="000F57C9" w:rsidP="00E139E9">
      <w:pPr>
        <w:pStyle w:val="TOC2"/>
        <w:spacing w:after="180"/>
        <w:rPr>
          <w:rFonts w:asciiTheme="minorHAnsi" w:eastAsiaTheme="minorEastAsia" w:hAnsiTheme="minorHAnsi" w:cstheme="minorBidi"/>
          <w:b w:val="0"/>
          <w:szCs w:val="22"/>
        </w:rPr>
      </w:pPr>
      <w:hyperlink w:anchor="_Toc354582226" w:history="1">
        <w:r w:rsidR="00E139E9" w:rsidRPr="00283947">
          <w:rPr>
            <w:rStyle w:val="Hyperlink"/>
          </w:rPr>
          <w:t>3.5</w:t>
        </w:r>
        <w:r w:rsidR="00E139E9">
          <w:rPr>
            <w:rFonts w:asciiTheme="minorHAnsi" w:eastAsiaTheme="minorEastAsia" w:hAnsiTheme="minorHAnsi" w:cstheme="minorBidi"/>
            <w:b w:val="0"/>
            <w:szCs w:val="22"/>
          </w:rPr>
          <w:tab/>
        </w:r>
        <w:r w:rsidR="00E139E9" w:rsidRPr="00283947">
          <w:rPr>
            <w:rStyle w:val="Hyperlink"/>
          </w:rPr>
          <w:t>Infrastructure and Land use</w:t>
        </w:r>
        <w:r w:rsidR="00E139E9">
          <w:rPr>
            <w:webHidden/>
          </w:rPr>
          <w:tab/>
        </w:r>
        <w:r w:rsidR="00AA5706">
          <w:rPr>
            <w:webHidden/>
          </w:rPr>
          <w:fldChar w:fldCharType="begin"/>
        </w:r>
        <w:r w:rsidR="00E139E9">
          <w:rPr>
            <w:webHidden/>
          </w:rPr>
          <w:instrText xml:space="preserve"> PAGEREF _Toc354582226 \h </w:instrText>
        </w:r>
        <w:r w:rsidR="00AA5706">
          <w:rPr>
            <w:webHidden/>
          </w:rPr>
        </w:r>
        <w:r w:rsidR="00AA5706">
          <w:rPr>
            <w:webHidden/>
          </w:rPr>
          <w:fldChar w:fldCharType="separate"/>
        </w:r>
        <w:r w:rsidR="00562F22">
          <w:rPr>
            <w:webHidden/>
          </w:rPr>
          <w:t>13</w:t>
        </w:r>
        <w:r w:rsidR="00AA5706">
          <w:rPr>
            <w:webHidden/>
          </w:rPr>
          <w:fldChar w:fldCharType="end"/>
        </w:r>
      </w:hyperlink>
    </w:p>
    <w:p w:rsidR="00E139E9" w:rsidRDefault="000F57C9" w:rsidP="00E139E9">
      <w:pPr>
        <w:pStyle w:val="TOC2"/>
        <w:spacing w:after="180"/>
        <w:rPr>
          <w:rFonts w:asciiTheme="minorHAnsi" w:eastAsiaTheme="minorEastAsia" w:hAnsiTheme="minorHAnsi" w:cstheme="minorBidi"/>
          <w:b w:val="0"/>
          <w:szCs w:val="22"/>
        </w:rPr>
      </w:pPr>
      <w:hyperlink w:anchor="_Toc354582227" w:history="1">
        <w:r w:rsidR="00E139E9" w:rsidRPr="00283947">
          <w:rPr>
            <w:rStyle w:val="Hyperlink"/>
          </w:rPr>
          <w:t>3.6</w:t>
        </w:r>
        <w:r w:rsidR="00E139E9">
          <w:rPr>
            <w:rFonts w:asciiTheme="minorHAnsi" w:eastAsiaTheme="minorEastAsia" w:hAnsiTheme="minorHAnsi" w:cstheme="minorBidi"/>
            <w:b w:val="0"/>
            <w:szCs w:val="22"/>
          </w:rPr>
          <w:tab/>
        </w:r>
        <w:r w:rsidR="00E139E9" w:rsidRPr="00283947">
          <w:rPr>
            <w:rStyle w:val="Hyperlink"/>
          </w:rPr>
          <w:t>Amenity</w:t>
        </w:r>
        <w:r w:rsidR="00E139E9">
          <w:rPr>
            <w:webHidden/>
          </w:rPr>
          <w:tab/>
        </w:r>
        <w:r w:rsidR="00AA5706">
          <w:rPr>
            <w:webHidden/>
          </w:rPr>
          <w:fldChar w:fldCharType="begin"/>
        </w:r>
        <w:r w:rsidR="00E139E9">
          <w:rPr>
            <w:webHidden/>
          </w:rPr>
          <w:instrText xml:space="preserve"> PAGEREF _Toc354582227 \h </w:instrText>
        </w:r>
        <w:r w:rsidR="00AA5706">
          <w:rPr>
            <w:webHidden/>
          </w:rPr>
        </w:r>
        <w:r w:rsidR="00AA5706">
          <w:rPr>
            <w:webHidden/>
          </w:rPr>
          <w:fldChar w:fldCharType="separate"/>
        </w:r>
        <w:r w:rsidR="00562F22">
          <w:rPr>
            <w:webHidden/>
          </w:rPr>
          <w:t>16</w:t>
        </w:r>
        <w:r w:rsidR="00AA5706">
          <w:rPr>
            <w:webHidden/>
          </w:rPr>
          <w:fldChar w:fldCharType="end"/>
        </w:r>
      </w:hyperlink>
    </w:p>
    <w:p w:rsidR="00E139E9" w:rsidRDefault="000F57C9" w:rsidP="00E139E9">
      <w:pPr>
        <w:pStyle w:val="TOC2"/>
        <w:spacing w:after="180"/>
        <w:rPr>
          <w:rFonts w:asciiTheme="minorHAnsi" w:eastAsiaTheme="minorEastAsia" w:hAnsiTheme="minorHAnsi" w:cstheme="minorBidi"/>
          <w:b w:val="0"/>
          <w:szCs w:val="22"/>
        </w:rPr>
      </w:pPr>
      <w:hyperlink w:anchor="_Toc354582228" w:history="1">
        <w:r w:rsidR="00E139E9" w:rsidRPr="00283947">
          <w:rPr>
            <w:rStyle w:val="Hyperlink"/>
          </w:rPr>
          <w:t>3.7</w:t>
        </w:r>
        <w:r w:rsidR="00E139E9">
          <w:rPr>
            <w:rFonts w:asciiTheme="minorHAnsi" w:eastAsiaTheme="minorEastAsia" w:hAnsiTheme="minorHAnsi" w:cstheme="minorBidi"/>
            <w:b w:val="0"/>
            <w:szCs w:val="22"/>
          </w:rPr>
          <w:tab/>
        </w:r>
        <w:r w:rsidR="00E139E9" w:rsidRPr="00283947">
          <w:rPr>
            <w:rStyle w:val="Hyperlink"/>
          </w:rPr>
          <w:t>Catchment Values</w:t>
        </w:r>
        <w:r w:rsidR="00E139E9">
          <w:rPr>
            <w:webHidden/>
          </w:rPr>
          <w:tab/>
        </w:r>
        <w:r w:rsidR="00AA5706">
          <w:rPr>
            <w:webHidden/>
          </w:rPr>
          <w:fldChar w:fldCharType="begin"/>
        </w:r>
        <w:r w:rsidR="00E139E9">
          <w:rPr>
            <w:webHidden/>
          </w:rPr>
          <w:instrText xml:space="preserve"> PAGEREF _Toc354582228 \h </w:instrText>
        </w:r>
        <w:r w:rsidR="00AA5706">
          <w:rPr>
            <w:webHidden/>
          </w:rPr>
        </w:r>
        <w:r w:rsidR="00AA5706">
          <w:rPr>
            <w:webHidden/>
          </w:rPr>
          <w:fldChar w:fldCharType="separate"/>
        </w:r>
        <w:r w:rsidR="00562F22">
          <w:rPr>
            <w:webHidden/>
          </w:rPr>
          <w:t>18</w:t>
        </w:r>
        <w:r w:rsidR="00AA5706">
          <w:rPr>
            <w:webHidden/>
          </w:rPr>
          <w:fldChar w:fldCharType="end"/>
        </w:r>
      </w:hyperlink>
    </w:p>
    <w:p w:rsidR="00E139E9" w:rsidRDefault="000F57C9" w:rsidP="00E139E9">
      <w:pPr>
        <w:pStyle w:val="TOC2"/>
        <w:spacing w:after="180"/>
        <w:rPr>
          <w:rFonts w:asciiTheme="minorHAnsi" w:eastAsiaTheme="minorEastAsia" w:hAnsiTheme="minorHAnsi" w:cstheme="minorBidi"/>
          <w:b w:val="0"/>
          <w:szCs w:val="22"/>
        </w:rPr>
      </w:pPr>
      <w:hyperlink w:anchor="_Toc354582229" w:history="1">
        <w:r w:rsidR="00E139E9" w:rsidRPr="00283947">
          <w:rPr>
            <w:rStyle w:val="Hyperlink"/>
          </w:rPr>
          <w:t>3.8</w:t>
        </w:r>
        <w:r w:rsidR="00E139E9">
          <w:rPr>
            <w:rFonts w:asciiTheme="minorHAnsi" w:eastAsiaTheme="minorEastAsia" w:hAnsiTheme="minorHAnsi" w:cstheme="minorBidi"/>
            <w:b w:val="0"/>
            <w:szCs w:val="22"/>
          </w:rPr>
          <w:tab/>
        </w:r>
        <w:r w:rsidR="00E139E9" w:rsidRPr="00283947">
          <w:rPr>
            <w:rStyle w:val="Hyperlink"/>
          </w:rPr>
          <w:t>Cultural Heritage</w:t>
        </w:r>
        <w:r w:rsidR="00E139E9">
          <w:rPr>
            <w:webHidden/>
          </w:rPr>
          <w:tab/>
        </w:r>
        <w:r w:rsidR="00AA5706">
          <w:rPr>
            <w:webHidden/>
          </w:rPr>
          <w:fldChar w:fldCharType="begin"/>
        </w:r>
        <w:r w:rsidR="00E139E9">
          <w:rPr>
            <w:webHidden/>
          </w:rPr>
          <w:instrText xml:space="preserve"> PAGEREF _Toc354582229 \h </w:instrText>
        </w:r>
        <w:r w:rsidR="00AA5706">
          <w:rPr>
            <w:webHidden/>
          </w:rPr>
        </w:r>
        <w:r w:rsidR="00AA5706">
          <w:rPr>
            <w:webHidden/>
          </w:rPr>
          <w:fldChar w:fldCharType="separate"/>
        </w:r>
        <w:r w:rsidR="00562F22">
          <w:rPr>
            <w:webHidden/>
          </w:rPr>
          <w:t>21</w:t>
        </w:r>
        <w:r w:rsidR="00AA5706">
          <w:rPr>
            <w:webHidden/>
          </w:rPr>
          <w:fldChar w:fldCharType="end"/>
        </w:r>
      </w:hyperlink>
    </w:p>
    <w:p w:rsidR="00E139E9" w:rsidRDefault="000F57C9" w:rsidP="00E139E9">
      <w:pPr>
        <w:pStyle w:val="TOC2"/>
        <w:spacing w:after="180"/>
        <w:rPr>
          <w:rFonts w:asciiTheme="minorHAnsi" w:eastAsiaTheme="minorEastAsia" w:hAnsiTheme="minorHAnsi" w:cstheme="minorBidi"/>
          <w:b w:val="0"/>
          <w:szCs w:val="22"/>
        </w:rPr>
      </w:pPr>
      <w:hyperlink w:anchor="_Toc354582230" w:history="1">
        <w:r w:rsidR="00E139E9" w:rsidRPr="00283947">
          <w:rPr>
            <w:rStyle w:val="Hyperlink"/>
          </w:rPr>
          <w:t>3.9</w:t>
        </w:r>
        <w:r w:rsidR="00E139E9">
          <w:rPr>
            <w:rFonts w:asciiTheme="minorHAnsi" w:eastAsiaTheme="minorEastAsia" w:hAnsiTheme="minorHAnsi" w:cstheme="minorBidi"/>
            <w:b w:val="0"/>
            <w:szCs w:val="22"/>
          </w:rPr>
          <w:tab/>
        </w:r>
        <w:r w:rsidR="00E139E9" w:rsidRPr="00283947">
          <w:rPr>
            <w:rStyle w:val="Hyperlink"/>
          </w:rPr>
          <w:t>Environmental Management Framework</w:t>
        </w:r>
        <w:r w:rsidR="00E139E9">
          <w:rPr>
            <w:webHidden/>
          </w:rPr>
          <w:tab/>
        </w:r>
        <w:r w:rsidR="00AA5706">
          <w:rPr>
            <w:webHidden/>
          </w:rPr>
          <w:fldChar w:fldCharType="begin"/>
        </w:r>
        <w:r w:rsidR="00E139E9">
          <w:rPr>
            <w:webHidden/>
          </w:rPr>
          <w:instrText xml:space="preserve"> PAGEREF _Toc354582230 \h </w:instrText>
        </w:r>
        <w:r w:rsidR="00AA5706">
          <w:rPr>
            <w:webHidden/>
          </w:rPr>
        </w:r>
        <w:r w:rsidR="00AA5706">
          <w:rPr>
            <w:webHidden/>
          </w:rPr>
          <w:fldChar w:fldCharType="separate"/>
        </w:r>
        <w:r w:rsidR="00562F22">
          <w:rPr>
            <w:webHidden/>
          </w:rPr>
          <w:t>21</w:t>
        </w:r>
        <w:r w:rsidR="00AA5706">
          <w:rPr>
            <w:webHidden/>
          </w:rPr>
          <w:fldChar w:fldCharType="end"/>
        </w:r>
      </w:hyperlink>
    </w:p>
    <w:p w:rsidR="00E139E9" w:rsidRDefault="000F57C9" w:rsidP="00E139E9">
      <w:pPr>
        <w:pStyle w:val="TOC2"/>
        <w:spacing w:after="180"/>
        <w:rPr>
          <w:rFonts w:asciiTheme="minorHAnsi" w:eastAsiaTheme="minorEastAsia" w:hAnsiTheme="minorHAnsi" w:cstheme="minorBidi"/>
          <w:b w:val="0"/>
          <w:szCs w:val="22"/>
        </w:rPr>
      </w:pPr>
      <w:hyperlink w:anchor="_Toc354582231" w:history="1">
        <w:r w:rsidR="00E139E9" w:rsidRPr="00283947">
          <w:rPr>
            <w:rStyle w:val="Hyperlink"/>
          </w:rPr>
          <w:t>3.10</w:t>
        </w:r>
        <w:r w:rsidR="00E139E9">
          <w:rPr>
            <w:rFonts w:asciiTheme="minorHAnsi" w:eastAsiaTheme="minorEastAsia" w:hAnsiTheme="minorHAnsi" w:cstheme="minorBidi"/>
            <w:b w:val="0"/>
            <w:szCs w:val="22"/>
          </w:rPr>
          <w:tab/>
        </w:r>
        <w:r w:rsidR="00E139E9" w:rsidRPr="00283947">
          <w:rPr>
            <w:rStyle w:val="Hyperlink"/>
          </w:rPr>
          <w:t>Ecologically Sustainable Development</w:t>
        </w:r>
        <w:r w:rsidR="00E139E9">
          <w:rPr>
            <w:webHidden/>
          </w:rPr>
          <w:tab/>
        </w:r>
        <w:r w:rsidR="00AA5706">
          <w:rPr>
            <w:webHidden/>
          </w:rPr>
          <w:fldChar w:fldCharType="begin"/>
        </w:r>
        <w:r w:rsidR="00E139E9">
          <w:rPr>
            <w:webHidden/>
          </w:rPr>
          <w:instrText xml:space="preserve"> PAGEREF _Toc354582231 \h </w:instrText>
        </w:r>
        <w:r w:rsidR="00AA5706">
          <w:rPr>
            <w:webHidden/>
          </w:rPr>
        </w:r>
        <w:r w:rsidR="00AA5706">
          <w:rPr>
            <w:webHidden/>
          </w:rPr>
          <w:fldChar w:fldCharType="separate"/>
        </w:r>
        <w:r w:rsidR="00562F22">
          <w:rPr>
            <w:webHidden/>
          </w:rPr>
          <w:t>24</w:t>
        </w:r>
        <w:r w:rsidR="00AA5706">
          <w:rPr>
            <w:webHidden/>
          </w:rPr>
          <w:fldChar w:fldCharType="end"/>
        </w:r>
      </w:hyperlink>
    </w:p>
    <w:p w:rsidR="008B0CF1" w:rsidRPr="00E66AE9" w:rsidRDefault="00AA5706" w:rsidP="00E139E9">
      <w:pPr>
        <w:spacing w:after="180"/>
        <w:rPr>
          <w:highlight w:val="yellow"/>
        </w:rPr>
      </w:pPr>
      <w:r w:rsidRPr="00E66AE9">
        <w:fldChar w:fldCharType="end"/>
      </w:r>
      <w:bookmarkStart w:id="19" w:name="_Toc272401350"/>
    </w:p>
    <w:p w:rsidR="008B0CF1" w:rsidRPr="00E66AE9" w:rsidRDefault="008B0CF1" w:rsidP="00E66AE9">
      <w:pPr>
        <w:rPr>
          <w:highlight w:val="yellow"/>
        </w:rPr>
        <w:sectPr w:rsidR="008B0CF1" w:rsidRPr="00E66AE9" w:rsidSect="003D4718">
          <w:footerReference w:type="default" r:id="rId9"/>
          <w:pgSz w:w="11906" w:h="16838" w:code="9"/>
          <w:pgMar w:top="1440" w:right="1304" w:bottom="1134" w:left="1304" w:header="709" w:footer="709" w:gutter="0"/>
          <w:pgNumType w:fmt="lowerRoman" w:start="1"/>
          <w:cols w:space="708"/>
          <w:titlePg/>
          <w:docGrid w:linePitch="360"/>
        </w:sectPr>
      </w:pPr>
    </w:p>
    <w:p w:rsidR="008B0CF1" w:rsidRPr="00E66AE9" w:rsidRDefault="008B0CF1" w:rsidP="00E66AE9">
      <w:pPr>
        <w:rPr>
          <w:highlight w:val="yellow"/>
        </w:rPr>
      </w:pPr>
    </w:p>
    <w:p w:rsidR="00B304FC" w:rsidRPr="00E66AE9" w:rsidRDefault="00B304FC" w:rsidP="00603A6A">
      <w:pPr>
        <w:pStyle w:val="Heading1"/>
      </w:pPr>
      <w:bookmarkStart w:id="20" w:name="_Toc354582213"/>
      <w:r w:rsidRPr="00E66AE9">
        <w:t>Introduction</w:t>
      </w:r>
      <w:bookmarkEnd w:id="19"/>
      <w:bookmarkEnd w:id="20"/>
    </w:p>
    <w:p w:rsidR="00B304FC" w:rsidRPr="00E66AE9" w:rsidRDefault="00B304FC" w:rsidP="00603A6A">
      <w:pPr>
        <w:pStyle w:val="Heading2"/>
      </w:pPr>
      <w:bookmarkStart w:id="21" w:name="_Toc354582214"/>
      <w:r w:rsidRPr="00E66AE9">
        <w:t xml:space="preserve">Purpose of this </w:t>
      </w:r>
      <w:r w:rsidR="00112092" w:rsidRPr="00E66AE9">
        <w:t>D</w:t>
      </w:r>
      <w:r w:rsidRPr="00E66AE9">
        <w:t>ocument</w:t>
      </w:r>
      <w:bookmarkEnd w:id="21"/>
    </w:p>
    <w:p w:rsidR="00B304FC" w:rsidRPr="00E66AE9" w:rsidRDefault="00B304FC" w:rsidP="00E66AE9">
      <w:r w:rsidRPr="00E66AE9">
        <w:t xml:space="preserve">This is the assessment of environmental effects (Assessment) under the </w:t>
      </w:r>
      <w:r w:rsidRPr="00603A6A">
        <w:rPr>
          <w:i/>
        </w:rPr>
        <w:t>Environment Effects Act 1978</w:t>
      </w:r>
      <w:r w:rsidRPr="00E66AE9">
        <w:t xml:space="preserve"> (EE Act) for the </w:t>
      </w:r>
      <w:r w:rsidR="00603A6A">
        <w:t>Western Highway Project Section 2 Beaufort to Ararat</w:t>
      </w:r>
      <w:r w:rsidR="009916A6">
        <w:t xml:space="preserve"> (WHP2)</w:t>
      </w:r>
      <w:r w:rsidRPr="00E66AE9">
        <w:t>.</w:t>
      </w:r>
      <w:r w:rsidR="00E34F46" w:rsidRPr="00E66AE9">
        <w:t xml:space="preserve"> </w:t>
      </w:r>
      <w:r w:rsidRPr="00E66AE9">
        <w:t>It represents the final step in the Environment Effects Statement (EES) process under the EE Act by providing advice to decision-makers on the likely envir</w:t>
      </w:r>
      <w:r w:rsidR="0007726E" w:rsidRPr="00E66AE9">
        <w:t>onmental effects of the proposal</w:t>
      </w:r>
      <w:r w:rsidRPr="00E66AE9">
        <w:t xml:space="preserve">, their acceptability and how they should be addressed </w:t>
      </w:r>
      <w:r w:rsidR="00D12BA4" w:rsidRPr="00E66AE9">
        <w:t xml:space="preserve">in relevant </w:t>
      </w:r>
      <w:r w:rsidRPr="00E66AE9">
        <w:t>statutory decisions.</w:t>
      </w:r>
      <w:r w:rsidR="00E34F46" w:rsidRPr="00E66AE9">
        <w:t xml:space="preserve"> </w:t>
      </w:r>
      <w:r w:rsidR="00E70608" w:rsidRPr="00E66AE9">
        <w:t xml:space="preserve">The Assessment is informed by the </w:t>
      </w:r>
      <w:r w:rsidR="00D723DD" w:rsidRPr="00E66AE9">
        <w:t xml:space="preserve">report of the recent </w:t>
      </w:r>
      <w:r w:rsidR="00514663" w:rsidRPr="00E66AE9">
        <w:t>Inquiry together</w:t>
      </w:r>
      <w:r w:rsidR="00F773EA" w:rsidRPr="00E66AE9">
        <w:t xml:space="preserve"> with </w:t>
      </w:r>
      <w:r w:rsidR="004D19FC" w:rsidRPr="00E66AE9">
        <w:t xml:space="preserve">the EES and </w:t>
      </w:r>
      <w:r w:rsidR="00E70608" w:rsidRPr="00E66AE9">
        <w:t>public submissions.</w:t>
      </w:r>
    </w:p>
    <w:p w:rsidR="00B304FC" w:rsidRPr="00E66AE9" w:rsidRDefault="00B304FC" w:rsidP="00E66AE9">
      <w:r w:rsidRPr="00E66AE9">
        <w:t xml:space="preserve">This Assessment will inform the decisions required under Victorian law for the proposal to </w:t>
      </w:r>
      <w:r w:rsidR="001659D0">
        <w:t>proceed, in particular approval decisions</w:t>
      </w:r>
      <w:r w:rsidRPr="00E66AE9">
        <w:t xml:space="preserve"> under the </w:t>
      </w:r>
      <w:r w:rsidR="00EA70E3" w:rsidRPr="00EA70E3">
        <w:rPr>
          <w:i/>
        </w:rPr>
        <w:t>Planning and Environment Act 1987</w:t>
      </w:r>
      <w:r w:rsidR="003232F3" w:rsidRPr="00E66AE9">
        <w:t xml:space="preserve"> </w:t>
      </w:r>
      <w:r w:rsidR="006E1EA5" w:rsidRPr="00E66AE9">
        <w:t>(P&amp;E Act)</w:t>
      </w:r>
      <w:r w:rsidR="00DD36FC" w:rsidRPr="00E66AE9">
        <w:t>.</w:t>
      </w:r>
      <w:r w:rsidR="00E34F46" w:rsidRPr="00E66AE9">
        <w:t xml:space="preserve"> </w:t>
      </w:r>
      <w:r w:rsidR="00D0160B" w:rsidRPr="00E66AE9">
        <w:t xml:space="preserve">It will also inform the approval decision under the Commonwealth </w:t>
      </w:r>
      <w:r w:rsidR="00EA70E3" w:rsidRPr="00EA70E3">
        <w:rPr>
          <w:i/>
        </w:rPr>
        <w:t>Environment Protection and Biodiversity Conservation Act 1999</w:t>
      </w:r>
      <w:r w:rsidR="00D0160B" w:rsidRPr="00E66AE9">
        <w:t xml:space="preserve"> (EPBC Act).</w:t>
      </w:r>
    </w:p>
    <w:p w:rsidR="00B304FC" w:rsidRPr="00E66AE9" w:rsidRDefault="00B304FC" w:rsidP="00603A6A">
      <w:pPr>
        <w:pStyle w:val="Heading2"/>
      </w:pPr>
      <w:bookmarkStart w:id="22" w:name="_Toc354582215"/>
      <w:r w:rsidRPr="00E66AE9">
        <w:t xml:space="preserve">Project </w:t>
      </w:r>
      <w:r w:rsidR="00112092" w:rsidRPr="00E66AE9">
        <w:t>D</w:t>
      </w:r>
      <w:r w:rsidRPr="00E66AE9">
        <w:t>escription</w:t>
      </w:r>
      <w:bookmarkEnd w:id="22"/>
    </w:p>
    <w:p w:rsidR="00021A4C" w:rsidRPr="00B14B6E" w:rsidRDefault="00021A4C" w:rsidP="00021A4C">
      <w:r w:rsidRPr="00B14B6E">
        <w:t xml:space="preserve">VicRoads proposes to duplicate the Western Highway between Beaufort (Martins Lane) and Ararat (Warrayatkin Road) as part of a larger project to duplicate </w:t>
      </w:r>
      <w:r w:rsidR="00172903">
        <w:t>the</w:t>
      </w:r>
      <w:r w:rsidR="00172903" w:rsidRPr="00B14B6E">
        <w:t xml:space="preserve"> </w:t>
      </w:r>
      <w:r w:rsidRPr="00B14B6E">
        <w:t>highway between Ballarat and Stawell. It is proposed to upgrade Section 2 Beaufort to Ararat to freeway standard in the long term. The project does not involve bypasses of Beaufort or Ararat.</w:t>
      </w:r>
    </w:p>
    <w:p w:rsidR="00021A4C" w:rsidRDefault="00021A4C" w:rsidP="00021A4C">
      <w:r w:rsidRPr="00B14B6E">
        <w:t>The project would mainly involve construction of a second carriageway adjacent and parallel to the existing highway on adjacent land.  At Box’s Cutting and Buangor, new dual carriageways are proposed, and the existing highway would revert to a local road. When traffic conditions warrant and funding becomes available, it is proposed to upgrade Section 2 to a rural freeway standard</w:t>
      </w:r>
      <w:r w:rsidR="003D4718">
        <w:t>.</w:t>
      </w:r>
      <w:r w:rsidRPr="00B14B6E">
        <w:t xml:space="preserve"> This would require construction of service roads for local access and grade separated interchanges. The EES addresses the effects of both the interim upgrade to a divided rural highway and the ultimate upgrade to a freeway.</w:t>
      </w:r>
    </w:p>
    <w:p w:rsidR="005D4CE1" w:rsidRDefault="005D4CE1" w:rsidP="00021A4C">
      <w:r>
        <w:t xml:space="preserve">The </w:t>
      </w:r>
      <w:r w:rsidR="000D4410">
        <w:t xml:space="preserve">project covers a route length of approximately 38 km through </w:t>
      </w:r>
      <w:r w:rsidR="001969A3">
        <w:t xml:space="preserve">the Shire of </w:t>
      </w:r>
      <w:r w:rsidR="000D4410">
        <w:t xml:space="preserve">Pyrenees and the Rural City of Ararat. The alignment </w:t>
      </w:r>
      <w:r w:rsidR="00EF2D51">
        <w:t>spans</w:t>
      </w:r>
      <w:r w:rsidR="000D4410">
        <w:t xml:space="preserve"> six significant waterways and would require a new crossing of the Ballarat – Ararat railway line.</w:t>
      </w:r>
      <w:r w:rsidR="00EF2D51">
        <w:t xml:space="preserve"> It would affect land that is predominantly used for a variety </w:t>
      </w:r>
      <w:r w:rsidR="00172903">
        <w:t xml:space="preserve">of </w:t>
      </w:r>
      <w:r w:rsidR="00EF2D51">
        <w:t xml:space="preserve">agricultural uses including plantations, grazing and cropping. </w:t>
      </w:r>
    </w:p>
    <w:p w:rsidR="005D4CE1" w:rsidRPr="00B14B6E" w:rsidRDefault="005D4CE1" w:rsidP="00021A4C">
      <w:r>
        <w:t>A detailed description of the project is provided in Chapter 6 of the EES.</w:t>
      </w:r>
    </w:p>
    <w:p w:rsidR="00B304FC" w:rsidRPr="00E66AE9" w:rsidRDefault="00B304FC" w:rsidP="00EF2D51">
      <w:pPr>
        <w:pStyle w:val="Heading2"/>
      </w:pPr>
      <w:bookmarkStart w:id="23" w:name="_Toc354582216"/>
      <w:r w:rsidRPr="00E66AE9">
        <w:t>Structure of this Assessment</w:t>
      </w:r>
      <w:bookmarkEnd w:id="23"/>
    </w:p>
    <w:p w:rsidR="00B304FC" w:rsidRPr="00E66AE9" w:rsidRDefault="00B304FC" w:rsidP="00E66AE9">
      <w:r w:rsidRPr="00E66AE9">
        <w:t>Section 2 of this Assessment outlines both the EES process and statutory approvals required</w:t>
      </w:r>
      <w:r w:rsidR="001D6ADF" w:rsidRPr="00E66AE9">
        <w:t xml:space="preserve"> for the proposed development</w:t>
      </w:r>
      <w:r w:rsidRPr="00E66AE9">
        <w:t>.</w:t>
      </w:r>
    </w:p>
    <w:p w:rsidR="00B304FC" w:rsidRPr="00E66AE9" w:rsidRDefault="00B304FC" w:rsidP="00E66AE9">
      <w:r w:rsidRPr="00E66AE9">
        <w:t>The core part of this Assessment is Section 3</w:t>
      </w:r>
      <w:r w:rsidR="00D80A06">
        <w:t xml:space="preserve">, which </w:t>
      </w:r>
      <w:r w:rsidR="009224C7">
        <w:t xml:space="preserve">first </w:t>
      </w:r>
      <w:r w:rsidR="00C842AF" w:rsidRPr="00E66AE9">
        <w:t xml:space="preserve">provides </w:t>
      </w:r>
      <w:r w:rsidR="0002271A" w:rsidRPr="00E66AE9">
        <w:t xml:space="preserve">an </w:t>
      </w:r>
      <w:r w:rsidR="001659D0">
        <w:t>outline</w:t>
      </w:r>
      <w:r w:rsidR="00667A81" w:rsidRPr="00E66AE9">
        <w:t xml:space="preserve"> of the </w:t>
      </w:r>
      <w:r w:rsidR="009224C7">
        <w:t xml:space="preserve">process </w:t>
      </w:r>
      <w:r w:rsidR="00674ACF">
        <w:t xml:space="preserve">undertaken </w:t>
      </w:r>
      <w:r w:rsidR="009224C7">
        <w:t>by VicRoads for analysing a range of potentially suitable alignment options, resulting in a short list of two options which would meet the project objectives. Section 3 then assess</w:t>
      </w:r>
      <w:r w:rsidR="00280581">
        <w:t>es</w:t>
      </w:r>
      <w:r w:rsidR="009224C7">
        <w:t xml:space="preserve"> the potential </w:t>
      </w:r>
      <w:r w:rsidRPr="00E66AE9">
        <w:t>environmental effects</w:t>
      </w:r>
      <w:r w:rsidR="00C842AF" w:rsidRPr="00E66AE9">
        <w:t xml:space="preserve"> </w:t>
      </w:r>
      <w:r w:rsidR="009224C7">
        <w:t>of the two short-listed options evaluated in detail in the EES. Section 3</w:t>
      </w:r>
      <w:r w:rsidR="00C842AF" w:rsidRPr="00E66AE9">
        <w:t xml:space="preserve"> concludes</w:t>
      </w:r>
      <w:r w:rsidRPr="00E66AE9">
        <w:t xml:space="preserve"> </w:t>
      </w:r>
      <w:r w:rsidR="00C842AF" w:rsidRPr="00E66AE9">
        <w:t xml:space="preserve">with </w:t>
      </w:r>
      <w:r w:rsidR="001D6ADF" w:rsidRPr="00E66AE9">
        <w:t xml:space="preserve">an assessment of the proposal and its </w:t>
      </w:r>
      <w:r w:rsidR="00C842AF" w:rsidRPr="00E66AE9">
        <w:t xml:space="preserve">overall </w:t>
      </w:r>
      <w:r w:rsidR="00667A81" w:rsidRPr="00E66AE9">
        <w:t>outcomes in</w:t>
      </w:r>
      <w:r w:rsidRPr="00E66AE9">
        <w:t xml:space="preserve"> the context of </w:t>
      </w:r>
      <w:r w:rsidR="00D80A06" w:rsidRPr="00E66AE9">
        <w:t>applicable legislation</w:t>
      </w:r>
      <w:r w:rsidR="009224C7">
        <w:t>,</w:t>
      </w:r>
      <w:r w:rsidR="00D80A06" w:rsidRPr="00E66AE9">
        <w:t xml:space="preserve"> </w:t>
      </w:r>
      <w:r w:rsidR="009224C7">
        <w:t>statutory</w:t>
      </w:r>
      <w:r w:rsidR="00D80A06" w:rsidRPr="00E66AE9">
        <w:t xml:space="preserve"> policy </w:t>
      </w:r>
      <w:r w:rsidR="009224C7">
        <w:t xml:space="preserve">as well as the </w:t>
      </w:r>
      <w:r w:rsidR="001969A3">
        <w:t xml:space="preserve">relevant </w:t>
      </w:r>
      <w:r w:rsidR="009224C7">
        <w:t>objectives and principles of</w:t>
      </w:r>
      <w:r w:rsidR="00D80A06">
        <w:t xml:space="preserve"> </w:t>
      </w:r>
      <w:r w:rsidR="0002271A" w:rsidRPr="00E66AE9">
        <w:t>ecologically sustainable development (</w:t>
      </w:r>
      <w:r w:rsidR="00667A81" w:rsidRPr="00E66AE9">
        <w:t>ESD</w:t>
      </w:r>
      <w:r w:rsidR="0002271A" w:rsidRPr="00E66AE9">
        <w:t>)</w:t>
      </w:r>
      <w:r w:rsidRPr="00E66AE9">
        <w:t>.</w:t>
      </w:r>
    </w:p>
    <w:p w:rsidR="00B304FC" w:rsidRPr="00E66AE9" w:rsidRDefault="00280581" w:rsidP="00E66AE9">
      <w:r>
        <w:t>Table 3</w:t>
      </w:r>
      <w:r w:rsidR="00B304FC" w:rsidRPr="00172903">
        <w:t xml:space="preserve"> provides </w:t>
      </w:r>
      <w:r w:rsidR="00D80A06" w:rsidRPr="00172903">
        <w:t xml:space="preserve">specific </w:t>
      </w:r>
      <w:r w:rsidR="001D6ADF" w:rsidRPr="00172903">
        <w:t xml:space="preserve">responses </w:t>
      </w:r>
      <w:r w:rsidR="00B304FC" w:rsidRPr="00172903">
        <w:t>to the recommendations of the Inquiry.</w:t>
      </w:r>
      <w:r w:rsidR="00B304FC" w:rsidRPr="00E66AE9">
        <w:t xml:space="preserve"> </w:t>
      </w:r>
    </w:p>
    <w:p w:rsidR="001D3F23" w:rsidRPr="00E66AE9" w:rsidRDefault="001D3F23" w:rsidP="00E66AE9"/>
    <w:p w:rsidR="0030659B" w:rsidRPr="00E66AE9" w:rsidRDefault="0030659B" w:rsidP="00E66AE9">
      <w:pPr>
        <w:rPr>
          <w:highlight w:val="yellow"/>
        </w:rPr>
        <w:sectPr w:rsidR="0030659B" w:rsidRPr="00E66AE9" w:rsidSect="00F644F0">
          <w:pgSz w:w="11906" w:h="16838" w:code="9"/>
          <w:pgMar w:top="1440" w:right="1134" w:bottom="1134" w:left="1134" w:header="709" w:footer="709" w:gutter="0"/>
          <w:pgNumType w:start="1"/>
          <w:cols w:space="708"/>
          <w:docGrid w:linePitch="360"/>
        </w:sectPr>
      </w:pPr>
    </w:p>
    <w:p w:rsidR="001D3F23" w:rsidRPr="00E66AE9" w:rsidRDefault="00C55ACB" w:rsidP="00E66AE9">
      <w:pPr>
        <w:rPr>
          <w:highlight w:val="yellow"/>
        </w:rPr>
      </w:pPr>
      <w:r>
        <w:rPr>
          <w:noProof/>
        </w:rPr>
        <w:lastRenderedPageBreak/>
        <w:drawing>
          <wp:anchor distT="0" distB="0" distL="114300" distR="114300" simplePos="0" relativeHeight="251658752" behindDoc="0" locked="0" layoutInCell="1" allowOverlap="1">
            <wp:simplePos x="0" y="0"/>
            <wp:positionH relativeFrom="column">
              <wp:posOffset>22860</wp:posOffset>
            </wp:positionH>
            <wp:positionV relativeFrom="paragraph">
              <wp:posOffset>-407516</wp:posOffset>
            </wp:positionV>
            <wp:extent cx="9001125" cy="6483832"/>
            <wp:effectExtent l="19050" t="0" r="9525" b="0"/>
            <wp:wrapNone/>
            <wp:docPr id="4" name="Picture 2" descr="\\internal.vic.gov.au\DPCD\UserDirs\Desktop\WHP2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vic.gov.au\DPCD\UserDirs\Desktop\WHP2 Figure 1.jpg"/>
                    <pic:cNvPicPr>
                      <a:picLocks noChangeAspect="1" noChangeArrowheads="1"/>
                    </pic:cNvPicPr>
                  </pic:nvPicPr>
                  <pic:blipFill>
                    <a:blip r:embed="rId10" cstate="print"/>
                    <a:srcRect/>
                    <a:stretch>
                      <a:fillRect/>
                    </a:stretch>
                  </pic:blipFill>
                  <pic:spPr bwMode="auto">
                    <a:xfrm>
                      <a:off x="0" y="0"/>
                      <a:ext cx="9001125" cy="6483832"/>
                    </a:xfrm>
                    <a:prstGeom prst="rect">
                      <a:avLst/>
                    </a:prstGeom>
                    <a:noFill/>
                    <a:ln w="9525">
                      <a:noFill/>
                      <a:miter lim="800000"/>
                      <a:headEnd/>
                      <a:tailEnd/>
                    </a:ln>
                  </pic:spPr>
                </pic:pic>
              </a:graphicData>
            </a:graphic>
          </wp:anchor>
        </w:drawing>
      </w:r>
    </w:p>
    <w:p w:rsidR="001D3F23" w:rsidRPr="00E66AE9" w:rsidRDefault="000F57C9" w:rsidP="00E66AE9">
      <w:pPr>
        <w:rPr>
          <w:highlight w:val="yellow"/>
        </w:rPr>
      </w:pPr>
      <w:r>
        <w:rPr>
          <w:noProof/>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5796280</wp:posOffset>
                </wp:positionV>
                <wp:extent cx="8296275" cy="3124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627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ABA" w:rsidRPr="002A47F6" w:rsidRDefault="00674ABA" w:rsidP="002A47F6">
                            <w:pPr>
                              <w:pStyle w:val="Caption"/>
                              <w:rPr>
                                <w:rFonts w:ascii="Arial" w:hAnsi="Arial" w:cs="Arial"/>
                                <w:noProof/>
                                <w:sz w:val="22"/>
                                <w:szCs w:val="22"/>
                              </w:rPr>
                            </w:pPr>
                            <w:bookmarkStart w:id="24" w:name="_Ref328996188"/>
                            <w:r w:rsidRPr="002A47F6">
                              <w:rPr>
                                <w:sz w:val="22"/>
                                <w:szCs w:val="22"/>
                              </w:rPr>
                              <w:t xml:space="preserve">Figure </w:t>
                            </w:r>
                            <w:r w:rsidR="00AA5706" w:rsidRPr="002A47F6">
                              <w:rPr>
                                <w:sz w:val="22"/>
                                <w:szCs w:val="22"/>
                              </w:rPr>
                              <w:fldChar w:fldCharType="begin"/>
                            </w:r>
                            <w:r w:rsidRPr="002A47F6">
                              <w:rPr>
                                <w:sz w:val="22"/>
                                <w:szCs w:val="22"/>
                              </w:rPr>
                              <w:instrText xml:space="preserve"> SEQ Figure \* ARABIC </w:instrText>
                            </w:r>
                            <w:r w:rsidR="00AA5706" w:rsidRPr="002A47F6">
                              <w:rPr>
                                <w:sz w:val="22"/>
                                <w:szCs w:val="22"/>
                              </w:rPr>
                              <w:fldChar w:fldCharType="separate"/>
                            </w:r>
                            <w:r>
                              <w:rPr>
                                <w:noProof/>
                                <w:sz w:val="22"/>
                                <w:szCs w:val="22"/>
                              </w:rPr>
                              <w:t>1</w:t>
                            </w:r>
                            <w:r w:rsidR="00AA5706" w:rsidRPr="002A47F6">
                              <w:rPr>
                                <w:sz w:val="22"/>
                                <w:szCs w:val="22"/>
                              </w:rPr>
                              <w:fldChar w:fldCharType="end"/>
                            </w:r>
                            <w:bookmarkEnd w:id="24"/>
                            <w:r w:rsidRPr="002A47F6">
                              <w:rPr>
                                <w:sz w:val="22"/>
                                <w:szCs w:val="22"/>
                              </w:rPr>
                              <w:t>.</w:t>
                            </w:r>
                            <w:r>
                              <w:rPr>
                                <w:sz w:val="22"/>
                                <w:szCs w:val="22"/>
                              </w:rPr>
                              <w:t xml:space="preserve">  Western  Highway Project Section 2 – preferred and alternative alignments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456.4pt;width:653.25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reQIAAP8EAAAOAAAAZHJzL2Uyb0RvYy54bWysVF1v0zAUfUfiP1h+7/JB2jVR02ntCEIa&#10;H9LGD3Bjp7FwbGO7TQbiv3PtNN0YICFEH9Ib+/r43HvOzepq6AQ6MmO5kiVOLmKMmKwV5XJf4k/3&#10;1WyJkXVEUiKUZCV+YBZfrV++WPW6YKlqlaDMIACRtuh1iVvndBFFtm5ZR+yF0kzCZqNMRxy8mn1E&#10;DekBvRNRGseLqFeGaqNqZi2s3oybeB3wm4bV7kPTWOaQKDFwc+FpwnPnn9F6RYq9Ibrl9YkG+QcW&#10;HeESLj1D3RBH0MHwX6A6XhtlVeMuatVFqml4zUINUE0SP6vmriWahVqgOVaf22T/H2z9/vjRIE5L&#10;nGIkSQcS3bPBoY0aUOq702tbQNKdhjQ3wDKoHCq1+lbVny2SatsSuWfXxqi+ZYQCu8SfjJ4cHXGs&#10;B9n17xSFa8jBqQA0NKbzrYNmIEAHlR7OyngqNSwu03yRXs4xqmHvVZJmaZAuIsV0Whvr3jDVIR+U&#10;2IDyAZ0cb63zbEgxpfjLrBKcVlyI8GL2u60w6EjAJVX4hQKepQnpk6Xyx0bEcQVIwh1+z9MNqn/L&#10;gWO8SfNZtVhezrIqm8/yy3g5i5N8ky/iLM9uqu+eYJIVLaeUyVsu2eTAJPs7hU+zMHoneBD1Jc7n&#10;6XyU6I9FxuH3uyI77mAgBe+g6eckUnhhX0sKZZPCES7GOPqZfugy9GD6D10JNvDKjx5ww24AFO+N&#10;naIPYAijQC9QHb4iELTKfMWoh4kssf1yIIZhJN5KMJUf3ykwU7CbAiJrOFpih9EYbt045gdt+L4F&#10;5Mm212C8igdPPLI42RWmLJA/fRH8GD99D1mP3631DwAAAP//AwBQSwMEFAAGAAgAAAAhAN9GQKXh&#10;AAAACwEAAA8AAABkcnMvZG93bnJldi54bWxMj8FOwzAQRO9I/IO1SFwQtZOWFEKcqqrgAJeK0Etv&#10;bryNA7EdxU4b/p7tCY4z+zQ7U6wm27ETDqH1TkIyE8DQ1V63rpGw+3y9fwQWonJadd6hhB8MsCqv&#10;rwqVa392H3iqYsMoxIVcSTAx9jnnoTZoVZj5Hh3djn6wKpIcGq4HdaZw2/FUiIxb1Tr6YFSPG4P1&#10;dzVaCdvFfmvuxuPL+3oxH9524yb7aiopb2+m9TOwiFP8g+FSn6pDSZ0OfnQ6sI60eCBSwlOS0oQL&#10;ME+WtO5AVpYK4GXB/28ofwEAAP//AwBQSwECLQAUAAYACAAAACEAtoM4kv4AAADhAQAAEwAAAAAA&#10;AAAAAAAAAAAAAAAAW0NvbnRlbnRfVHlwZXNdLnhtbFBLAQItABQABgAIAAAAIQA4/SH/1gAAAJQB&#10;AAALAAAAAAAAAAAAAAAAAC8BAABfcmVscy8ucmVsc1BLAQItABQABgAIAAAAIQB3/yLreQIAAP8E&#10;AAAOAAAAAAAAAAAAAAAAAC4CAABkcnMvZTJvRG9jLnhtbFBLAQItABQABgAIAAAAIQDfRkCl4QAA&#10;AAsBAAAPAAAAAAAAAAAAAAAAANMEAABkcnMvZG93bnJldi54bWxQSwUGAAAAAAQABADzAAAA4QUA&#10;AAAA&#10;" stroked="f">
                <v:textbox style="mso-fit-shape-to-text:t" inset="0,0,0,0">
                  <w:txbxContent>
                    <w:p w:rsidR="00674ABA" w:rsidRPr="002A47F6" w:rsidRDefault="00674ABA" w:rsidP="002A47F6">
                      <w:pPr>
                        <w:pStyle w:val="Caption"/>
                        <w:rPr>
                          <w:rFonts w:ascii="Arial" w:hAnsi="Arial" w:cs="Arial"/>
                          <w:noProof/>
                          <w:sz w:val="22"/>
                          <w:szCs w:val="22"/>
                        </w:rPr>
                      </w:pPr>
                      <w:bookmarkStart w:id="25" w:name="_Ref328996188"/>
                      <w:r w:rsidRPr="002A47F6">
                        <w:rPr>
                          <w:sz w:val="22"/>
                          <w:szCs w:val="22"/>
                        </w:rPr>
                        <w:t xml:space="preserve">Figure </w:t>
                      </w:r>
                      <w:r w:rsidR="00AA5706" w:rsidRPr="002A47F6">
                        <w:rPr>
                          <w:sz w:val="22"/>
                          <w:szCs w:val="22"/>
                        </w:rPr>
                        <w:fldChar w:fldCharType="begin"/>
                      </w:r>
                      <w:r w:rsidRPr="002A47F6">
                        <w:rPr>
                          <w:sz w:val="22"/>
                          <w:szCs w:val="22"/>
                        </w:rPr>
                        <w:instrText xml:space="preserve"> SEQ Figure \* ARABIC </w:instrText>
                      </w:r>
                      <w:r w:rsidR="00AA5706" w:rsidRPr="002A47F6">
                        <w:rPr>
                          <w:sz w:val="22"/>
                          <w:szCs w:val="22"/>
                        </w:rPr>
                        <w:fldChar w:fldCharType="separate"/>
                      </w:r>
                      <w:r>
                        <w:rPr>
                          <w:noProof/>
                          <w:sz w:val="22"/>
                          <w:szCs w:val="22"/>
                        </w:rPr>
                        <w:t>1</w:t>
                      </w:r>
                      <w:r w:rsidR="00AA5706" w:rsidRPr="002A47F6">
                        <w:rPr>
                          <w:sz w:val="22"/>
                          <w:szCs w:val="22"/>
                        </w:rPr>
                        <w:fldChar w:fldCharType="end"/>
                      </w:r>
                      <w:bookmarkEnd w:id="25"/>
                      <w:r w:rsidRPr="002A47F6">
                        <w:rPr>
                          <w:sz w:val="22"/>
                          <w:szCs w:val="22"/>
                        </w:rPr>
                        <w:t>.</w:t>
                      </w:r>
                      <w:r>
                        <w:rPr>
                          <w:sz w:val="22"/>
                          <w:szCs w:val="22"/>
                        </w:rPr>
                        <w:t xml:space="preserve">  Western  Highway Project Section 2 – preferred and alternative alignments </w:t>
                      </w:r>
                    </w:p>
                  </w:txbxContent>
                </v:textbox>
              </v:shape>
            </w:pict>
          </mc:Fallback>
        </mc:AlternateContent>
      </w:r>
    </w:p>
    <w:p w:rsidR="001D3F23" w:rsidRPr="00E66AE9" w:rsidRDefault="001D3F23" w:rsidP="00E66AE9">
      <w:pPr>
        <w:rPr>
          <w:highlight w:val="yellow"/>
        </w:rPr>
        <w:sectPr w:rsidR="001D3F23" w:rsidRPr="00E66AE9" w:rsidSect="00C55ACB">
          <w:pgSz w:w="16838" w:h="11906" w:orient="landscape"/>
          <w:pgMar w:top="1021" w:right="1134" w:bottom="851" w:left="1134" w:header="709" w:footer="129" w:gutter="0"/>
          <w:cols w:space="708"/>
          <w:docGrid w:linePitch="360"/>
        </w:sectPr>
      </w:pPr>
    </w:p>
    <w:p w:rsidR="00B304FC" w:rsidRPr="00E66AE9" w:rsidRDefault="00B304FC" w:rsidP="00EF2D51">
      <w:pPr>
        <w:pStyle w:val="Heading1"/>
      </w:pPr>
      <w:bookmarkStart w:id="26" w:name="_Ref329080062"/>
      <w:bookmarkStart w:id="27" w:name="_Toc354582217"/>
      <w:r w:rsidRPr="00E66AE9">
        <w:lastRenderedPageBreak/>
        <w:t>Statutory Processes</w:t>
      </w:r>
      <w:bookmarkEnd w:id="26"/>
      <w:bookmarkEnd w:id="27"/>
    </w:p>
    <w:p w:rsidR="00B304FC" w:rsidRPr="00E66AE9" w:rsidRDefault="00B304FC" w:rsidP="00EF2D51">
      <w:pPr>
        <w:pStyle w:val="Heading2"/>
      </w:pPr>
      <w:bookmarkStart w:id="28" w:name="_Toc354582218"/>
      <w:r w:rsidRPr="00E66AE9">
        <w:t xml:space="preserve">Environment Effects </w:t>
      </w:r>
      <w:r w:rsidR="00CA0FEF" w:rsidRPr="00E66AE9">
        <w:t>Act 1978</w:t>
      </w:r>
      <w:bookmarkEnd w:id="28"/>
      <w:r w:rsidR="009661CF" w:rsidRPr="00E66AE9">
        <w:t xml:space="preserve"> </w:t>
      </w:r>
    </w:p>
    <w:p w:rsidR="00287A8B" w:rsidRPr="00613718" w:rsidRDefault="00287A8B" w:rsidP="00287A8B">
      <w:r w:rsidRPr="00613718">
        <w:t xml:space="preserve">On 27 October 2010, the former Minister for Planning determined that an EES was required for the project under the EE Act.  The EES has been prepared by the proponent in response to Scoping Requirements issued </w:t>
      </w:r>
      <w:r w:rsidR="009224C7">
        <w:t xml:space="preserve">by the Minister </w:t>
      </w:r>
      <w:r w:rsidRPr="00613718">
        <w:t>for the proposal in September 2011.</w:t>
      </w:r>
    </w:p>
    <w:p w:rsidR="00B304FC" w:rsidRPr="00E66AE9" w:rsidRDefault="00287A8B" w:rsidP="00E66AE9">
      <w:r w:rsidRPr="00613718">
        <w:t>The EES was placed on public exhibition, together with draft amendme</w:t>
      </w:r>
      <w:r w:rsidR="002F521C">
        <w:t>nts to the Pyrenees and Ararat P</w:t>
      </w:r>
      <w:r w:rsidRPr="00613718">
        <w:t xml:space="preserve">lanning </w:t>
      </w:r>
      <w:r w:rsidR="002F521C">
        <w:t>S</w:t>
      </w:r>
      <w:r w:rsidRPr="00613718">
        <w:t>chemes, from 14 September 2012 until 25 October 2012.</w:t>
      </w:r>
      <w:r w:rsidR="00674ACF">
        <w:t xml:space="preserve">  </w:t>
      </w:r>
      <w:r>
        <w:t>Twenty-three</w:t>
      </w:r>
      <w:r w:rsidR="00B304FC" w:rsidRPr="00E66AE9">
        <w:t xml:space="preserve"> submissions were received, </w:t>
      </w:r>
      <w:r>
        <w:t>five</w:t>
      </w:r>
      <w:r w:rsidR="0007726E" w:rsidRPr="00E66AE9">
        <w:t xml:space="preserve"> </w:t>
      </w:r>
      <w:r w:rsidR="00B304FC" w:rsidRPr="00E66AE9">
        <w:t>of which were fro</w:t>
      </w:r>
      <w:r w:rsidR="0007726E" w:rsidRPr="00E66AE9">
        <w:t xml:space="preserve">m </w:t>
      </w:r>
      <w:r w:rsidR="00A130E5" w:rsidRPr="00E66AE9">
        <w:t>S</w:t>
      </w:r>
      <w:r w:rsidR="0007726E" w:rsidRPr="00E66AE9">
        <w:t>tate and local government bodies.</w:t>
      </w:r>
      <w:r w:rsidR="00B304FC" w:rsidRPr="00E66AE9">
        <w:t xml:space="preserve"> </w:t>
      </w:r>
    </w:p>
    <w:p w:rsidR="00B304FC" w:rsidRPr="00E66AE9" w:rsidRDefault="00DB4507" w:rsidP="00E66AE9">
      <w:r>
        <w:t>T</w:t>
      </w:r>
      <w:r w:rsidR="00B304FC" w:rsidRPr="00E66AE9">
        <w:t>he Mini</w:t>
      </w:r>
      <w:r w:rsidR="00997B12" w:rsidRPr="00E66AE9">
        <w:t xml:space="preserve">ster appointed </w:t>
      </w:r>
      <w:r w:rsidR="00B304FC" w:rsidRPr="00E66AE9">
        <w:t xml:space="preserve">an Inquiry under the </w:t>
      </w:r>
      <w:r w:rsidR="0071748C" w:rsidRPr="00E66AE9">
        <w:t>EE Act</w:t>
      </w:r>
      <w:r w:rsidR="006965C4" w:rsidRPr="00E66AE9">
        <w:t xml:space="preserve">, to review submissions and inquire into the environmental effects of the </w:t>
      </w:r>
      <w:r>
        <w:t>WHP2</w:t>
      </w:r>
      <w:r w:rsidR="006965C4" w:rsidRPr="00E66AE9">
        <w:t>, in accordance with terms of reference</w:t>
      </w:r>
      <w:r w:rsidR="004B7436" w:rsidRPr="00E66AE9">
        <w:t xml:space="preserve"> issued by the Minister</w:t>
      </w:r>
      <w:r>
        <w:t xml:space="preserve"> on 2 November 2012. T</w:t>
      </w:r>
      <w:r w:rsidR="008D38B3" w:rsidRPr="00E66AE9">
        <w:t>he</w:t>
      </w:r>
      <w:r w:rsidR="007423B9" w:rsidRPr="00E66AE9">
        <w:t xml:space="preserve"> Minister also appointed the Inquiry members as an Advisory Committee </w:t>
      </w:r>
      <w:r w:rsidR="00BD4E31">
        <w:t xml:space="preserve">under section 151 of the P&amp;E Act </w:t>
      </w:r>
      <w:r w:rsidR="007423B9" w:rsidRPr="00E66AE9">
        <w:t xml:space="preserve">to consider the draft </w:t>
      </w:r>
      <w:r w:rsidR="00172903">
        <w:t xml:space="preserve">planning scheme amendments </w:t>
      </w:r>
      <w:r w:rsidR="002F521C">
        <w:t>(</w:t>
      </w:r>
      <w:r w:rsidR="00E00C89" w:rsidRPr="00E66AE9">
        <w:t>PSAs</w:t>
      </w:r>
      <w:r w:rsidR="002F521C">
        <w:t>)</w:t>
      </w:r>
      <w:r w:rsidR="0071748C" w:rsidRPr="00E66AE9">
        <w:t xml:space="preserve"> </w:t>
      </w:r>
      <w:r w:rsidR="007423B9" w:rsidRPr="00E66AE9">
        <w:t xml:space="preserve">and related </w:t>
      </w:r>
      <w:r w:rsidR="00D80A06">
        <w:t xml:space="preserve">matters raised in </w:t>
      </w:r>
      <w:r w:rsidR="007423B9" w:rsidRPr="00E66AE9">
        <w:t>submissions.</w:t>
      </w:r>
    </w:p>
    <w:p w:rsidR="002F521C" w:rsidRDefault="00B304FC" w:rsidP="00E66AE9">
      <w:r w:rsidRPr="00E66AE9">
        <w:t xml:space="preserve">The Inquiry held a </w:t>
      </w:r>
      <w:r w:rsidR="00052CAD" w:rsidRPr="00E66AE9">
        <w:t xml:space="preserve">directions hearing on </w:t>
      </w:r>
      <w:r w:rsidR="00DB4507">
        <w:t>13 November</w:t>
      </w:r>
      <w:r w:rsidR="002208E2" w:rsidRPr="00E66AE9">
        <w:t xml:space="preserve"> 2012</w:t>
      </w:r>
      <w:r w:rsidR="00AA40FB" w:rsidRPr="00E66AE9">
        <w:t>, followed by</w:t>
      </w:r>
      <w:r w:rsidR="002208E2" w:rsidRPr="00E66AE9">
        <w:t xml:space="preserve"> </w:t>
      </w:r>
      <w:r w:rsidR="004B7436" w:rsidRPr="00E66AE9">
        <w:t xml:space="preserve">its public </w:t>
      </w:r>
      <w:r w:rsidR="00217B11" w:rsidRPr="00E66AE9">
        <w:t>hearing</w:t>
      </w:r>
      <w:r w:rsidR="002208E2" w:rsidRPr="00E66AE9">
        <w:t xml:space="preserve"> </w:t>
      </w:r>
      <w:r w:rsidR="004B7436" w:rsidRPr="00E66AE9">
        <w:t xml:space="preserve">over </w:t>
      </w:r>
      <w:r w:rsidR="00A45CA9">
        <w:t>three</w:t>
      </w:r>
      <w:r w:rsidR="00217B11" w:rsidRPr="00E66AE9">
        <w:t xml:space="preserve"> days </w:t>
      </w:r>
      <w:r w:rsidR="00BD4E31">
        <w:t>from</w:t>
      </w:r>
      <w:r w:rsidR="002208E2" w:rsidRPr="00E66AE9">
        <w:t xml:space="preserve"> </w:t>
      </w:r>
      <w:r w:rsidR="00A45CA9">
        <w:t>4</w:t>
      </w:r>
      <w:r w:rsidR="002208E2" w:rsidRPr="00E66AE9">
        <w:t xml:space="preserve"> </w:t>
      </w:r>
      <w:r w:rsidR="00BD4E31">
        <w:t>to</w:t>
      </w:r>
      <w:r w:rsidR="002208E2" w:rsidRPr="00E66AE9">
        <w:t xml:space="preserve"> </w:t>
      </w:r>
      <w:r w:rsidR="00A45CA9">
        <w:t>6 December</w:t>
      </w:r>
      <w:r w:rsidR="002208E2" w:rsidRPr="00E66AE9">
        <w:t xml:space="preserve"> 2012. </w:t>
      </w:r>
      <w:r w:rsidRPr="00E66AE9">
        <w:t xml:space="preserve">The Inquiry provided its report to the Minister on </w:t>
      </w:r>
      <w:r w:rsidR="00A45CA9">
        <w:t>11</w:t>
      </w:r>
      <w:r w:rsidR="00883FC5" w:rsidRPr="00E66AE9">
        <w:t xml:space="preserve"> </w:t>
      </w:r>
      <w:r w:rsidR="00A45CA9">
        <w:t>February 2013</w:t>
      </w:r>
      <w:r w:rsidR="00BD4E31">
        <w:t xml:space="preserve">. The report has </w:t>
      </w:r>
      <w:r w:rsidR="00957A95" w:rsidRPr="00E66AE9">
        <w:t xml:space="preserve">informed the preparation of this </w:t>
      </w:r>
      <w:r w:rsidRPr="00E66AE9">
        <w:t xml:space="preserve">Assessment of the environmental effects of the </w:t>
      </w:r>
      <w:r w:rsidR="00A45CA9">
        <w:t>WHP2</w:t>
      </w:r>
      <w:r w:rsidR="00A64300" w:rsidRPr="00E66AE9">
        <w:t xml:space="preserve"> </w:t>
      </w:r>
      <w:r w:rsidR="00957A95" w:rsidRPr="00E66AE9">
        <w:t xml:space="preserve">under the EE Act. </w:t>
      </w:r>
    </w:p>
    <w:p w:rsidR="00234E40" w:rsidRPr="00E66AE9" w:rsidRDefault="00957A95" w:rsidP="00E66AE9">
      <w:r w:rsidRPr="00E66AE9">
        <w:t xml:space="preserve">The next step is the provision of the Assessment </w:t>
      </w:r>
      <w:r w:rsidR="00B304FC" w:rsidRPr="00E66AE9">
        <w:t xml:space="preserve">to </w:t>
      </w:r>
      <w:r w:rsidRPr="00E66AE9">
        <w:t xml:space="preserve">statutory </w:t>
      </w:r>
      <w:r w:rsidR="00B304FC" w:rsidRPr="00E66AE9">
        <w:t>decision-makers</w:t>
      </w:r>
      <w:r w:rsidRPr="00E66AE9">
        <w:t xml:space="preserve">, who </w:t>
      </w:r>
      <w:r w:rsidR="00B304FC" w:rsidRPr="00E66AE9">
        <w:t xml:space="preserve">must consider </w:t>
      </w:r>
      <w:r w:rsidR="00E00C89" w:rsidRPr="00E66AE9">
        <w:t>it</w:t>
      </w:r>
      <w:r w:rsidRPr="00E66AE9">
        <w:t xml:space="preserve"> before deciding whether to allow the proposal to proceed</w:t>
      </w:r>
      <w:r w:rsidR="00B304FC" w:rsidRPr="00E66AE9">
        <w:t>.</w:t>
      </w:r>
      <w:r w:rsidRPr="00E66AE9">
        <w:t xml:space="preserve"> This Assessment will inform approval decisions under Victorian law (outlined below), as well as by the Australian Government Min</w:t>
      </w:r>
      <w:r w:rsidR="00AE5313" w:rsidRPr="00E66AE9">
        <w:t>i</w:t>
      </w:r>
      <w:r w:rsidRPr="00E66AE9">
        <w:t>ster for Sustainability, Environment, Water, Population and Communities</w:t>
      </w:r>
      <w:r w:rsidR="00E0039B" w:rsidRPr="00E66AE9">
        <w:t xml:space="preserve"> </w:t>
      </w:r>
      <w:r w:rsidR="00A45CA9">
        <w:t>(</w:t>
      </w:r>
      <w:r w:rsidR="009F763A">
        <w:t>DSEWPC</w:t>
      </w:r>
      <w:r w:rsidR="00A45CA9">
        <w:t xml:space="preserve">) </w:t>
      </w:r>
      <w:r w:rsidRPr="00E66AE9">
        <w:t>under the EPBC Act.</w:t>
      </w:r>
    </w:p>
    <w:p w:rsidR="00B304FC" w:rsidRPr="00E66AE9" w:rsidRDefault="00CD5E4E" w:rsidP="00EF2D51">
      <w:pPr>
        <w:pStyle w:val="Heading2"/>
      </w:pPr>
      <w:bookmarkStart w:id="29" w:name="_Toc354582219"/>
      <w:r w:rsidRPr="00E66AE9">
        <w:t xml:space="preserve">Victorian </w:t>
      </w:r>
      <w:r w:rsidR="00F75B53" w:rsidRPr="00E66AE9">
        <w:t>Statutory A</w:t>
      </w:r>
      <w:r w:rsidR="00B304FC" w:rsidRPr="00E66AE9">
        <w:t>pprovals</w:t>
      </w:r>
      <w:bookmarkEnd w:id="29"/>
    </w:p>
    <w:p w:rsidR="00B304FC" w:rsidRPr="00E66AE9" w:rsidRDefault="00B304FC" w:rsidP="00E66AE9">
      <w:r w:rsidRPr="00E66AE9">
        <w:t>The</w:t>
      </w:r>
      <w:r w:rsidR="00A130E5" w:rsidRPr="00E66AE9">
        <w:t xml:space="preserve"> </w:t>
      </w:r>
      <w:r w:rsidR="00BD4E31">
        <w:t>WHP2</w:t>
      </w:r>
      <w:r w:rsidR="00DB4507">
        <w:t xml:space="preserve"> </w:t>
      </w:r>
      <w:r w:rsidRPr="00E66AE9">
        <w:t xml:space="preserve">requires a number of </w:t>
      </w:r>
      <w:r w:rsidR="007D2EF7" w:rsidRPr="00E66AE9">
        <w:t xml:space="preserve">Victorian </w:t>
      </w:r>
      <w:r w:rsidRPr="00E66AE9">
        <w:t xml:space="preserve">statutory approvals, including: </w:t>
      </w:r>
    </w:p>
    <w:p w:rsidR="00B6270B" w:rsidRPr="00E66AE9" w:rsidRDefault="00B6270B" w:rsidP="005F2BEF">
      <w:pPr>
        <w:numPr>
          <w:ilvl w:val="0"/>
          <w:numId w:val="6"/>
        </w:numPr>
      </w:pPr>
      <w:r w:rsidRPr="00E66AE9">
        <w:t>A</w:t>
      </w:r>
      <w:r w:rsidR="00B304FC" w:rsidRPr="00E66AE9">
        <w:t>mendment</w:t>
      </w:r>
      <w:r w:rsidR="00382297">
        <w:t xml:space="preserve"> C37</w:t>
      </w:r>
      <w:r w:rsidR="00B304FC" w:rsidRPr="00E66AE9">
        <w:t xml:space="preserve"> to the </w:t>
      </w:r>
      <w:r w:rsidR="00A45CA9">
        <w:t>Pyrenees</w:t>
      </w:r>
      <w:r w:rsidRPr="00E66AE9">
        <w:t xml:space="preserve"> </w:t>
      </w:r>
      <w:r w:rsidR="002F521C">
        <w:t>P</w:t>
      </w:r>
      <w:r w:rsidR="002F521C" w:rsidRPr="00613718">
        <w:t xml:space="preserve">lanning </w:t>
      </w:r>
      <w:r w:rsidR="002F521C">
        <w:t>S</w:t>
      </w:r>
      <w:r w:rsidR="002F521C" w:rsidRPr="00613718">
        <w:t>chem</w:t>
      </w:r>
      <w:r w:rsidR="002F521C">
        <w:t xml:space="preserve">e </w:t>
      </w:r>
      <w:r w:rsidRPr="00E66AE9">
        <w:t>and</w:t>
      </w:r>
      <w:r w:rsidR="00382297">
        <w:t xml:space="preserve"> Amendment C27 to the </w:t>
      </w:r>
      <w:r w:rsidR="00A45CA9">
        <w:t>Ararat</w:t>
      </w:r>
      <w:r w:rsidRPr="00E66AE9">
        <w:t xml:space="preserve"> </w:t>
      </w:r>
      <w:r w:rsidR="00A45CA9">
        <w:t>Planning S</w:t>
      </w:r>
      <w:r w:rsidRPr="00E66AE9">
        <w:t xml:space="preserve">cheme </w:t>
      </w:r>
      <w:r w:rsidR="00B304FC" w:rsidRPr="00E66AE9">
        <w:t xml:space="preserve">under the </w:t>
      </w:r>
      <w:r w:rsidR="0071748C" w:rsidRPr="00E66AE9">
        <w:t>P&amp;E Act</w:t>
      </w:r>
      <w:r w:rsidR="003854E5" w:rsidRPr="00E66AE9">
        <w:t xml:space="preserve"> </w:t>
      </w:r>
      <w:r w:rsidR="005E492B" w:rsidRPr="00E66AE9">
        <w:t xml:space="preserve">to </w:t>
      </w:r>
      <w:r w:rsidRPr="00E66AE9">
        <w:t>allow the application of  Public Acquisition Overlay</w:t>
      </w:r>
      <w:r w:rsidR="00172903">
        <w:t>s</w:t>
      </w:r>
      <w:r w:rsidR="00341987" w:rsidRPr="00E66AE9">
        <w:t xml:space="preserve"> (PAO)</w:t>
      </w:r>
      <w:r w:rsidRPr="00E66AE9">
        <w:t xml:space="preserve"> to the land to be compuls</w:t>
      </w:r>
      <w:r w:rsidR="00A45CA9">
        <w:t xml:space="preserve">orily acquired for the project </w:t>
      </w:r>
      <w:r w:rsidRPr="00E66AE9">
        <w:t xml:space="preserve">and to exempt VicRoads from </w:t>
      </w:r>
      <w:r w:rsidR="00172903">
        <w:t xml:space="preserve">the requirement to obtain </w:t>
      </w:r>
      <w:r w:rsidRPr="00E66AE9">
        <w:t>planning permits for works and vegetation removal associated with the project</w:t>
      </w:r>
      <w:r w:rsidR="00172903">
        <w:t>,</w:t>
      </w:r>
      <w:r w:rsidR="00E34F46" w:rsidRPr="00E66AE9">
        <w:t xml:space="preserve"> </w:t>
      </w:r>
      <w:r w:rsidR="00E0039B" w:rsidRPr="00E66AE9">
        <w:t xml:space="preserve">provided certain conditions </w:t>
      </w:r>
      <w:r w:rsidR="009F763A">
        <w:t xml:space="preserve">are met </w:t>
      </w:r>
      <w:r w:rsidR="002F521C">
        <w:t>in accordance with</w:t>
      </w:r>
      <w:r w:rsidR="00E0039B" w:rsidRPr="00E66AE9">
        <w:t xml:space="preserve"> </w:t>
      </w:r>
      <w:r w:rsidR="00AF3630" w:rsidRPr="00E66AE9">
        <w:t xml:space="preserve">an </w:t>
      </w:r>
      <w:r w:rsidR="00E0039B" w:rsidRPr="00E66AE9">
        <w:t xml:space="preserve">Incorporated </w:t>
      </w:r>
      <w:r w:rsidR="00B726E1" w:rsidRPr="00E66AE9">
        <w:t>D</w:t>
      </w:r>
      <w:r w:rsidR="00E0039B" w:rsidRPr="00E66AE9">
        <w:t>ocument</w:t>
      </w:r>
      <w:r w:rsidR="00280581">
        <w:t>.</w:t>
      </w:r>
      <w:r w:rsidRPr="00E66AE9">
        <w:t xml:space="preserve"> </w:t>
      </w:r>
    </w:p>
    <w:p w:rsidR="00B304FC" w:rsidRPr="00E66AE9" w:rsidRDefault="002F521C" w:rsidP="005F2BEF">
      <w:pPr>
        <w:numPr>
          <w:ilvl w:val="0"/>
          <w:numId w:val="6"/>
        </w:numPr>
      </w:pPr>
      <w:r>
        <w:t>C</w:t>
      </w:r>
      <w:r w:rsidRPr="00E66AE9">
        <w:t xml:space="preserve">onsents </w:t>
      </w:r>
      <w:r>
        <w:t>for w</w:t>
      </w:r>
      <w:r w:rsidR="00B6270B" w:rsidRPr="00E66AE9">
        <w:t xml:space="preserve">orks on waterway under the </w:t>
      </w:r>
      <w:r w:rsidR="00B6270B" w:rsidRPr="00EA639B">
        <w:rPr>
          <w:i/>
        </w:rPr>
        <w:t>Water Act 1989</w:t>
      </w:r>
      <w:r w:rsidR="00280581">
        <w:t>.</w:t>
      </w:r>
    </w:p>
    <w:p w:rsidR="00B304FC" w:rsidRPr="00E66AE9" w:rsidRDefault="00B6270B" w:rsidP="00FD578B">
      <w:pPr>
        <w:numPr>
          <w:ilvl w:val="0"/>
          <w:numId w:val="6"/>
        </w:numPr>
        <w:spacing w:after="240"/>
        <w:ind w:left="714" w:hanging="357"/>
      </w:pPr>
      <w:r w:rsidRPr="00E66AE9">
        <w:t xml:space="preserve">An approved Cultural Heritage Management Plan (CHMP) under the </w:t>
      </w:r>
      <w:r w:rsidRPr="00172903">
        <w:rPr>
          <w:i/>
        </w:rPr>
        <w:t>Aboriginal Heritage Act 2006</w:t>
      </w:r>
      <w:r w:rsidR="00E0039B" w:rsidRPr="00E66AE9">
        <w:t xml:space="preserve"> (AH Act)</w:t>
      </w:r>
      <w:r w:rsidRPr="00E66AE9">
        <w:t xml:space="preserve">. </w:t>
      </w:r>
    </w:p>
    <w:p w:rsidR="00B6270B" w:rsidRPr="00E66AE9" w:rsidRDefault="00B304FC" w:rsidP="00FD578B">
      <w:pPr>
        <w:spacing w:after="240"/>
      </w:pPr>
      <w:r w:rsidRPr="00E66AE9">
        <w:t xml:space="preserve">Exhibition of </w:t>
      </w:r>
      <w:r w:rsidR="00A45CA9">
        <w:t xml:space="preserve">draft </w:t>
      </w:r>
      <w:r w:rsidR="00EA639B">
        <w:t>PSA</w:t>
      </w:r>
      <w:r w:rsidR="009F763A">
        <w:t xml:space="preserve"> C37 and C27</w:t>
      </w:r>
      <w:r w:rsidR="00A45CA9">
        <w:t xml:space="preserve"> for the preferred and alternative alignments</w:t>
      </w:r>
      <w:r w:rsidRPr="00E66AE9">
        <w:t xml:space="preserve"> was coordinated </w:t>
      </w:r>
      <w:r w:rsidR="003E6FE8">
        <w:t>with the exhibition of the EES</w:t>
      </w:r>
      <w:r w:rsidR="00382297">
        <w:t xml:space="preserve"> for WHP2</w:t>
      </w:r>
      <w:r w:rsidR="00B6270B" w:rsidRPr="00E66AE9">
        <w:t xml:space="preserve">. </w:t>
      </w:r>
    </w:p>
    <w:p w:rsidR="00CD5E4E" w:rsidRPr="00E66AE9" w:rsidRDefault="00CD5E4E" w:rsidP="00EF2D51">
      <w:pPr>
        <w:pStyle w:val="Heading2"/>
      </w:pPr>
      <w:bookmarkStart w:id="30" w:name="_Toc354582220"/>
      <w:r w:rsidRPr="00E66AE9">
        <w:t>Commonwealth Statutory Approval</w:t>
      </w:r>
      <w:bookmarkEnd w:id="30"/>
    </w:p>
    <w:p w:rsidR="00C55E58" w:rsidRPr="00E66AE9" w:rsidRDefault="003E6FE8" w:rsidP="00E66AE9">
      <w:r>
        <w:t>On 17</w:t>
      </w:r>
      <w:r w:rsidR="00B6270B" w:rsidRPr="00E66AE9">
        <w:t xml:space="preserve"> </w:t>
      </w:r>
      <w:r>
        <w:t>December</w:t>
      </w:r>
      <w:r w:rsidR="00B6270B" w:rsidRPr="00E66AE9">
        <w:t xml:space="preserve"> 2010, the delegate of the Australian Government Minister for Sustainability, Environment, Water, Population and Communit</w:t>
      </w:r>
      <w:r w:rsidR="002E3831" w:rsidRPr="00E66AE9">
        <w:t>ies</w:t>
      </w:r>
      <w:r w:rsidR="00B6270B" w:rsidRPr="00E66AE9">
        <w:t xml:space="preserve"> decided that the proposal was a ‘controlled action’ and therefore requires assessment and approval under the EPBC Act. The Victorian </w:t>
      </w:r>
      <w:r w:rsidR="000A52ED" w:rsidRPr="00E66AE9">
        <w:t xml:space="preserve">EES </w:t>
      </w:r>
      <w:r w:rsidR="00B6270B" w:rsidRPr="00E66AE9">
        <w:t xml:space="preserve">process </w:t>
      </w:r>
      <w:r w:rsidR="000A52ED" w:rsidRPr="00E66AE9">
        <w:t>i</w:t>
      </w:r>
      <w:r w:rsidR="00B6270B" w:rsidRPr="00E66AE9">
        <w:t xml:space="preserve">s accredited as the </w:t>
      </w:r>
      <w:r w:rsidR="002E3831" w:rsidRPr="00E66AE9">
        <w:t xml:space="preserve">necessary </w:t>
      </w:r>
      <w:r w:rsidR="00E0039B" w:rsidRPr="00E66AE9">
        <w:t>C</w:t>
      </w:r>
      <w:r w:rsidR="002E3831" w:rsidRPr="00E66AE9">
        <w:t>ommonwealth</w:t>
      </w:r>
      <w:r w:rsidR="000A52ED" w:rsidRPr="00E66AE9">
        <w:t xml:space="preserve"> </w:t>
      </w:r>
      <w:r w:rsidR="00B6270B" w:rsidRPr="00E66AE9">
        <w:t xml:space="preserve">assessment process </w:t>
      </w:r>
      <w:r w:rsidR="000A52ED" w:rsidRPr="00E66AE9">
        <w:t xml:space="preserve">through a Bilateral Agreement between Victoria and the Commonwealth, made under Section </w:t>
      </w:r>
      <w:r w:rsidR="002E3831" w:rsidRPr="00E66AE9">
        <w:t>45</w:t>
      </w:r>
      <w:r w:rsidR="000A52ED" w:rsidRPr="00E66AE9">
        <w:t xml:space="preserve"> of the EPBC Act</w:t>
      </w:r>
      <w:r w:rsidR="00B6270B" w:rsidRPr="00E66AE9">
        <w:t xml:space="preserve">. </w:t>
      </w:r>
      <w:r w:rsidR="00CD07F4" w:rsidRPr="00E66AE9">
        <w:t xml:space="preserve">Therefore, this Assessment under the EE Act will inform the Commonwealth’s approval decision under the EPBC Act. </w:t>
      </w:r>
    </w:p>
    <w:p w:rsidR="00B304FC" w:rsidRPr="00E66AE9" w:rsidRDefault="00CD5E4E" w:rsidP="00E66AE9">
      <w:pPr>
        <w:rPr>
          <w:highlight w:val="yellow"/>
        </w:rPr>
      </w:pPr>
      <w:r w:rsidRPr="00E66AE9">
        <w:br w:type="page"/>
      </w:r>
    </w:p>
    <w:p w:rsidR="00B304FC" w:rsidRPr="00E66AE9" w:rsidRDefault="003635E7" w:rsidP="00EF2D51">
      <w:pPr>
        <w:pStyle w:val="Heading1"/>
      </w:pPr>
      <w:bookmarkStart w:id="31" w:name="_Toc354582221"/>
      <w:r w:rsidRPr="00E66AE9">
        <w:lastRenderedPageBreak/>
        <w:t>Integ</w:t>
      </w:r>
      <w:r w:rsidR="0059368D" w:rsidRPr="00E66AE9">
        <w:t>rated</w:t>
      </w:r>
      <w:r w:rsidRPr="00E66AE9">
        <w:t xml:space="preserve"> </w:t>
      </w:r>
      <w:r w:rsidR="00B304FC" w:rsidRPr="00E66AE9">
        <w:t>Assessment</w:t>
      </w:r>
      <w:bookmarkEnd w:id="31"/>
    </w:p>
    <w:p w:rsidR="00B304FC" w:rsidRPr="00E66AE9" w:rsidRDefault="00B304FC" w:rsidP="00EF2D51">
      <w:pPr>
        <w:pStyle w:val="Heading2"/>
      </w:pPr>
      <w:bookmarkStart w:id="32" w:name="_Toc354582222"/>
      <w:r w:rsidRPr="00E66AE9">
        <w:t>Approach to this Assessment</w:t>
      </w:r>
      <w:bookmarkEnd w:id="32"/>
    </w:p>
    <w:p w:rsidR="00A77B31" w:rsidRPr="00E66AE9" w:rsidRDefault="00B304FC" w:rsidP="00E66AE9">
      <w:r w:rsidRPr="00E66AE9">
        <w:t>To provide a coherent and integrated structure for this Assessment</w:t>
      </w:r>
      <w:r w:rsidR="00BD4E31">
        <w:t xml:space="preserve"> of likely adverse environmental effects</w:t>
      </w:r>
      <w:r w:rsidR="00776EBA" w:rsidRPr="00E66AE9">
        <w:t xml:space="preserve">, the </w:t>
      </w:r>
      <w:r w:rsidR="00AA0ED0" w:rsidRPr="00E66AE9">
        <w:t xml:space="preserve">key </w:t>
      </w:r>
      <w:r w:rsidRPr="00E66AE9">
        <w:t xml:space="preserve">aspects of relevant legislation, </w:t>
      </w:r>
      <w:r w:rsidR="00BD4E31">
        <w:t xml:space="preserve">statutory </w:t>
      </w:r>
      <w:r w:rsidRPr="00E66AE9">
        <w:t>policy and</w:t>
      </w:r>
      <w:r w:rsidR="008D69CC" w:rsidRPr="00E66AE9">
        <w:t xml:space="preserve"> </w:t>
      </w:r>
      <w:r w:rsidR="00BD4E31">
        <w:t xml:space="preserve">the principles and objectives of </w:t>
      </w:r>
      <w:r w:rsidR="009C7D07" w:rsidRPr="00E66AE9">
        <w:t>ESD</w:t>
      </w:r>
      <w:r w:rsidR="009C7D07" w:rsidRPr="00EA70E3">
        <w:rPr>
          <w:vertAlign w:val="superscript"/>
        </w:rPr>
        <w:footnoteReference w:id="1"/>
      </w:r>
      <w:r w:rsidR="00BD4E31">
        <w:t xml:space="preserve"> </w:t>
      </w:r>
      <w:r w:rsidRPr="00E66AE9">
        <w:t>have been synthesized into a set of evaluation objectives</w:t>
      </w:r>
      <w:r w:rsidR="00AA0ED0" w:rsidRPr="00E66AE9">
        <w:t xml:space="preserve"> that are pertinent to th</w:t>
      </w:r>
      <w:r w:rsidR="002402BB" w:rsidRPr="00E66AE9">
        <w:t xml:space="preserve">e </w:t>
      </w:r>
      <w:r w:rsidR="003E6FE8">
        <w:t>WHP2</w:t>
      </w:r>
      <w:r w:rsidRPr="00E66AE9">
        <w:t>.</w:t>
      </w:r>
      <w:r w:rsidR="00E34F46" w:rsidRPr="00E66AE9">
        <w:t xml:space="preserve"> </w:t>
      </w:r>
      <w:r w:rsidRPr="00E66AE9">
        <w:t xml:space="preserve">A </w:t>
      </w:r>
      <w:r w:rsidR="00AA0ED0" w:rsidRPr="00E66AE9">
        <w:t xml:space="preserve">draft </w:t>
      </w:r>
      <w:r w:rsidRPr="00E66AE9">
        <w:t xml:space="preserve">set of evaluation objectives was included in the </w:t>
      </w:r>
      <w:r w:rsidR="00007D40" w:rsidRPr="00E66AE9">
        <w:t xml:space="preserve">Scoping Requirements </w:t>
      </w:r>
      <w:r w:rsidRPr="00E66AE9">
        <w:t>for this EES</w:t>
      </w:r>
      <w:r w:rsidR="00A77B31" w:rsidRPr="00E66AE9">
        <w:t xml:space="preserve">, which were used by the proponent </w:t>
      </w:r>
      <w:r w:rsidR="00007D40" w:rsidRPr="00E66AE9">
        <w:t>in the</w:t>
      </w:r>
      <w:r w:rsidR="000D21EC" w:rsidRPr="00E66AE9">
        <w:t>ir</w:t>
      </w:r>
      <w:r w:rsidR="00007D40" w:rsidRPr="00E66AE9">
        <w:t xml:space="preserve"> assessment of options and effects</w:t>
      </w:r>
      <w:r w:rsidR="000D21EC" w:rsidRPr="00E66AE9">
        <w:t xml:space="preserve"> within the EES</w:t>
      </w:r>
      <w:r w:rsidR="00007D40" w:rsidRPr="00E66AE9">
        <w:t>.</w:t>
      </w:r>
      <w:r w:rsidR="00E34F46" w:rsidRPr="00E66AE9">
        <w:t xml:space="preserve"> </w:t>
      </w:r>
      <w:r w:rsidR="00007D40" w:rsidRPr="00E66AE9">
        <w:t xml:space="preserve">The </w:t>
      </w:r>
      <w:r w:rsidR="00A77B31" w:rsidRPr="00E66AE9">
        <w:t xml:space="preserve">Inquiry </w:t>
      </w:r>
      <w:r w:rsidR="00007D40" w:rsidRPr="00E66AE9">
        <w:t xml:space="preserve">also used the draft objectives to frame its consideration of the </w:t>
      </w:r>
      <w:r w:rsidR="00182602" w:rsidRPr="00E66AE9">
        <w:t xml:space="preserve">key issues of </w:t>
      </w:r>
      <w:r w:rsidR="00A64300" w:rsidRPr="00E66AE9">
        <w:t xml:space="preserve">the </w:t>
      </w:r>
      <w:r w:rsidR="003E6FE8">
        <w:t>WHP2</w:t>
      </w:r>
      <w:r w:rsidRPr="00E66AE9">
        <w:t>.</w:t>
      </w:r>
      <w:r w:rsidR="00890693">
        <w:t xml:space="preserve"> </w:t>
      </w:r>
      <w:r w:rsidR="00E34F46" w:rsidRPr="00E66AE9">
        <w:t xml:space="preserve"> </w:t>
      </w:r>
      <w:r w:rsidR="000F57C9">
        <w:fldChar w:fldCharType="begin"/>
      </w:r>
      <w:r w:rsidR="000F57C9">
        <w:instrText xml:space="preserve"> REF _Ref294019324 \h  \* MERGEFORMAT </w:instrText>
      </w:r>
      <w:r w:rsidR="000F57C9">
        <w:fldChar w:fldCharType="separate"/>
      </w:r>
      <w:r w:rsidR="00562F22" w:rsidRPr="00562F22">
        <w:t>Table 1</w:t>
      </w:r>
      <w:r w:rsidR="000F57C9">
        <w:fldChar w:fldCharType="end"/>
      </w:r>
      <w:r w:rsidRPr="00E66AE9">
        <w:t xml:space="preserve"> lists the final set of evaluation objectives used </w:t>
      </w:r>
      <w:r w:rsidR="00223DAA" w:rsidRPr="00E66AE9">
        <w:t xml:space="preserve">in </w:t>
      </w:r>
      <w:r w:rsidRPr="00E66AE9">
        <w:t>this Assessment</w:t>
      </w:r>
      <w:r w:rsidR="000D21EC" w:rsidRPr="00E66AE9">
        <w:t xml:space="preserve"> and</w:t>
      </w:r>
      <w:r w:rsidRPr="00E66AE9">
        <w:t xml:space="preserve"> the core legislation that underpins them.</w:t>
      </w:r>
    </w:p>
    <w:p w:rsidR="00A5480E" w:rsidRPr="00780E87" w:rsidRDefault="00C779B6" w:rsidP="00E66AE9">
      <w:pPr>
        <w:rPr>
          <w:b/>
        </w:rPr>
      </w:pPr>
      <w:r w:rsidRPr="00E66AE9">
        <w:rPr>
          <w:highlight w:val="yellow"/>
        </w:rPr>
        <w:br w:type="page"/>
      </w:r>
      <w:bookmarkStart w:id="33" w:name="_Ref294019324"/>
      <w:bookmarkStart w:id="34" w:name="_Ref294019318"/>
      <w:r w:rsidR="00EA70E3" w:rsidRPr="00EA70E3">
        <w:rPr>
          <w:b/>
        </w:rPr>
        <w:lastRenderedPageBreak/>
        <w:t xml:space="preserve">Table </w:t>
      </w:r>
      <w:r w:rsidR="00AA5706" w:rsidRPr="00EA70E3">
        <w:rPr>
          <w:b/>
        </w:rPr>
        <w:fldChar w:fldCharType="begin"/>
      </w:r>
      <w:r w:rsidR="00EA70E3" w:rsidRPr="00EA70E3">
        <w:rPr>
          <w:b/>
        </w:rPr>
        <w:instrText xml:space="preserve"> SEQ Table \* ARABIC </w:instrText>
      </w:r>
      <w:r w:rsidR="00AA5706" w:rsidRPr="00EA70E3">
        <w:rPr>
          <w:b/>
        </w:rPr>
        <w:fldChar w:fldCharType="separate"/>
      </w:r>
      <w:r w:rsidR="00562F22">
        <w:rPr>
          <w:b/>
          <w:noProof/>
        </w:rPr>
        <w:t>1</w:t>
      </w:r>
      <w:r w:rsidR="00AA5706" w:rsidRPr="00EA70E3">
        <w:rPr>
          <w:b/>
        </w:rPr>
        <w:fldChar w:fldCharType="end"/>
      </w:r>
      <w:bookmarkEnd w:id="33"/>
      <w:r w:rsidR="00EA70E3" w:rsidRPr="00EA70E3">
        <w:rPr>
          <w:b/>
        </w:rPr>
        <w:t xml:space="preserve">. </w:t>
      </w:r>
      <w:r w:rsidR="006A6764">
        <w:rPr>
          <w:b/>
        </w:rPr>
        <w:t xml:space="preserve"> </w:t>
      </w:r>
      <w:r w:rsidR="00EA70E3" w:rsidRPr="00EA70E3">
        <w:rPr>
          <w:b/>
        </w:rPr>
        <w:t>Assessment Evaluation Objectives</w:t>
      </w:r>
      <w:bookmarkEnd w:id="34"/>
      <w:r w:rsidR="00EA70E3" w:rsidRPr="00EA70E3">
        <w:rPr>
          <w:b/>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804"/>
        <w:gridCol w:w="2694"/>
      </w:tblGrid>
      <w:tr w:rsidR="006B74DB" w:rsidRPr="00E66AE9" w:rsidTr="009F763A">
        <w:tc>
          <w:tcPr>
            <w:tcW w:w="851" w:type="dxa"/>
            <w:shd w:val="clear" w:color="auto" w:fill="262626"/>
          </w:tcPr>
          <w:p w:rsidR="006B74DB" w:rsidRPr="00E66AE9" w:rsidRDefault="006B74DB" w:rsidP="00E66AE9"/>
        </w:tc>
        <w:tc>
          <w:tcPr>
            <w:tcW w:w="6804" w:type="dxa"/>
            <w:shd w:val="clear" w:color="auto" w:fill="262626"/>
          </w:tcPr>
          <w:p w:rsidR="006B74DB" w:rsidRPr="00E66AE9" w:rsidRDefault="006B74DB" w:rsidP="00E66AE9">
            <w:r w:rsidRPr="00E66AE9">
              <w:br w:type="page"/>
              <w:t>Evaluation Objectives</w:t>
            </w:r>
          </w:p>
        </w:tc>
        <w:tc>
          <w:tcPr>
            <w:tcW w:w="2694" w:type="dxa"/>
            <w:shd w:val="clear" w:color="auto" w:fill="262626"/>
          </w:tcPr>
          <w:p w:rsidR="006B74DB" w:rsidRPr="00E66AE9" w:rsidRDefault="006B74DB" w:rsidP="002F521C">
            <w:r w:rsidRPr="00E66AE9">
              <w:t xml:space="preserve">Key Legislation </w:t>
            </w:r>
          </w:p>
        </w:tc>
      </w:tr>
      <w:tr w:rsidR="006B74DB" w:rsidRPr="00E66AE9" w:rsidTr="009F763A">
        <w:tc>
          <w:tcPr>
            <w:tcW w:w="851" w:type="dxa"/>
          </w:tcPr>
          <w:p w:rsidR="006B74DB" w:rsidRPr="00E66AE9" w:rsidRDefault="006B74DB" w:rsidP="00E66AE9">
            <w:r w:rsidRPr="00E66AE9">
              <w:t>1</w:t>
            </w:r>
          </w:p>
        </w:tc>
        <w:tc>
          <w:tcPr>
            <w:tcW w:w="6804" w:type="dxa"/>
            <w:shd w:val="clear" w:color="auto" w:fill="auto"/>
          </w:tcPr>
          <w:p w:rsidR="006B74DB" w:rsidRPr="00EC1124" w:rsidRDefault="006B74DB" w:rsidP="003815AD">
            <w:pPr>
              <w:rPr>
                <w:b/>
              </w:rPr>
            </w:pPr>
            <w:r w:rsidRPr="00EC1124">
              <w:rPr>
                <w:b/>
              </w:rPr>
              <w:t xml:space="preserve">Road </w:t>
            </w:r>
            <w:r w:rsidR="005C1EE6" w:rsidRPr="00EC1124">
              <w:rPr>
                <w:b/>
              </w:rPr>
              <w:t>safety and</w:t>
            </w:r>
            <w:r w:rsidR="00382100" w:rsidRPr="00EC1124">
              <w:rPr>
                <w:b/>
              </w:rPr>
              <w:t xml:space="preserve"> capacity</w:t>
            </w:r>
          </w:p>
          <w:p w:rsidR="006B74DB" w:rsidRPr="00EC1124" w:rsidRDefault="00EC1124" w:rsidP="003815AD">
            <w:r w:rsidRPr="00EC1124">
              <w:t>To provide for the duplication of the Western Highway between Beaufort and Ararat to enhance the safety and capacity of this inter-regional and interstate transport link</w:t>
            </w:r>
            <w:r w:rsidR="00497874" w:rsidRPr="00EC1124">
              <w:t>.</w:t>
            </w:r>
          </w:p>
        </w:tc>
        <w:tc>
          <w:tcPr>
            <w:tcW w:w="2694" w:type="dxa"/>
          </w:tcPr>
          <w:p w:rsidR="00203C64" w:rsidRPr="00BD4E31" w:rsidRDefault="006B74DB" w:rsidP="009768B7">
            <w:pPr>
              <w:spacing w:after="0"/>
              <w:jc w:val="left"/>
              <w:rPr>
                <w:i/>
              </w:rPr>
            </w:pPr>
            <w:r w:rsidRPr="002E41AC">
              <w:rPr>
                <w:i/>
              </w:rPr>
              <w:t>Transport Integration Act 2010</w:t>
            </w:r>
          </w:p>
        </w:tc>
      </w:tr>
      <w:tr w:rsidR="006B74DB" w:rsidRPr="00E66AE9" w:rsidTr="009F763A">
        <w:tc>
          <w:tcPr>
            <w:tcW w:w="851" w:type="dxa"/>
          </w:tcPr>
          <w:p w:rsidR="006B74DB" w:rsidRPr="00E66AE9" w:rsidRDefault="006B74DB" w:rsidP="00E66AE9">
            <w:r w:rsidRPr="00E66AE9">
              <w:t>2</w:t>
            </w:r>
          </w:p>
        </w:tc>
        <w:tc>
          <w:tcPr>
            <w:tcW w:w="6804" w:type="dxa"/>
            <w:shd w:val="clear" w:color="auto" w:fill="auto"/>
          </w:tcPr>
          <w:p w:rsidR="006B74DB" w:rsidRPr="00EC1124" w:rsidRDefault="006B74DB" w:rsidP="003815AD">
            <w:pPr>
              <w:rPr>
                <w:b/>
              </w:rPr>
            </w:pPr>
            <w:r w:rsidRPr="00EC1124">
              <w:rPr>
                <w:b/>
              </w:rPr>
              <w:t>Biodiversity</w:t>
            </w:r>
          </w:p>
          <w:p w:rsidR="006B74DB" w:rsidRPr="00EC1124" w:rsidRDefault="00EC1124" w:rsidP="00FD578B">
            <w:r w:rsidRPr="00EC1124">
              <w:t xml:space="preserve">To avoid or minimise effects on flora and fauna species and ecological communities listed under the </w:t>
            </w:r>
            <w:r w:rsidRPr="00EC1124">
              <w:rPr>
                <w:i/>
              </w:rPr>
              <w:t>Flora and Fauna Guarantee Act 1988</w:t>
            </w:r>
            <w:r w:rsidRPr="00EC1124">
              <w:t xml:space="preserve"> or the </w:t>
            </w:r>
            <w:r w:rsidRPr="00EC1124">
              <w:rPr>
                <w:i/>
              </w:rPr>
              <w:t>Environment Protection and Biodiversity Conservation Act 1999</w:t>
            </w:r>
            <w:r>
              <w:t>,</w:t>
            </w:r>
            <w:r w:rsidRPr="00EC1124">
              <w:t xml:space="preserve"> as well as to comply with requirements under </w:t>
            </w:r>
            <w:r w:rsidRPr="00EC1124">
              <w:rPr>
                <w:i/>
              </w:rPr>
              <w:t>Victoria’s Native Vegetation Management - A Framework for Action (2002)</w:t>
            </w:r>
            <w:r w:rsidRPr="00EC1124">
              <w:t xml:space="preserve"> </w:t>
            </w:r>
            <w:r w:rsidR="009F763A" w:rsidRPr="00EC1124">
              <w:t>(NVM</w:t>
            </w:r>
            <w:r w:rsidR="00FD578B">
              <w:t>F</w:t>
            </w:r>
            <w:r w:rsidR="009F763A" w:rsidRPr="00EC1124">
              <w:t>)</w:t>
            </w:r>
            <w:r w:rsidR="00497874" w:rsidRPr="00EC1124">
              <w:rPr>
                <w:i/>
              </w:rPr>
              <w:t>.</w:t>
            </w:r>
          </w:p>
        </w:tc>
        <w:tc>
          <w:tcPr>
            <w:tcW w:w="2694" w:type="dxa"/>
          </w:tcPr>
          <w:p w:rsidR="006B74DB" w:rsidRPr="002E41AC" w:rsidRDefault="006B74DB" w:rsidP="009768B7">
            <w:pPr>
              <w:spacing w:after="0"/>
              <w:jc w:val="left"/>
              <w:rPr>
                <w:i/>
              </w:rPr>
            </w:pPr>
            <w:r w:rsidRPr="002E41AC">
              <w:rPr>
                <w:i/>
              </w:rPr>
              <w:t>Flora and Fauna Guarantee Act 19</w:t>
            </w:r>
            <w:r w:rsidR="0047250F" w:rsidRPr="002E41AC">
              <w:rPr>
                <w:i/>
              </w:rPr>
              <w:t>8</w:t>
            </w:r>
            <w:r w:rsidRPr="002E41AC">
              <w:rPr>
                <w:i/>
              </w:rPr>
              <w:t>8</w:t>
            </w:r>
          </w:p>
          <w:p w:rsidR="006B74DB" w:rsidRPr="002E41AC" w:rsidRDefault="006B74DB" w:rsidP="009768B7">
            <w:pPr>
              <w:spacing w:after="0"/>
              <w:jc w:val="left"/>
              <w:rPr>
                <w:i/>
              </w:rPr>
            </w:pPr>
            <w:r w:rsidRPr="002E41AC">
              <w:rPr>
                <w:i/>
              </w:rPr>
              <w:t>Wildlife Act 1975</w:t>
            </w:r>
          </w:p>
          <w:p w:rsidR="00D415D4" w:rsidRPr="0088030E" w:rsidRDefault="009F763A" w:rsidP="009768B7">
            <w:pPr>
              <w:spacing w:after="0"/>
              <w:jc w:val="left"/>
              <w:rPr>
                <w:i/>
              </w:rPr>
            </w:pPr>
            <w:r>
              <w:rPr>
                <w:i/>
              </w:rPr>
              <w:t>NVMF</w:t>
            </w:r>
          </w:p>
          <w:p w:rsidR="006B74DB" w:rsidRPr="00E66AE9" w:rsidRDefault="002E41AC" w:rsidP="009768B7">
            <w:pPr>
              <w:spacing w:after="0"/>
              <w:jc w:val="left"/>
            </w:pPr>
            <w:r>
              <w:t>EPBC Act</w:t>
            </w:r>
          </w:p>
        </w:tc>
      </w:tr>
      <w:tr w:rsidR="006B74DB" w:rsidRPr="00E66AE9" w:rsidTr="009F763A">
        <w:tc>
          <w:tcPr>
            <w:tcW w:w="851" w:type="dxa"/>
          </w:tcPr>
          <w:p w:rsidR="006B74DB" w:rsidRPr="00EC1124" w:rsidRDefault="006B74DB" w:rsidP="00E66AE9">
            <w:r w:rsidRPr="00EC1124">
              <w:t>3</w:t>
            </w:r>
          </w:p>
        </w:tc>
        <w:tc>
          <w:tcPr>
            <w:tcW w:w="6804" w:type="dxa"/>
            <w:shd w:val="clear" w:color="auto" w:fill="auto"/>
          </w:tcPr>
          <w:p w:rsidR="006B74DB" w:rsidRPr="00EC1124" w:rsidRDefault="002F521C" w:rsidP="003815AD">
            <w:pPr>
              <w:rPr>
                <w:b/>
              </w:rPr>
            </w:pPr>
            <w:r w:rsidRPr="00EC1124">
              <w:rPr>
                <w:b/>
              </w:rPr>
              <w:t>I</w:t>
            </w:r>
            <w:r w:rsidR="00382100" w:rsidRPr="00EC1124">
              <w:rPr>
                <w:b/>
              </w:rPr>
              <w:t>nfrastructure</w:t>
            </w:r>
            <w:r w:rsidR="006B74DB" w:rsidRPr="00EC1124">
              <w:rPr>
                <w:b/>
              </w:rPr>
              <w:t xml:space="preserve"> </w:t>
            </w:r>
            <w:r w:rsidRPr="00EC1124">
              <w:rPr>
                <w:b/>
              </w:rPr>
              <w:t>and land use</w:t>
            </w:r>
          </w:p>
          <w:p w:rsidR="006B74DB" w:rsidRPr="00EC1124" w:rsidRDefault="00EC1124" w:rsidP="004F288D">
            <w:r w:rsidRPr="00EC1124">
              <w:t>To avoid or minimise adverse effects on existing infrastructure and land uses</w:t>
            </w:r>
            <w:r w:rsidR="00497874" w:rsidRPr="00EC1124">
              <w:t>.</w:t>
            </w:r>
          </w:p>
        </w:tc>
        <w:tc>
          <w:tcPr>
            <w:tcW w:w="2694" w:type="dxa"/>
          </w:tcPr>
          <w:p w:rsidR="006B74DB" w:rsidRPr="00EC1124" w:rsidRDefault="006B74DB" w:rsidP="009768B7">
            <w:pPr>
              <w:spacing w:after="0"/>
              <w:jc w:val="left"/>
            </w:pPr>
            <w:r w:rsidRPr="00EC1124">
              <w:t>P&amp;E Act</w:t>
            </w:r>
          </w:p>
          <w:p w:rsidR="006B74DB" w:rsidRPr="0088030E" w:rsidRDefault="006B74DB" w:rsidP="009768B7">
            <w:pPr>
              <w:spacing w:after="0"/>
              <w:jc w:val="left"/>
              <w:rPr>
                <w:i/>
              </w:rPr>
            </w:pPr>
            <w:r w:rsidRPr="00EC1124">
              <w:rPr>
                <w:i/>
              </w:rPr>
              <w:t>Transport Integration Act 2010</w:t>
            </w:r>
          </w:p>
          <w:p w:rsidR="006B74DB" w:rsidRPr="00E66AE9" w:rsidRDefault="006B74DB" w:rsidP="009768B7">
            <w:pPr>
              <w:spacing w:after="0"/>
              <w:jc w:val="left"/>
            </w:pPr>
          </w:p>
        </w:tc>
      </w:tr>
      <w:tr w:rsidR="006B74DB" w:rsidRPr="00E66AE9" w:rsidTr="009F763A">
        <w:tc>
          <w:tcPr>
            <w:tcW w:w="851" w:type="dxa"/>
          </w:tcPr>
          <w:p w:rsidR="006B74DB" w:rsidRPr="005B2FBF" w:rsidRDefault="006B74DB" w:rsidP="00E66AE9">
            <w:r w:rsidRPr="005B2FBF">
              <w:t>4</w:t>
            </w:r>
          </w:p>
        </w:tc>
        <w:tc>
          <w:tcPr>
            <w:tcW w:w="6804" w:type="dxa"/>
            <w:shd w:val="clear" w:color="auto" w:fill="auto"/>
          </w:tcPr>
          <w:p w:rsidR="006B74DB" w:rsidRPr="005B2FBF" w:rsidRDefault="006B74DB" w:rsidP="003815AD">
            <w:pPr>
              <w:rPr>
                <w:b/>
              </w:rPr>
            </w:pPr>
            <w:r w:rsidRPr="005B2FBF">
              <w:rPr>
                <w:b/>
              </w:rPr>
              <w:t>Amenity</w:t>
            </w:r>
            <w:r w:rsidR="00382100" w:rsidRPr="005B2FBF">
              <w:rPr>
                <w:b/>
              </w:rPr>
              <w:t xml:space="preserve"> and </w:t>
            </w:r>
            <w:r w:rsidR="002F521C" w:rsidRPr="005B2FBF">
              <w:rPr>
                <w:b/>
              </w:rPr>
              <w:t>landscape</w:t>
            </w:r>
          </w:p>
          <w:p w:rsidR="00382100" w:rsidRPr="005B2FBF" w:rsidRDefault="005B2FBF" w:rsidP="006A1490">
            <w:r w:rsidRPr="005B2FBF">
              <w:t>To minimise dust emissions, noise, visual and other adverse effects on residents’ amenity as well as effects on landscape values</w:t>
            </w:r>
            <w:r w:rsidR="00497874" w:rsidRPr="005B2FBF">
              <w:t>.</w:t>
            </w:r>
          </w:p>
        </w:tc>
        <w:tc>
          <w:tcPr>
            <w:tcW w:w="2694" w:type="dxa"/>
          </w:tcPr>
          <w:p w:rsidR="006B74DB" w:rsidRPr="005B2FBF" w:rsidRDefault="006B74DB" w:rsidP="009768B7">
            <w:pPr>
              <w:spacing w:after="0"/>
              <w:jc w:val="left"/>
            </w:pPr>
            <w:r w:rsidRPr="005B2FBF">
              <w:t>P&amp;E Act</w:t>
            </w:r>
          </w:p>
          <w:p w:rsidR="006B74DB" w:rsidRPr="005B2FBF" w:rsidRDefault="006B74DB" w:rsidP="009768B7">
            <w:pPr>
              <w:spacing w:after="0"/>
              <w:jc w:val="left"/>
              <w:rPr>
                <w:i/>
              </w:rPr>
            </w:pPr>
            <w:r w:rsidRPr="005B2FBF">
              <w:rPr>
                <w:i/>
              </w:rPr>
              <w:t>Environment Protection Act 1970</w:t>
            </w:r>
            <w:r w:rsidR="009F763A" w:rsidRPr="005B2FBF">
              <w:rPr>
                <w:i/>
              </w:rPr>
              <w:t xml:space="preserve"> (EP Act)</w:t>
            </w:r>
          </w:p>
          <w:p w:rsidR="00990E25" w:rsidRPr="0088030E" w:rsidRDefault="00990E25" w:rsidP="009768B7">
            <w:pPr>
              <w:spacing w:after="0"/>
              <w:jc w:val="left"/>
              <w:rPr>
                <w:i/>
              </w:rPr>
            </w:pPr>
            <w:r w:rsidRPr="005B2FBF">
              <w:rPr>
                <w:i/>
              </w:rPr>
              <w:t>Transport Integration Act 2010</w:t>
            </w:r>
          </w:p>
        </w:tc>
      </w:tr>
      <w:tr w:rsidR="006B74DB" w:rsidRPr="00E66AE9" w:rsidTr="009F763A">
        <w:tc>
          <w:tcPr>
            <w:tcW w:w="851" w:type="dxa"/>
          </w:tcPr>
          <w:p w:rsidR="006B74DB" w:rsidRPr="005B2FBF" w:rsidRDefault="006B74DB" w:rsidP="00E66AE9">
            <w:r w:rsidRPr="005B2FBF">
              <w:t>5</w:t>
            </w:r>
          </w:p>
        </w:tc>
        <w:tc>
          <w:tcPr>
            <w:tcW w:w="6804" w:type="dxa"/>
            <w:shd w:val="clear" w:color="auto" w:fill="auto"/>
          </w:tcPr>
          <w:p w:rsidR="006B74DB" w:rsidRPr="005B2FBF" w:rsidRDefault="006B74DB" w:rsidP="003815AD">
            <w:pPr>
              <w:rPr>
                <w:b/>
              </w:rPr>
            </w:pPr>
            <w:r w:rsidRPr="005B2FBF">
              <w:rPr>
                <w:b/>
              </w:rPr>
              <w:t>Catchment values</w:t>
            </w:r>
          </w:p>
          <w:p w:rsidR="006B74DB" w:rsidRPr="005B2FBF" w:rsidRDefault="005B2FBF" w:rsidP="00FC50BE">
            <w:r w:rsidRPr="005B2FBF">
              <w:t>To protect catchment values, including in relation to soils, surface water and groundwater quality, stream flows and floodway capacity, as well as to avoid impacts on beneficial uses</w:t>
            </w:r>
            <w:r w:rsidR="00497874" w:rsidRPr="005B2FBF">
              <w:t>.</w:t>
            </w:r>
          </w:p>
        </w:tc>
        <w:tc>
          <w:tcPr>
            <w:tcW w:w="2694" w:type="dxa"/>
          </w:tcPr>
          <w:p w:rsidR="006B74DB" w:rsidRPr="005B2FBF" w:rsidRDefault="006B74DB" w:rsidP="009768B7">
            <w:pPr>
              <w:spacing w:after="0"/>
              <w:jc w:val="left"/>
              <w:rPr>
                <w:i/>
              </w:rPr>
            </w:pPr>
            <w:r w:rsidRPr="005B2FBF">
              <w:rPr>
                <w:i/>
              </w:rPr>
              <w:t>Water Act 1989</w:t>
            </w:r>
          </w:p>
          <w:p w:rsidR="006B74DB" w:rsidRPr="005B2FBF" w:rsidRDefault="006B74DB" w:rsidP="009768B7">
            <w:pPr>
              <w:spacing w:after="0"/>
              <w:jc w:val="left"/>
              <w:rPr>
                <w:i/>
              </w:rPr>
            </w:pPr>
            <w:r w:rsidRPr="005B2FBF">
              <w:rPr>
                <w:i/>
              </w:rPr>
              <w:t>Catchment and Land Protection Act 1994</w:t>
            </w:r>
          </w:p>
          <w:p w:rsidR="006B74DB" w:rsidRPr="005B2FBF" w:rsidRDefault="006B74DB" w:rsidP="009768B7">
            <w:pPr>
              <w:spacing w:after="0"/>
              <w:jc w:val="left"/>
              <w:rPr>
                <w:i/>
              </w:rPr>
            </w:pPr>
            <w:r w:rsidRPr="005B2FBF">
              <w:rPr>
                <w:i/>
              </w:rPr>
              <w:t>E</w:t>
            </w:r>
            <w:r w:rsidR="009F763A" w:rsidRPr="005B2FBF">
              <w:rPr>
                <w:i/>
              </w:rPr>
              <w:t>P</w:t>
            </w:r>
            <w:r w:rsidRPr="005B2FBF">
              <w:rPr>
                <w:i/>
              </w:rPr>
              <w:t xml:space="preserve"> Act 1970</w:t>
            </w:r>
          </w:p>
          <w:p w:rsidR="00990E25" w:rsidRPr="00990E25" w:rsidRDefault="00990E25" w:rsidP="009768B7">
            <w:pPr>
              <w:spacing w:after="0"/>
              <w:jc w:val="left"/>
            </w:pPr>
            <w:r w:rsidRPr="005B2FBF">
              <w:t>P&amp;E Act</w:t>
            </w:r>
          </w:p>
        </w:tc>
      </w:tr>
      <w:tr w:rsidR="006B74DB" w:rsidRPr="00E66AE9" w:rsidTr="009F763A">
        <w:tc>
          <w:tcPr>
            <w:tcW w:w="851" w:type="dxa"/>
          </w:tcPr>
          <w:p w:rsidR="006B74DB" w:rsidRPr="005B2FBF" w:rsidRDefault="006B74DB" w:rsidP="00E66AE9">
            <w:r w:rsidRPr="005B2FBF">
              <w:t>6</w:t>
            </w:r>
          </w:p>
        </w:tc>
        <w:tc>
          <w:tcPr>
            <w:tcW w:w="6804" w:type="dxa"/>
            <w:shd w:val="clear" w:color="auto" w:fill="auto"/>
          </w:tcPr>
          <w:p w:rsidR="006B74DB" w:rsidRPr="005B2FBF" w:rsidRDefault="006B74DB" w:rsidP="003815AD">
            <w:pPr>
              <w:rPr>
                <w:b/>
              </w:rPr>
            </w:pPr>
            <w:r w:rsidRPr="005B2FBF">
              <w:rPr>
                <w:b/>
              </w:rPr>
              <w:t>Cultural heritage</w:t>
            </w:r>
          </w:p>
          <w:p w:rsidR="006B74DB" w:rsidRPr="005B2FBF" w:rsidRDefault="005B2FBF" w:rsidP="003815AD">
            <w:r w:rsidRPr="005B2FBF">
              <w:t>To protect Aboriginal and non-Aboriginal cultural heritage</w:t>
            </w:r>
            <w:r w:rsidR="00497874" w:rsidRPr="005B2FBF">
              <w:t>.</w:t>
            </w:r>
          </w:p>
        </w:tc>
        <w:tc>
          <w:tcPr>
            <w:tcW w:w="2694" w:type="dxa"/>
          </w:tcPr>
          <w:p w:rsidR="006B74DB" w:rsidRPr="005B2FBF" w:rsidRDefault="0054051E" w:rsidP="009768B7">
            <w:pPr>
              <w:spacing w:after="0"/>
              <w:jc w:val="left"/>
            </w:pPr>
            <w:r w:rsidRPr="005B2FBF">
              <w:t>AH Act</w:t>
            </w:r>
          </w:p>
          <w:p w:rsidR="006B74DB" w:rsidRPr="005B2FBF" w:rsidRDefault="006B74DB" w:rsidP="009768B7">
            <w:pPr>
              <w:spacing w:after="0"/>
              <w:jc w:val="left"/>
              <w:rPr>
                <w:i/>
              </w:rPr>
            </w:pPr>
            <w:r w:rsidRPr="005B2FBF">
              <w:rPr>
                <w:i/>
              </w:rPr>
              <w:t>Heritage Act 1995</w:t>
            </w:r>
          </w:p>
          <w:p w:rsidR="00990E25" w:rsidRPr="00990E25" w:rsidRDefault="00990E25" w:rsidP="009768B7">
            <w:pPr>
              <w:spacing w:after="0"/>
              <w:jc w:val="left"/>
            </w:pPr>
            <w:r w:rsidRPr="005B2FBF">
              <w:t>P&amp;E Act</w:t>
            </w:r>
          </w:p>
        </w:tc>
      </w:tr>
      <w:tr w:rsidR="006B74DB" w:rsidRPr="00E66AE9" w:rsidTr="009F763A">
        <w:tc>
          <w:tcPr>
            <w:tcW w:w="851" w:type="dxa"/>
          </w:tcPr>
          <w:p w:rsidR="006B74DB" w:rsidRPr="005B2FBF" w:rsidRDefault="006B74DB" w:rsidP="00E66AE9">
            <w:r w:rsidRPr="005B2FBF">
              <w:t>7</w:t>
            </w:r>
          </w:p>
        </w:tc>
        <w:tc>
          <w:tcPr>
            <w:tcW w:w="6804" w:type="dxa"/>
            <w:shd w:val="clear" w:color="auto" w:fill="auto"/>
          </w:tcPr>
          <w:p w:rsidR="006B74DB" w:rsidRPr="005B2FBF" w:rsidRDefault="006B74DB" w:rsidP="003815AD">
            <w:pPr>
              <w:rPr>
                <w:b/>
              </w:rPr>
            </w:pPr>
            <w:r w:rsidRPr="005B2FBF">
              <w:rPr>
                <w:b/>
              </w:rPr>
              <w:t>Environmental management framework</w:t>
            </w:r>
          </w:p>
          <w:p w:rsidR="006B74DB" w:rsidRPr="005B2FBF" w:rsidRDefault="005B2FBF" w:rsidP="003815AD">
            <w:r w:rsidRPr="005B2FBF">
              <w:t>To provide a transparent framework with clear accountabilities for managing environmental effects and hazards associated with the project in order to achieve acceptable environmental outcomes</w:t>
            </w:r>
            <w:r w:rsidR="009F626D" w:rsidRPr="005B2FBF">
              <w:t>.</w:t>
            </w:r>
          </w:p>
        </w:tc>
        <w:tc>
          <w:tcPr>
            <w:tcW w:w="2694" w:type="dxa"/>
          </w:tcPr>
          <w:p w:rsidR="006B74DB" w:rsidRPr="005B2FBF" w:rsidRDefault="006B74DB" w:rsidP="009768B7">
            <w:pPr>
              <w:spacing w:after="0"/>
              <w:jc w:val="left"/>
            </w:pPr>
            <w:r w:rsidRPr="005B2FBF">
              <w:t>P&amp;E Act</w:t>
            </w:r>
          </w:p>
          <w:p w:rsidR="006B74DB" w:rsidRPr="005B2FBF" w:rsidRDefault="006B74DB" w:rsidP="009768B7">
            <w:pPr>
              <w:spacing w:after="0"/>
              <w:jc w:val="left"/>
              <w:rPr>
                <w:i/>
              </w:rPr>
            </w:pPr>
            <w:r w:rsidRPr="005B2FBF">
              <w:rPr>
                <w:i/>
              </w:rPr>
              <w:t>E</w:t>
            </w:r>
            <w:r w:rsidR="009F763A" w:rsidRPr="005B2FBF">
              <w:rPr>
                <w:i/>
              </w:rPr>
              <w:t>P</w:t>
            </w:r>
            <w:r w:rsidRPr="005B2FBF">
              <w:rPr>
                <w:i/>
              </w:rPr>
              <w:t xml:space="preserve"> Act 1970</w:t>
            </w:r>
          </w:p>
          <w:p w:rsidR="006B74DB" w:rsidRPr="00E66AE9" w:rsidRDefault="006B74DB" w:rsidP="009768B7">
            <w:pPr>
              <w:spacing w:after="0"/>
              <w:jc w:val="left"/>
            </w:pPr>
            <w:r w:rsidRPr="005B2FBF">
              <w:t>EPBC Act</w:t>
            </w:r>
          </w:p>
        </w:tc>
      </w:tr>
      <w:tr w:rsidR="006B74DB" w:rsidRPr="00E66AE9" w:rsidTr="009F763A">
        <w:tc>
          <w:tcPr>
            <w:tcW w:w="851" w:type="dxa"/>
          </w:tcPr>
          <w:p w:rsidR="006B74DB" w:rsidRPr="005B2FBF" w:rsidRDefault="006B74DB" w:rsidP="00E66AE9">
            <w:r w:rsidRPr="005B2FBF">
              <w:t>8</w:t>
            </w:r>
          </w:p>
        </w:tc>
        <w:tc>
          <w:tcPr>
            <w:tcW w:w="6804" w:type="dxa"/>
            <w:shd w:val="clear" w:color="auto" w:fill="auto"/>
          </w:tcPr>
          <w:p w:rsidR="006B74DB" w:rsidRPr="005B2FBF" w:rsidRDefault="006B74DB" w:rsidP="003815AD">
            <w:pPr>
              <w:rPr>
                <w:b/>
              </w:rPr>
            </w:pPr>
            <w:r w:rsidRPr="005B2FBF">
              <w:rPr>
                <w:b/>
              </w:rPr>
              <w:t>Ecologically sustainable development</w:t>
            </w:r>
          </w:p>
          <w:p w:rsidR="006B74DB" w:rsidRPr="005B2FBF" w:rsidRDefault="005B2FBF" w:rsidP="003815AD">
            <w:r w:rsidRPr="005B2FBF">
              <w:t>To achieve an appropriate balance of environmental, economic and social outcomes, consistent with the principles and objectives of ESD</w:t>
            </w:r>
            <w:r w:rsidR="009F626D" w:rsidRPr="005B2FBF">
              <w:t>.</w:t>
            </w:r>
          </w:p>
        </w:tc>
        <w:tc>
          <w:tcPr>
            <w:tcW w:w="2694" w:type="dxa"/>
          </w:tcPr>
          <w:p w:rsidR="006B74DB" w:rsidRPr="005B2FBF" w:rsidRDefault="006B74DB" w:rsidP="009768B7">
            <w:pPr>
              <w:jc w:val="left"/>
            </w:pPr>
            <w:r w:rsidRPr="005B2FBF">
              <w:t>P&amp;E Act</w:t>
            </w:r>
          </w:p>
          <w:p w:rsidR="006B74DB" w:rsidRPr="005B2FBF" w:rsidRDefault="006B74DB" w:rsidP="009768B7">
            <w:pPr>
              <w:jc w:val="left"/>
              <w:rPr>
                <w:i/>
              </w:rPr>
            </w:pPr>
            <w:r w:rsidRPr="005B2FBF">
              <w:rPr>
                <w:i/>
              </w:rPr>
              <w:t>E</w:t>
            </w:r>
            <w:r w:rsidR="009F763A" w:rsidRPr="005B2FBF">
              <w:rPr>
                <w:i/>
              </w:rPr>
              <w:t>P</w:t>
            </w:r>
            <w:r w:rsidRPr="005B2FBF">
              <w:rPr>
                <w:i/>
              </w:rPr>
              <w:t xml:space="preserve"> Act 1970</w:t>
            </w:r>
          </w:p>
          <w:p w:rsidR="00563C10" w:rsidRPr="005B2FBF" w:rsidRDefault="00563C10" w:rsidP="009768B7">
            <w:pPr>
              <w:jc w:val="left"/>
              <w:rPr>
                <w:i/>
              </w:rPr>
            </w:pPr>
            <w:r w:rsidRPr="005B2FBF">
              <w:rPr>
                <w:i/>
              </w:rPr>
              <w:t>Transport Integration Act 2010</w:t>
            </w:r>
          </w:p>
          <w:p w:rsidR="006B74DB" w:rsidRPr="00E66AE9" w:rsidRDefault="006B74DB" w:rsidP="009768B7">
            <w:pPr>
              <w:jc w:val="left"/>
            </w:pPr>
            <w:r w:rsidRPr="005B2FBF">
              <w:t>EPBC Act</w:t>
            </w:r>
          </w:p>
        </w:tc>
      </w:tr>
    </w:tbl>
    <w:p w:rsidR="006B74DB" w:rsidRPr="00E66AE9" w:rsidRDefault="0054051E" w:rsidP="0054051E">
      <w:pPr>
        <w:pStyle w:val="Heading2"/>
      </w:pPr>
      <w:bookmarkStart w:id="35" w:name="_Ref333328206"/>
      <w:bookmarkStart w:id="36" w:name="_Ref333410289"/>
      <w:r>
        <w:br w:type="page"/>
      </w:r>
      <w:bookmarkStart w:id="37" w:name="_Toc354582223"/>
      <w:r w:rsidR="006B74DB" w:rsidRPr="00E66AE9">
        <w:lastRenderedPageBreak/>
        <w:t xml:space="preserve">Assessment of </w:t>
      </w:r>
      <w:r w:rsidR="00112092" w:rsidRPr="00E66AE9">
        <w:t>O</w:t>
      </w:r>
      <w:r w:rsidR="006B74DB" w:rsidRPr="00E66AE9">
        <w:t>ptions</w:t>
      </w:r>
      <w:bookmarkEnd w:id="35"/>
      <w:bookmarkEnd w:id="36"/>
      <w:bookmarkEnd w:id="37"/>
    </w:p>
    <w:p w:rsidR="00563C10" w:rsidRPr="00E66AE9" w:rsidRDefault="00960121" w:rsidP="00E66AE9">
      <w:r>
        <w:t>The</w:t>
      </w:r>
      <w:r w:rsidR="00563C10" w:rsidRPr="00E66AE9">
        <w:t xml:space="preserve"> EES </w:t>
      </w:r>
      <w:r w:rsidR="003C1475" w:rsidRPr="00E66AE9">
        <w:t xml:space="preserve">was required </w:t>
      </w:r>
      <w:r w:rsidR="006B74DB" w:rsidRPr="00E66AE9">
        <w:t xml:space="preserve">to describe and assess relevant </w:t>
      </w:r>
      <w:r>
        <w:t xml:space="preserve">design </w:t>
      </w:r>
      <w:r w:rsidR="006B74DB" w:rsidRPr="00E66AE9">
        <w:t>alternatives</w:t>
      </w:r>
      <w:r w:rsidR="00563C10" w:rsidRPr="00E66AE9">
        <w:t xml:space="preserve"> </w:t>
      </w:r>
      <w:r w:rsidR="00AB742E">
        <w:t xml:space="preserve">and alignment </w:t>
      </w:r>
      <w:r w:rsidR="00AB742E" w:rsidRPr="00E66AE9">
        <w:t>options</w:t>
      </w:r>
      <w:r>
        <w:t xml:space="preserve"> </w:t>
      </w:r>
      <w:r w:rsidR="00844BF4">
        <w:t xml:space="preserve">having regard to </w:t>
      </w:r>
      <w:r>
        <w:t>the evaluation objectives in the scoping requirements</w:t>
      </w:r>
      <w:r w:rsidR="006B74DB" w:rsidRPr="00E66AE9">
        <w:t xml:space="preserve">. </w:t>
      </w:r>
      <w:r>
        <w:t xml:space="preserve">VicRoads also considered project objectives </w:t>
      </w:r>
      <w:r w:rsidR="004914A4">
        <w:t xml:space="preserve">in devising </w:t>
      </w:r>
      <w:r w:rsidR="00844BF4">
        <w:t>the</w:t>
      </w:r>
      <w:r w:rsidR="004914A4">
        <w:t xml:space="preserve"> evaluation framework</w:t>
      </w:r>
      <w:r w:rsidR="00844BF4">
        <w:t xml:space="preserve"> that </w:t>
      </w:r>
      <w:r w:rsidR="004914A4">
        <w:t xml:space="preserve">was applied in a three-phase process to identify, assess and evaluate alignment options. Two important factors </w:t>
      </w:r>
      <w:r w:rsidR="00823495" w:rsidRPr="00E66AE9">
        <w:t xml:space="preserve">that influenced the development of alignment options </w:t>
      </w:r>
      <w:r w:rsidR="004914A4">
        <w:t>were</w:t>
      </w:r>
      <w:r w:rsidR="00823495" w:rsidRPr="00E66AE9">
        <w:t xml:space="preserve"> the need for appropriate connection with</w:t>
      </w:r>
      <w:r w:rsidR="00D94EF8" w:rsidRPr="00E66AE9">
        <w:t>,</w:t>
      </w:r>
      <w:r w:rsidR="00823495" w:rsidRPr="00E66AE9">
        <w:t xml:space="preserve"> and</w:t>
      </w:r>
      <w:r w:rsidR="006B74DB" w:rsidRPr="00E66AE9">
        <w:t xml:space="preserve"> </w:t>
      </w:r>
      <w:r w:rsidR="004914A4">
        <w:t>optimal</w:t>
      </w:r>
      <w:r w:rsidR="00823495" w:rsidRPr="00E66AE9">
        <w:t xml:space="preserve"> use </w:t>
      </w:r>
      <w:r w:rsidR="00190666" w:rsidRPr="00E66AE9">
        <w:t>of</w:t>
      </w:r>
      <w:r w:rsidR="00D94EF8" w:rsidRPr="00E66AE9">
        <w:t>,</w:t>
      </w:r>
      <w:r w:rsidR="00190666" w:rsidRPr="00E66AE9">
        <w:t xml:space="preserve"> current </w:t>
      </w:r>
      <w:r w:rsidR="00823495" w:rsidRPr="00E66AE9">
        <w:t xml:space="preserve">infrastructure such as the </w:t>
      </w:r>
      <w:r w:rsidR="00190666" w:rsidRPr="00E66AE9">
        <w:t xml:space="preserve">existing </w:t>
      </w:r>
      <w:r w:rsidR="00823495" w:rsidRPr="00E66AE9">
        <w:t>highway.</w:t>
      </w:r>
      <w:r w:rsidR="004914A4">
        <w:t xml:space="preserve"> </w:t>
      </w:r>
    </w:p>
    <w:p w:rsidR="00587CD3" w:rsidRDefault="00587CD3" w:rsidP="00E66AE9">
      <w:r>
        <w:t xml:space="preserve">In addressing potential alignments, </w:t>
      </w:r>
      <w:r w:rsidR="00844BF4">
        <w:t xml:space="preserve">VicRoads split </w:t>
      </w:r>
      <w:r>
        <w:t xml:space="preserve">the section of the Western </w:t>
      </w:r>
      <w:r w:rsidR="005F4562">
        <w:t>Highway between</w:t>
      </w:r>
      <w:r w:rsidR="00F37ADC">
        <w:t xml:space="preserve"> Beaufort and Ararat </w:t>
      </w:r>
      <w:r>
        <w:t xml:space="preserve">into </w:t>
      </w:r>
      <w:r w:rsidR="005F4562">
        <w:t>four zones</w:t>
      </w:r>
      <w:r>
        <w:t xml:space="preserve"> as follows:</w:t>
      </w:r>
    </w:p>
    <w:p w:rsidR="00587CD3" w:rsidRDefault="00587CD3" w:rsidP="005F2BEF">
      <w:pPr>
        <w:numPr>
          <w:ilvl w:val="0"/>
          <w:numId w:val="7"/>
        </w:numPr>
      </w:pPr>
      <w:r>
        <w:t>Zone 1 Beaufort to Eurambeen Road - Streatham Road</w:t>
      </w:r>
    </w:p>
    <w:p w:rsidR="00587CD3" w:rsidRDefault="00587CD3" w:rsidP="005F2BEF">
      <w:pPr>
        <w:numPr>
          <w:ilvl w:val="0"/>
          <w:numId w:val="7"/>
        </w:numPr>
      </w:pPr>
      <w:r>
        <w:t>Zone 2 Eurambean Road</w:t>
      </w:r>
      <w:r w:rsidR="006A6764">
        <w:t xml:space="preserve"> to</w:t>
      </w:r>
      <w:r>
        <w:t xml:space="preserve"> Charliecombe Road</w:t>
      </w:r>
    </w:p>
    <w:p w:rsidR="00587CD3" w:rsidRDefault="00587CD3" w:rsidP="005F2BEF">
      <w:pPr>
        <w:numPr>
          <w:ilvl w:val="0"/>
          <w:numId w:val="7"/>
        </w:numPr>
      </w:pPr>
      <w:r>
        <w:t>Zone 3 Charliecombe Road to Langi Gharin Track</w:t>
      </w:r>
    </w:p>
    <w:p w:rsidR="00587CD3" w:rsidRDefault="00587CD3" w:rsidP="005F2BEF">
      <w:pPr>
        <w:numPr>
          <w:ilvl w:val="0"/>
          <w:numId w:val="7"/>
        </w:numPr>
      </w:pPr>
      <w:r>
        <w:t xml:space="preserve">Zone </w:t>
      </w:r>
      <w:r w:rsidR="0078245D">
        <w:t xml:space="preserve">4 </w:t>
      </w:r>
      <w:r w:rsidR="00857625">
        <w:t>Langi Gharin Track to Ararat.</w:t>
      </w:r>
    </w:p>
    <w:p w:rsidR="003815AD" w:rsidRDefault="003815AD" w:rsidP="00E66AE9">
      <w:r>
        <w:t xml:space="preserve">In phase 1 of the options assessment process, </w:t>
      </w:r>
      <w:r w:rsidR="004B7810">
        <w:t xml:space="preserve">VicRoads </w:t>
      </w:r>
      <w:r w:rsidR="004914A4">
        <w:t>identified</w:t>
      </w:r>
      <w:r w:rsidR="004B7810">
        <w:t xml:space="preserve"> </w:t>
      </w:r>
      <w:r w:rsidR="005F4562">
        <w:t xml:space="preserve">up to 10 alignment options </w:t>
      </w:r>
      <w:r>
        <w:t>within each zone</w:t>
      </w:r>
      <w:r w:rsidR="005F4562">
        <w:t xml:space="preserve">. </w:t>
      </w:r>
      <w:r w:rsidR="00111C4C">
        <w:t>The evaluation of this</w:t>
      </w:r>
      <w:r>
        <w:t xml:space="preserve"> </w:t>
      </w:r>
      <w:r w:rsidR="00111C4C">
        <w:t>“</w:t>
      </w:r>
      <w:r>
        <w:t>long list</w:t>
      </w:r>
      <w:r w:rsidR="00111C4C">
        <w:t>”</w:t>
      </w:r>
      <w:r>
        <w:t xml:space="preserve"> and the reasons for rejecting most of the options are provided in Chapter 5 of the EES. </w:t>
      </w:r>
    </w:p>
    <w:p w:rsidR="00DD4261" w:rsidRDefault="003815AD" w:rsidP="00E66AE9">
      <w:r>
        <w:t xml:space="preserve">Phase 2 involved a more detailed assessment of short-listed options. </w:t>
      </w:r>
      <w:r w:rsidR="00C718B9">
        <w:t xml:space="preserve">Zones 1 and 3 were split into smaller sub-zones to allow more detailed comparison across alignment options. </w:t>
      </w:r>
      <w:r w:rsidR="00DE3E1F">
        <w:t xml:space="preserve">Section 5.4 of the EES provides a detailed description of the methodology used while section 5.5 </w:t>
      </w:r>
      <w:r w:rsidR="00C06CFF">
        <w:t xml:space="preserve">provides an analysis of the results. The outcome of </w:t>
      </w:r>
      <w:r w:rsidR="003A7A8A">
        <w:t>VicRoads</w:t>
      </w:r>
      <w:r w:rsidR="002D081C">
        <w:t>’</w:t>
      </w:r>
      <w:r w:rsidR="003A7A8A">
        <w:t xml:space="preserve"> </w:t>
      </w:r>
      <w:r w:rsidR="00C06CFF">
        <w:t xml:space="preserve">analysis </w:t>
      </w:r>
      <w:r w:rsidR="00B405D8">
        <w:t xml:space="preserve">of the short-listed options </w:t>
      </w:r>
      <w:r w:rsidR="00C06CFF">
        <w:t xml:space="preserve">was </w:t>
      </w:r>
      <w:r w:rsidR="004B7810">
        <w:t>the</w:t>
      </w:r>
      <w:r w:rsidR="003A7A8A">
        <w:t xml:space="preserve"> selection of </w:t>
      </w:r>
      <w:r w:rsidR="00C06CFF">
        <w:t>two potential alignments for between Beaufort and Ararat</w:t>
      </w:r>
      <w:r w:rsidR="006710FD">
        <w:t>, identified as Options 1 and 2</w:t>
      </w:r>
      <w:r w:rsidR="00C06CFF">
        <w:t>.</w:t>
      </w:r>
      <w:r w:rsidR="00E81614">
        <w:t xml:space="preserve"> </w:t>
      </w:r>
    </w:p>
    <w:p w:rsidR="008A60D1" w:rsidRDefault="00E81614" w:rsidP="00E66AE9">
      <w:r>
        <w:t xml:space="preserve">The preliminary analysis of the two options showed that their environmental risks were </w:t>
      </w:r>
      <w:r w:rsidR="00DD4261">
        <w:t xml:space="preserve">largely </w:t>
      </w:r>
      <w:r>
        <w:t>comparable and there was no clearly preferred option</w:t>
      </w:r>
      <w:r w:rsidR="00DD4261">
        <w:t xml:space="preserve"> at that stage</w:t>
      </w:r>
      <w:r>
        <w:t>. Option 2 was considered to have less land severance</w:t>
      </w:r>
      <w:r w:rsidR="00DD4261">
        <w:t xml:space="preserve">, acquisition </w:t>
      </w:r>
      <w:r>
        <w:t xml:space="preserve">and therefore less impact on </w:t>
      </w:r>
      <w:r w:rsidR="00DD4261">
        <w:t xml:space="preserve">land-uses such as </w:t>
      </w:r>
      <w:r>
        <w:t>farm</w:t>
      </w:r>
      <w:r w:rsidR="00DD4261">
        <w:t>ing</w:t>
      </w:r>
      <w:r>
        <w:t xml:space="preserve">. </w:t>
      </w:r>
      <w:r w:rsidR="00DD4261">
        <w:t xml:space="preserve"> </w:t>
      </w:r>
      <w:r>
        <w:t>From an environmental perspectiv</w:t>
      </w:r>
      <w:r w:rsidR="006710FD">
        <w:t>e, option 2 was considered to invol</w:t>
      </w:r>
      <w:r>
        <w:t xml:space="preserve">ve less impact on Golden Sun Moth habitat and </w:t>
      </w:r>
      <w:r w:rsidR="006710FD">
        <w:t>less</w:t>
      </w:r>
      <w:r>
        <w:t xml:space="preserve"> removal of </w:t>
      </w:r>
      <w:r w:rsidR="006710FD">
        <w:t>the</w:t>
      </w:r>
      <w:r>
        <w:t xml:space="preserve"> Grassy Eucalypt Woodland of Victorian Volcanic Plains</w:t>
      </w:r>
      <w:r w:rsidR="006710FD">
        <w:t xml:space="preserve"> community, which </w:t>
      </w:r>
      <w:r w:rsidR="00344191">
        <w:t>is listed under the EPBC Act</w:t>
      </w:r>
      <w:r>
        <w:t xml:space="preserve">. </w:t>
      </w:r>
      <w:r w:rsidR="006710FD">
        <w:t xml:space="preserve"> </w:t>
      </w:r>
      <w:r w:rsidR="00CF602C">
        <w:t xml:space="preserve">Overall, </w:t>
      </w:r>
      <w:r w:rsidR="006710FD">
        <w:t xml:space="preserve">Option 1 </w:t>
      </w:r>
      <w:r w:rsidR="006A6764">
        <w:t xml:space="preserve">was considered to </w:t>
      </w:r>
      <w:r w:rsidR="006710FD">
        <w:t>involve</w:t>
      </w:r>
      <w:r>
        <w:t xml:space="preserve"> the </w:t>
      </w:r>
      <w:r w:rsidR="00344191">
        <w:t xml:space="preserve">removal of less </w:t>
      </w:r>
      <w:r w:rsidR="00FD2CDB">
        <w:t xml:space="preserve">total </w:t>
      </w:r>
      <w:r w:rsidR="00344191">
        <w:t>native vegetation</w:t>
      </w:r>
      <w:r w:rsidR="00FD2CDB">
        <w:t>,</w:t>
      </w:r>
      <w:r w:rsidR="00344191">
        <w:t xml:space="preserve"> </w:t>
      </w:r>
      <w:r w:rsidR="006710FD">
        <w:t>as well as</w:t>
      </w:r>
      <w:r w:rsidR="00344191">
        <w:t xml:space="preserve"> one less dwelling being directly impacted.</w:t>
      </w:r>
    </w:p>
    <w:p w:rsidR="003948D0" w:rsidRDefault="008A60D1" w:rsidP="00E66AE9">
      <w:r>
        <w:t xml:space="preserve">VicRoads </w:t>
      </w:r>
      <w:r w:rsidR="003A7A8A">
        <w:t xml:space="preserve">determined </w:t>
      </w:r>
      <w:r>
        <w:t xml:space="preserve">that both </w:t>
      </w:r>
      <w:r w:rsidR="006710FD">
        <w:t>O</w:t>
      </w:r>
      <w:r>
        <w:t>ptions 1 and 2 would meet the project objectives and deliver the desired benefits of improved road safety and transport efficiency</w:t>
      </w:r>
      <w:r w:rsidR="009C7D07">
        <w:t>.  It</w:t>
      </w:r>
      <w:r w:rsidR="003A7A8A">
        <w:t xml:space="preserve"> therefore </w:t>
      </w:r>
      <w:r w:rsidR="00470D44">
        <w:t xml:space="preserve">decided </w:t>
      </w:r>
      <w:r w:rsidR="009C7D07">
        <w:t xml:space="preserve">to subject </w:t>
      </w:r>
      <w:r w:rsidR="00470D44">
        <w:t xml:space="preserve">both options </w:t>
      </w:r>
      <w:r w:rsidR="003948D0">
        <w:t xml:space="preserve">to detailed </w:t>
      </w:r>
      <w:r w:rsidR="009C7D07">
        <w:t xml:space="preserve">assessment and </w:t>
      </w:r>
      <w:r w:rsidR="003948D0">
        <w:t>evaluation in the EES</w:t>
      </w:r>
      <w:r w:rsidR="00DD4261">
        <w:t xml:space="preserve"> to enable better differentiation between them</w:t>
      </w:r>
      <w:r w:rsidR="003948D0">
        <w:t xml:space="preserve">. </w:t>
      </w:r>
      <w:r w:rsidR="009C7D07">
        <w:t xml:space="preserve"> </w:t>
      </w:r>
      <w:r w:rsidR="00DD4261">
        <w:t xml:space="preserve">During the drafting of the EES </w:t>
      </w:r>
      <w:r w:rsidR="006710FD">
        <w:t>VicRoads identified O</w:t>
      </w:r>
      <w:r w:rsidR="003948D0">
        <w:t>ption 2 as their preferred option</w:t>
      </w:r>
      <w:r w:rsidR="003A7A8A">
        <w:t xml:space="preserve">, </w:t>
      </w:r>
      <w:r w:rsidR="006710FD">
        <w:t>while O</w:t>
      </w:r>
      <w:r w:rsidR="003948D0">
        <w:t xml:space="preserve">ption 1 was identified </w:t>
      </w:r>
      <w:r w:rsidR="006710FD">
        <w:t xml:space="preserve">in the EES </w:t>
      </w:r>
      <w:r w:rsidR="003948D0">
        <w:t xml:space="preserve">as </w:t>
      </w:r>
      <w:r w:rsidR="003A7A8A">
        <w:t xml:space="preserve">an </w:t>
      </w:r>
      <w:r w:rsidR="003948D0">
        <w:t>alternative</w:t>
      </w:r>
      <w:r w:rsidR="003A7A8A">
        <w:t xml:space="preserve"> </w:t>
      </w:r>
      <w:r w:rsidR="006710FD">
        <w:t>that</w:t>
      </w:r>
      <w:r w:rsidR="00DD4261">
        <w:t xml:space="preserve"> </w:t>
      </w:r>
      <w:r w:rsidR="003A7A8A">
        <w:t>could be implemented</w:t>
      </w:r>
      <w:r w:rsidR="00DD4261">
        <w:t>.</w:t>
      </w:r>
      <w:r w:rsidR="009C7D07">
        <w:t xml:space="preserve"> </w:t>
      </w:r>
    </w:p>
    <w:p w:rsidR="00E70220" w:rsidRPr="00E66AE9" w:rsidRDefault="003948D0" w:rsidP="00E66AE9">
      <w:r>
        <w:t xml:space="preserve">Draft </w:t>
      </w:r>
      <w:r w:rsidR="006A6764">
        <w:t>PSAs</w:t>
      </w:r>
      <w:r>
        <w:t xml:space="preserve"> were prepared for both </w:t>
      </w:r>
      <w:r w:rsidR="006A6764">
        <w:t>O</w:t>
      </w:r>
      <w:r>
        <w:t>ptions 1 and 2 and the potential environmental effects were assessed in the same level of detail in the EES.</w:t>
      </w:r>
    </w:p>
    <w:p w:rsidR="00E70220" w:rsidRPr="006A6764" w:rsidRDefault="00E70220" w:rsidP="00E66AE9">
      <w:pPr>
        <w:rPr>
          <w:b/>
          <w:sz w:val="24"/>
        </w:rPr>
      </w:pPr>
      <w:r w:rsidRPr="006A6764">
        <w:rPr>
          <w:b/>
          <w:sz w:val="24"/>
        </w:rPr>
        <w:t xml:space="preserve">Conclusions </w:t>
      </w:r>
    </w:p>
    <w:p w:rsidR="007555B5" w:rsidRDefault="001B41B0" w:rsidP="00E66AE9">
      <w:r w:rsidRPr="00E66AE9">
        <w:t>T</w:t>
      </w:r>
      <w:r w:rsidR="00E70220" w:rsidRPr="00E66AE9">
        <w:t xml:space="preserve">he </w:t>
      </w:r>
      <w:r w:rsidR="003948D0">
        <w:t xml:space="preserve">generation </w:t>
      </w:r>
      <w:r w:rsidR="009C7D07">
        <w:t xml:space="preserve">and evaluation </w:t>
      </w:r>
      <w:r w:rsidR="003948D0">
        <w:t xml:space="preserve">of options </w:t>
      </w:r>
      <w:r w:rsidR="009C7D07">
        <w:t xml:space="preserve">by VicRoads for the EES </w:t>
      </w:r>
      <w:r w:rsidR="003948D0">
        <w:t xml:space="preserve">has been </w:t>
      </w:r>
      <w:r w:rsidR="009C7D07">
        <w:t xml:space="preserve">comprehensive </w:t>
      </w:r>
      <w:r w:rsidR="001A578E">
        <w:t>and</w:t>
      </w:r>
      <w:r w:rsidR="009C7D07">
        <w:t xml:space="preserve"> </w:t>
      </w:r>
      <w:r w:rsidR="001A578E">
        <w:t xml:space="preserve">sufficient to inform </w:t>
      </w:r>
      <w:r w:rsidR="009C7D07">
        <w:t xml:space="preserve">the </w:t>
      </w:r>
      <w:r w:rsidR="001A578E">
        <w:t>selection of two alignments for detailed examination within the</w:t>
      </w:r>
      <w:r w:rsidR="003948D0">
        <w:t xml:space="preserve"> EES</w:t>
      </w:r>
      <w:r w:rsidR="001A578E">
        <w:t>, which in turn enables the identification of an optimal alignment for the duplication of the WHP2</w:t>
      </w:r>
      <w:r w:rsidR="003948D0">
        <w:t>.</w:t>
      </w:r>
      <w:r w:rsidR="001A578E">
        <w:t xml:space="preserve"> </w:t>
      </w:r>
    </w:p>
    <w:p w:rsidR="00E70220" w:rsidRPr="00E66AE9" w:rsidRDefault="007555B5" w:rsidP="00E66AE9">
      <w:r>
        <w:t>T</w:t>
      </w:r>
      <w:r w:rsidR="009C33B1">
        <w:t>he rem</w:t>
      </w:r>
      <w:r w:rsidR="00280581">
        <w:t>a</w:t>
      </w:r>
      <w:r w:rsidR="009C33B1">
        <w:t>inder of this Assessment consider</w:t>
      </w:r>
      <w:r w:rsidR="003A7A8A">
        <w:t>s</w:t>
      </w:r>
      <w:r w:rsidR="009C33B1">
        <w:t xml:space="preserve"> the environmental effects of </w:t>
      </w:r>
      <w:r w:rsidR="006710FD">
        <w:t>O</w:t>
      </w:r>
      <w:r w:rsidR="009C33B1">
        <w:t>ptions 1 and 2</w:t>
      </w:r>
      <w:r w:rsidR="00E43CC5">
        <w:t xml:space="preserve"> in detail</w:t>
      </w:r>
      <w:r w:rsidR="009C33B1">
        <w:t>.</w:t>
      </w:r>
    </w:p>
    <w:p w:rsidR="00F75B53" w:rsidRPr="00E66AE9" w:rsidRDefault="00090B3D" w:rsidP="00890693">
      <w:pPr>
        <w:pStyle w:val="Heading2"/>
      </w:pPr>
      <w:bookmarkStart w:id="38" w:name="_Toc354582224"/>
      <w:r>
        <w:lastRenderedPageBreak/>
        <w:t xml:space="preserve">Road </w:t>
      </w:r>
      <w:r w:rsidR="00280581">
        <w:t>S</w:t>
      </w:r>
      <w:r>
        <w:t xml:space="preserve">afety </w:t>
      </w:r>
      <w:r w:rsidR="007B00C8">
        <w:t xml:space="preserve">and </w:t>
      </w:r>
      <w:r w:rsidR="00280581">
        <w:t>C</w:t>
      </w:r>
      <w:r w:rsidR="007B00C8">
        <w:t>apacity</w:t>
      </w:r>
      <w:bookmarkEnd w:id="38"/>
    </w:p>
    <w:p w:rsidR="00F75B53" w:rsidRPr="00E66AE9" w:rsidRDefault="00F75B53" w:rsidP="00890693">
      <w:pPr>
        <w:keepNext/>
      </w:pPr>
      <w:r w:rsidRPr="00EC1124">
        <w:rPr>
          <w:b/>
          <w:color w:val="0070C0"/>
        </w:rPr>
        <w:t>Evaluation Objective</w:t>
      </w:r>
      <w:r w:rsidRPr="00E66AE9">
        <w:t xml:space="preserve"> - </w:t>
      </w:r>
      <w:r w:rsidR="002F521C" w:rsidRPr="002F521C">
        <w:rPr>
          <w:i/>
        </w:rPr>
        <w:t>To provide for the duplication of the Western Highway between Beaufort and Ararat to enhance the safety and capacity of this inter-regional and interstate transport link</w:t>
      </w:r>
      <w:r w:rsidR="0084646B" w:rsidRPr="002F521C">
        <w:rPr>
          <w:i/>
        </w:rPr>
        <w:t>.</w:t>
      </w:r>
    </w:p>
    <w:p w:rsidR="00F75B53" w:rsidRPr="009C33B1" w:rsidRDefault="004B2823" w:rsidP="00890693">
      <w:pPr>
        <w:keepNext/>
        <w:rPr>
          <w:b/>
        </w:rPr>
      </w:pPr>
      <w:r w:rsidRPr="009C33B1">
        <w:rPr>
          <w:b/>
        </w:rPr>
        <w:t>K</w:t>
      </w:r>
      <w:r w:rsidR="00F75B53" w:rsidRPr="009C33B1">
        <w:rPr>
          <w:b/>
        </w:rPr>
        <w:t xml:space="preserve">ey Issues </w:t>
      </w:r>
    </w:p>
    <w:p w:rsidR="00F75B53" w:rsidRPr="00E66AE9" w:rsidRDefault="00F82AB8" w:rsidP="00890693">
      <w:pPr>
        <w:keepNext/>
      </w:pPr>
      <w:r w:rsidRPr="00E66AE9">
        <w:t>T</w:t>
      </w:r>
      <w:r w:rsidR="00F75B53" w:rsidRPr="00E66AE9">
        <w:t xml:space="preserve">he key issues </w:t>
      </w:r>
      <w:r w:rsidRPr="00E66AE9">
        <w:t xml:space="preserve">to consider regarding the project’s design and </w:t>
      </w:r>
      <w:r w:rsidR="006E435E" w:rsidRPr="00E66AE9">
        <w:t xml:space="preserve">its </w:t>
      </w:r>
      <w:r w:rsidR="006B316D">
        <w:t>associated safety</w:t>
      </w:r>
      <w:r w:rsidRPr="00E66AE9">
        <w:t xml:space="preserve"> and </w:t>
      </w:r>
      <w:r w:rsidR="006B316D">
        <w:t xml:space="preserve">capacity </w:t>
      </w:r>
      <w:r w:rsidRPr="00E66AE9">
        <w:t xml:space="preserve">benefits </w:t>
      </w:r>
      <w:r w:rsidR="00A74D08" w:rsidRPr="00E66AE9">
        <w:t>are</w:t>
      </w:r>
      <w:r w:rsidR="00F75B53" w:rsidRPr="00E66AE9">
        <w:t>:</w:t>
      </w:r>
    </w:p>
    <w:p w:rsidR="00F75B53" w:rsidRPr="00E66AE9" w:rsidRDefault="00A74D08" w:rsidP="00890693">
      <w:pPr>
        <w:keepNext/>
        <w:numPr>
          <w:ilvl w:val="0"/>
          <w:numId w:val="8"/>
        </w:numPr>
      </w:pPr>
      <w:r w:rsidRPr="00E66AE9">
        <w:t xml:space="preserve">Whether </w:t>
      </w:r>
      <w:r w:rsidR="00F75B53" w:rsidRPr="00E66AE9">
        <w:t xml:space="preserve">the </w:t>
      </w:r>
      <w:r w:rsidR="006B316D">
        <w:t>WHP2</w:t>
      </w:r>
      <w:r w:rsidR="006B316D" w:rsidRPr="00E66AE9">
        <w:t xml:space="preserve"> </w:t>
      </w:r>
      <w:r w:rsidR="00F57E55" w:rsidRPr="00E66AE9">
        <w:t>would sufficiently improve road safety</w:t>
      </w:r>
      <w:r w:rsidR="006E435E" w:rsidRPr="00E66AE9">
        <w:t xml:space="preserve">, in terms of </w:t>
      </w:r>
      <w:r w:rsidR="00F57E55" w:rsidRPr="00E66AE9">
        <w:t xml:space="preserve">the incidence and severity of road crashes on the </w:t>
      </w:r>
      <w:r w:rsidR="00CC6351">
        <w:t>Western Highway</w:t>
      </w:r>
      <w:r w:rsidR="00F57E55" w:rsidRPr="00E66AE9">
        <w:t xml:space="preserve"> bet</w:t>
      </w:r>
      <w:r w:rsidR="00607764" w:rsidRPr="00E66AE9">
        <w:t xml:space="preserve">ween </w:t>
      </w:r>
      <w:r w:rsidR="00CC6351">
        <w:t>Beaufort</w:t>
      </w:r>
      <w:r w:rsidR="00607764" w:rsidRPr="00E66AE9">
        <w:t xml:space="preserve"> and </w:t>
      </w:r>
      <w:r w:rsidR="00CC6351">
        <w:t>Ararat</w:t>
      </w:r>
      <w:r w:rsidR="006A6764">
        <w:t>.</w:t>
      </w:r>
      <w:r w:rsidR="00607764" w:rsidRPr="00E66AE9">
        <w:t xml:space="preserve"> </w:t>
      </w:r>
    </w:p>
    <w:p w:rsidR="006F591E" w:rsidRPr="00E66AE9" w:rsidRDefault="00AF402B" w:rsidP="005F2BEF">
      <w:pPr>
        <w:numPr>
          <w:ilvl w:val="0"/>
          <w:numId w:val="8"/>
        </w:numPr>
      </w:pPr>
      <w:r>
        <w:t>Whether the design</w:t>
      </w:r>
      <w:r w:rsidR="006F591E" w:rsidRPr="00E66AE9">
        <w:t xml:space="preserve"> address</w:t>
      </w:r>
      <w:r>
        <w:t>es</w:t>
      </w:r>
      <w:r w:rsidR="006F591E" w:rsidRPr="00E66AE9">
        <w:t xml:space="preserve"> </w:t>
      </w:r>
      <w:r>
        <w:t>capacity requirements</w:t>
      </w:r>
      <w:r w:rsidR="000F0542">
        <w:t xml:space="preserve"> in the context of its strategic role in the national transport network</w:t>
      </w:r>
      <w:r w:rsidR="006F591E" w:rsidRPr="00E66AE9">
        <w:t>.</w:t>
      </w:r>
    </w:p>
    <w:p w:rsidR="002315AF" w:rsidRPr="00A20188" w:rsidRDefault="007555B5" w:rsidP="001A578E">
      <w:pPr>
        <w:keepNext/>
        <w:rPr>
          <w:b/>
        </w:rPr>
      </w:pPr>
      <w:r>
        <w:rPr>
          <w:b/>
        </w:rPr>
        <w:t xml:space="preserve">Relevant </w:t>
      </w:r>
      <w:r w:rsidR="00477265" w:rsidRPr="00A20188">
        <w:rPr>
          <w:b/>
        </w:rPr>
        <w:t>C</w:t>
      </w:r>
      <w:r w:rsidR="002315AF" w:rsidRPr="00A20188">
        <w:rPr>
          <w:b/>
        </w:rPr>
        <w:t>ontext</w:t>
      </w:r>
    </w:p>
    <w:p w:rsidR="002315AF" w:rsidRPr="00E66AE9" w:rsidRDefault="002315AF" w:rsidP="00E66AE9">
      <w:r w:rsidRPr="00E66AE9">
        <w:t xml:space="preserve">The relevant policies </w:t>
      </w:r>
      <w:r w:rsidR="00112092" w:rsidRPr="00E66AE9">
        <w:t xml:space="preserve">and guidelines </w:t>
      </w:r>
      <w:r w:rsidR="006B316D">
        <w:t xml:space="preserve">that </w:t>
      </w:r>
      <w:r w:rsidR="00477265" w:rsidRPr="00E66AE9">
        <w:t xml:space="preserve">VicRoads have applied </w:t>
      </w:r>
      <w:r w:rsidRPr="00E66AE9">
        <w:t xml:space="preserve">to the </w:t>
      </w:r>
      <w:r w:rsidR="00112092" w:rsidRPr="00E66AE9">
        <w:t xml:space="preserve">development </w:t>
      </w:r>
      <w:r w:rsidR="00477265" w:rsidRPr="00E66AE9">
        <w:t xml:space="preserve">and </w:t>
      </w:r>
      <w:r w:rsidRPr="00E66AE9">
        <w:t xml:space="preserve">design of the </w:t>
      </w:r>
      <w:r w:rsidR="006B316D">
        <w:t>WHP2</w:t>
      </w:r>
      <w:r w:rsidRPr="00E66AE9">
        <w:t xml:space="preserve"> include the VicRoads Access Management </w:t>
      </w:r>
      <w:r w:rsidR="00A20188">
        <w:t>Policy (AMP) and the AustRoads G</w:t>
      </w:r>
      <w:r w:rsidRPr="00E66AE9">
        <w:t xml:space="preserve">uide to Road Design. </w:t>
      </w:r>
    </w:p>
    <w:p w:rsidR="004D31A6" w:rsidRDefault="00ED4138" w:rsidP="00E66AE9">
      <w:r>
        <w:t xml:space="preserve">Initially </w:t>
      </w:r>
      <w:r w:rsidR="004D31A6">
        <w:t xml:space="preserve">WHP2 </w:t>
      </w:r>
      <w:r w:rsidR="00155A2F">
        <w:t>involves upgrading the existing highway</w:t>
      </w:r>
      <w:r w:rsidR="004D31A6">
        <w:t xml:space="preserve"> to accord</w:t>
      </w:r>
      <w:r w:rsidR="002315AF" w:rsidRPr="00E66AE9">
        <w:t xml:space="preserve"> with Schedule 3 (Limited Access – Rural) of the VicRoads AMP</w:t>
      </w:r>
      <w:r w:rsidR="004D31A6">
        <w:t xml:space="preserve"> usually referred to as AMP3. This would involve wide median treatments at key intersections to accommodate safe turning movements. It is proposed to design the medians to </w:t>
      </w:r>
      <w:r>
        <w:t>provide for</w:t>
      </w:r>
      <w:r w:rsidR="004D31A6">
        <w:t xml:space="preserve"> </w:t>
      </w:r>
      <w:r>
        <w:t xml:space="preserve">the turning manoeuvre requirements of </w:t>
      </w:r>
      <w:r w:rsidR="004D31A6">
        <w:t>standard B-Double trucks. In general highway access would be left-in, left-out</w:t>
      </w:r>
      <w:r w:rsidR="00547B1E">
        <w:t>.</w:t>
      </w:r>
    </w:p>
    <w:p w:rsidR="00AF1965" w:rsidRDefault="00547B1E" w:rsidP="00E66AE9">
      <w:r>
        <w:t>Ultimately WHP2 is proposed to be further upgraded to a rural freeway standard designated by VicRoads as AMP1. This would require grade separated freeway interchanges and entry and exit ramps to be provided. Service roads would be provided wherever alternative access to an existing property is not available.</w:t>
      </w:r>
    </w:p>
    <w:p w:rsidR="00F231D6" w:rsidRPr="00890693" w:rsidRDefault="00F231D6" w:rsidP="00E66AE9">
      <w:pPr>
        <w:rPr>
          <w:b/>
        </w:rPr>
      </w:pPr>
      <w:r w:rsidRPr="00890693">
        <w:rPr>
          <w:b/>
        </w:rPr>
        <w:t xml:space="preserve">Discussion and Findings </w:t>
      </w:r>
    </w:p>
    <w:p w:rsidR="00670AE4" w:rsidRPr="00890693" w:rsidRDefault="00670AE4" w:rsidP="00670AE4">
      <w:r w:rsidRPr="00890693">
        <w:t xml:space="preserve">The Western Highway duplication (between Ballarat and Stawell) has been funded by the Commonwealth and State </w:t>
      </w:r>
      <w:r w:rsidR="006B316D" w:rsidRPr="00890693">
        <w:t xml:space="preserve">Governments </w:t>
      </w:r>
      <w:r w:rsidRPr="00890693">
        <w:t xml:space="preserve">as part of the Nation Building Program.  This was done in the context of the Western Highway being part of the National Land Transport Network, a strategically important network of transport linkages.  Indeed the Western Highway is the principal interstate road link between Adelaide and Melbourne, providing a key route for the freight industry and tourist traffic to and from the west - it is one of the busiest rural highways in the country and the most significant interstate route that is not duplicated. </w:t>
      </w:r>
    </w:p>
    <w:p w:rsidR="00216AE8" w:rsidRDefault="00216AE8" w:rsidP="00E66AE9">
      <w:r w:rsidRPr="00890693">
        <w:t>According to the EES</w:t>
      </w:r>
      <w:r w:rsidRPr="00890693">
        <w:rPr>
          <w:rStyle w:val="FootnoteReference"/>
        </w:rPr>
        <w:footnoteReference w:id="2"/>
      </w:r>
      <w:r w:rsidRPr="00890693">
        <w:t>, the total traffic volume along</w:t>
      </w:r>
      <w:r>
        <w:t xml:space="preserve"> the Western Highway has increased </w:t>
      </w:r>
      <w:r w:rsidR="006A6764">
        <w:t>five</w:t>
      </w:r>
      <w:r>
        <w:t xml:space="preserve"> per cent over the past three years. The Western Highway is currently supporting a variety </w:t>
      </w:r>
      <w:r w:rsidR="007E1A6C">
        <w:t>of</w:t>
      </w:r>
      <w:r>
        <w:t xml:space="preserve"> traffic</w:t>
      </w:r>
      <w:r w:rsidR="007E1A6C">
        <w:t xml:space="preserve"> ranging from tourist traffic attracted to the Goldfields Touring Route, commuter traffic, B double trucks and farm machinery. </w:t>
      </w:r>
      <w:r>
        <w:t xml:space="preserve">  About one-third of the highway traffic is heavy vehicles</w:t>
      </w:r>
      <w:r w:rsidR="007E1A6C">
        <w:t>.</w:t>
      </w:r>
      <w:r>
        <w:t xml:space="preserve"> There is an increasing problem of queuing behind slow-moving vehicles and additional costs borne by the freight industry through reductions in speed limits to improve road safety</w:t>
      </w:r>
      <w:r w:rsidR="00A44265">
        <w:t>.</w:t>
      </w:r>
      <w:r w:rsidR="00670AE4">
        <w:t xml:space="preserve">  The</w:t>
      </w:r>
      <w:r w:rsidR="005C1EE6">
        <w:t>refore</w:t>
      </w:r>
      <w:r w:rsidR="00670AE4">
        <w:t xml:space="preserve"> duplication is intended to allow safe overtaking at all times and eliminate traffic queuing.</w:t>
      </w:r>
    </w:p>
    <w:p w:rsidR="00BA7177" w:rsidRPr="00E66AE9" w:rsidRDefault="006B232B" w:rsidP="00E66AE9">
      <w:r w:rsidRPr="00E66AE9">
        <w:t xml:space="preserve">Between </w:t>
      </w:r>
      <w:r w:rsidR="007B25CB">
        <w:t>1 January 2007</w:t>
      </w:r>
      <w:r w:rsidRPr="00E66AE9">
        <w:t xml:space="preserve"> and </w:t>
      </w:r>
      <w:r w:rsidR="007B25CB">
        <w:t>31 December 2011</w:t>
      </w:r>
      <w:r w:rsidR="007E1A6C">
        <w:t>,</w:t>
      </w:r>
      <w:r w:rsidRPr="00E66AE9">
        <w:t xml:space="preserve"> there were a total of </w:t>
      </w:r>
      <w:r w:rsidR="007B25CB">
        <w:t>20</w:t>
      </w:r>
      <w:r w:rsidRPr="00E66AE9">
        <w:t xml:space="preserve"> recorded crashes within the project area, </w:t>
      </w:r>
      <w:r w:rsidR="007B25CB">
        <w:t>two</w:t>
      </w:r>
      <w:r w:rsidRPr="00E66AE9">
        <w:t xml:space="preserve"> of whi</w:t>
      </w:r>
      <w:r w:rsidR="007B25CB">
        <w:t>ch resulted in fatalities and 11</w:t>
      </w:r>
      <w:r w:rsidRPr="00E66AE9">
        <w:t xml:space="preserve"> resulting in serious injury.  </w:t>
      </w:r>
      <w:r w:rsidR="007E1A6C">
        <w:t>WHP2</w:t>
      </w:r>
      <w:r w:rsidR="007E1A6C" w:rsidRPr="00E66AE9">
        <w:t xml:space="preserve"> is intended to deliver important improvements to road safety by </w:t>
      </w:r>
      <w:r w:rsidR="00A722CA">
        <w:t xml:space="preserve">minimising </w:t>
      </w:r>
      <w:r w:rsidR="007E1A6C" w:rsidRPr="00E66AE9">
        <w:t xml:space="preserve">existing road safety risks and providing a higher road safety standard. </w:t>
      </w:r>
      <w:r w:rsidR="00F41EB3" w:rsidRPr="00E66AE9">
        <w:t>Key improvements expected to increase safety include</w:t>
      </w:r>
      <w:r w:rsidR="00155A2F">
        <w:t>:</w:t>
      </w:r>
      <w:r w:rsidR="00F41EB3" w:rsidRPr="00E66AE9">
        <w:t xml:space="preserve"> </w:t>
      </w:r>
      <w:r w:rsidR="007B25CB">
        <w:t>provision of central media</w:t>
      </w:r>
      <w:r w:rsidR="00155A2F">
        <w:t>ns to reduce head-on collisions;</w:t>
      </w:r>
      <w:r w:rsidR="00F41EB3" w:rsidRPr="00E66AE9">
        <w:t xml:space="preserve"> clear zones </w:t>
      </w:r>
      <w:r w:rsidR="00155A2F">
        <w:t>either side of the carriageways;</w:t>
      </w:r>
      <w:r w:rsidR="00F41EB3" w:rsidRPr="00E66AE9">
        <w:t xml:space="preserve"> </w:t>
      </w:r>
      <w:r w:rsidR="007B25CB">
        <w:t>improved vertical and horizontal alignments</w:t>
      </w:r>
      <w:r w:rsidR="00155A2F">
        <w:t>;</w:t>
      </w:r>
      <w:r w:rsidR="007B25CB">
        <w:t xml:space="preserve"> and </w:t>
      </w:r>
      <w:r w:rsidR="007B25CB" w:rsidRPr="00E66AE9">
        <w:t>adequate</w:t>
      </w:r>
      <w:r w:rsidR="007B25CB">
        <w:t xml:space="preserve"> rest area facilities</w:t>
      </w:r>
      <w:r w:rsidR="00F41EB3" w:rsidRPr="00E66AE9">
        <w:t xml:space="preserve">. </w:t>
      </w:r>
      <w:r w:rsidRPr="00E66AE9">
        <w:t xml:space="preserve">VicRoads predict that </w:t>
      </w:r>
      <w:r w:rsidR="00025E29" w:rsidRPr="00E66AE9">
        <w:t xml:space="preserve">the </w:t>
      </w:r>
      <w:r w:rsidR="007B25CB">
        <w:t>WHP2 would re</w:t>
      </w:r>
      <w:r w:rsidR="00155A2F">
        <w:t>duce</w:t>
      </w:r>
      <w:r w:rsidR="006E5259">
        <w:t xml:space="preserve"> </w:t>
      </w:r>
      <w:r w:rsidR="00155A2F">
        <w:t xml:space="preserve">the </w:t>
      </w:r>
      <w:r w:rsidR="006E5259">
        <w:t>crash rate from 5.5 to 3.4</w:t>
      </w:r>
      <w:r w:rsidR="007B25CB">
        <w:t xml:space="preserve"> per 100 million km</w:t>
      </w:r>
      <w:r w:rsidR="006E5259">
        <w:t xml:space="preserve"> (when constructed to AMP1 standard)</w:t>
      </w:r>
      <w:r w:rsidR="00DB7C61">
        <w:t>, therefore it is expected to substantially reduce the incidence of casualty crashes</w:t>
      </w:r>
      <w:r w:rsidR="00DB7C61">
        <w:rPr>
          <w:rStyle w:val="FootnoteReference"/>
        </w:rPr>
        <w:footnoteReference w:id="3"/>
      </w:r>
      <w:r w:rsidR="006E5259">
        <w:t>.</w:t>
      </w:r>
    </w:p>
    <w:p w:rsidR="002315AF" w:rsidRPr="00E66AE9" w:rsidRDefault="007555B5" w:rsidP="00E66AE9">
      <w:r>
        <w:t>A</w:t>
      </w:r>
      <w:r w:rsidR="00480761">
        <w:t xml:space="preserve">dverse impacts during the construction period would be manageable through the implementation of detailed traffic management plans </w:t>
      </w:r>
      <w:r w:rsidR="0078245D">
        <w:t>(TMP</w:t>
      </w:r>
      <w:r w:rsidR="001C1141">
        <w:t>s</w:t>
      </w:r>
      <w:r w:rsidR="0078245D">
        <w:t xml:space="preserve">) </w:t>
      </w:r>
      <w:r w:rsidR="00480761">
        <w:t>and community consultation.</w:t>
      </w:r>
      <w:bookmarkStart w:id="39" w:name="_Toc329081128"/>
      <w:r w:rsidR="00EA05AA">
        <w:t xml:space="preserve"> The Inquiry not</w:t>
      </w:r>
      <w:r w:rsidR="00EA70E3" w:rsidRPr="002D081C">
        <w:t>ed</w:t>
      </w:r>
      <w:r w:rsidR="00EA05AA">
        <w:t xml:space="preserve"> that there is no discernable </w:t>
      </w:r>
      <w:r>
        <w:t xml:space="preserve">difference </w:t>
      </w:r>
      <w:r w:rsidR="001C1141">
        <w:t>between O</w:t>
      </w:r>
      <w:r w:rsidR="00EA05AA">
        <w:t xml:space="preserve">ptions 1 and 2 in </w:t>
      </w:r>
      <w:r>
        <w:t xml:space="preserve">relation </w:t>
      </w:r>
      <w:r w:rsidR="00EA05AA">
        <w:t xml:space="preserve">to traffic </w:t>
      </w:r>
      <w:r>
        <w:t xml:space="preserve">impacts </w:t>
      </w:r>
      <w:r w:rsidR="00EA05AA">
        <w:t xml:space="preserve">and </w:t>
      </w:r>
      <w:r>
        <w:t xml:space="preserve">predicted </w:t>
      </w:r>
      <w:r w:rsidR="00EA05AA">
        <w:t>transport</w:t>
      </w:r>
      <w:r>
        <w:t xml:space="preserve"> outcomes</w:t>
      </w:r>
      <w:r w:rsidR="00EA05AA">
        <w:t>.</w:t>
      </w:r>
    </w:p>
    <w:p w:rsidR="008B43D7" w:rsidRPr="00EC1124" w:rsidRDefault="008B43D7" w:rsidP="00E66AE9">
      <w:pPr>
        <w:rPr>
          <w:b/>
          <w:sz w:val="24"/>
        </w:rPr>
      </w:pPr>
      <w:r w:rsidRPr="00EC1124">
        <w:rPr>
          <w:b/>
          <w:sz w:val="24"/>
        </w:rPr>
        <w:lastRenderedPageBreak/>
        <w:t>Conclusion</w:t>
      </w:r>
      <w:r w:rsidR="00F231D6" w:rsidRPr="00EC1124">
        <w:rPr>
          <w:b/>
          <w:sz w:val="24"/>
        </w:rPr>
        <w:t>s</w:t>
      </w:r>
      <w:bookmarkEnd w:id="39"/>
      <w:r w:rsidRPr="00EC1124">
        <w:rPr>
          <w:b/>
          <w:sz w:val="24"/>
        </w:rPr>
        <w:t xml:space="preserve"> </w:t>
      </w:r>
    </w:p>
    <w:p w:rsidR="00547617" w:rsidRPr="00890693" w:rsidRDefault="00547617" w:rsidP="00FD578B">
      <w:pPr>
        <w:spacing w:after="480"/>
      </w:pPr>
      <w:r w:rsidRPr="00890693">
        <w:t xml:space="preserve">Having regard to the EES, submissions and the Inquiry </w:t>
      </w:r>
      <w:r w:rsidR="008F1B00" w:rsidRPr="00890693">
        <w:t>R</w:t>
      </w:r>
      <w:r w:rsidRPr="00890693">
        <w:t>eport, i</w:t>
      </w:r>
      <w:r w:rsidR="00F41AA2" w:rsidRPr="00890693">
        <w:t>t is my assessment that</w:t>
      </w:r>
      <w:r w:rsidR="008A3EBB" w:rsidRPr="00890693">
        <w:t xml:space="preserve"> </w:t>
      </w:r>
      <w:r w:rsidR="0078245D" w:rsidRPr="00890693">
        <w:t>WHP2</w:t>
      </w:r>
      <w:r w:rsidR="00480761" w:rsidRPr="00890693">
        <w:t xml:space="preserve"> would</w:t>
      </w:r>
      <w:r w:rsidRPr="00890693">
        <w:t xml:space="preserve"> </w:t>
      </w:r>
      <w:r w:rsidR="008A3EBB" w:rsidRPr="00890693">
        <w:t xml:space="preserve">enable </w:t>
      </w:r>
      <w:r w:rsidRPr="00890693">
        <w:t xml:space="preserve">road safety </w:t>
      </w:r>
      <w:r w:rsidR="008A3EBB" w:rsidRPr="00890693">
        <w:t xml:space="preserve">to be improved </w:t>
      </w:r>
      <w:r w:rsidR="00EA05AA" w:rsidRPr="00890693">
        <w:t xml:space="preserve">between Beaufort and Ararat </w:t>
      </w:r>
      <w:r w:rsidR="00C82CE3" w:rsidRPr="00890693">
        <w:t>irrespe</w:t>
      </w:r>
      <w:r w:rsidR="001C1141" w:rsidRPr="00890693">
        <w:t>ctive of whether O</w:t>
      </w:r>
      <w:r w:rsidR="00C82CE3" w:rsidRPr="00890693">
        <w:t>ption 1 or 2 is selected as the final alignment</w:t>
      </w:r>
      <w:r w:rsidRPr="00890693">
        <w:t xml:space="preserve">. </w:t>
      </w:r>
      <w:r w:rsidR="005C1EE6" w:rsidRPr="00890693">
        <w:t xml:space="preserve"> Further, the project will </w:t>
      </w:r>
      <w:r w:rsidR="00B65BAC" w:rsidRPr="00890693">
        <w:t xml:space="preserve">contribute to </w:t>
      </w:r>
      <w:r w:rsidR="005C1EE6" w:rsidRPr="00890693">
        <w:t>the upgrade in capacity and reliability of an important inter-regional and inter</w:t>
      </w:r>
      <w:r w:rsidR="00B65BAC" w:rsidRPr="00890693">
        <w:t>-state transport link</w:t>
      </w:r>
      <w:r w:rsidR="001C1141" w:rsidRPr="00890693">
        <w:t>, enabling</w:t>
      </w:r>
      <w:r w:rsidR="00B65BAC" w:rsidRPr="00890693">
        <w:t xml:space="preserve"> the efficient movement of </w:t>
      </w:r>
      <w:r w:rsidR="005C1EE6" w:rsidRPr="00890693">
        <w:t xml:space="preserve">freight </w:t>
      </w:r>
      <w:r w:rsidR="00B65BAC" w:rsidRPr="00890693">
        <w:t xml:space="preserve">through </w:t>
      </w:r>
      <w:r w:rsidR="005C1EE6" w:rsidRPr="00890693">
        <w:t>this corridor.</w:t>
      </w:r>
    </w:p>
    <w:p w:rsidR="003D4A37" w:rsidRPr="00E66AE9" w:rsidRDefault="003D4A37" w:rsidP="007555B5">
      <w:pPr>
        <w:pStyle w:val="Heading2"/>
      </w:pPr>
      <w:bookmarkStart w:id="40" w:name="_Ref329080041"/>
      <w:bookmarkStart w:id="41" w:name="_Toc354582225"/>
      <w:bookmarkStart w:id="42" w:name="_Ref329080024"/>
      <w:r w:rsidRPr="00E66AE9">
        <w:t>Biodiversity and Habitat</w:t>
      </w:r>
      <w:bookmarkEnd w:id="40"/>
      <w:bookmarkEnd w:id="41"/>
    </w:p>
    <w:p w:rsidR="0084086E" w:rsidRDefault="003D4A37">
      <w:pPr>
        <w:keepNext/>
        <w:rPr>
          <w:i/>
        </w:rPr>
      </w:pPr>
      <w:r w:rsidRPr="00EC1124">
        <w:rPr>
          <w:b/>
          <w:color w:val="0070C0"/>
        </w:rPr>
        <w:t>Evaluation Objective</w:t>
      </w:r>
      <w:r w:rsidRPr="0078245D">
        <w:rPr>
          <w:b/>
        </w:rPr>
        <w:t xml:space="preserve"> – </w:t>
      </w:r>
      <w:bookmarkStart w:id="43" w:name="_Toc293090557"/>
      <w:r w:rsidRPr="0091112D">
        <w:rPr>
          <w:i/>
        </w:rPr>
        <w:t>To avoid or minimise effects on flora and fauna species and ecological communities listed under the Flora and Fauna Guarantee Act 1988 or the Environment Protection and Biodiversity Conservation Act 1999 as well as to comply with requirements under Victoria’s Native Vegetation Management - A Framework for Action (2002)</w:t>
      </w:r>
      <w:r w:rsidR="00EC1124">
        <w:rPr>
          <w:i/>
        </w:rPr>
        <w:t>.</w:t>
      </w:r>
    </w:p>
    <w:p w:rsidR="0084086E" w:rsidRDefault="003D4A37">
      <w:pPr>
        <w:keepNext/>
        <w:rPr>
          <w:b/>
        </w:rPr>
      </w:pPr>
      <w:r w:rsidRPr="0091112D">
        <w:rPr>
          <w:b/>
        </w:rPr>
        <w:t>Key Issues</w:t>
      </w:r>
    </w:p>
    <w:p w:rsidR="003D4A37" w:rsidRPr="00E66AE9" w:rsidRDefault="003D4A37" w:rsidP="003D4A37">
      <w:r w:rsidRPr="00E66AE9">
        <w:t xml:space="preserve">In the context of the relevant legislation and </w:t>
      </w:r>
      <w:r w:rsidR="0024306E">
        <w:t xml:space="preserve">statutory </w:t>
      </w:r>
      <w:r w:rsidRPr="00E66AE9">
        <w:t>policy, the evaluation of potential effects on biodiversity and native vegetation needs to address the following issues:</w:t>
      </w:r>
    </w:p>
    <w:p w:rsidR="003D4A37" w:rsidRPr="00E66AE9" w:rsidRDefault="003D4A37" w:rsidP="005F2BEF">
      <w:pPr>
        <w:numPr>
          <w:ilvl w:val="0"/>
          <w:numId w:val="9"/>
        </w:numPr>
      </w:pPr>
      <w:r w:rsidRPr="00E66AE9">
        <w:t xml:space="preserve">Whether the potential </w:t>
      </w:r>
      <w:r w:rsidR="0024306E">
        <w:t>effects</w:t>
      </w:r>
      <w:r w:rsidRPr="00E66AE9">
        <w:t xml:space="preserve"> on native vegetation are acceptable, including whether the removal of very high and high conservation significance </w:t>
      </w:r>
      <w:r w:rsidR="0024306E">
        <w:t>ecological vegetation classes (</w:t>
      </w:r>
      <w:r w:rsidRPr="00E66AE9">
        <w:t>EVCs</w:t>
      </w:r>
      <w:r w:rsidR="0024306E">
        <w:t>)</w:t>
      </w:r>
      <w:r w:rsidRPr="00E66AE9">
        <w:t xml:space="preserve"> are acceptable in the context of the p</w:t>
      </w:r>
      <w:r w:rsidR="00475ECC">
        <w:t>rovision</w:t>
      </w:r>
      <w:r w:rsidRPr="00E66AE9">
        <w:t>s of</w:t>
      </w:r>
      <w:r w:rsidR="0078245D">
        <w:t xml:space="preserve"> </w:t>
      </w:r>
      <w:r w:rsidR="00475ECC" w:rsidRPr="0091112D">
        <w:rPr>
          <w:i/>
        </w:rPr>
        <w:t xml:space="preserve">Victoria’s Native Vegetation Management - A Framework for Action </w:t>
      </w:r>
      <w:r w:rsidR="0078245D">
        <w:t>(NVMF)</w:t>
      </w:r>
      <w:r w:rsidRPr="00E66AE9">
        <w:t>.</w:t>
      </w:r>
    </w:p>
    <w:p w:rsidR="003D4A37" w:rsidRPr="00E66AE9" w:rsidRDefault="003D4A37" w:rsidP="005F2BEF">
      <w:pPr>
        <w:numPr>
          <w:ilvl w:val="0"/>
          <w:numId w:val="9"/>
        </w:numPr>
      </w:pPr>
      <w:r w:rsidRPr="00E66AE9">
        <w:t xml:space="preserve">Whether the potential </w:t>
      </w:r>
      <w:r w:rsidR="00475ECC" w:rsidRPr="00E66AE9">
        <w:t>direct and indirect</w:t>
      </w:r>
      <w:r w:rsidR="00475ECC">
        <w:t xml:space="preserve"> </w:t>
      </w:r>
      <w:r w:rsidR="0024306E">
        <w:t>effects</w:t>
      </w:r>
      <w:r w:rsidRPr="00E66AE9">
        <w:t xml:space="preserve"> on protected species of flora and fauna</w:t>
      </w:r>
      <w:r w:rsidR="00995EF5">
        <w:t xml:space="preserve"> and their habitat, as well as</w:t>
      </w:r>
      <w:r w:rsidRPr="00E66AE9">
        <w:t xml:space="preserve"> </w:t>
      </w:r>
      <w:r>
        <w:t>on listed ecological communities</w:t>
      </w:r>
      <w:r w:rsidR="00475ECC">
        <w:t>,</w:t>
      </w:r>
      <w:r>
        <w:t xml:space="preserve"> </w:t>
      </w:r>
      <w:r w:rsidRPr="00E66AE9">
        <w:t>are significant and/or acceptable</w:t>
      </w:r>
      <w:r>
        <w:t>.</w:t>
      </w:r>
    </w:p>
    <w:bookmarkEnd w:id="43"/>
    <w:p w:rsidR="003D4A37" w:rsidRPr="0091112D" w:rsidRDefault="003D4A37" w:rsidP="003D4A37">
      <w:pPr>
        <w:rPr>
          <w:b/>
        </w:rPr>
      </w:pPr>
      <w:r w:rsidRPr="0091112D">
        <w:rPr>
          <w:b/>
        </w:rPr>
        <w:t xml:space="preserve">Discussion and Findings </w:t>
      </w:r>
    </w:p>
    <w:p w:rsidR="003D4A37" w:rsidRPr="00E04F56" w:rsidRDefault="003D4A37" w:rsidP="003D4A37">
      <w:pPr>
        <w:rPr>
          <w:b/>
          <w:sz w:val="24"/>
        </w:rPr>
      </w:pPr>
      <w:r w:rsidRPr="00E04F56">
        <w:rPr>
          <w:b/>
          <w:sz w:val="24"/>
        </w:rPr>
        <w:t>Native Vegetation</w:t>
      </w:r>
    </w:p>
    <w:p w:rsidR="003D4A37" w:rsidRDefault="003D4A37" w:rsidP="003D4A37">
      <w:r>
        <w:t xml:space="preserve">WHP2 would affect 10 </w:t>
      </w:r>
      <w:r w:rsidR="0024306E">
        <w:t>EVCs</w:t>
      </w:r>
      <w:r>
        <w:t xml:space="preserve"> of </w:t>
      </w:r>
      <w:r w:rsidR="0078245D">
        <w:t>va</w:t>
      </w:r>
      <w:r>
        <w:t>rying quality and conservation significance. These are listed below along with their conservation status under the</w:t>
      </w:r>
      <w:r w:rsidR="00496233" w:rsidRPr="00496233">
        <w:t xml:space="preserve"> </w:t>
      </w:r>
      <w:r w:rsidR="00496233" w:rsidRPr="00E66AE9">
        <w:t>NVMF</w:t>
      </w:r>
      <w:r>
        <w:t>:</w:t>
      </w:r>
    </w:p>
    <w:p w:rsidR="003D4A37" w:rsidRDefault="003D4A37" w:rsidP="005F2BEF">
      <w:pPr>
        <w:numPr>
          <w:ilvl w:val="0"/>
          <w:numId w:val="10"/>
        </w:numPr>
        <w:spacing w:before="0" w:after="0"/>
      </w:pPr>
      <w:r>
        <w:t>Plains Grassland (endangered)</w:t>
      </w:r>
    </w:p>
    <w:p w:rsidR="003D4A37" w:rsidRDefault="003D4A37" w:rsidP="005F2BEF">
      <w:pPr>
        <w:numPr>
          <w:ilvl w:val="0"/>
          <w:numId w:val="10"/>
        </w:numPr>
        <w:spacing w:before="0" w:after="0"/>
      </w:pPr>
      <w:r>
        <w:t>Plains Grassy Woodland (endangered)</w:t>
      </w:r>
    </w:p>
    <w:p w:rsidR="003D4A37" w:rsidRDefault="003D4A37" w:rsidP="005F2BEF">
      <w:pPr>
        <w:numPr>
          <w:ilvl w:val="0"/>
          <w:numId w:val="10"/>
        </w:numPr>
        <w:spacing w:before="0" w:after="0"/>
      </w:pPr>
      <w:r>
        <w:t>Alluvial Terraces Herb-rich Woodland (endangered)</w:t>
      </w:r>
    </w:p>
    <w:p w:rsidR="003D4A37" w:rsidRDefault="003D4A37" w:rsidP="005F2BEF">
      <w:pPr>
        <w:numPr>
          <w:ilvl w:val="0"/>
          <w:numId w:val="10"/>
        </w:numPr>
        <w:spacing w:before="0" w:after="0"/>
      </w:pPr>
      <w:r>
        <w:t>Hills Herb-rich Woodland (vulnerable)</w:t>
      </w:r>
    </w:p>
    <w:p w:rsidR="003D4A37" w:rsidRDefault="003D4A37" w:rsidP="005F2BEF">
      <w:pPr>
        <w:numPr>
          <w:ilvl w:val="0"/>
          <w:numId w:val="10"/>
        </w:numPr>
        <w:spacing w:before="0" w:after="0"/>
      </w:pPr>
      <w:r>
        <w:t>Heathy Dry Forest (least concern)</w:t>
      </w:r>
    </w:p>
    <w:p w:rsidR="003D4A37" w:rsidRDefault="003D4A37" w:rsidP="005F2BEF">
      <w:pPr>
        <w:numPr>
          <w:ilvl w:val="0"/>
          <w:numId w:val="10"/>
        </w:numPr>
        <w:spacing w:before="0" w:after="0"/>
      </w:pPr>
      <w:r>
        <w:t>Creekline Grassy Woodland (endangered)</w:t>
      </w:r>
    </w:p>
    <w:p w:rsidR="003D4A37" w:rsidRDefault="003D4A37" w:rsidP="005F2BEF">
      <w:pPr>
        <w:numPr>
          <w:ilvl w:val="0"/>
          <w:numId w:val="10"/>
        </w:numPr>
        <w:spacing w:before="0" w:after="0"/>
      </w:pPr>
      <w:r>
        <w:t>Grassy Woodland (endangered)</w:t>
      </w:r>
    </w:p>
    <w:p w:rsidR="003D4A37" w:rsidRDefault="003D4A37" w:rsidP="005F2BEF">
      <w:pPr>
        <w:numPr>
          <w:ilvl w:val="0"/>
          <w:numId w:val="10"/>
        </w:numPr>
        <w:spacing w:before="0" w:after="0"/>
      </w:pPr>
      <w:r>
        <w:t>Plains Grassy Wetland (endangered)</w:t>
      </w:r>
    </w:p>
    <w:p w:rsidR="003D4A37" w:rsidRDefault="003D4A37" w:rsidP="005F2BEF">
      <w:pPr>
        <w:numPr>
          <w:ilvl w:val="0"/>
          <w:numId w:val="10"/>
        </w:numPr>
        <w:spacing w:before="0" w:after="0"/>
      </w:pPr>
      <w:r>
        <w:t xml:space="preserve">Grassy Dry Forest (depleted) </w:t>
      </w:r>
    </w:p>
    <w:p w:rsidR="003D4A37" w:rsidRDefault="003D4A37" w:rsidP="005F2BEF">
      <w:pPr>
        <w:numPr>
          <w:ilvl w:val="0"/>
          <w:numId w:val="10"/>
        </w:numPr>
        <w:spacing w:before="0" w:after="0"/>
      </w:pPr>
      <w:r>
        <w:t>Heath Woodland (depleted).</w:t>
      </w:r>
    </w:p>
    <w:p w:rsidR="003D4A37" w:rsidRDefault="003D4A37" w:rsidP="003D4A37">
      <w:r>
        <w:t xml:space="preserve">In the selection of alignment options for WHP2, </w:t>
      </w:r>
      <w:r w:rsidR="0024306E">
        <w:t xml:space="preserve">VicRoads gave </w:t>
      </w:r>
      <w:r>
        <w:t xml:space="preserve">a high priority to avoiding and minimising </w:t>
      </w:r>
      <w:r w:rsidR="0024306E">
        <w:t>effects</w:t>
      </w:r>
      <w:r>
        <w:t xml:space="preserve"> on native vegetation of very</w:t>
      </w:r>
      <w:r w:rsidR="00780E87">
        <w:t xml:space="preserve"> high</w:t>
      </w:r>
      <w:r>
        <w:t xml:space="preserve"> </w:t>
      </w:r>
      <w:r w:rsidR="00F35DB9">
        <w:t xml:space="preserve">conservation significance (VHCS) </w:t>
      </w:r>
      <w:r>
        <w:t>and high conservation significance</w:t>
      </w:r>
      <w:r w:rsidR="00F35DB9">
        <w:t xml:space="preserve"> (HCS)</w:t>
      </w:r>
      <w:r>
        <w:t>. Table 13-9 of the EES lists specific locations where the alignment or d</w:t>
      </w:r>
      <w:r w:rsidR="006A6764">
        <w:t>esign has been varied for both O</w:t>
      </w:r>
      <w:r>
        <w:t xml:space="preserve">ptions 1 and 2 to reduce </w:t>
      </w:r>
      <w:r w:rsidR="0024306E">
        <w:t>effects</w:t>
      </w:r>
      <w:r>
        <w:t xml:space="preserve"> on native vegetation </w:t>
      </w:r>
      <w:r w:rsidR="006D3D73">
        <w:t>of</w:t>
      </w:r>
      <w:r>
        <w:t xml:space="preserve"> </w:t>
      </w:r>
      <w:r w:rsidR="00F35DB9">
        <w:t xml:space="preserve">VHCS </w:t>
      </w:r>
      <w:r>
        <w:t xml:space="preserve">and </w:t>
      </w:r>
      <w:r w:rsidR="006D3D73">
        <w:t xml:space="preserve">HCS </w:t>
      </w:r>
      <w:r w:rsidRPr="00A96184">
        <w:t>categories</w:t>
      </w:r>
      <w:r>
        <w:t xml:space="preserve">. These measures </w:t>
      </w:r>
      <w:r w:rsidR="00780E87">
        <w:t xml:space="preserve">also </w:t>
      </w:r>
      <w:r>
        <w:t>include</w:t>
      </w:r>
      <w:r w:rsidR="00F35DB9">
        <w:t>d</w:t>
      </w:r>
      <w:r>
        <w:t xml:space="preserve"> narrowing of the median to reduce </w:t>
      </w:r>
      <w:r w:rsidR="0024306E">
        <w:t>effects</w:t>
      </w:r>
      <w:r>
        <w:t xml:space="preserve"> on Golden Sun Moth habitat and the use of a wide median between the carriageways to protect Yarra Gums adjacent to the existing highway.</w:t>
      </w:r>
    </w:p>
    <w:p w:rsidR="003D4A37" w:rsidRPr="00E66AE9" w:rsidRDefault="003D4A37" w:rsidP="003D4A37">
      <w:r>
        <w:t xml:space="preserve">Table 2 summarises the net native vegetation losses for </w:t>
      </w:r>
      <w:r w:rsidR="006A6764">
        <w:t>O</w:t>
      </w:r>
      <w:r>
        <w:t xml:space="preserve">ptions 1 and 2 after alignment/design measures for reducing vegetation </w:t>
      </w:r>
      <w:r w:rsidR="00F35DB9">
        <w:t xml:space="preserve">losses </w:t>
      </w:r>
      <w:r>
        <w:t>have been taken into account.</w:t>
      </w:r>
    </w:p>
    <w:p w:rsidR="00F35DB9" w:rsidRDefault="00F35DB9" w:rsidP="00F35DB9">
      <w:r>
        <w:t xml:space="preserve">In addition, </w:t>
      </w:r>
      <w:r w:rsidRPr="00E66AE9">
        <w:t xml:space="preserve">some </w:t>
      </w:r>
      <w:r>
        <w:t xml:space="preserve">221 large old trees (LOTs) would be lost under Option 1 and 214 LOTs </w:t>
      </w:r>
      <w:r w:rsidRPr="00E66AE9">
        <w:t>would</w:t>
      </w:r>
      <w:r>
        <w:t xml:space="preserve"> be lost under Option 2. Under the NVMF, offsetting requirements for </w:t>
      </w:r>
      <w:r w:rsidR="006A6764">
        <w:t>O</w:t>
      </w:r>
      <w:r>
        <w:t xml:space="preserve">ption 1 would include a net gain target of </w:t>
      </w:r>
      <w:r w:rsidRPr="00AB40D6">
        <w:t>65.54</w:t>
      </w:r>
      <w:r>
        <w:t xml:space="preserve"> </w:t>
      </w:r>
      <w:r w:rsidR="00A55AA2">
        <w:t>Habitat hectares (</w:t>
      </w:r>
      <w:r>
        <w:t>Hha</w:t>
      </w:r>
      <w:r w:rsidR="00A55AA2">
        <w:t>)</w:t>
      </w:r>
      <w:r>
        <w:t xml:space="preserve">, protection of 1414 LOTs and recruitment of 7070 trees. For Option 2, the corresponding figures would be a net gain </w:t>
      </w:r>
      <w:r>
        <w:lastRenderedPageBreak/>
        <w:t>target of 86.98 Hha, protection of 1254 LOTs and recruitment of 6270 trees.</w:t>
      </w:r>
      <w:r w:rsidRPr="00597C63">
        <w:t xml:space="preserve"> </w:t>
      </w:r>
      <w:r>
        <w:t>According to the EES</w:t>
      </w:r>
      <w:r>
        <w:rPr>
          <w:rStyle w:val="FootnoteReference"/>
        </w:rPr>
        <w:footnoteReference w:id="4"/>
      </w:r>
      <w:r>
        <w:t>, the figures provided for the loss of LOTs are likely to be reduced further during the detailed design phase through micro alignment and construction planning.</w:t>
      </w:r>
    </w:p>
    <w:p w:rsidR="00F35DB9" w:rsidRDefault="00F35DB9" w:rsidP="00F35DB9">
      <w:r>
        <w:t>VicRoads propose to source offsets required under the NVMF from a number of sources including: VicRoads Net Gain Bank, BushBroker, Trust for Nature and private offset brokers.  There is also the potential to acquire land for offsets through negotiations with land owners near the project.</w:t>
      </w:r>
    </w:p>
    <w:p w:rsidR="00F35DB9" w:rsidRDefault="00F35DB9">
      <w:pPr>
        <w:spacing w:before="0" w:after="0"/>
        <w:jc w:val="left"/>
        <w:rPr>
          <w:b/>
        </w:rPr>
      </w:pPr>
    </w:p>
    <w:p w:rsidR="003D4A37" w:rsidRPr="00780E87" w:rsidRDefault="001E3165" w:rsidP="00E43CC5">
      <w:pPr>
        <w:keepLines/>
        <w:rPr>
          <w:b/>
        </w:rPr>
      </w:pPr>
      <w:r w:rsidRPr="001E3165">
        <w:rPr>
          <w:b/>
        </w:rPr>
        <w:t xml:space="preserve">Table </w:t>
      </w:r>
      <w:r w:rsidR="00AA5706" w:rsidRPr="001E3165">
        <w:rPr>
          <w:b/>
        </w:rPr>
        <w:fldChar w:fldCharType="begin"/>
      </w:r>
      <w:r w:rsidRPr="001E3165">
        <w:rPr>
          <w:b/>
        </w:rPr>
        <w:instrText xml:space="preserve"> SEQ Table \* ARABIC </w:instrText>
      </w:r>
      <w:r w:rsidR="00AA5706" w:rsidRPr="001E3165">
        <w:rPr>
          <w:b/>
        </w:rPr>
        <w:fldChar w:fldCharType="separate"/>
      </w:r>
      <w:r w:rsidR="00562F22">
        <w:rPr>
          <w:b/>
          <w:noProof/>
        </w:rPr>
        <w:t>2</w:t>
      </w:r>
      <w:r w:rsidR="00AA5706" w:rsidRPr="001E3165">
        <w:rPr>
          <w:b/>
        </w:rPr>
        <w:fldChar w:fldCharType="end"/>
      </w:r>
      <w:r>
        <w:rPr>
          <w:b/>
        </w:rPr>
        <w:t>.</w:t>
      </w:r>
      <w:r w:rsidR="006A6764">
        <w:rPr>
          <w:b/>
        </w:rPr>
        <w:t xml:space="preserve"> </w:t>
      </w:r>
      <w:r w:rsidR="00EA70E3" w:rsidRPr="00EA70E3">
        <w:rPr>
          <w:b/>
        </w:rPr>
        <w:t xml:space="preserve"> Comparison of native vegetation losses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59"/>
        <w:gridCol w:w="1985"/>
        <w:gridCol w:w="2268"/>
        <w:gridCol w:w="2551"/>
      </w:tblGrid>
      <w:tr w:rsidR="003D4A37" w:rsidRPr="00E66AE9" w:rsidTr="0051042E">
        <w:trPr>
          <w:cantSplit/>
          <w:tblHeader/>
        </w:trPr>
        <w:tc>
          <w:tcPr>
            <w:tcW w:w="1134" w:type="dxa"/>
            <w:tcBorders>
              <w:bottom w:val="single" w:sz="12" w:space="0" w:color="auto"/>
            </w:tcBorders>
            <w:shd w:val="clear" w:color="auto" w:fill="595959" w:themeFill="text1" w:themeFillTint="A6"/>
          </w:tcPr>
          <w:p w:rsidR="003D4A37" w:rsidRPr="00901F1A" w:rsidRDefault="003D4A37" w:rsidP="00E43CC5">
            <w:pPr>
              <w:keepLines/>
              <w:jc w:val="center"/>
              <w:rPr>
                <w:color w:val="FFFFFF" w:themeColor="background1"/>
              </w:rPr>
            </w:pPr>
            <w:r w:rsidRPr="00901F1A">
              <w:rPr>
                <w:color w:val="FFFFFF" w:themeColor="background1"/>
              </w:rPr>
              <w:t>Option</w:t>
            </w:r>
          </w:p>
        </w:tc>
        <w:tc>
          <w:tcPr>
            <w:tcW w:w="1559" w:type="dxa"/>
            <w:tcBorders>
              <w:bottom w:val="single" w:sz="12" w:space="0" w:color="auto"/>
            </w:tcBorders>
            <w:shd w:val="clear" w:color="auto" w:fill="595959" w:themeFill="text1" w:themeFillTint="A6"/>
          </w:tcPr>
          <w:p w:rsidR="003D4A37" w:rsidRPr="00901F1A" w:rsidRDefault="003D4A37" w:rsidP="00E43CC5">
            <w:pPr>
              <w:keepLines/>
              <w:jc w:val="center"/>
              <w:rPr>
                <w:color w:val="FFFFFF" w:themeColor="background1"/>
              </w:rPr>
            </w:pPr>
            <w:r w:rsidRPr="00901F1A">
              <w:rPr>
                <w:color w:val="FFFFFF" w:themeColor="background1"/>
              </w:rPr>
              <w:t>Conservation Significance</w:t>
            </w:r>
          </w:p>
        </w:tc>
        <w:tc>
          <w:tcPr>
            <w:tcW w:w="1985" w:type="dxa"/>
            <w:tcBorders>
              <w:bottom w:val="single" w:sz="12" w:space="0" w:color="auto"/>
            </w:tcBorders>
            <w:shd w:val="clear" w:color="auto" w:fill="595959" w:themeFill="text1" w:themeFillTint="A6"/>
          </w:tcPr>
          <w:p w:rsidR="003D4A37" w:rsidRPr="00901F1A" w:rsidRDefault="003D4A37" w:rsidP="00E43CC5">
            <w:pPr>
              <w:keepLines/>
              <w:jc w:val="center"/>
              <w:rPr>
                <w:color w:val="FFFFFF" w:themeColor="background1"/>
              </w:rPr>
            </w:pPr>
            <w:r w:rsidRPr="00901F1A">
              <w:rPr>
                <w:color w:val="FFFFFF" w:themeColor="background1"/>
              </w:rPr>
              <w:t>Hectares (ha)</w:t>
            </w:r>
          </w:p>
        </w:tc>
        <w:tc>
          <w:tcPr>
            <w:tcW w:w="2268" w:type="dxa"/>
            <w:tcBorders>
              <w:bottom w:val="single" w:sz="12" w:space="0" w:color="auto"/>
            </w:tcBorders>
            <w:shd w:val="clear" w:color="auto" w:fill="595959" w:themeFill="text1" w:themeFillTint="A6"/>
          </w:tcPr>
          <w:p w:rsidR="003D4A37" w:rsidRPr="00901F1A" w:rsidRDefault="003D4A37" w:rsidP="00E43CC5">
            <w:pPr>
              <w:keepLines/>
              <w:jc w:val="center"/>
              <w:rPr>
                <w:color w:val="FFFFFF" w:themeColor="background1"/>
              </w:rPr>
            </w:pPr>
            <w:r w:rsidRPr="00901F1A">
              <w:rPr>
                <w:color w:val="FFFFFF" w:themeColor="background1"/>
              </w:rPr>
              <w:t>Habitat Hectares (Hha)</w:t>
            </w:r>
          </w:p>
        </w:tc>
        <w:tc>
          <w:tcPr>
            <w:tcW w:w="2551" w:type="dxa"/>
            <w:tcBorders>
              <w:bottom w:val="single" w:sz="12" w:space="0" w:color="auto"/>
            </w:tcBorders>
            <w:shd w:val="clear" w:color="auto" w:fill="595959" w:themeFill="text1" w:themeFillTint="A6"/>
          </w:tcPr>
          <w:p w:rsidR="003D4A37" w:rsidRPr="00901F1A" w:rsidRDefault="003D4A37" w:rsidP="00E43CC5">
            <w:pPr>
              <w:keepLines/>
              <w:jc w:val="center"/>
              <w:rPr>
                <w:color w:val="FFFFFF" w:themeColor="background1"/>
              </w:rPr>
            </w:pPr>
            <w:r w:rsidRPr="00901F1A">
              <w:rPr>
                <w:color w:val="FFFFFF" w:themeColor="background1"/>
              </w:rPr>
              <w:t>Net Gain Target (Hha)</w:t>
            </w:r>
          </w:p>
        </w:tc>
      </w:tr>
      <w:tr w:rsidR="003D4A37" w:rsidRPr="00E66AE9" w:rsidTr="0051042E">
        <w:trPr>
          <w:cantSplit/>
        </w:trPr>
        <w:tc>
          <w:tcPr>
            <w:tcW w:w="1134" w:type="dxa"/>
            <w:tcBorders>
              <w:top w:val="single" w:sz="12" w:space="0" w:color="auto"/>
            </w:tcBorders>
            <w:shd w:val="clear" w:color="auto" w:fill="auto"/>
          </w:tcPr>
          <w:p w:rsidR="003D4A37" w:rsidRPr="00E66AE9" w:rsidRDefault="003D4A37" w:rsidP="00E43CC5">
            <w:pPr>
              <w:keepLines/>
              <w:jc w:val="center"/>
            </w:pPr>
            <w:r>
              <w:t>1</w:t>
            </w:r>
          </w:p>
        </w:tc>
        <w:tc>
          <w:tcPr>
            <w:tcW w:w="1559" w:type="dxa"/>
            <w:tcBorders>
              <w:top w:val="single" w:sz="12" w:space="0" w:color="auto"/>
            </w:tcBorders>
          </w:tcPr>
          <w:p w:rsidR="003D4A37" w:rsidRPr="00E66AE9" w:rsidRDefault="003D4A37" w:rsidP="00E43CC5">
            <w:pPr>
              <w:keepLines/>
              <w:jc w:val="center"/>
            </w:pPr>
            <w:r>
              <w:t>Very High</w:t>
            </w:r>
          </w:p>
        </w:tc>
        <w:tc>
          <w:tcPr>
            <w:tcW w:w="1985" w:type="dxa"/>
            <w:tcBorders>
              <w:top w:val="single" w:sz="12" w:space="0" w:color="auto"/>
            </w:tcBorders>
            <w:shd w:val="clear" w:color="auto" w:fill="auto"/>
          </w:tcPr>
          <w:p w:rsidR="003D4A37" w:rsidRPr="00E66AE9" w:rsidRDefault="003D4A37" w:rsidP="00E43CC5">
            <w:pPr>
              <w:keepLines/>
              <w:jc w:val="center"/>
            </w:pPr>
            <w:r>
              <w:t>34.19</w:t>
            </w:r>
          </w:p>
        </w:tc>
        <w:tc>
          <w:tcPr>
            <w:tcW w:w="2268" w:type="dxa"/>
            <w:tcBorders>
              <w:top w:val="single" w:sz="12" w:space="0" w:color="auto"/>
            </w:tcBorders>
            <w:shd w:val="clear" w:color="auto" w:fill="auto"/>
          </w:tcPr>
          <w:p w:rsidR="003D4A37" w:rsidRPr="00E66AE9" w:rsidRDefault="003D4A37" w:rsidP="00E43CC5">
            <w:pPr>
              <w:keepLines/>
              <w:jc w:val="center"/>
            </w:pPr>
            <w:r>
              <w:t>15.38</w:t>
            </w:r>
          </w:p>
        </w:tc>
        <w:tc>
          <w:tcPr>
            <w:tcW w:w="2551" w:type="dxa"/>
            <w:tcBorders>
              <w:top w:val="single" w:sz="12" w:space="0" w:color="auto"/>
            </w:tcBorders>
          </w:tcPr>
          <w:p w:rsidR="003D4A37" w:rsidRPr="00E66AE9" w:rsidRDefault="003D4A37" w:rsidP="00E43CC5">
            <w:pPr>
              <w:keepLines/>
              <w:jc w:val="center"/>
            </w:pPr>
            <w:r>
              <w:t>30.76</w:t>
            </w:r>
          </w:p>
        </w:tc>
      </w:tr>
      <w:tr w:rsidR="003D4A37" w:rsidRPr="00E66AE9" w:rsidTr="0051042E">
        <w:trPr>
          <w:cantSplit/>
        </w:trPr>
        <w:tc>
          <w:tcPr>
            <w:tcW w:w="1134" w:type="dxa"/>
            <w:shd w:val="clear" w:color="auto" w:fill="auto"/>
          </w:tcPr>
          <w:p w:rsidR="003D4A37" w:rsidRPr="00E66AE9" w:rsidRDefault="003D4A37" w:rsidP="00E43CC5">
            <w:pPr>
              <w:keepLines/>
              <w:jc w:val="center"/>
            </w:pPr>
            <w:r>
              <w:t>1</w:t>
            </w:r>
          </w:p>
        </w:tc>
        <w:tc>
          <w:tcPr>
            <w:tcW w:w="1559" w:type="dxa"/>
          </w:tcPr>
          <w:p w:rsidR="003D4A37" w:rsidRPr="00E66AE9" w:rsidRDefault="003D4A37" w:rsidP="00E43CC5">
            <w:pPr>
              <w:keepLines/>
              <w:jc w:val="center"/>
            </w:pPr>
            <w:r w:rsidRPr="00E66AE9">
              <w:t>High</w:t>
            </w:r>
          </w:p>
        </w:tc>
        <w:tc>
          <w:tcPr>
            <w:tcW w:w="1985" w:type="dxa"/>
            <w:shd w:val="clear" w:color="auto" w:fill="auto"/>
          </w:tcPr>
          <w:p w:rsidR="003D4A37" w:rsidRPr="00E66AE9" w:rsidRDefault="003D4A37" w:rsidP="00E43CC5">
            <w:pPr>
              <w:keepLines/>
              <w:jc w:val="center"/>
            </w:pPr>
            <w:r>
              <w:t>66.51</w:t>
            </w:r>
          </w:p>
        </w:tc>
        <w:tc>
          <w:tcPr>
            <w:tcW w:w="2268" w:type="dxa"/>
            <w:shd w:val="clear" w:color="auto" w:fill="auto"/>
          </w:tcPr>
          <w:p w:rsidR="003D4A37" w:rsidRPr="00E66AE9" w:rsidRDefault="003D4A37" w:rsidP="00E43CC5">
            <w:pPr>
              <w:keepLines/>
              <w:jc w:val="center"/>
            </w:pPr>
            <w:r>
              <w:t>21.53</w:t>
            </w:r>
          </w:p>
        </w:tc>
        <w:tc>
          <w:tcPr>
            <w:tcW w:w="2551" w:type="dxa"/>
          </w:tcPr>
          <w:p w:rsidR="003D4A37" w:rsidRPr="00E66AE9" w:rsidRDefault="003D4A37" w:rsidP="00E43CC5">
            <w:pPr>
              <w:keepLines/>
              <w:jc w:val="center"/>
            </w:pPr>
            <w:r>
              <w:t>32.31</w:t>
            </w:r>
          </w:p>
        </w:tc>
      </w:tr>
      <w:tr w:rsidR="003D4A37" w:rsidRPr="00E66AE9" w:rsidTr="0051042E">
        <w:trPr>
          <w:cantSplit/>
        </w:trPr>
        <w:tc>
          <w:tcPr>
            <w:tcW w:w="1134" w:type="dxa"/>
            <w:shd w:val="clear" w:color="auto" w:fill="auto"/>
          </w:tcPr>
          <w:p w:rsidR="003D4A37" w:rsidRPr="00E66AE9" w:rsidRDefault="003D4A37" w:rsidP="00E43CC5">
            <w:pPr>
              <w:keepLines/>
              <w:jc w:val="center"/>
            </w:pPr>
            <w:r>
              <w:t>1</w:t>
            </w:r>
          </w:p>
        </w:tc>
        <w:tc>
          <w:tcPr>
            <w:tcW w:w="1559" w:type="dxa"/>
          </w:tcPr>
          <w:p w:rsidR="003D4A37" w:rsidRPr="00E66AE9" w:rsidRDefault="003D4A37" w:rsidP="00E43CC5">
            <w:pPr>
              <w:keepLines/>
              <w:jc w:val="center"/>
            </w:pPr>
            <w:r>
              <w:t>Medium</w:t>
            </w:r>
          </w:p>
        </w:tc>
        <w:tc>
          <w:tcPr>
            <w:tcW w:w="1985" w:type="dxa"/>
            <w:shd w:val="clear" w:color="auto" w:fill="auto"/>
          </w:tcPr>
          <w:p w:rsidR="003D4A37" w:rsidRPr="00E66AE9" w:rsidRDefault="003D4A37" w:rsidP="00E43CC5">
            <w:pPr>
              <w:keepLines/>
              <w:jc w:val="center"/>
            </w:pPr>
            <w:r>
              <w:t>6.52</w:t>
            </w:r>
          </w:p>
        </w:tc>
        <w:tc>
          <w:tcPr>
            <w:tcW w:w="2268" w:type="dxa"/>
            <w:shd w:val="clear" w:color="auto" w:fill="auto"/>
          </w:tcPr>
          <w:p w:rsidR="003D4A37" w:rsidRPr="00E66AE9" w:rsidRDefault="003D4A37" w:rsidP="00E43CC5">
            <w:pPr>
              <w:keepLines/>
              <w:jc w:val="center"/>
            </w:pPr>
            <w:r>
              <w:t>1.57</w:t>
            </w:r>
          </w:p>
        </w:tc>
        <w:tc>
          <w:tcPr>
            <w:tcW w:w="2551" w:type="dxa"/>
          </w:tcPr>
          <w:p w:rsidR="003D4A37" w:rsidRPr="00E66AE9" w:rsidRDefault="003D4A37" w:rsidP="00E43CC5">
            <w:pPr>
              <w:keepLines/>
              <w:jc w:val="center"/>
            </w:pPr>
            <w:r>
              <w:t>1.57</w:t>
            </w:r>
          </w:p>
        </w:tc>
      </w:tr>
      <w:tr w:rsidR="003D4A37" w:rsidRPr="00E66AE9" w:rsidTr="0051042E">
        <w:trPr>
          <w:cantSplit/>
        </w:trPr>
        <w:tc>
          <w:tcPr>
            <w:tcW w:w="1134" w:type="dxa"/>
            <w:tcBorders>
              <w:bottom w:val="single" w:sz="4" w:space="0" w:color="auto"/>
            </w:tcBorders>
            <w:shd w:val="clear" w:color="auto" w:fill="auto"/>
          </w:tcPr>
          <w:p w:rsidR="003D4A37" w:rsidRPr="00E66AE9" w:rsidRDefault="003D4A37" w:rsidP="00E43CC5">
            <w:pPr>
              <w:keepLines/>
              <w:jc w:val="center"/>
            </w:pPr>
            <w:r>
              <w:t>1</w:t>
            </w:r>
          </w:p>
        </w:tc>
        <w:tc>
          <w:tcPr>
            <w:tcW w:w="1559" w:type="dxa"/>
            <w:tcBorders>
              <w:bottom w:val="single" w:sz="4" w:space="0" w:color="auto"/>
            </w:tcBorders>
          </w:tcPr>
          <w:p w:rsidR="003D4A37" w:rsidRPr="00E66AE9" w:rsidRDefault="003D4A37" w:rsidP="00E43CC5">
            <w:pPr>
              <w:keepLines/>
              <w:jc w:val="center"/>
            </w:pPr>
            <w:r>
              <w:t>Low</w:t>
            </w:r>
          </w:p>
        </w:tc>
        <w:tc>
          <w:tcPr>
            <w:tcW w:w="1985" w:type="dxa"/>
            <w:tcBorders>
              <w:bottom w:val="single" w:sz="4" w:space="0" w:color="auto"/>
            </w:tcBorders>
            <w:shd w:val="clear" w:color="auto" w:fill="auto"/>
          </w:tcPr>
          <w:p w:rsidR="003D4A37" w:rsidRPr="00E66AE9" w:rsidRDefault="003D4A37" w:rsidP="00E43CC5">
            <w:pPr>
              <w:keepLines/>
              <w:jc w:val="center"/>
            </w:pPr>
            <w:r>
              <w:t>3.55</w:t>
            </w:r>
          </w:p>
        </w:tc>
        <w:tc>
          <w:tcPr>
            <w:tcW w:w="2268" w:type="dxa"/>
            <w:tcBorders>
              <w:bottom w:val="single" w:sz="4" w:space="0" w:color="auto"/>
            </w:tcBorders>
            <w:shd w:val="clear" w:color="auto" w:fill="auto"/>
          </w:tcPr>
          <w:p w:rsidR="003D4A37" w:rsidRPr="00E66AE9" w:rsidRDefault="003D4A37" w:rsidP="00E43CC5">
            <w:pPr>
              <w:keepLines/>
              <w:jc w:val="center"/>
            </w:pPr>
            <w:r>
              <w:t>0.9</w:t>
            </w:r>
          </w:p>
        </w:tc>
        <w:tc>
          <w:tcPr>
            <w:tcW w:w="2551" w:type="dxa"/>
            <w:tcBorders>
              <w:bottom w:val="single" w:sz="4" w:space="0" w:color="auto"/>
            </w:tcBorders>
          </w:tcPr>
          <w:p w:rsidR="003D4A37" w:rsidRPr="00E66AE9" w:rsidRDefault="003D4A37" w:rsidP="00E43CC5">
            <w:pPr>
              <w:keepLines/>
              <w:jc w:val="center"/>
            </w:pPr>
            <w:r>
              <w:t>0.9</w:t>
            </w:r>
          </w:p>
        </w:tc>
      </w:tr>
      <w:tr w:rsidR="0051042E" w:rsidRPr="004E2286" w:rsidTr="000336C0">
        <w:trPr>
          <w:cantSplit/>
        </w:trPr>
        <w:tc>
          <w:tcPr>
            <w:tcW w:w="1134" w:type="dxa"/>
            <w:tcBorders>
              <w:top w:val="single" w:sz="4" w:space="0" w:color="auto"/>
              <w:bottom w:val="single" w:sz="12" w:space="0" w:color="auto"/>
            </w:tcBorders>
            <w:shd w:val="clear" w:color="auto" w:fill="DDDDDD"/>
          </w:tcPr>
          <w:p w:rsidR="0051042E" w:rsidRPr="004E2286" w:rsidRDefault="0051042E" w:rsidP="00E43CC5">
            <w:pPr>
              <w:keepLines/>
              <w:jc w:val="center"/>
              <w:rPr>
                <w:b/>
              </w:rPr>
            </w:pPr>
            <w:r w:rsidRPr="004E2286">
              <w:rPr>
                <w:b/>
              </w:rPr>
              <w:t>1</w:t>
            </w:r>
          </w:p>
        </w:tc>
        <w:tc>
          <w:tcPr>
            <w:tcW w:w="1559" w:type="dxa"/>
            <w:tcBorders>
              <w:top w:val="single" w:sz="4" w:space="0" w:color="auto"/>
              <w:bottom w:val="single" w:sz="12" w:space="0" w:color="auto"/>
            </w:tcBorders>
            <w:shd w:val="clear" w:color="auto" w:fill="DDDDDD"/>
          </w:tcPr>
          <w:p w:rsidR="0051042E" w:rsidRPr="004E2286" w:rsidRDefault="0051042E" w:rsidP="00E43CC5">
            <w:pPr>
              <w:keepLines/>
              <w:jc w:val="center"/>
              <w:rPr>
                <w:b/>
              </w:rPr>
            </w:pPr>
            <w:r w:rsidRPr="004E2286">
              <w:rPr>
                <w:b/>
              </w:rPr>
              <w:t>Total</w:t>
            </w:r>
          </w:p>
        </w:tc>
        <w:tc>
          <w:tcPr>
            <w:tcW w:w="1985" w:type="dxa"/>
            <w:tcBorders>
              <w:top w:val="single" w:sz="4" w:space="0" w:color="auto"/>
              <w:bottom w:val="single" w:sz="12" w:space="0" w:color="auto"/>
            </w:tcBorders>
            <w:shd w:val="clear" w:color="auto" w:fill="DDDDDD"/>
          </w:tcPr>
          <w:p w:rsidR="0051042E" w:rsidRPr="004E2286" w:rsidRDefault="0051042E" w:rsidP="00E43CC5">
            <w:pPr>
              <w:keepLines/>
              <w:jc w:val="center"/>
              <w:rPr>
                <w:b/>
              </w:rPr>
            </w:pPr>
            <w:r w:rsidRPr="004E2286">
              <w:rPr>
                <w:b/>
              </w:rPr>
              <w:t>110.77</w:t>
            </w:r>
          </w:p>
        </w:tc>
        <w:tc>
          <w:tcPr>
            <w:tcW w:w="2268" w:type="dxa"/>
            <w:tcBorders>
              <w:top w:val="single" w:sz="4" w:space="0" w:color="auto"/>
              <w:bottom w:val="single" w:sz="12" w:space="0" w:color="auto"/>
            </w:tcBorders>
            <w:shd w:val="clear" w:color="auto" w:fill="DDDDDD"/>
          </w:tcPr>
          <w:p w:rsidR="0051042E" w:rsidRPr="004E2286" w:rsidRDefault="0051042E" w:rsidP="00E43CC5">
            <w:pPr>
              <w:keepLines/>
              <w:jc w:val="center"/>
              <w:rPr>
                <w:b/>
              </w:rPr>
            </w:pPr>
            <w:r w:rsidRPr="004E2286">
              <w:rPr>
                <w:b/>
              </w:rPr>
              <w:t>39.38</w:t>
            </w:r>
          </w:p>
        </w:tc>
        <w:tc>
          <w:tcPr>
            <w:tcW w:w="2551" w:type="dxa"/>
            <w:tcBorders>
              <w:top w:val="single" w:sz="4" w:space="0" w:color="auto"/>
              <w:bottom w:val="single" w:sz="12" w:space="0" w:color="auto"/>
            </w:tcBorders>
            <w:shd w:val="clear" w:color="auto" w:fill="DDDDDD"/>
          </w:tcPr>
          <w:p w:rsidR="0051042E" w:rsidRPr="004E2286" w:rsidRDefault="0051042E" w:rsidP="00E43CC5">
            <w:pPr>
              <w:keepLines/>
              <w:jc w:val="center"/>
              <w:rPr>
                <w:b/>
              </w:rPr>
            </w:pPr>
            <w:r w:rsidRPr="004E2286">
              <w:rPr>
                <w:b/>
              </w:rPr>
              <w:t>65.54</w:t>
            </w:r>
          </w:p>
        </w:tc>
      </w:tr>
      <w:tr w:rsidR="0051042E" w:rsidRPr="00E66AE9" w:rsidTr="000336C0">
        <w:trPr>
          <w:cantSplit/>
        </w:trPr>
        <w:tc>
          <w:tcPr>
            <w:tcW w:w="1134" w:type="dxa"/>
            <w:tcBorders>
              <w:top w:val="single" w:sz="12" w:space="0" w:color="auto"/>
            </w:tcBorders>
            <w:shd w:val="clear" w:color="auto" w:fill="auto"/>
          </w:tcPr>
          <w:p w:rsidR="0051042E" w:rsidRPr="00E66AE9" w:rsidRDefault="0051042E" w:rsidP="00E43CC5">
            <w:pPr>
              <w:keepLines/>
              <w:jc w:val="center"/>
            </w:pPr>
            <w:r>
              <w:t>2</w:t>
            </w:r>
          </w:p>
        </w:tc>
        <w:tc>
          <w:tcPr>
            <w:tcW w:w="1559" w:type="dxa"/>
            <w:tcBorders>
              <w:top w:val="single" w:sz="12" w:space="0" w:color="auto"/>
            </w:tcBorders>
          </w:tcPr>
          <w:p w:rsidR="0051042E" w:rsidRPr="00E66AE9" w:rsidRDefault="0051042E" w:rsidP="00E43CC5">
            <w:pPr>
              <w:keepLines/>
              <w:jc w:val="center"/>
            </w:pPr>
            <w:r>
              <w:t>Very High</w:t>
            </w:r>
          </w:p>
        </w:tc>
        <w:tc>
          <w:tcPr>
            <w:tcW w:w="1985" w:type="dxa"/>
            <w:tcBorders>
              <w:top w:val="single" w:sz="12" w:space="0" w:color="auto"/>
            </w:tcBorders>
            <w:shd w:val="clear" w:color="auto" w:fill="auto"/>
          </w:tcPr>
          <w:p w:rsidR="0051042E" w:rsidRPr="00E66AE9" w:rsidRDefault="0051042E" w:rsidP="00E43CC5">
            <w:pPr>
              <w:keepLines/>
              <w:jc w:val="center"/>
            </w:pPr>
            <w:r>
              <w:t>38.93</w:t>
            </w:r>
          </w:p>
        </w:tc>
        <w:tc>
          <w:tcPr>
            <w:tcW w:w="2268" w:type="dxa"/>
            <w:tcBorders>
              <w:top w:val="single" w:sz="12" w:space="0" w:color="auto"/>
            </w:tcBorders>
            <w:shd w:val="clear" w:color="auto" w:fill="auto"/>
          </w:tcPr>
          <w:p w:rsidR="0051042E" w:rsidRPr="00E66AE9" w:rsidRDefault="0051042E" w:rsidP="00E43CC5">
            <w:pPr>
              <w:keepLines/>
              <w:jc w:val="center"/>
            </w:pPr>
            <w:r>
              <w:t>19.31</w:t>
            </w:r>
          </w:p>
        </w:tc>
        <w:tc>
          <w:tcPr>
            <w:tcW w:w="2551" w:type="dxa"/>
            <w:tcBorders>
              <w:top w:val="single" w:sz="12" w:space="0" w:color="auto"/>
            </w:tcBorders>
          </w:tcPr>
          <w:p w:rsidR="0051042E" w:rsidRPr="00E66AE9" w:rsidRDefault="0051042E" w:rsidP="00E43CC5">
            <w:pPr>
              <w:keepLines/>
              <w:jc w:val="center"/>
            </w:pPr>
            <w:r>
              <w:t>38.62</w:t>
            </w:r>
          </w:p>
        </w:tc>
      </w:tr>
      <w:tr w:rsidR="0051042E" w:rsidRPr="00E66AE9" w:rsidTr="0051042E">
        <w:trPr>
          <w:cantSplit/>
        </w:trPr>
        <w:tc>
          <w:tcPr>
            <w:tcW w:w="1134" w:type="dxa"/>
            <w:shd w:val="clear" w:color="auto" w:fill="auto"/>
          </w:tcPr>
          <w:p w:rsidR="0051042E" w:rsidRPr="00E66AE9" w:rsidRDefault="0051042E" w:rsidP="00E43CC5">
            <w:pPr>
              <w:keepLines/>
              <w:jc w:val="center"/>
            </w:pPr>
            <w:r>
              <w:t>2</w:t>
            </w:r>
          </w:p>
        </w:tc>
        <w:tc>
          <w:tcPr>
            <w:tcW w:w="1559" w:type="dxa"/>
          </w:tcPr>
          <w:p w:rsidR="0051042E" w:rsidRPr="00E66AE9" w:rsidRDefault="0051042E" w:rsidP="00E43CC5">
            <w:pPr>
              <w:keepLines/>
              <w:jc w:val="center"/>
            </w:pPr>
            <w:r>
              <w:t>High</w:t>
            </w:r>
          </w:p>
        </w:tc>
        <w:tc>
          <w:tcPr>
            <w:tcW w:w="1985" w:type="dxa"/>
            <w:shd w:val="clear" w:color="auto" w:fill="auto"/>
          </w:tcPr>
          <w:p w:rsidR="0051042E" w:rsidRPr="00E66AE9" w:rsidRDefault="0051042E" w:rsidP="00E43CC5">
            <w:pPr>
              <w:keepLines/>
              <w:jc w:val="center"/>
            </w:pPr>
            <w:r>
              <w:t>77.17</w:t>
            </w:r>
          </w:p>
        </w:tc>
        <w:tc>
          <w:tcPr>
            <w:tcW w:w="2268" w:type="dxa"/>
            <w:shd w:val="clear" w:color="auto" w:fill="auto"/>
          </w:tcPr>
          <w:p w:rsidR="0051042E" w:rsidRPr="00E66AE9" w:rsidRDefault="0051042E" w:rsidP="00E43CC5">
            <w:pPr>
              <w:keepLines/>
              <w:jc w:val="center"/>
            </w:pPr>
            <w:r>
              <w:t>29.36</w:t>
            </w:r>
          </w:p>
        </w:tc>
        <w:tc>
          <w:tcPr>
            <w:tcW w:w="2551" w:type="dxa"/>
          </w:tcPr>
          <w:p w:rsidR="0051042E" w:rsidRPr="00E66AE9" w:rsidRDefault="0051042E" w:rsidP="00E43CC5">
            <w:pPr>
              <w:keepLines/>
              <w:jc w:val="center"/>
            </w:pPr>
            <w:r>
              <w:t>44.05</w:t>
            </w:r>
          </w:p>
        </w:tc>
      </w:tr>
      <w:tr w:rsidR="0051042E" w:rsidRPr="00E66AE9" w:rsidTr="0051042E">
        <w:trPr>
          <w:cantSplit/>
        </w:trPr>
        <w:tc>
          <w:tcPr>
            <w:tcW w:w="1134" w:type="dxa"/>
            <w:shd w:val="clear" w:color="auto" w:fill="auto"/>
          </w:tcPr>
          <w:p w:rsidR="0051042E" w:rsidRDefault="0051042E" w:rsidP="00E43CC5">
            <w:pPr>
              <w:keepLines/>
              <w:jc w:val="center"/>
            </w:pPr>
            <w:r>
              <w:t>2</w:t>
            </w:r>
          </w:p>
        </w:tc>
        <w:tc>
          <w:tcPr>
            <w:tcW w:w="1559" w:type="dxa"/>
          </w:tcPr>
          <w:p w:rsidR="0051042E" w:rsidRDefault="0051042E" w:rsidP="00E43CC5">
            <w:pPr>
              <w:keepLines/>
              <w:jc w:val="center"/>
            </w:pPr>
            <w:r>
              <w:t>Medium</w:t>
            </w:r>
          </w:p>
        </w:tc>
        <w:tc>
          <w:tcPr>
            <w:tcW w:w="1985" w:type="dxa"/>
            <w:shd w:val="clear" w:color="auto" w:fill="auto"/>
          </w:tcPr>
          <w:p w:rsidR="0051042E" w:rsidRDefault="0051042E" w:rsidP="00E43CC5">
            <w:pPr>
              <w:keepLines/>
              <w:jc w:val="center"/>
            </w:pPr>
            <w:r>
              <w:t>12.63</w:t>
            </w:r>
          </w:p>
        </w:tc>
        <w:tc>
          <w:tcPr>
            <w:tcW w:w="2268" w:type="dxa"/>
            <w:shd w:val="clear" w:color="auto" w:fill="auto"/>
          </w:tcPr>
          <w:p w:rsidR="0051042E" w:rsidRDefault="0051042E" w:rsidP="00E43CC5">
            <w:pPr>
              <w:keepLines/>
              <w:jc w:val="center"/>
            </w:pPr>
            <w:r>
              <w:t>3.21</w:t>
            </w:r>
          </w:p>
        </w:tc>
        <w:tc>
          <w:tcPr>
            <w:tcW w:w="2551" w:type="dxa"/>
          </w:tcPr>
          <w:p w:rsidR="0051042E" w:rsidRDefault="0051042E" w:rsidP="00E43CC5">
            <w:pPr>
              <w:keepLines/>
              <w:jc w:val="center"/>
            </w:pPr>
            <w:r>
              <w:t>3.21</w:t>
            </w:r>
          </w:p>
        </w:tc>
      </w:tr>
      <w:tr w:rsidR="0051042E" w:rsidRPr="00E66AE9" w:rsidTr="0051042E">
        <w:trPr>
          <w:cantSplit/>
        </w:trPr>
        <w:tc>
          <w:tcPr>
            <w:tcW w:w="1134" w:type="dxa"/>
            <w:tcBorders>
              <w:bottom w:val="single" w:sz="4" w:space="0" w:color="auto"/>
            </w:tcBorders>
            <w:shd w:val="clear" w:color="auto" w:fill="auto"/>
          </w:tcPr>
          <w:p w:rsidR="0051042E" w:rsidRDefault="0051042E" w:rsidP="00E43CC5">
            <w:pPr>
              <w:keepLines/>
              <w:jc w:val="center"/>
            </w:pPr>
            <w:r>
              <w:t>2</w:t>
            </w:r>
          </w:p>
        </w:tc>
        <w:tc>
          <w:tcPr>
            <w:tcW w:w="1559" w:type="dxa"/>
            <w:tcBorders>
              <w:bottom w:val="single" w:sz="4" w:space="0" w:color="auto"/>
            </w:tcBorders>
          </w:tcPr>
          <w:p w:rsidR="0051042E" w:rsidRDefault="0051042E" w:rsidP="00E43CC5">
            <w:pPr>
              <w:keepLines/>
              <w:jc w:val="center"/>
            </w:pPr>
            <w:r>
              <w:t>Low</w:t>
            </w:r>
          </w:p>
        </w:tc>
        <w:tc>
          <w:tcPr>
            <w:tcW w:w="1985" w:type="dxa"/>
            <w:tcBorders>
              <w:bottom w:val="single" w:sz="4" w:space="0" w:color="auto"/>
            </w:tcBorders>
            <w:shd w:val="clear" w:color="auto" w:fill="auto"/>
          </w:tcPr>
          <w:p w:rsidR="0051042E" w:rsidRDefault="0051042E" w:rsidP="00E43CC5">
            <w:pPr>
              <w:keepLines/>
              <w:jc w:val="center"/>
            </w:pPr>
            <w:r>
              <w:t>3.13</w:t>
            </w:r>
          </w:p>
        </w:tc>
        <w:tc>
          <w:tcPr>
            <w:tcW w:w="2268" w:type="dxa"/>
            <w:tcBorders>
              <w:bottom w:val="single" w:sz="4" w:space="0" w:color="auto"/>
            </w:tcBorders>
            <w:shd w:val="clear" w:color="auto" w:fill="auto"/>
          </w:tcPr>
          <w:p w:rsidR="0051042E" w:rsidRDefault="0051042E" w:rsidP="00E43CC5">
            <w:pPr>
              <w:keepLines/>
              <w:jc w:val="center"/>
            </w:pPr>
            <w:r>
              <w:t>1.1</w:t>
            </w:r>
          </w:p>
        </w:tc>
        <w:tc>
          <w:tcPr>
            <w:tcW w:w="2551" w:type="dxa"/>
            <w:tcBorders>
              <w:bottom w:val="single" w:sz="4" w:space="0" w:color="auto"/>
            </w:tcBorders>
          </w:tcPr>
          <w:p w:rsidR="0051042E" w:rsidRDefault="0051042E" w:rsidP="00E43CC5">
            <w:pPr>
              <w:keepLines/>
              <w:jc w:val="center"/>
            </w:pPr>
            <w:r>
              <w:t>1.1</w:t>
            </w:r>
          </w:p>
        </w:tc>
      </w:tr>
      <w:tr w:rsidR="0051042E" w:rsidRPr="004E2286" w:rsidTr="0051042E">
        <w:trPr>
          <w:cantSplit/>
        </w:trPr>
        <w:tc>
          <w:tcPr>
            <w:tcW w:w="1134" w:type="dxa"/>
            <w:tcBorders>
              <w:top w:val="single" w:sz="4" w:space="0" w:color="auto"/>
            </w:tcBorders>
            <w:shd w:val="clear" w:color="auto" w:fill="DDDDDD"/>
          </w:tcPr>
          <w:p w:rsidR="0051042E" w:rsidRPr="004E2286" w:rsidRDefault="0051042E" w:rsidP="00E43CC5">
            <w:pPr>
              <w:keepLines/>
              <w:jc w:val="center"/>
              <w:rPr>
                <w:b/>
              </w:rPr>
            </w:pPr>
            <w:r w:rsidRPr="004E2286">
              <w:rPr>
                <w:b/>
              </w:rPr>
              <w:t>2</w:t>
            </w:r>
          </w:p>
        </w:tc>
        <w:tc>
          <w:tcPr>
            <w:tcW w:w="1559" w:type="dxa"/>
            <w:tcBorders>
              <w:top w:val="single" w:sz="4" w:space="0" w:color="auto"/>
            </w:tcBorders>
            <w:shd w:val="clear" w:color="auto" w:fill="DDDDDD"/>
          </w:tcPr>
          <w:p w:rsidR="0051042E" w:rsidRPr="004E2286" w:rsidRDefault="0051042E" w:rsidP="00E43CC5">
            <w:pPr>
              <w:keepLines/>
              <w:jc w:val="center"/>
              <w:rPr>
                <w:b/>
              </w:rPr>
            </w:pPr>
            <w:r w:rsidRPr="004E2286">
              <w:rPr>
                <w:b/>
              </w:rPr>
              <w:t>Total</w:t>
            </w:r>
          </w:p>
        </w:tc>
        <w:tc>
          <w:tcPr>
            <w:tcW w:w="1985" w:type="dxa"/>
            <w:tcBorders>
              <w:top w:val="single" w:sz="4" w:space="0" w:color="auto"/>
            </w:tcBorders>
            <w:shd w:val="clear" w:color="auto" w:fill="DDDDDD"/>
          </w:tcPr>
          <w:p w:rsidR="0051042E" w:rsidRPr="004E2286" w:rsidRDefault="0051042E" w:rsidP="00E43CC5">
            <w:pPr>
              <w:keepLines/>
              <w:jc w:val="center"/>
              <w:rPr>
                <w:b/>
              </w:rPr>
            </w:pPr>
            <w:r w:rsidRPr="004E2286">
              <w:rPr>
                <w:b/>
              </w:rPr>
              <w:t>131.86</w:t>
            </w:r>
          </w:p>
        </w:tc>
        <w:tc>
          <w:tcPr>
            <w:tcW w:w="2268" w:type="dxa"/>
            <w:tcBorders>
              <w:top w:val="single" w:sz="4" w:space="0" w:color="auto"/>
            </w:tcBorders>
            <w:shd w:val="clear" w:color="auto" w:fill="DDDDDD"/>
          </w:tcPr>
          <w:p w:rsidR="0051042E" w:rsidRPr="004E2286" w:rsidRDefault="0051042E" w:rsidP="00E43CC5">
            <w:pPr>
              <w:keepLines/>
              <w:jc w:val="center"/>
              <w:rPr>
                <w:b/>
              </w:rPr>
            </w:pPr>
            <w:r w:rsidRPr="004E2286">
              <w:rPr>
                <w:b/>
              </w:rPr>
              <w:t>52.98</w:t>
            </w:r>
          </w:p>
        </w:tc>
        <w:tc>
          <w:tcPr>
            <w:tcW w:w="2551" w:type="dxa"/>
            <w:tcBorders>
              <w:top w:val="single" w:sz="4" w:space="0" w:color="auto"/>
            </w:tcBorders>
            <w:shd w:val="clear" w:color="auto" w:fill="DDDDDD"/>
          </w:tcPr>
          <w:p w:rsidR="0051042E" w:rsidRPr="004E2286" w:rsidRDefault="0051042E" w:rsidP="00E43CC5">
            <w:pPr>
              <w:keepLines/>
              <w:jc w:val="center"/>
              <w:rPr>
                <w:b/>
              </w:rPr>
            </w:pPr>
            <w:r w:rsidRPr="004E2286">
              <w:rPr>
                <w:b/>
              </w:rPr>
              <w:t>86.98</w:t>
            </w:r>
          </w:p>
        </w:tc>
      </w:tr>
    </w:tbl>
    <w:p w:rsidR="003D4A37" w:rsidRPr="00E66AE9" w:rsidRDefault="003D4A37" w:rsidP="003D4A37"/>
    <w:p w:rsidR="003D4A37" w:rsidRPr="00E71C15" w:rsidRDefault="003D4A37" w:rsidP="00AB40D6">
      <w:r>
        <w:t xml:space="preserve">It is noted that the DSE submission </w:t>
      </w:r>
      <w:r w:rsidR="003A3583">
        <w:t xml:space="preserve">on the EES </w:t>
      </w:r>
      <w:r>
        <w:t>co</w:t>
      </w:r>
      <w:r w:rsidR="00F35DB9">
        <w:t>mment</w:t>
      </w:r>
      <w:r>
        <w:t xml:space="preserve">s </w:t>
      </w:r>
      <w:r w:rsidR="003A3583">
        <w:t xml:space="preserve">that </w:t>
      </w:r>
      <w:r>
        <w:t xml:space="preserve">VicRoads’ strategies for achieving net gain provide “adequate evidence of practical achievability”. </w:t>
      </w:r>
      <w:r w:rsidR="007F5701">
        <w:t xml:space="preserve"> At the same time, DSE’s submission describes the proposed impacts on native vegetation as “substantial”.  Indeed</w:t>
      </w:r>
      <w:r w:rsidR="00AB40D6">
        <w:t>, the considerable extent of native vegetation and LOTs required to offset the large losses associated</w:t>
      </w:r>
      <w:r w:rsidR="00F35DB9">
        <w:t xml:space="preserve"> with Option 1 (110.77 ha) and O</w:t>
      </w:r>
      <w:r w:rsidR="00AB40D6">
        <w:t>ption 2 (131.86 ha</w:t>
      </w:r>
      <w:r w:rsidR="003805F1">
        <w:t xml:space="preserve">) </w:t>
      </w:r>
      <w:r w:rsidR="007F5701">
        <w:t>was</w:t>
      </w:r>
      <w:r>
        <w:t xml:space="preserve"> raised in a number of submissions. The extent of the pr</w:t>
      </w:r>
      <w:r w:rsidR="00F35DB9">
        <w:t>oposed clearing for WHP2 under O</w:t>
      </w:r>
      <w:r>
        <w:t xml:space="preserve">ption 2 alone is more than 80 per cent of the total permitted clearing of native </w:t>
      </w:r>
      <w:r w:rsidRPr="00A92BA4">
        <w:t>vegetation in Victoria in the financial year 2010/2011</w:t>
      </w:r>
      <w:r w:rsidR="00C82CE3" w:rsidRPr="00A92BA4">
        <w:t>, which was</w:t>
      </w:r>
      <w:r w:rsidRPr="00A92BA4">
        <w:t xml:space="preserve"> 159 ha or 76 </w:t>
      </w:r>
      <w:r w:rsidR="00AB40D6" w:rsidRPr="00A92BA4">
        <w:t>H</w:t>
      </w:r>
      <w:r w:rsidRPr="00A92BA4">
        <w:t xml:space="preserve">ha (see DSE submission on Western </w:t>
      </w:r>
      <w:r w:rsidRPr="00E71C15">
        <w:t xml:space="preserve">Highway Project Section 3). </w:t>
      </w:r>
    </w:p>
    <w:p w:rsidR="00607BD0" w:rsidRDefault="003D4A37" w:rsidP="003D4A37">
      <w:r>
        <w:t xml:space="preserve">During </w:t>
      </w:r>
      <w:r w:rsidR="003A3583">
        <w:t>its</w:t>
      </w:r>
      <w:r>
        <w:t xml:space="preserve"> hearings, the </w:t>
      </w:r>
      <w:r w:rsidR="00014C7E">
        <w:t xml:space="preserve">Inquiry </w:t>
      </w:r>
      <w:r>
        <w:t xml:space="preserve">considered a submission </w:t>
      </w:r>
      <w:r w:rsidR="00607BD0">
        <w:t xml:space="preserve">that </w:t>
      </w:r>
      <w:r>
        <w:t>put forward alternative alignments for the route west of Buangor in the vicinity of Hillside Road. These were identified by the submitter as “northern option 1” and “northern option 2”. Practical Ecology were engaged by the submitter to assess the potential biodiversity impacts of these northern options relative to VicRoads</w:t>
      </w:r>
      <w:r w:rsidR="007F5701">
        <w:t>’ O</w:t>
      </w:r>
      <w:r>
        <w:t xml:space="preserve">ptions 1 and 2 presented in the EES. </w:t>
      </w:r>
      <w:r w:rsidR="0097176B">
        <w:t>Evidence was provided by VicRoads at the Inquiry that options similar to the “northern route options” were considered in the early stage of the route selection process but were rejected</w:t>
      </w:r>
      <w:r w:rsidR="003805F1">
        <w:t>,</w:t>
      </w:r>
      <w:r w:rsidR="0097176B">
        <w:t xml:space="preserve"> partly because of difficulty in bridging the railway at a narrow angle</w:t>
      </w:r>
      <w:r w:rsidR="00014C7E">
        <w:rPr>
          <w:rStyle w:val="FootnoteReference"/>
        </w:rPr>
        <w:footnoteReference w:id="5"/>
      </w:r>
      <w:r w:rsidR="0097176B">
        <w:t xml:space="preserve"> but also because they would have a </w:t>
      </w:r>
      <w:r w:rsidR="0097176B">
        <w:lastRenderedPageBreak/>
        <w:t xml:space="preserve">greater impact on native vegetation of </w:t>
      </w:r>
      <w:r w:rsidR="007F5701">
        <w:t>VHCS</w:t>
      </w:r>
      <w:r w:rsidR="0097176B">
        <w:t xml:space="preserve"> and </w:t>
      </w:r>
      <w:r w:rsidR="007F5701">
        <w:t>HCS</w:t>
      </w:r>
      <w:r w:rsidR="00A53BE0">
        <w:rPr>
          <w:rStyle w:val="FootnoteReference"/>
        </w:rPr>
        <w:footnoteReference w:id="6"/>
      </w:r>
      <w:r w:rsidR="009457E9">
        <w:t>.</w:t>
      </w:r>
      <w:r w:rsidR="007F5701">
        <w:t xml:space="preserve">  </w:t>
      </w:r>
      <w:r w:rsidR="00607BD0">
        <w:t xml:space="preserve">VicRoads noted that the calculations for the northern options </w:t>
      </w:r>
      <w:r w:rsidR="00FD748A">
        <w:t xml:space="preserve">put forward by the submitter </w:t>
      </w:r>
      <w:r w:rsidR="00607BD0">
        <w:t>underestimated impacts because they did not allow for service roads that would be required for the ultimate AMP 1 standard road. On balance, the Inquiry concluded that there is insufficient advantage from the northern options to recommend them above VicRoads</w:t>
      </w:r>
      <w:r w:rsidR="00FD748A">
        <w:t>’</w:t>
      </w:r>
      <w:r w:rsidR="00607BD0">
        <w:t xml:space="preserve"> Options 1 and 2.</w:t>
      </w:r>
    </w:p>
    <w:p w:rsidR="008531B4" w:rsidRPr="00E66AE9" w:rsidRDefault="003D4A37" w:rsidP="003D4A37">
      <w:r>
        <w:t xml:space="preserve">The Inquiry gave careful consideration to the differences </w:t>
      </w:r>
      <w:r w:rsidR="007F5701">
        <w:t>in the biodiversity impacts of O</w:t>
      </w:r>
      <w:r>
        <w:t xml:space="preserve">ptions </w:t>
      </w:r>
      <w:r w:rsidR="0061345C">
        <w:t xml:space="preserve">1 and 2 near Langi Ghiran State </w:t>
      </w:r>
      <w:r w:rsidR="00CD24DB">
        <w:t>Park, particularly</w:t>
      </w:r>
      <w:r w:rsidR="0061345C">
        <w:t xml:space="preserve"> </w:t>
      </w:r>
      <w:r w:rsidR="003805F1">
        <w:t>in relation to</w:t>
      </w:r>
      <w:r>
        <w:t xml:space="preserve"> differences in impacts on native vegetation of </w:t>
      </w:r>
      <w:r w:rsidR="007F5701">
        <w:t>VHCS</w:t>
      </w:r>
      <w:r w:rsidR="00CD24DB">
        <w:t xml:space="preserve"> and impacts on Langi Ghiran State Park.</w:t>
      </w:r>
    </w:p>
    <w:p w:rsidR="00FD748A" w:rsidRDefault="003D4A37" w:rsidP="003D4A37">
      <w:r>
        <w:t xml:space="preserve">The extent of native vegetation clearing </w:t>
      </w:r>
      <w:r w:rsidR="0061345C">
        <w:t xml:space="preserve">and associated impacts on biodiversity </w:t>
      </w:r>
      <w:r>
        <w:t>is a</w:t>
      </w:r>
      <w:r w:rsidR="0061345C">
        <w:t xml:space="preserve"> </w:t>
      </w:r>
      <w:r w:rsidR="00FD748A">
        <w:t>key consideration</w:t>
      </w:r>
      <w:r>
        <w:t xml:space="preserve"> in selecting the final alignment for WHP2. In this respect there is a </w:t>
      </w:r>
      <w:r w:rsidR="007F5701">
        <w:t>significant difference between O</w:t>
      </w:r>
      <w:r>
        <w:t xml:space="preserve">ptions 1 and 2 in terms of the </w:t>
      </w:r>
      <w:r w:rsidR="0061345C">
        <w:t xml:space="preserve">amounts of </w:t>
      </w:r>
      <w:r w:rsidR="007F5701">
        <w:t>VHCS</w:t>
      </w:r>
      <w:r>
        <w:t xml:space="preserve"> and </w:t>
      </w:r>
      <w:r w:rsidR="007F5701">
        <w:t>HCS</w:t>
      </w:r>
      <w:r>
        <w:t xml:space="preserve"> native vegetation</w:t>
      </w:r>
      <w:r w:rsidR="007F5701">
        <w:t xml:space="preserve"> needing</w:t>
      </w:r>
      <w:r>
        <w:t xml:space="preserve"> to be cleared </w:t>
      </w:r>
      <w:r w:rsidR="0061345C">
        <w:t xml:space="preserve">(refer to </w:t>
      </w:r>
      <w:r>
        <w:t>Table 2</w:t>
      </w:r>
      <w:r w:rsidR="0061345C">
        <w:t>)</w:t>
      </w:r>
      <w:r w:rsidR="007F5701">
        <w:t>. For O</w:t>
      </w:r>
      <w:r>
        <w:t xml:space="preserve">ption 1, a total of 100.7 ha </w:t>
      </w:r>
      <w:r w:rsidR="0061345C">
        <w:t xml:space="preserve">equating to </w:t>
      </w:r>
      <w:r>
        <w:t xml:space="preserve">36.91 </w:t>
      </w:r>
      <w:r w:rsidR="0061345C">
        <w:t>H</w:t>
      </w:r>
      <w:r>
        <w:t xml:space="preserve">ha </w:t>
      </w:r>
      <w:r w:rsidR="0061345C">
        <w:t xml:space="preserve">of VHCS and HCS native vegetation </w:t>
      </w:r>
      <w:r>
        <w:t>would be cleared</w:t>
      </w:r>
      <w:r w:rsidR="0061345C">
        <w:t>,</w:t>
      </w:r>
      <w:r w:rsidR="007F5701">
        <w:t xml:space="preserve"> whereas under O</w:t>
      </w:r>
      <w:r>
        <w:t>ption 2 the corresponding figure</w:t>
      </w:r>
      <w:r w:rsidR="007F5701">
        <w:t xml:space="preserve"> i</w:t>
      </w:r>
      <w:r w:rsidR="0061345C">
        <w:t xml:space="preserve">s </w:t>
      </w:r>
      <w:r>
        <w:t>116.1 ha</w:t>
      </w:r>
      <w:r w:rsidR="0061345C">
        <w:t>, which equates t</w:t>
      </w:r>
      <w:r w:rsidR="005F05A9">
        <w:t>o</w:t>
      </w:r>
      <w:r w:rsidR="0061345C">
        <w:t xml:space="preserve"> </w:t>
      </w:r>
      <w:r>
        <w:t xml:space="preserve">48.67 </w:t>
      </w:r>
      <w:r w:rsidR="0061345C">
        <w:t>H</w:t>
      </w:r>
      <w:r>
        <w:t xml:space="preserve">ha. The additional </w:t>
      </w:r>
      <w:r w:rsidR="007F5701">
        <w:t>area of about 15 ha lost under O</w:t>
      </w:r>
      <w:r>
        <w:t xml:space="preserve">ption 2 must be considered </w:t>
      </w:r>
      <w:r w:rsidR="007F5701">
        <w:t>relative to</w:t>
      </w:r>
      <w:r>
        <w:t xml:space="preserve"> other differences in biodiversity impacts </w:t>
      </w:r>
      <w:r w:rsidR="007F5701">
        <w:t>as well as</w:t>
      </w:r>
      <w:r>
        <w:t xml:space="preserve"> other factors to be </w:t>
      </w:r>
      <w:r w:rsidR="007F5701">
        <w:t>consider</w:t>
      </w:r>
      <w:r>
        <w:t>ed later in this Assessment.</w:t>
      </w:r>
      <w:r w:rsidR="00180A3D">
        <w:t xml:space="preserve"> </w:t>
      </w:r>
    </w:p>
    <w:p w:rsidR="003C0F4A" w:rsidRDefault="003C0F4A" w:rsidP="003D4A37">
      <w:r w:rsidRPr="00E71C15">
        <w:t>Approval will be required from the Minister for Environment and Climate Change to permit the clearing of any VHCS native vegetation</w:t>
      </w:r>
      <w:r w:rsidRPr="00E71C15">
        <w:rPr>
          <w:rStyle w:val="FootnoteReference"/>
        </w:rPr>
        <w:footnoteReference w:id="7"/>
      </w:r>
      <w:r w:rsidRPr="00E71C15">
        <w:t xml:space="preserve">.  This decision is made in relation to whether impacts on VHCS vegetation are an unavoidable part of a project and takes into account environmental, social and economic factors from a State-wide perspective.  The Inquiry considered that in light of the extensive work undertaken to avoid and minimise effects on VHCS vegetation, particularly though the evaluation of alternatives alignments, the resulting clearance of VHCS vegetation is required for the project to proceed and is therefore unavoidable.  The proposed clearance of VHCS vegetation will result in significant biodiversity impacts, although on balance this should be acceptable in light of </w:t>
      </w:r>
      <w:r>
        <w:t xml:space="preserve">both </w:t>
      </w:r>
      <w:r w:rsidRPr="00E71C15">
        <w:t xml:space="preserve">the further </w:t>
      </w:r>
      <w:r>
        <w:t>opportunity</w:t>
      </w:r>
      <w:r w:rsidRPr="00E71C15">
        <w:t xml:space="preserve"> to avoid native vegetation through detailed design and the need</w:t>
      </w:r>
      <w:r>
        <w:t xml:space="preserve"> to meet appropriate offset requirements for VHCS vegetation under the NVMF</w:t>
      </w:r>
      <w:r w:rsidRPr="00E71C15">
        <w:t>.</w:t>
      </w:r>
    </w:p>
    <w:p w:rsidR="003D4A37" w:rsidRPr="00E04F56" w:rsidRDefault="003D4A37" w:rsidP="003D4A37">
      <w:pPr>
        <w:rPr>
          <w:b/>
          <w:sz w:val="24"/>
        </w:rPr>
      </w:pPr>
      <w:r w:rsidRPr="00E04F56">
        <w:rPr>
          <w:b/>
          <w:sz w:val="24"/>
        </w:rPr>
        <w:t>Matters of National Environmental Significance</w:t>
      </w:r>
    </w:p>
    <w:p w:rsidR="00E04F56" w:rsidRDefault="00FD748A" w:rsidP="003D4A37">
      <w:r>
        <w:t xml:space="preserve">The relevant </w:t>
      </w:r>
      <w:r w:rsidR="003D4A37" w:rsidRPr="00E66AE9">
        <w:t>controlling provisions under the EPBC Act are Sections 18 and 18A (listed threatened species and communities).</w:t>
      </w:r>
      <w:r>
        <w:t xml:space="preserve"> </w:t>
      </w:r>
    </w:p>
    <w:p w:rsidR="003D4A37" w:rsidRDefault="00211DAA" w:rsidP="003D4A37">
      <w:r>
        <w:t>The</w:t>
      </w:r>
      <w:r w:rsidR="003D4A37">
        <w:t xml:space="preserve"> EPBC-listed species </w:t>
      </w:r>
      <w:r w:rsidR="0042132C">
        <w:t xml:space="preserve">identified </w:t>
      </w:r>
      <w:r>
        <w:t xml:space="preserve">in the EES investigations </w:t>
      </w:r>
      <w:r w:rsidR="0042132C">
        <w:t xml:space="preserve">as potentially </w:t>
      </w:r>
      <w:r w:rsidR="003D4A37">
        <w:t>affected by WHP2 are:</w:t>
      </w:r>
    </w:p>
    <w:p w:rsidR="003D4A37" w:rsidRDefault="003D4A37" w:rsidP="005F2BEF">
      <w:pPr>
        <w:pStyle w:val="ListParagraph"/>
        <w:numPr>
          <w:ilvl w:val="0"/>
          <w:numId w:val="12"/>
        </w:numPr>
      </w:pPr>
      <w:r>
        <w:t>Dwarf Galaxias (vulnerable)</w:t>
      </w:r>
    </w:p>
    <w:p w:rsidR="003D4A37" w:rsidRDefault="003D4A37" w:rsidP="005F2BEF">
      <w:pPr>
        <w:pStyle w:val="ListParagraph"/>
        <w:numPr>
          <w:ilvl w:val="0"/>
          <w:numId w:val="12"/>
        </w:numPr>
      </w:pPr>
      <w:r>
        <w:t xml:space="preserve">Golden Sun Moth </w:t>
      </w:r>
      <w:r w:rsidR="009769E7">
        <w:t xml:space="preserve">(GSM) </w:t>
      </w:r>
      <w:r>
        <w:t>(critically endangered)</w:t>
      </w:r>
    </w:p>
    <w:p w:rsidR="003D4A37" w:rsidRDefault="003D4A37" w:rsidP="005F2BEF">
      <w:pPr>
        <w:pStyle w:val="ListParagraph"/>
        <w:numPr>
          <w:ilvl w:val="0"/>
          <w:numId w:val="12"/>
        </w:numPr>
      </w:pPr>
      <w:r>
        <w:t>Spiny Rice-flower (critically endangered)</w:t>
      </w:r>
    </w:p>
    <w:p w:rsidR="003D4A37" w:rsidRDefault="00B35F0B" w:rsidP="003D4A37">
      <w:r>
        <w:t xml:space="preserve">The Button Wrinklewort, </w:t>
      </w:r>
      <w:r w:rsidR="00AD5E33">
        <w:t xml:space="preserve">which is </w:t>
      </w:r>
      <w:r>
        <w:t xml:space="preserve">listed as endangered under the EPBC Act, </w:t>
      </w:r>
      <w:r w:rsidR="003D4A37">
        <w:t>was recorded</w:t>
      </w:r>
      <w:r w:rsidR="00180A3D">
        <w:t xml:space="preserve"> during</w:t>
      </w:r>
      <w:r w:rsidR="00AD5E33">
        <w:t xml:space="preserve"> the EES investigations. Some 85</w:t>
      </w:r>
      <w:r w:rsidR="00180A3D">
        <w:t xml:space="preserve"> individual plants were recorded within the road reserve east of Warrayatkin Road</w:t>
      </w:r>
      <w:r>
        <w:t>, and another five plants were recorded in the Woodnaggerak Reserve.</w:t>
      </w:r>
      <w:r w:rsidR="00180A3D">
        <w:t xml:space="preserve"> </w:t>
      </w:r>
      <w:r>
        <w:t xml:space="preserve">The </w:t>
      </w:r>
      <w:r w:rsidR="00AD5E33">
        <w:t>proposed alignment for WHP2 has</w:t>
      </w:r>
      <w:r>
        <w:t xml:space="preserve"> been </w:t>
      </w:r>
      <w:r w:rsidR="007F5701">
        <w:t>refin</w:t>
      </w:r>
      <w:r>
        <w:t>ed specifically to avoid these plants. Additional measures are also proposed to ensure that they are not disturbed</w:t>
      </w:r>
      <w:r w:rsidR="00DC1D1D">
        <w:t xml:space="preserve">, such as the </w:t>
      </w:r>
      <w:r>
        <w:t xml:space="preserve">use of appropriate fencing. </w:t>
      </w:r>
    </w:p>
    <w:p w:rsidR="00662691" w:rsidRDefault="006B3122" w:rsidP="003D4A37">
      <w:r>
        <w:t xml:space="preserve">Targeted surveys were also conducted for a range of other flora species that are listed under the EPBC Act and could be present in the project area. Details of these surveys are provided in Table 20-2 of the EES. </w:t>
      </w:r>
      <w:r w:rsidR="002D617A">
        <w:t xml:space="preserve">From these investigations, </w:t>
      </w:r>
      <w:r w:rsidR="009769E7">
        <w:t>it</w:t>
      </w:r>
      <w:r>
        <w:t xml:space="preserve"> was concluded that no other </w:t>
      </w:r>
      <w:r w:rsidR="002D617A">
        <w:t>EPBC-listed flora species were likely to be affected by WHP2.</w:t>
      </w:r>
      <w:r w:rsidR="005A4BBE">
        <w:t xml:space="preserve"> </w:t>
      </w:r>
      <w:r w:rsidR="0088418F">
        <w:t>This conclusion is supported</w:t>
      </w:r>
      <w:r w:rsidR="00E04F56">
        <w:t>.</w:t>
      </w:r>
    </w:p>
    <w:p w:rsidR="006B3122" w:rsidRDefault="00662691" w:rsidP="003D4A37">
      <w:r>
        <w:t xml:space="preserve">The EES considered potential indirect effects on listed flora species and concluded that the risks are low </w:t>
      </w:r>
      <w:r w:rsidR="002D6BAD">
        <w:t>to</w:t>
      </w:r>
      <w:r>
        <w:t xml:space="preserve"> negligible.</w:t>
      </w:r>
    </w:p>
    <w:p w:rsidR="00C66AA5" w:rsidRPr="00E04F56" w:rsidRDefault="006B3122" w:rsidP="003D4A37">
      <w:pPr>
        <w:rPr>
          <w:b/>
          <w:u w:val="single"/>
        </w:rPr>
      </w:pPr>
      <w:r w:rsidRPr="00E04F56">
        <w:rPr>
          <w:b/>
          <w:u w:val="single"/>
        </w:rPr>
        <w:t>Listed Flora Species</w:t>
      </w:r>
    </w:p>
    <w:p w:rsidR="006B3122" w:rsidRDefault="002D617A" w:rsidP="003D4A37">
      <w:r>
        <w:t xml:space="preserve">The </w:t>
      </w:r>
      <w:r w:rsidR="00EA70E3" w:rsidRPr="002D6BAD">
        <w:rPr>
          <w:b/>
          <w:i/>
        </w:rPr>
        <w:t>Spiny Rice-flower</w:t>
      </w:r>
      <w:r>
        <w:t xml:space="preserve"> is listed under both the EPBC Act and the FFG Act</w:t>
      </w:r>
      <w:r w:rsidR="0010228F">
        <w:t xml:space="preserve">, hence VicRoads put considerable effort </w:t>
      </w:r>
      <w:r>
        <w:t>into avoiding or minimising impacts on this species during the route selection process. About 575 individual plants were recorded in the existing highway reserve between the Ararat Aerodrome entrance and Warrayatkin Road</w:t>
      </w:r>
      <w:r w:rsidR="00DC1D1D">
        <w:t>, with a</w:t>
      </w:r>
      <w:r>
        <w:t xml:space="preserve">ll but one of these plants recorded between the existing road pavement and the railway line </w:t>
      </w:r>
      <w:r w:rsidR="00DC1D1D">
        <w:t>(</w:t>
      </w:r>
      <w:r>
        <w:t xml:space="preserve">to the north of the existing </w:t>
      </w:r>
      <w:r>
        <w:lastRenderedPageBreak/>
        <w:t>highway</w:t>
      </w:r>
      <w:r w:rsidR="00DC1D1D">
        <w:t>)</w:t>
      </w:r>
      <w:r>
        <w:t xml:space="preserve">. WHP2 </w:t>
      </w:r>
      <w:r w:rsidR="00DC1D1D">
        <w:t>sh</w:t>
      </w:r>
      <w:r>
        <w:t xml:space="preserve">ould </w:t>
      </w:r>
      <w:r w:rsidR="00DC1D1D">
        <w:t xml:space="preserve">only </w:t>
      </w:r>
      <w:r>
        <w:t>impact on one Spiny Rice-flower plant</w:t>
      </w:r>
      <w:r w:rsidR="00DC1D1D">
        <w:t xml:space="preserve"> through the deviation of the alignment to the south of this significant Spiny Rice-flower population</w:t>
      </w:r>
      <w:r w:rsidR="0010228F">
        <w:t>. T</w:t>
      </w:r>
      <w:r w:rsidR="00DC1D1D">
        <w:t>h</w:t>
      </w:r>
      <w:r>
        <w:t>is is not considered to be a significant impact on the species.</w:t>
      </w:r>
    </w:p>
    <w:p w:rsidR="00E95AC5" w:rsidRPr="00E04F56" w:rsidRDefault="00E95AC5" w:rsidP="003D4A37">
      <w:pPr>
        <w:rPr>
          <w:b/>
          <w:u w:val="single"/>
        </w:rPr>
      </w:pPr>
      <w:r w:rsidRPr="00E04F56">
        <w:rPr>
          <w:b/>
          <w:u w:val="single"/>
        </w:rPr>
        <w:t>Listed Fauna Species</w:t>
      </w:r>
    </w:p>
    <w:p w:rsidR="00E95AC5" w:rsidRDefault="00E95AC5" w:rsidP="003D4A37">
      <w:r w:rsidRPr="00E95AC5">
        <w:t xml:space="preserve">Targeted surveys were conducted for a range of </w:t>
      </w:r>
      <w:r>
        <w:t>fauna species listed under the EPBC Act that were likely to be present in the study area, notably the Golden Sun Moth</w:t>
      </w:r>
      <w:r w:rsidR="008D3956">
        <w:t xml:space="preserve"> (GSM)</w:t>
      </w:r>
      <w:r>
        <w:t>, Growling Grass</w:t>
      </w:r>
      <w:r w:rsidR="003729B2">
        <w:t xml:space="preserve"> Frog, Southern Brown Bandicoot</w:t>
      </w:r>
      <w:r>
        <w:t xml:space="preserve"> and Dwarf Galaxias. No </w:t>
      </w:r>
      <w:r w:rsidR="009769E7">
        <w:t>G</w:t>
      </w:r>
      <w:r>
        <w:t>rowling Grass Fogs or Southern Brown Bandicoots were recorded.</w:t>
      </w:r>
    </w:p>
    <w:p w:rsidR="00E95AC5" w:rsidRDefault="00E95AC5" w:rsidP="003D4A37">
      <w:r>
        <w:t xml:space="preserve">Some 156 </w:t>
      </w:r>
      <w:r w:rsidR="00EA70E3" w:rsidRPr="002748FF">
        <w:rPr>
          <w:b/>
          <w:i/>
        </w:rPr>
        <w:t>Dwarf Galaxias</w:t>
      </w:r>
      <w:r w:rsidR="009F5A9C">
        <w:t xml:space="preserve"> were recorded in Billy Billy Creek</w:t>
      </w:r>
      <w:r w:rsidR="007878D8">
        <w:t xml:space="preserve"> during targeted aquatic surveys employing a range of techniques</w:t>
      </w:r>
      <w:r w:rsidR="007878D8">
        <w:rPr>
          <w:rStyle w:val="FootnoteReference"/>
        </w:rPr>
        <w:footnoteReference w:id="8"/>
      </w:r>
      <w:r w:rsidR="009F5A9C">
        <w:t xml:space="preserve">. </w:t>
      </w:r>
      <w:r w:rsidR="00C844AC">
        <w:t xml:space="preserve">This species is listed under both the EPBC Act and FFG Act. </w:t>
      </w:r>
      <w:r w:rsidR="009F5A9C">
        <w:t xml:space="preserve">The main risk to this species would arise from building new bridges over this creek. Specific measures are proposed to avoid </w:t>
      </w:r>
      <w:r w:rsidR="001E6EA1">
        <w:t xml:space="preserve">or mitigate </w:t>
      </w:r>
      <w:r w:rsidR="009F5A9C">
        <w:t xml:space="preserve">impacts on the species (see EES </w:t>
      </w:r>
      <w:r w:rsidR="0010228F">
        <w:t>T</w:t>
      </w:r>
      <w:r w:rsidR="009F5A9C">
        <w:t>able 20-5)</w:t>
      </w:r>
      <w:r w:rsidR="002A4D24">
        <w:t xml:space="preserve"> including</w:t>
      </w:r>
      <w:r w:rsidR="009F5A9C">
        <w:t>:</w:t>
      </w:r>
    </w:p>
    <w:p w:rsidR="009F5A9C" w:rsidRDefault="009F5A9C" w:rsidP="005F2BEF">
      <w:pPr>
        <w:numPr>
          <w:ilvl w:val="0"/>
          <w:numId w:val="16"/>
        </w:numPr>
        <w:spacing w:before="0" w:after="0"/>
      </w:pPr>
      <w:r>
        <w:t>Development of a conservation management plan for Dwarf Galaxias</w:t>
      </w:r>
    </w:p>
    <w:p w:rsidR="0010228F" w:rsidRDefault="0010228F" w:rsidP="0010228F">
      <w:pPr>
        <w:numPr>
          <w:ilvl w:val="0"/>
          <w:numId w:val="16"/>
        </w:numPr>
        <w:spacing w:before="0" w:after="0"/>
      </w:pPr>
      <w:r>
        <w:t>No structures to be placed in low-flow channel</w:t>
      </w:r>
    </w:p>
    <w:p w:rsidR="009F5A9C" w:rsidRDefault="009F5A9C" w:rsidP="005F2BEF">
      <w:pPr>
        <w:numPr>
          <w:ilvl w:val="0"/>
          <w:numId w:val="16"/>
        </w:numPr>
        <w:spacing w:before="0" w:after="0"/>
      </w:pPr>
      <w:r>
        <w:t>Construction in and around Billy Billy Creek to occur outside the breeding/dispersal period (May to October)</w:t>
      </w:r>
    </w:p>
    <w:p w:rsidR="00462085" w:rsidRDefault="009F5A9C" w:rsidP="00462085">
      <w:pPr>
        <w:numPr>
          <w:ilvl w:val="0"/>
          <w:numId w:val="16"/>
        </w:numPr>
        <w:spacing w:before="0" w:after="0"/>
      </w:pPr>
      <w:r>
        <w:t>Waterway crossings within potential habitat to be designed for unimpeded Dwarf Galaxias dispersal during flood conditions.</w:t>
      </w:r>
    </w:p>
    <w:p w:rsidR="009F5A9C" w:rsidRDefault="00462085" w:rsidP="003D4A37">
      <w:r>
        <w:t xml:space="preserve">Specific measures would also be undertaken to protect the water quality of Billy Billy Creek including sediment and erosion controls. </w:t>
      </w:r>
      <w:r w:rsidR="00C844AC">
        <w:t xml:space="preserve">It is considered that the risk to the species would be </w:t>
      </w:r>
      <w:r w:rsidR="0010228F">
        <w:t xml:space="preserve">low provided the </w:t>
      </w:r>
      <w:r w:rsidR="00C844AC">
        <w:t xml:space="preserve">mitigation measures </w:t>
      </w:r>
      <w:r w:rsidR="0010228F">
        <w:t xml:space="preserve">above </w:t>
      </w:r>
      <w:r w:rsidR="00C844AC">
        <w:t>are implemented.</w:t>
      </w:r>
    </w:p>
    <w:p w:rsidR="00C844AC" w:rsidRDefault="00991099" w:rsidP="003D4A37">
      <w:r>
        <w:t>Targeted surveys</w:t>
      </w:r>
      <w:r>
        <w:rPr>
          <w:rStyle w:val="FootnoteReference"/>
        </w:rPr>
        <w:footnoteReference w:id="9"/>
      </w:r>
      <w:r>
        <w:t xml:space="preserve"> were conducted for t</w:t>
      </w:r>
      <w:r w:rsidR="00A66F34">
        <w:t xml:space="preserve">he </w:t>
      </w:r>
      <w:r w:rsidR="00EA70E3" w:rsidRPr="002748FF">
        <w:rPr>
          <w:b/>
          <w:i/>
        </w:rPr>
        <w:t>Golden Sun Moth</w:t>
      </w:r>
      <w:r w:rsidR="00A66F34">
        <w:t xml:space="preserve"> </w:t>
      </w:r>
      <w:r>
        <w:t xml:space="preserve">which </w:t>
      </w:r>
      <w:r w:rsidR="00A66F34">
        <w:t xml:space="preserve">was recorded </w:t>
      </w:r>
      <w:r w:rsidR="00D86CAD">
        <w:t xml:space="preserve">at a number of locations in the study area both within the existing road reserve and in adjoining paddocks. </w:t>
      </w:r>
      <w:r w:rsidR="00ED4CFC">
        <w:t xml:space="preserve">Some 145 individuals were recorded. </w:t>
      </w:r>
      <w:r w:rsidR="00D86CAD">
        <w:t xml:space="preserve">The </w:t>
      </w:r>
      <w:r w:rsidR="009769E7">
        <w:t>GSM</w:t>
      </w:r>
      <w:r w:rsidR="00ED4CFC">
        <w:t xml:space="preserve"> </w:t>
      </w:r>
      <w:r w:rsidR="00D86CAD">
        <w:t xml:space="preserve">is listed under both the EPBC Act and the FFG Act. Because of the linear corridor required </w:t>
      </w:r>
      <w:r w:rsidR="00ED4CFC">
        <w:t xml:space="preserve">for WHP2 </w:t>
      </w:r>
      <w:r w:rsidR="00D86CAD">
        <w:t>and the widespread locati</w:t>
      </w:r>
      <w:r w:rsidR="00ED4CFC">
        <w:t xml:space="preserve">on of GSM habitat, it is not possible to avoid all impacts on </w:t>
      </w:r>
      <w:r w:rsidR="009769E7">
        <w:t>GSM</w:t>
      </w:r>
      <w:r w:rsidR="00ED4CFC">
        <w:t xml:space="preserve"> h</w:t>
      </w:r>
      <w:r w:rsidR="0010228F">
        <w:t>abitat. The habitat loss under O</w:t>
      </w:r>
      <w:r w:rsidR="00ED4CFC">
        <w:t>ption 1 would be 31.56 ha an</w:t>
      </w:r>
      <w:r w:rsidR="0010228F">
        <w:t>d the corresponding figure for O</w:t>
      </w:r>
      <w:r w:rsidR="00ED4CFC">
        <w:t>ption 2 would be 23.8 ha. Th</w:t>
      </w:r>
      <w:r w:rsidR="00B858A3">
        <w:t>ese</w:t>
      </w:r>
      <w:r w:rsidR="00ED4CFC">
        <w:t xml:space="preserve"> would </w:t>
      </w:r>
      <w:r w:rsidR="00B858A3">
        <w:t xml:space="preserve">both </w:t>
      </w:r>
      <w:r w:rsidR="00ED4CFC">
        <w:t>be considered a</w:t>
      </w:r>
      <w:r w:rsidR="00B858A3">
        <w:t>s</w:t>
      </w:r>
      <w:r w:rsidR="00ED4CFC">
        <w:t xml:space="preserve"> </w:t>
      </w:r>
      <w:r w:rsidR="00B858A3">
        <w:t xml:space="preserve">a </w:t>
      </w:r>
      <w:r w:rsidR="00ED4CFC">
        <w:t xml:space="preserve">significant impact under the </w:t>
      </w:r>
      <w:r w:rsidR="009F763A">
        <w:t>DSEWPC</w:t>
      </w:r>
      <w:r w:rsidR="0039151C">
        <w:t xml:space="preserve"> </w:t>
      </w:r>
      <w:r w:rsidR="00ED4CFC">
        <w:t>guidelines.</w:t>
      </w:r>
    </w:p>
    <w:p w:rsidR="00FD60F0" w:rsidRPr="00E04F56" w:rsidRDefault="00FD60F0" w:rsidP="00FD60F0">
      <w:pPr>
        <w:keepNext/>
        <w:rPr>
          <w:b/>
          <w:u w:val="single"/>
        </w:rPr>
      </w:pPr>
      <w:r w:rsidRPr="00E04F56">
        <w:rPr>
          <w:b/>
          <w:u w:val="single"/>
        </w:rPr>
        <w:t>Listed Communities</w:t>
      </w:r>
    </w:p>
    <w:p w:rsidR="00FD60F0" w:rsidRDefault="00FD60F0" w:rsidP="00FD60F0">
      <w:r>
        <w:t>The</w:t>
      </w:r>
      <w:r w:rsidRPr="000833F2">
        <w:t xml:space="preserve"> </w:t>
      </w:r>
      <w:r>
        <w:t>EPBC</w:t>
      </w:r>
      <w:r w:rsidRPr="000833F2">
        <w:t xml:space="preserve">-listed </w:t>
      </w:r>
      <w:r>
        <w:t>ecological communities likely to be affected by WHP2 and their status are:</w:t>
      </w:r>
    </w:p>
    <w:p w:rsidR="00FD60F0" w:rsidRDefault="00FD60F0" w:rsidP="00FD60F0">
      <w:pPr>
        <w:pStyle w:val="ListParagraph"/>
        <w:numPr>
          <w:ilvl w:val="0"/>
          <w:numId w:val="13"/>
        </w:numPr>
      </w:pPr>
      <w:r>
        <w:t>Natural Temperate Grassland of the Victorian Volcanic Plain (critically endangered)</w:t>
      </w:r>
    </w:p>
    <w:p w:rsidR="00FD60F0" w:rsidRDefault="00FD60F0" w:rsidP="00FD60F0">
      <w:pPr>
        <w:pStyle w:val="ListParagraph"/>
        <w:numPr>
          <w:ilvl w:val="0"/>
          <w:numId w:val="13"/>
        </w:numPr>
      </w:pPr>
      <w:r>
        <w:t>Grassy Eucalypt Woodland of the Victorian Volcanic Plain (critically endangered)</w:t>
      </w:r>
    </w:p>
    <w:p w:rsidR="00FD60F0" w:rsidRPr="000833F2" w:rsidRDefault="00FD60F0" w:rsidP="00FD60F0">
      <w:r>
        <w:t xml:space="preserve">The impacts on these listed species are discussed along with species listed under the </w:t>
      </w:r>
      <w:r w:rsidRPr="00A13268">
        <w:rPr>
          <w:i/>
        </w:rPr>
        <w:t>Flora and Fauna Guarantee Act 1998</w:t>
      </w:r>
      <w:r>
        <w:t xml:space="preserve"> (FFG Act).</w:t>
      </w:r>
    </w:p>
    <w:p w:rsidR="00FD60F0" w:rsidRDefault="00FD60F0" w:rsidP="00FD60F0">
      <w:r>
        <w:t>In the selection of route options, priority was given to avoiding and minimising impacts on Natural Temperate Grassland of the Victorian Volcanic Plain (NTGVVP) and Grassy Eucalypt Woodland of the Victorian Volcanic Plain (GEWVVP)</w:t>
      </w:r>
      <w:r>
        <w:rPr>
          <w:rStyle w:val="FootnoteReference"/>
        </w:rPr>
        <w:footnoteReference w:id="10"/>
      </w:r>
      <w:r>
        <w:t>. Examples of this approach are provided in Table 20-3 of the EES. Nevertheless it has not been possible to avoid all patches of NTGVVP and GEWVVP. The net result is that approximately some 5.25 ha of NTGVVP would be removed under both Options 1 and 2 where it occurs in the common alignment east of Ararat.  Under Option 1, about 11.14 ha of GEWVVP would be removed, while 8.65 GEWVVP would be removed under Option 2. Both of these impacts are considered significant based on the Significant Impact Guidelines published by DSEWPC</w:t>
      </w:r>
      <w:r>
        <w:rPr>
          <w:rStyle w:val="FootnoteReference"/>
        </w:rPr>
        <w:t xml:space="preserve"> </w:t>
      </w:r>
      <w:r>
        <w:rPr>
          <w:rStyle w:val="FootnoteReference"/>
        </w:rPr>
        <w:footnoteReference w:id="11"/>
      </w:r>
      <w:r>
        <w:t>. The residual impacts of WHP2 on these communities would be considered acceptable only if offsets were secured that met the requirements of the EPBC Act Environmental Offsets Policy (October 2012).</w:t>
      </w:r>
    </w:p>
    <w:p w:rsidR="00184C65" w:rsidRPr="00E04F56" w:rsidRDefault="00184C65" w:rsidP="003D4A37">
      <w:pPr>
        <w:rPr>
          <w:b/>
          <w:u w:val="single"/>
        </w:rPr>
      </w:pPr>
      <w:r w:rsidRPr="00E04F56">
        <w:rPr>
          <w:b/>
          <w:u w:val="single"/>
        </w:rPr>
        <w:lastRenderedPageBreak/>
        <w:t>Other species</w:t>
      </w:r>
    </w:p>
    <w:p w:rsidR="009F5A9C" w:rsidRDefault="00184C65" w:rsidP="003D4A37">
      <w:r>
        <w:t>Apart from the</w:t>
      </w:r>
      <w:r w:rsidR="00406B0F">
        <w:t xml:space="preserve"> </w:t>
      </w:r>
      <w:r>
        <w:t>species listed under the EPBC Act and FFG Act, WHP2 would also impact on a number of species that are considered rare or vulnerable. These impacts are as follows:</w:t>
      </w:r>
    </w:p>
    <w:p w:rsidR="00184C65" w:rsidRDefault="0039151C" w:rsidP="005F2BEF">
      <w:pPr>
        <w:numPr>
          <w:ilvl w:val="0"/>
          <w:numId w:val="17"/>
        </w:numPr>
        <w:spacing w:before="0" w:after="0"/>
        <w:ind w:left="714" w:hanging="357"/>
      </w:pPr>
      <w:r>
        <w:t>1 Golden Cowslip individual (O</w:t>
      </w:r>
      <w:r w:rsidR="00184C65">
        <w:t xml:space="preserve">ption 1) </w:t>
      </w:r>
    </w:p>
    <w:p w:rsidR="00184C65" w:rsidRDefault="0039151C" w:rsidP="005F2BEF">
      <w:pPr>
        <w:numPr>
          <w:ilvl w:val="0"/>
          <w:numId w:val="17"/>
        </w:numPr>
        <w:spacing w:before="0" w:after="0"/>
        <w:ind w:left="714" w:hanging="357"/>
      </w:pPr>
      <w:r>
        <w:t>12 Emerald-lip Greenhoods (O</w:t>
      </w:r>
      <w:r w:rsidR="00184C65">
        <w:t xml:space="preserve">ption 1) </w:t>
      </w:r>
    </w:p>
    <w:p w:rsidR="00184C65" w:rsidRDefault="00184C65" w:rsidP="005F2BEF">
      <w:pPr>
        <w:numPr>
          <w:ilvl w:val="0"/>
          <w:numId w:val="17"/>
        </w:numPr>
        <w:spacing w:before="0" w:after="0"/>
        <w:ind w:left="714" w:hanging="357"/>
      </w:pPr>
      <w:r>
        <w:t>Brown Toadlet (both options)</w:t>
      </w:r>
    </w:p>
    <w:p w:rsidR="00184C65" w:rsidRDefault="00184C65" w:rsidP="005F2BEF">
      <w:pPr>
        <w:numPr>
          <w:ilvl w:val="0"/>
          <w:numId w:val="17"/>
        </w:numPr>
        <w:spacing w:before="0" w:after="0"/>
        <w:ind w:left="714" w:hanging="357"/>
      </w:pPr>
      <w:r>
        <w:t>Brown Treecreeper (both options)</w:t>
      </w:r>
    </w:p>
    <w:p w:rsidR="00184C65" w:rsidRDefault="00184C65" w:rsidP="005F2BEF">
      <w:pPr>
        <w:numPr>
          <w:ilvl w:val="0"/>
          <w:numId w:val="17"/>
        </w:numPr>
        <w:spacing w:before="0" w:after="0"/>
        <w:ind w:left="714" w:hanging="357"/>
      </w:pPr>
      <w:r>
        <w:t>8 Yarra Gums (</w:t>
      </w:r>
      <w:r w:rsidR="0039151C">
        <w:t>O</w:t>
      </w:r>
      <w:r>
        <w:t>ption 2)</w:t>
      </w:r>
      <w:r w:rsidR="002A4D24">
        <w:t>.</w:t>
      </w:r>
    </w:p>
    <w:p w:rsidR="00184C65" w:rsidRDefault="00184C65" w:rsidP="00E43CC5">
      <w:pPr>
        <w:keepNext/>
      </w:pPr>
      <w:r>
        <w:t>It is considered that these impacts would be minor.</w:t>
      </w:r>
    </w:p>
    <w:p w:rsidR="00184C65" w:rsidRPr="00EC1124" w:rsidRDefault="0031554F" w:rsidP="00E43CC5">
      <w:pPr>
        <w:keepNext/>
        <w:rPr>
          <w:b/>
          <w:sz w:val="24"/>
        </w:rPr>
      </w:pPr>
      <w:r w:rsidRPr="00EC1124">
        <w:rPr>
          <w:b/>
          <w:sz w:val="24"/>
        </w:rPr>
        <w:t>Conclusion</w:t>
      </w:r>
    </w:p>
    <w:p w:rsidR="00D31248" w:rsidRDefault="0031554F" w:rsidP="00E43CC5">
      <w:pPr>
        <w:keepNext/>
      </w:pPr>
      <w:r>
        <w:t xml:space="preserve">While the two options would have </w:t>
      </w:r>
      <w:r w:rsidR="00406B0F">
        <w:t xml:space="preserve">quite </w:t>
      </w:r>
      <w:r>
        <w:t xml:space="preserve">different impacts in the </w:t>
      </w:r>
      <w:r w:rsidR="00406B0F">
        <w:t xml:space="preserve">area west of </w:t>
      </w:r>
      <w:r>
        <w:t>Buangor</w:t>
      </w:r>
      <w:r w:rsidR="00406B0F">
        <w:t xml:space="preserve"> near the Langi Ghiran State Park</w:t>
      </w:r>
      <w:r w:rsidR="002A4D24">
        <w:t>,</w:t>
      </w:r>
      <w:r>
        <w:t xml:space="preserve"> </w:t>
      </w:r>
      <w:r w:rsidR="00406B0F">
        <w:t xml:space="preserve">WHP2 (both options) </w:t>
      </w:r>
      <w:r w:rsidR="00D31248">
        <w:t xml:space="preserve">would </w:t>
      </w:r>
      <w:r w:rsidR="00406B0F">
        <w:t xml:space="preserve">result in </w:t>
      </w:r>
      <w:r w:rsidR="00D31248">
        <w:t xml:space="preserve">significant impacts </w:t>
      </w:r>
      <w:r>
        <w:t>on</w:t>
      </w:r>
      <w:r w:rsidR="00D31248">
        <w:t>:</w:t>
      </w:r>
    </w:p>
    <w:p w:rsidR="00D31248" w:rsidRDefault="0031554F" w:rsidP="005F2BEF">
      <w:pPr>
        <w:numPr>
          <w:ilvl w:val="0"/>
          <w:numId w:val="18"/>
        </w:numPr>
        <w:spacing w:before="0" w:after="0"/>
        <w:ind w:left="714" w:hanging="357"/>
      </w:pPr>
      <w:r>
        <w:t xml:space="preserve">native vegetation of </w:t>
      </w:r>
      <w:r w:rsidR="0010228F">
        <w:t>VHCS</w:t>
      </w:r>
      <w:r>
        <w:t xml:space="preserve"> and </w:t>
      </w:r>
      <w:r w:rsidR="0010228F">
        <w:t>HCS</w:t>
      </w:r>
    </w:p>
    <w:p w:rsidR="00D31248" w:rsidRDefault="0031554F" w:rsidP="005F2BEF">
      <w:pPr>
        <w:numPr>
          <w:ilvl w:val="0"/>
          <w:numId w:val="18"/>
        </w:numPr>
        <w:spacing w:before="0" w:after="0"/>
        <w:ind w:left="714" w:hanging="357"/>
      </w:pPr>
      <w:r>
        <w:t>two ecological communities listed un</w:t>
      </w:r>
      <w:r w:rsidR="00D31248">
        <w:t>der the EPBC Act (although these</w:t>
      </w:r>
      <w:r>
        <w:t xml:space="preserve"> </w:t>
      </w:r>
      <w:r w:rsidR="00D31248">
        <w:t>are largely</w:t>
      </w:r>
      <w:r>
        <w:t xml:space="preserve"> component</w:t>
      </w:r>
      <w:r w:rsidR="00D31248">
        <w:t>s</w:t>
      </w:r>
      <w:r>
        <w:t xml:space="preserve"> of the high quality native vegetation already mentioned)</w:t>
      </w:r>
    </w:p>
    <w:p w:rsidR="00D31248" w:rsidRDefault="00406B0F" w:rsidP="005F2BEF">
      <w:pPr>
        <w:numPr>
          <w:ilvl w:val="0"/>
          <w:numId w:val="18"/>
        </w:numPr>
        <w:spacing w:before="0" w:after="0"/>
        <w:ind w:left="714" w:hanging="357"/>
      </w:pPr>
      <w:r>
        <w:t>GSM habitat</w:t>
      </w:r>
      <w:r w:rsidR="00D31248">
        <w:t>.</w:t>
      </w:r>
    </w:p>
    <w:p w:rsidR="00D31248" w:rsidRDefault="00D31248" w:rsidP="00D70710">
      <w:r>
        <w:t xml:space="preserve">The </w:t>
      </w:r>
      <w:r w:rsidR="00406B0F">
        <w:t xml:space="preserve">identification </w:t>
      </w:r>
      <w:r>
        <w:t xml:space="preserve">of the option with the lower </w:t>
      </w:r>
      <w:r w:rsidR="00406B0F">
        <w:t xml:space="preserve">biodiversity </w:t>
      </w:r>
      <w:r>
        <w:t>impacts is not</w:t>
      </w:r>
      <w:r w:rsidR="00406B0F">
        <w:t xml:space="preserve"> entirely</w:t>
      </w:r>
      <w:r>
        <w:t xml:space="preserve"> straightforward</w:t>
      </w:r>
      <w:r w:rsidR="00564EA0">
        <w:t>, although the EES</w:t>
      </w:r>
      <w:r w:rsidR="002A4D24">
        <w:rPr>
          <w:rStyle w:val="FootnoteReference"/>
        </w:rPr>
        <w:footnoteReference w:id="12"/>
      </w:r>
      <w:r w:rsidR="00564EA0">
        <w:t xml:space="preserve"> clearly concludes that “Option 1 is considered the preferred alignment from the biodiversity and habitat perspective”</w:t>
      </w:r>
      <w:r w:rsidR="00406B0F">
        <w:t>.</w:t>
      </w:r>
      <w:r>
        <w:t xml:space="preserve"> </w:t>
      </w:r>
      <w:r w:rsidR="0039151C">
        <w:t>Overall, O</w:t>
      </w:r>
      <w:r>
        <w:t xml:space="preserve">ption 1 has </w:t>
      </w:r>
      <w:r w:rsidR="00406B0F">
        <w:t xml:space="preserve">significantly </w:t>
      </w:r>
      <w:r>
        <w:t>less impact on</w:t>
      </w:r>
      <w:r w:rsidR="00406B0F">
        <w:t xml:space="preserve"> native vegetation, including less impact on VHCS and HCS native vegetation</w:t>
      </w:r>
      <w:r w:rsidR="0039151C">
        <w:t>, while O</w:t>
      </w:r>
      <w:r>
        <w:t xml:space="preserve">ption 2 has less impact on </w:t>
      </w:r>
      <w:r w:rsidR="00406B0F">
        <w:t>GSM habitat</w:t>
      </w:r>
      <w:r>
        <w:t>.</w:t>
      </w:r>
    </w:p>
    <w:p w:rsidR="007337D9" w:rsidRDefault="00DB7C61" w:rsidP="00D70710">
      <w:r>
        <w:t>T</w:t>
      </w:r>
      <w:r w:rsidR="00D31248">
        <w:t xml:space="preserve">he ecological consultants who undertook the flora and fauna investigations </w:t>
      </w:r>
      <w:r w:rsidR="00B717EF">
        <w:t xml:space="preserve">for VicRoads </w:t>
      </w:r>
      <w:r>
        <w:t xml:space="preserve">recommended </w:t>
      </w:r>
      <w:r w:rsidR="0039151C">
        <w:t>that O</w:t>
      </w:r>
      <w:r w:rsidR="00D31248">
        <w:t>ption 1 should be selected</w:t>
      </w:r>
      <w:r w:rsidR="00B717EF">
        <w:t>, particularly due to</w:t>
      </w:r>
      <w:r w:rsidR="00D31248">
        <w:t xml:space="preserve"> the much lower impact on high quality native vegetation</w:t>
      </w:r>
      <w:r w:rsidR="00B717EF">
        <w:t xml:space="preserve"> and habitat</w:t>
      </w:r>
      <w:r w:rsidR="00F85313">
        <w:rPr>
          <w:rStyle w:val="FootnoteReference"/>
        </w:rPr>
        <w:footnoteReference w:id="13"/>
      </w:r>
      <w:r w:rsidR="00D31248">
        <w:t xml:space="preserve">. </w:t>
      </w:r>
      <w:r w:rsidR="0039707B">
        <w:t xml:space="preserve"> DSE supported this view through their submission to the Inquiry.  </w:t>
      </w:r>
      <w:r w:rsidR="00772EA7">
        <w:t xml:space="preserve">Both </w:t>
      </w:r>
      <w:r w:rsidR="00D31248">
        <w:t>consider</w:t>
      </w:r>
      <w:r w:rsidR="00772EA7">
        <w:t>ed</w:t>
      </w:r>
      <w:r w:rsidR="00D31248">
        <w:t xml:space="preserve"> th</w:t>
      </w:r>
      <w:r w:rsidR="00772EA7">
        <w:t xml:space="preserve">e extent of </w:t>
      </w:r>
      <w:r w:rsidR="00606B2B">
        <w:t>VHCS</w:t>
      </w:r>
      <w:r w:rsidR="00772EA7">
        <w:t xml:space="preserve"> and </w:t>
      </w:r>
      <w:r w:rsidR="00606B2B">
        <w:t>HSC</w:t>
      </w:r>
      <w:r w:rsidR="00772EA7">
        <w:t xml:space="preserve"> vegetation</w:t>
      </w:r>
      <w:r w:rsidR="00D31248">
        <w:t xml:space="preserve"> to be a</w:t>
      </w:r>
      <w:r w:rsidR="009769E7">
        <w:t xml:space="preserve"> more </w:t>
      </w:r>
      <w:r w:rsidR="009D7BC5">
        <w:t xml:space="preserve">determining factor </w:t>
      </w:r>
      <w:r w:rsidR="009769E7">
        <w:t>than</w:t>
      </w:r>
      <w:r w:rsidR="00D31248">
        <w:t xml:space="preserve"> the slight differences in impacts </w:t>
      </w:r>
      <w:r w:rsidR="009D7BC5">
        <w:t xml:space="preserve">on GSM habitat or other matters of NES </w:t>
      </w:r>
      <w:r w:rsidR="00B717EF">
        <w:t>for the two options</w:t>
      </w:r>
      <w:r w:rsidR="00D31248">
        <w:t xml:space="preserve">. </w:t>
      </w:r>
    </w:p>
    <w:p w:rsidR="007337D9" w:rsidRDefault="007337D9" w:rsidP="00D70710">
      <w:r>
        <w:t>Apart from the direct loss of native</w:t>
      </w:r>
      <w:r w:rsidR="0039151C">
        <w:t xml:space="preserve"> vegetation and fauna habitat, O</w:t>
      </w:r>
      <w:r>
        <w:t xml:space="preserve">ption 1 </w:t>
      </w:r>
      <w:r w:rsidR="009201D9">
        <w:t>provides the opportunity for superior</w:t>
      </w:r>
      <w:r>
        <w:t xml:space="preserve"> </w:t>
      </w:r>
      <w:r w:rsidR="009201D9">
        <w:t xml:space="preserve">ecological outcomes </w:t>
      </w:r>
      <w:r>
        <w:t>in terms of</w:t>
      </w:r>
      <w:r w:rsidR="00606B2B">
        <w:t>:</w:t>
      </w:r>
      <w:r>
        <w:t xml:space="preserve"> lower impacts on Langi Ghiran State Park, less potential for road kill of native animals</w:t>
      </w:r>
      <w:r w:rsidR="00606B2B">
        <w:t xml:space="preserve"> due to reduced habitat exposure,</w:t>
      </w:r>
      <w:r>
        <w:t xml:space="preserve"> and better habitat connectivity between the State Park and bushland south of the existing highway.</w:t>
      </w:r>
    </w:p>
    <w:p w:rsidR="00D31248" w:rsidRDefault="00D31248" w:rsidP="009201D9">
      <w:r>
        <w:t xml:space="preserve">The </w:t>
      </w:r>
      <w:r w:rsidRPr="009201D9">
        <w:t>Inquiry</w:t>
      </w:r>
      <w:r>
        <w:t xml:space="preserve"> has carefully considered this matter and has also </w:t>
      </w:r>
      <w:r w:rsidR="00540551">
        <w:t>found</w:t>
      </w:r>
      <w:r w:rsidR="0039151C">
        <w:t xml:space="preserve"> that O</w:t>
      </w:r>
      <w:r w:rsidR="00B717EF">
        <w:t xml:space="preserve">ption 1 is superior in terms of the </w:t>
      </w:r>
      <w:r w:rsidR="008531B4">
        <w:t xml:space="preserve">overall </w:t>
      </w:r>
      <w:r w:rsidR="00B717EF">
        <w:t>biodiversity outcomes</w:t>
      </w:r>
      <w:r w:rsidR="00EB05EC">
        <w:t xml:space="preserve"> (even though impacts on matters of NES would be marginally higher).</w:t>
      </w:r>
    </w:p>
    <w:p w:rsidR="00D31248" w:rsidRDefault="00D31248" w:rsidP="00D31248">
      <w:pPr>
        <w:spacing w:before="0" w:after="0"/>
      </w:pPr>
      <w:r>
        <w:t>It is my assessment that:</w:t>
      </w:r>
    </w:p>
    <w:p w:rsidR="00540551" w:rsidRPr="00EA327E" w:rsidRDefault="00287B8E" w:rsidP="00C01E0F">
      <w:pPr>
        <w:numPr>
          <w:ilvl w:val="0"/>
          <w:numId w:val="19"/>
        </w:numPr>
        <w:ind w:left="714" w:hanging="357"/>
      </w:pPr>
      <w:r>
        <w:t xml:space="preserve">WHP2 </w:t>
      </w:r>
      <w:r w:rsidRPr="00617CA7">
        <w:t>would</w:t>
      </w:r>
      <w:r w:rsidR="00540551" w:rsidRPr="00617CA7">
        <w:t xml:space="preserve"> result in the loss of a </w:t>
      </w:r>
      <w:r w:rsidR="00540551">
        <w:t>considerable</w:t>
      </w:r>
      <w:r w:rsidR="00540551" w:rsidRPr="00617CA7">
        <w:t xml:space="preserve"> amount of native vegetation</w:t>
      </w:r>
      <w:r w:rsidR="003B5324">
        <w:t xml:space="preserve"> and </w:t>
      </w:r>
      <w:r w:rsidR="003B5324" w:rsidRPr="00EA327E">
        <w:t>habitat</w:t>
      </w:r>
      <w:r w:rsidR="007F6FD2" w:rsidRPr="00EA327E">
        <w:t>,</w:t>
      </w:r>
      <w:r w:rsidR="00540551" w:rsidRPr="00EA327E">
        <w:t xml:space="preserve"> including </w:t>
      </w:r>
      <w:r w:rsidR="007F6FD2" w:rsidRPr="00EA327E">
        <w:t>significant</w:t>
      </w:r>
      <w:r w:rsidR="00540551" w:rsidRPr="00EA327E">
        <w:t xml:space="preserve"> quantities in the </w:t>
      </w:r>
      <w:r w:rsidR="0039151C" w:rsidRPr="00EA327E">
        <w:t>VHCS</w:t>
      </w:r>
      <w:r w:rsidR="00540551" w:rsidRPr="00EA327E">
        <w:t xml:space="preserve"> and </w:t>
      </w:r>
      <w:r w:rsidR="0039151C" w:rsidRPr="00EA327E">
        <w:t>HCS</w:t>
      </w:r>
      <w:r w:rsidR="00540551" w:rsidRPr="00EA327E">
        <w:t xml:space="preserve"> categories</w:t>
      </w:r>
      <w:r w:rsidR="003B5324" w:rsidRPr="00EA327E">
        <w:t>, affecting 10 EVCs</w:t>
      </w:r>
      <w:r w:rsidR="006433DD" w:rsidRPr="00EA327E">
        <w:t>, six of which are endangered</w:t>
      </w:r>
      <w:r w:rsidR="00540551" w:rsidRPr="00EA327E">
        <w:t>.</w:t>
      </w:r>
    </w:p>
    <w:p w:rsidR="007B6CD2" w:rsidRPr="00EA327E" w:rsidRDefault="007F6FD2" w:rsidP="007B6CD2">
      <w:pPr>
        <w:numPr>
          <w:ilvl w:val="0"/>
          <w:numId w:val="19"/>
        </w:numPr>
        <w:spacing w:before="0"/>
      </w:pPr>
      <w:r w:rsidRPr="00EA327E">
        <w:t xml:space="preserve">The EES demonstrates that the </w:t>
      </w:r>
      <w:r w:rsidR="00EA327E" w:rsidRPr="00EA327E">
        <w:t xml:space="preserve">alignment </w:t>
      </w:r>
      <w:r w:rsidRPr="00EA327E">
        <w:t xml:space="preserve">options selection process and specific design measures have attempted to avoid and minimise the impact on native vegetation </w:t>
      </w:r>
      <w:r w:rsidR="00F921F1" w:rsidRPr="00EA327E">
        <w:t>to the extent practicabl</w:t>
      </w:r>
      <w:r w:rsidR="00EA327E" w:rsidRPr="00EA327E">
        <w:t>e in achieving a highway of AMP3</w:t>
      </w:r>
      <w:r w:rsidR="00F921F1" w:rsidRPr="00EA327E">
        <w:t xml:space="preserve"> stand</w:t>
      </w:r>
      <w:r w:rsidR="00D024A1" w:rsidRPr="00EA327E">
        <w:t>ard between Beaufort and Ararat, although f</w:t>
      </w:r>
      <w:r w:rsidR="007B6CD2" w:rsidRPr="00EA327E">
        <w:t>urther avoidance of native vegetation</w:t>
      </w:r>
      <w:r w:rsidR="00D024A1" w:rsidRPr="00EA327E">
        <w:t xml:space="preserve"> (</w:t>
      </w:r>
      <w:r w:rsidR="007B6CD2" w:rsidRPr="00EA327E">
        <w:t>consistent with the NVMF</w:t>
      </w:r>
      <w:r w:rsidR="00D024A1" w:rsidRPr="00EA327E">
        <w:t>)</w:t>
      </w:r>
      <w:r w:rsidR="007B6CD2" w:rsidRPr="00EA327E">
        <w:t xml:space="preserve"> can be achieved through the detailed design stage (as outlined in the EES).</w:t>
      </w:r>
    </w:p>
    <w:p w:rsidR="002D6BAD" w:rsidRPr="00EA327E" w:rsidRDefault="002D6BAD" w:rsidP="007B6CD2">
      <w:pPr>
        <w:numPr>
          <w:ilvl w:val="0"/>
          <w:numId w:val="19"/>
        </w:numPr>
        <w:spacing w:before="0"/>
      </w:pPr>
      <w:r w:rsidRPr="00EA327E">
        <w:t>The proposed clearance of VHCS native vegetation will be an unavoidable</w:t>
      </w:r>
      <w:r w:rsidR="003B5324" w:rsidRPr="00EA327E">
        <w:t xml:space="preserve"> impact of the project</w:t>
      </w:r>
      <w:r w:rsidR="00EA327E" w:rsidRPr="00EA327E">
        <w:t xml:space="preserve">.  </w:t>
      </w:r>
      <w:r w:rsidR="00CD5AAE" w:rsidRPr="00EA327E">
        <w:t>T</w:t>
      </w:r>
      <w:r w:rsidRPr="00EA327E">
        <w:t>his is considered to be acceptable</w:t>
      </w:r>
      <w:r w:rsidR="00EA327E" w:rsidRPr="00EA327E">
        <w:t xml:space="preserve"> providing appropriate offsets are provided that meet the requirements of the NVMF and given</w:t>
      </w:r>
      <w:r w:rsidR="00CD5AAE" w:rsidRPr="00EA327E">
        <w:t xml:space="preserve"> </w:t>
      </w:r>
      <w:r w:rsidR="00EA327E" w:rsidRPr="00EA327E">
        <w:t>there is some opportunity to minimise this during the detailed design stage</w:t>
      </w:r>
      <w:r w:rsidR="003B5324" w:rsidRPr="00EA327E">
        <w:t>.</w:t>
      </w:r>
    </w:p>
    <w:p w:rsidR="003729B2" w:rsidRDefault="003729B2" w:rsidP="007B6CD2">
      <w:pPr>
        <w:numPr>
          <w:ilvl w:val="0"/>
          <w:numId w:val="19"/>
        </w:numPr>
        <w:spacing w:before="0"/>
      </w:pPr>
      <w:r>
        <w:lastRenderedPageBreak/>
        <w:t>There would be significant impacts on two EPBC-listed communities (Natural Temperate Grassland of the Victorian Volcanic Plain and Grassy Eucalypt Woodland of the Victorian Volcanic Plain).</w:t>
      </w:r>
      <w:r w:rsidR="00462085">
        <w:t xml:space="preserve"> These impacts would be considered acceptable only if offsets were provided that met the NVMF and the EPBC Act Environmental Offsets Policy </w:t>
      </w:r>
      <w:r w:rsidR="00EB05EC">
        <w:t>(October 2012).</w:t>
      </w:r>
    </w:p>
    <w:p w:rsidR="00540551" w:rsidRDefault="003729B2" w:rsidP="007B6CD2">
      <w:pPr>
        <w:numPr>
          <w:ilvl w:val="0"/>
          <w:numId w:val="19"/>
        </w:numPr>
        <w:spacing w:before="0"/>
      </w:pPr>
      <w:r>
        <w:t xml:space="preserve">The impacts on the Spiny Rice-flower and the Dwarf Galaxias are not likely to be significant provided </w:t>
      </w:r>
      <w:r w:rsidR="007B6CD2">
        <w:t>the</w:t>
      </w:r>
      <w:r>
        <w:t xml:space="preserve"> environmental management commitments in Section 21.7.6 </w:t>
      </w:r>
      <w:r w:rsidR="00C32FEB">
        <w:t xml:space="preserve">of the EES </w:t>
      </w:r>
      <w:r>
        <w:t>are fully implemented</w:t>
      </w:r>
      <w:r w:rsidR="007B6CD2">
        <w:t>.</w:t>
      </w:r>
      <w:r>
        <w:t xml:space="preserve"> </w:t>
      </w:r>
    </w:p>
    <w:p w:rsidR="007B6CD2" w:rsidRDefault="007B6CD2" w:rsidP="007B6CD2">
      <w:pPr>
        <w:numPr>
          <w:ilvl w:val="0"/>
          <w:numId w:val="19"/>
        </w:numPr>
        <w:spacing w:before="0"/>
      </w:pPr>
      <w:r>
        <w:t>WHP2 would have a significant impact on the Golden Sun Moth through habitat removal</w:t>
      </w:r>
      <w:r w:rsidR="00C01E0F">
        <w:t>,</w:t>
      </w:r>
      <w:r>
        <w:t xml:space="preserve"> despite attempts to minimise this </w:t>
      </w:r>
      <w:r w:rsidR="0076285A">
        <w:t>impact through</w:t>
      </w:r>
      <w:r>
        <w:t xml:space="preserve"> the options selection process.</w:t>
      </w:r>
      <w:r w:rsidR="00EB05EC">
        <w:t xml:space="preserve"> These impacts would be acceptable only if offsets </w:t>
      </w:r>
      <w:r w:rsidR="00606B2B">
        <w:t xml:space="preserve">are </w:t>
      </w:r>
      <w:r w:rsidR="00EB05EC">
        <w:t xml:space="preserve">provided </w:t>
      </w:r>
      <w:r w:rsidR="00606B2B">
        <w:t>to satisfy both</w:t>
      </w:r>
      <w:r w:rsidR="00EB05EC">
        <w:t xml:space="preserve"> the NVMF and the EPBC Act Environmental Offsets Policy (October 2012).</w:t>
      </w:r>
    </w:p>
    <w:p w:rsidR="00C01E0F" w:rsidRDefault="00C01E0F" w:rsidP="00C01E0F">
      <w:pPr>
        <w:numPr>
          <w:ilvl w:val="0"/>
          <w:numId w:val="19"/>
        </w:numPr>
        <w:spacing w:before="0"/>
        <w:ind w:left="714" w:hanging="357"/>
      </w:pPr>
      <w:r>
        <w:t>Option 1 presented in the EES is superior in terms of overall biodiversity outcomes, particularly in reducing impacts on native vegetation of VHCS and HCS.</w:t>
      </w:r>
      <w:r w:rsidR="00EB05EC">
        <w:t xml:space="preserve"> It is noted however that </w:t>
      </w:r>
      <w:r w:rsidR="00606B2B">
        <w:t xml:space="preserve">Option </w:t>
      </w:r>
      <w:r w:rsidR="00EB05EC">
        <w:t>1 would have slightly higher impacts on matters of NES.</w:t>
      </w:r>
    </w:p>
    <w:p w:rsidR="0084086E" w:rsidRDefault="002041FB" w:rsidP="00CE72B8">
      <w:pPr>
        <w:spacing w:before="0"/>
      </w:pPr>
      <w:r>
        <w:t>Further, it is my assessment that:</w:t>
      </w:r>
    </w:p>
    <w:p w:rsidR="007B6CD2" w:rsidRDefault="00D024A1" w:rsidP="00CE72B8">
      <w:pPr>
        <w:numPr>
          <w:ilvl w:val="0"/>
          <w:numId w:val="19"/>
        </w:numPr>
        <w:spacing w:before="0"/>
      </w:pPr>
      <w:r>
        <w:t xml:space="preserve">The </w:t>
      </w:r>
      <w:r w:rsidR="007B6CD2">
        <w:t>commitments in Section 21.7.6 of the EES for managing potential impacts on flora, fauna and native vegetation be fully implemented.</w:t>
      </w:r>
    </w:p>
    <w:p w:rsidR="0076285A" w:rsidRDefault="0076285A" w:rsidP="00D024A1">
      <w:pPr>
        <w:pStyle w:val="ListParagraph"/>
        <w:numPr>
          <w:ilvl w:val="0"/>
          <w:numId w:val="19"/>
        </w:numPr>
      </w:pPr>
      <w:r>
        <w:t xml:space="preserve">A native vegetation management plan </w:t>
      </w:r>
      <w:r w:rsidR="00D024A1">
        <w:t>detailing</w:t>
      </w:r>
      <w:r>
        <w:t xml:space="preserve"> additional measures to reduce the impacts on native vegetation and listed ecological communities</w:t>
      </w:r>
      <w:r w:rsidR="00D024A1">
        <w:t>,</w:t>
      </w:r>
      <w:r>
        <w:t xml:space="preserve"> identified d</w:t>
      </w:r>
      <w:r w:rsidR="00D024A1">
        <w:t xml:space="preserve">uring the detailed design stage, </w:t>
      </w:r>
      <w:r>
        <w:t xml:space="preserve">be prepared </w:t>
      </w:r>
      <w:r w:rsidR="00020963">
        <w:t>to the satisfaction</w:t>
      </w:r>
      <w:r>
        <w:t xml:space="preserve"> </w:t>
      </w:r>
      <w:r w:rsidR="00020963">
        <w:t xml:space="preserve">of </w:t>
      </w:r>
      <w:r>
        <w:t xml:space="preserve">DSE and </w:t>
      </w:r>
      <w:r w:rsidR="009F763A">
        <w:t>DSEWPC</w:t>
      </w:r>
      <w:r w:rsidR="0039151C">
        <w:t xml:space="preserve"> </w:t>
      </w:r>
      <w:r>
        <w:t>before construction commences.</w:t>
      </w:r>
    </w:p>
    <w:p w:rsidR="00D024A1" w:rsidRDefault="00D024A1" w:rsidP="00D024A1">
      <w:pPr>
        <w:numPr>
          <w:ilvl w:val="0"/>
          <w:numId w:val="19"/>
        </w:numPr>
        <w:spacing w:before="0"/>
      </w:pPr>
      <w:r>
        <w:t xml:space="preserve">Given the potential significant effects on threatened species and communities, specific conservation management plans for the Spiny Rice-flower, Dwarf Galaxias and Golden Sun Moth be prepared </w:t>
      </w:r>
      <w:r w:rsidR="00C01E0F" w:rsidRPr="00617CA7">
        <w:t xml:space="preserve">by VicRoads in consultation with </w:t>
      </w:r>
      <w:r w:rsidR="00C01E0F">
        <w:t xml:space="preserve">and </w:t>
      </w:r>
      <w:r w:rsidR="00C01E0F" w:rsidRPr="00617CA7">
        <w:t xml:space="preserve">to the satisfaction of </w:t>
      </w:r>
      <w:r w:rsidR="00586FD4">
        <w:t>DSEWPC</w:t>
      </w:r>
      <w:r w:rsidR="00586FD4" w:rsidRPr="00617CA7">
        <w:t xml:space="preserve"> </w:t>
      </w:r>
      <w:r w:rsidR="00586FD4">
        <w:t xml:space="preserve">and </w:t>
      </w:r>
      <w:r w:rsidR="00C01E0F" w:rsidRPr="00617CA7">
        <w:t>DSE, prior to any works being undertaken which may affect these species</w:t>
      </w:r>
      <w:r>
        <w:t>.</w:t>
      </w:r>
    </w:p>
    <w:p w:rsidR="0090566D" w:rsidRPr="00606B2B" w:rsidRDefault="00565EF2" w:rsidP="00CE72B8">
      <w:pPr>
        <w:numPr>
          <w:ilvl w:val="0"/>
          <w:numId w:val="19"/>
        </w:numPr>
        <w:spacing w:before="0"/>
      </w:pPr>
      <w:r>
        <w:t xml:space="preserve">A native vegetation offset management </w:t>
      </w:r>
      <w:r w:rsidR="0076285A">
        <w:t xml:space="preserve">plan be prepared </w:t>
      </w:r>
      <w:r w:rsidR="00C01E0F">
        <w:t>to address the requirements of both</w:t>
      </w:r>
      <w:r w:rsidR="0076285A">
        <w:t xml:space="preserve"> the NVMF and </w:t>
      </w:r>
      <w:r>
        <w:t xml:space="preserve">the EPBC Act Environmental Offsets Policy (October 2012), to the satisfaction of </w:t>
      </w:r>
      <w:r w:rsidR="002041FB">
        <w:t xml:space="preserve">DSE and </w:t>
      </w:r>
      <w:r w:rsidR="009F763A">
        <w:t>DSEWPC</w:t>
      </w:r>
      <w:r w:rsidR="0090566D">
        <w:t>.</w:t>
      </w:r>
      <w:r w:rsidR="00C01E0F">
        <w:t xml:space="preserve">  </w:t>
      </w:r>
      <w:r w:rsidR="00FA25CF" w:rsidRPr="00FA25CF">
        <w:t>Further, either as part of or in addition to the native vegetation offset management, a plan for the long-term sustainable management of vegetation in the existing road reserve be endorsed by DSE.</w:t>
      </w:r>
    </w:p>
    <w:p w:rsidR="0039151C" w:rsidRDefault="00C01E0F" w:rsidP="00745938">
      <w:r>
        <w:t xml:space="preserve"> </w:t>
      </w:r>
    </w:p>
    <w:p w:rsidR="009D21BE" w:rsidRPr="00122E8E" w:rsidRDefault="00CE72B8" w:rsidP="009D21BE">
      <w:pPr>
        <w:pStyle w:val="Heading2"/>
      </w:pPr>
      <w:bookmarkStart w:id="44" w:name="_Toc354582226"/>
      <w:r>
        <w:t>I</w:t>
      </w:r>
      <w:r w:rsidR="009D21BE" w:rsidRPr="00122E8E">
        <w:t>nfrastructure</w:t>
      </w:r>
      <w:r w:rsidR="002F521C">
        <w:t xml:space="preserve"> and Land use</w:t>
      </w:r>
      <w:bookmarkEnd w:id="44"/>
      <w:r w:rsidR="002F521C">
        <w:t xml:space="preserve"> </w:t>
      </w:r>
    </w:p>
    <w:bookmarkEnd w:id="42"/>
    <w:p w:rsidR="00456EE3" w:rsidRPr="006F193E" w:rsidRDefault="00456EE3" w:rsidP="00456EE3">
      <w:pPr>
        <w:rPr>
          <w:i/>
        </w:rPr>
      </w:pPr>
      <w:r w:rsidRPr="00EC1124">
        <w:rPr>
          <w:b/>
          <w:color w:val="0070C0"/>
        </w:rPr>
        <w:t>Evaluation Objective</w:t>
      </w:r>
      <w:r w:rsidRPr="006F193E">
        <w:rPr>
          <w:b/>
        </w:rPr>
        <w:t xml:space="preserve"> – </w:t>
      </w:r>
      <w:r>
        <w:rPr>
          <w:i/>
        </w:rPr>
        <w:t>To avoid or minimise ad</w:t>
      </w:r>
      <w:r w:rsidR="00CE72B8">
        <w:rPr>
          <w:i/>
        </w:rPr>
        <w:t xml:space="preserve">verse effects on </w:t>
      </w:r>
      <w:r w:rsidR="002F521C">
        <w:rPr>
          <w:i/>
        </w:rPr>
        <w:t xml:space="preserve">existing </w:t>
      </w:r>
      <w:r w:rsidR="00CE72B8">
        <w:rPr>
          <w:i/>
        </w:rPr>
        <w:t>infrastructure and land use</w:t>
      </w:r>
      <w:r w:rsidR="004F288D">
        <w:rPr>
          <w:i/>
        </w:rPr>
        <w:t>s.</w:t>
      </w:r>
    </w:p>
    <w:p w:rsidR="00456EE3" w:rsidRDefault="00456EE3" w:rsidP="00456EE3">
      <w:pPr>
        <w:rPr>
          <w:b/>
        </w:rPr>
      </w:pPr>
      <w:r w:rsidRPr="006F193E">
        <w:rPr>
          <w:b/>
        </w:rPr>
        <w:t>Key Issues</w:t>
      </w:r>
    </w:p>
    <w:p w:rsidR="00456EE3" w:rsidRDefault="00456EE3" w:rsidP="00456EE3">
      <w:r w:rsidRPr="006F193E">
        <w:t>In</w:t>
      </w:r>
      <w:r>
        <w:t xml:space="preserve"> the context of relevant legislation</w:t>
      </w:r>
      <w:r w:rsidR="00301867" w:rsidRPr="00301867">
        <w:t xml:space="preserve"> </w:t>
      </w:r>
      <w:r w:rsidR="00301867">
        <w:t>and policy</w:t>
      </w:r>
      <w:r>
        <w:t xml:space="preserve">, the key issues for the assessment of impacts </w:t>
      </w:r>
      <w:r w:rsidR="00301867">
        <w:t xml:space="preserve">on land use and infrastructure </w:t>
      </w:r>
      <w:r>
        <w:t>are:</w:t>
      </w:r>
    </w:p>
    <w:p w:rsidR="00301867" w:rsidRDefault="00456EE3" w:rsidP="00456EE3">
      <w:pPr>
        <w:pStyle w:val="ListParagraph"/>
        <w:numPr>
          <w:ilvl w:val="0"/>
          <w:numId w:val="14"/>
        </w:numPr>
      </w:pPr>
      <w:r>
        <w:t xml:space="preserve">Whether </w:t>
      </w:r>
      <w:r w:rsidR="00C32FEB">
        <w:t xml:space="preserve">the </w:t>
      </w:r>
      <w:r>
        <w:t xml:space="preserve">project is </w:t>
      </w:r>
      <w:r w:rsidR="00C32FEB">
        <w:t>consistent with planning policy.</w:t>
      </w:r>
    </w:p>
    <w:p w:rsidR="00456EE3" w:rsidRDefault="00301867" w:rsidP="00456EE3">
      <w:pPr>
        <w:pStyle w:val="ListParagraph"/>
        <w:numPr>
          <w:ilvl w:val="0"/>
          <w:numId w:val="14"/>
        </w:numPr>
      </w:pPr>
      <w:r>
        <w:t>Whether the associated interfaces with or disruption of existing infrastructure would be acceptable</w:t>
      </w:r>
      <w:r w:rsidR="00C32FEB">
        <w:t>.</w:t>
      </w:r>
    </w:p>
    <w:p w:rsidR="00456EE3" w:rsidRPr="00131A6F" w:rsidRDefault="00456EE3" w:rsidP="00B338B0">
      <w:pPr>
        <w:pStyle w:val="ListParagraph"/>
        <w:numPr>
          <w:ilvl w:val="0"/>
          <w:numId w:val="14"/>
        </w:numPr>
      </w:pPr>
      <w:r>
        <w:t xml:space="preserve">Whether the required land acquisition and/or displacement of land uses, with </w:t>
      </w:r>
      <w:r w:rsidR="00CE3CD3">
        <w:t xml:space="preserve">its </w:t>
      </w:r>
      <w:r>
        <w:t xml:space="preserve">associated </w:t>
      </w:r>
      <w:r w:rsidR="00B338B0">
        <w:t>socio-</w:t>
      </w:r>
      <w:r>
        <w:t>economic effects</w:t>
      </w:r>
      <w:r w:rsidR="00CE3CD3">
        <w:t>,</w:t>
      </w:r>
      <w:r>
        <w:t xml:space="preserve"> is acceptable</w:t>
      </w:r>
      <w:r w:rsidR="00B338B0">
        <w:t>.</w:t>
      </w:r>
    </w:p>
    <w:p w:rsidR="00456EE3" w:rsidRDefault="00456EE3" w:rsidP="00456EE3">
      <w:pPr>
        <w:rPr>
          <w:b/>
        </w:rPr>
      </w:pPr>
      <w:r w:rsidRPr="006F193E">
        <w:rPr>
          <w:b/>
        </w:rPr>
        <w:t>Discussion and Findings</w:t>
      </w:r>
    </w:p>
    <w:p w:rsidR="00456EE3" w:rsidRPr="00556BF2" w:rsidRDefault="00456EE3" w:rsidP="00456EE3">
      <w:pPr>
        <w:rPr>
          <w:b/>
          <w:i/>
        </w:rPr>
      </w:pPr>
      <w:r>
        <w:rPr>
          <w:b/>
          <w:i/>
        </w:rPr>
        <w:t xml:space="preserve">Planning </w:t>
      </w:r>
      <w:r w:rsidR="00325433">
        <w:rPr>
          <w:b/>
          <w:i/>
        </w:rPr>
        <w:t>policy</w:t>
      </w:r>
    </w:p>
    <w:p w:rsidR="00D64C1C" w:rsidRDefault="006C6BD2" w:rsidP="00456EE3">
      <w:r>
        <w:t>In addition to its national highway function, t</w:t>
      </w:r>
      <w:r w:rsidR="004466E9">
        <w:t xml:space="preserve">he </w:t>
      </w:r>
      <w:r w:rsidR="000A15AD">
        <w:t>WHP2</w:t>
      </w:r>
      <w:r w:rsidR="004466E9">
        <w:t xml:space="preserve"> </w:t>
      </w:r>
      <w:r>
        <w:t xml:space="preserve">will </w:t>
      </w:r>
      <w:r w:rsidR="004466E9">
        <w:t>support relevant provisions of the Ararat and Pyrenees Planning Schemes related to regional and economic development</w:t>
      </w:r>
      <w:r w:rsidR="00D64C1C">
        <w:t xml:space="preserve">.  The WHP2 will improve access to the local area, its businesses, tourism sites and provide construction jobs, which is all consistent with the relevant planning </w:t>
      </w:r>
      <w:r w:rsidR="00301867">
        <w:t xml:space="preserve">scheme </w:t>
      </w:r>
      <w:r w:rsidR="00D64C1C">
        <w:lastRenderedPageBreak/>
        <w:t>policies and strategies</w:t>
      </w:r>
      <w:r w:rsidR="004466E9">
        <w:t>.  In addition, the bypass of the Buangor township will improve safety and amenity of residents (</w:t>
      </w:r>
      <w:r w:rsidR="004466E9" w:rsidRPr="0062735A">
        <w:t>as</w:t>
      </w:r>
      <w:r w:rsidR="0062735A">
        <w:t xml:space="preserve"> discussed further in section 3.6</w:t>
      </w:r>
      <w:r w:rsidR="004466E9">
        <w:t xml:space="preserve">) </w:t>
      </w:r>
      <w:r w:rsidR="00301867">
        <w:t xml:space="preserve">but </w:t>
      </w:r>
      <w:r w:rsidR="004466E9">
        <w:t>is unlikely to increase development pressure</w:t>
      </w:r>
      <w:r w:rsidR="00301867">
        <w:t>s to the extent of</w:t>
      </w:r>
      <w:r w:rsidR="004466E9">
        <w:t xml:space="preserve"> requir</w:t>
      </w:r>
      <w:r w:rsidR="00301867">
        <w:t>ing</w:t>
      </w:r>
      <w:r w:rsidR="004466E9">
        <w:t xml:space="preserve"> rezoning</w:t>
      </w:r>
      <w:r w:rsidR="004466E9">
        <w:rPr>
          <w:rStyle w:val="FootnoteReference"/>
        </w:rPr>
        <w:footnoteReference w:id="14"/>
      </w:r>
      <w:r w:rsidR="004466E9">
        <w:t xml:space="preserve">. </w:t>
      </w:r>
    </w:p>
    <w:p w:rsidR="00180983" w:rsidRDefault="00D64C1C" w:rsidP="00456EE3">
      <w:r>
        <w:t xml:space="preserve">In relation to </w:t>
      </w:r>
      <w:r w:rsidR="00301867" w:rsidRPr="00830AC3">
        <w:t xml:space="preserve">Local Planning Policy Framework (LPPF) </w:t>
      </w:r>
      <w:r w:rsidR="004466E9">
        <w:t xml:space="preserve">clauses </w:t>
      </w:r>
      <w:r>
        <w:t xml:space="preserve">on </w:t>
      </w:r>
      <w:r w:rsidR="004466E9">
        <w:t>environmental and natural resource values</w:t>
      </w:r>
      <w:r>
        <w:t>,</w:t>
      </w:r>
      <w:r w:rsidR="004466E9">
        <w:t xml:space="preserve"> both options will have direct impacts on agricultural land and native vegetation </w:t>
      </w:r>
      <w:r>
        <w:t>(</w:t>
      </w:r>
      <w:r w:rsidR="004466E9">
        <w:t xml:space="preserve">as discussed further in </w:t>
      </w:r>
      <w:r w:rsidR="0062735A">
        <w:t>section 3.4</w:t>
      </w:r>
      <w:r>
        <w:t>).  H</w:t>
      </w:r>
      <w:r w:rsidR="004466E9">
        <w:t>owever</w:t>
      </w:r>
      <w:r w:rsidR="001563AA">
        <w:t>,</w:t>
      </w:r>
      <w:r w:rsidR="004466E9">
        <w:t xml:space="preserve"> </w:t>
      </w:r>
      <w:r w:rsidR="00301867">
        <w:t xml:space="preserve">as noted in the previous section, </w:t>
      </w:r>
      <w:r w:rsidR="004466E9">
        <w:t xml:space="preserve">Option 1 will have </w:t>
      </w:r>
      <w:r w:rsidR="00F44E62">
        <w:t xml:space="preserve">significantly </w:t>
      </w:r>
      <w:r w:rsidR="004466E9">
        <w:t>less impact on native vegetation</w:t>
      </w:r>
      <w:r w:rsidR="00F44E62">
        <w:t>, particularly</w:t>
      </w:r>
      <w:r w:rsidR="004466E9">
        <w:t xml:space="preserve"> as it is aligned </w:t>
      </w:r>
      <w:r w:rsidR="00F44E62">
        <w:t xml:space="preserve">further </w:t>
      </w:r>
      <w:r w:rsidR="004466E9">
        <w:t>to the south of Langi Ghiran State Park</w:t>
      </w:r>
      <w:r w:rsidR="00F44E62">
        <w:t xml:space="preserve"> and significant habitat in this area west of Bua</w:t>
      </w:r>
      <w:r w:rsidR="00976580">
        <w:t>ngo</w:t>
      </w:r>
      <w:r w:rsidR="00F44E62">
        <w:t>r</w:t>
      </w:r>
      <w:r w:rsidR="004466E9">
        <w:t xml:space="preserve">. </w:t>
      </w:r>
    </w:p>
    <w:p w:rsidR="00B656D7" w:rsidRDefault="00C32FEB" w:rsidP="0029672E">
      <w:r>
        <w:t>During the Inquiry a</w:t>
      </w:r>
      <w:r w:rsidR="008F0E0E" w:rsidRPr="00830AC3">
        <w:t xml:space="preserve">ttention </w:t>
      </w:r>
      <w:r>
        <w:t xml:space="preserve">was drawn </w:t>
      </w:r>
      <w:r w:rsidR="008F0E0E" w:rsidRPr="00830AC3">
        <w:t xml:space="preserve">to the </w:t>
      </w:r>
      <w:r w:rsidR="004466E9" w:rsidRPr="00830AC3">
        <w:t xml:space="preserve">lack of </w:t>
      </w:r>
      <w:r w:rsidR="00666B90">
        <w:t xml:space="preserve">explicit </w:t>
      </w:r>
      <w:r w:rsidR="004466E9" w:rsidRPr="00830AC3">
        <w:t xml:space="preserve">consideration </w:t>
      </w:r>
      <w:r w:rsidR="00666B90">
        <w:t xml:space="preserve">of the implications of </w:t>
      </w:r>
      <w:r w:rsidR="00666B90" w:rsidRPr="00830AC3">
        <w:t>wildfire risk</w:t>
      </w:r>
      <w:r w:rsidR="00666B90">
        <w:t xml:space="preserve"> </w:t>
      </w:r>
      <w:r w:rsidR="00301867">
        <w:t xml:space="preserve">in the </w:t>
      </w:r>
      <w:r w:rsidR="00B656D7">
        <w:t>exhibited documents</w:t>
      </w:r>
      <w:r w:rsidR="008F0E0E" w:rsidRPr="00830AC3">
        <w:t xml:space="preserve">, </w:t>
      </w:r>
      <w:r w:rsidR="00666B90">
        <w:t xml:space="preserve">as required under </w:t>
      </w:r>
      <w:r w:rsidR="0029672E" w:rsidRPr="00830AC3">
        <w:rPr>
          <w:i/>
        </w:rPr>
        <w:t>Ministerial Direction No. 11 Strategic assessment of amendments</w:t>
      </w:r>
      <w:r w:rsidR="008F0E0E" w:rsidRPr="00830AC3">
        <w:t xml:space="preserve">.  </w:t>
      </w:r>
      <w:r w:rsidR="00B656D7">
        <w:t>P</w:t>
      </w:r>
      <w:r w:rsidR="0029672E" w:rsidRPr="00830AC3">
        <w:t xml:space="preserve">roposed </w:t>
      </w:r>
      <w:r w:rsidR="00A8006C" w:rsidRPr="00830AC3">
        <w:t>PSA</w:t>
      </w:r>
      <w:r w:rsidR="00666B90">
        <w:t>s</w:t>
      </w:r>
      <w:r w:rsidR="00A8006C" w:rsidRPr="00830AC3">
        <w:t xml:space="preserve"> </w:t>
      </w:r>
      <w:r w:rsidR="00B656D7">
        <w:t xml:space="preserve">need to </w:t>
      </w:r>
      <w:r w:rsidR="0029672E" w:rsidRPr="00830AC3">
        <w:t xml:space="preserve">address any relevant bushfire risk. </w:t>
      </w:r>
      <w:r w:rsidR="008F0E0E" w:rsidRPr="00830AC3">
        <w:t xml:space="preserve"> </w:t>
      </w:r>
      <w:r w:rsidR="0029672E" w:rsidRPr="00830AC3">
        <w:t>In determining whether a PSA addresses</w:t>
      </w:r>
      <w:r w:rsidR="00B656D7">
        <w:t xml:space="preserve"> this</w:t>
      </w:r>
      <w:r w:rsidR="0029672E" w:rsidRPr="00830AC3">
        <w:t xml:space="preserve">, the Strategic Assessment Guidelines (Practice Note 46) provide that the planning authority is to consider whether the amendment </w:t>
      </w:r>
      <w:r w:rsidR="00B656D7">
        <w:t xml:space="preserve">is consistent with </w:t>
      </w:r>
      <w:r w:rsidR="0029672E" w:rsidRPr="00830AC3">
        <w:t xml:space="preserve">the </w:t>
      </w:r>
      <w:r w:rsidR="00B656D7">
        <w:t xml:space="preserve">objectives of the </w:t>
      </w:r>
      <w:r w:rsidR="00A8006C" w:rsidRPr="00830AC3">
        <w:t>State Planning Policy Framework (</w:t>
      </w:r>
      <w:r w:rsidR="0029672E" w:rsidRPr="00830AC3">
        <w:t>SPP</w:t>
      </w:r>
      <w:r w:rsidR="00A8006C" w:rsidRPr="00830AC3">
        <w:t>F)</w:t>
      </w:r>
      <w:r w:rsidR="00B656D7">
        <w:t xml:space="preserve"> and the</w:t>
      </w:r>
      <w:r w:rsidR="0029672E" w:rsidRPr="00830AC3">
        <w:t xml:space="preserve"> </w:t>
      </w:r>
      <w:r w:rsidR="00B656D7" w:rsidRPr="00830AC3">
        <w:t>LPPF</w:t>
      </w:r>
      <w:r w:rsidR="00B656D7">
        <w:t xml:space="preserve"> and</w:t>
      </w:r>
      <w:r w:rsidR="00B656D7" w:rsidRPr="00830AC3">
        <w:t xml:space="preserve"> </w:t>
      </w:r>
      <w:r w:rsidR="0029672E" w:rsidRPr="00830AC3">
        <w:t>whether views have been sought from the relevant fire authority</w:t>
      </w:r>
      <w:r w:rsidR="00B656D7">
        <w:t>.  This should include</w:t>
      </w:r>
      <w:r w:rsidR="008F0E0E" w:rsidRPr="00830AC3">
        <w:t xml:space="preserve"> the prioritisation of</w:t>
      </w:r>
      <w:r w:rsidR="0029672E" w:rsidRPr="00830AC3">
        <w:t xml:space="preserve"> the protection of human life over other considerations</w:t>
      </w:r>
      <w:r w:rsidR="008F0E0E" w:rsidRPr="00830AC3">
        <w:t xml:space="preserve"> and the development of </w:t>
      </w:r>
      <w:r w:rsidR="0029672E" w:rsidRPr="00830AC3">
        <w:t xml:space="preserve">roads </w:t>
      </w:r>
      <w:r w:rsidR="008F0E0E" w:rsidRPr="00830AC3">
        <w:t xml:space="preserve">that </w:t>
      </w:r>
      <w:r w:rsidR="0029672E" w:rsidRPr="00830AC3">
        <w:t>minimise risks from fire</w:t>
      </w:r>
      <w:r w:rsidR="0029672E" w:rsidRPr="00830AC3">
        <w:rPr>
          <w:rStyle w:val="FootnoteReference"/>
        </w:rPr>
        <w:footnoteReference w:id="15"/>
      </w:r>
      <w:r w:rsidR="0029672E" w:rsidRPr="00830AC3">
        <w:t xml:space="preserve">.  </w:t>
      </w:r>
    </w:p>
    <w:p w:rsidR="0029672E" w:rsidRDefault="0029672E" w:rsidP="0029672E">
      <w:r w:rsidRPr="00830AC3">
        <w:t xml:space="preserve">The Country Fire Authority </w:t>
      </w:r>
      <w:r w:rsidR="00666B90">
        <w:t xml:space="preserve">(CFA) </w:t>
      </w:r>
      <w:r w:rsidRPr="00830AC3">
        <w:t>w</w:t>
      </w:r>
      <w:r w:rsidR="00830AC3" w:rsidRPr="00830AC3">
        <w:t>as</w:t>
      </w:r>
      <w:r w:rsidRPr="00830AC3">
        <w:t xml:space="preserve"> </w:t>
      </w:r>
      <w:r w:rsidR="00830AC3" w:rsidRPr="00830AC3">
        <w:t>identified</w:t>
      </w:r>
      <w:r w:rsidRPr="00830AC3">
        <w:t xml:space="preserve"> </w:t>
      </w:r>
      <w:r w:rsidR="00830AC3" w:rsidRPr="00830AC3">
        <w:t xml:space="preserve">and consulted </w:t>
      </w:r>
      <w:r w:rsidR="00A91DA3">
        <w:t xml:space="preserve">as </w:t>
      </w:r>
      <w:r w:rsidR="00A91DA3" w:rsidRPr="00830AC3">
        <w:t xml:space="preserve">a stakeholder </w:t>
      </w:r>
      <w:r w:rsidR="00830AC3" w:rsidRPr="00830AC3">
        <w:t xml:space="preserve">through </w:t>
      </w:r>
      <w:r w:rsidR="00E40E22" w:rsidRPr="00830AC3">
        <w:t xml:space="preserve">the </w:t>
      </w:r>
      <w:r w:rsidR="00830AC3" w:rsidRPr="00830AC3">
        <w:t xml:space="preserve">proponent’s implementation of its EES </w:t>
      </w:r>
      <w:r w:rsidR="00E40E22" w:rsidRPr="00830AC3">
        <w:t>Consultation Plan</w:t>
      </w:r>
      <w:r w:rsidR="00830AC3" w:rsidRPr="00830AC3">
        <w:t>.  T</w:t>
      </w:r>
      <w:r w:rsidRPr="00830AC3">
        <w:t xml:space="preserve">he </w:t>
      </w:r>
      <w:r w:rsidR="001F03A1" w:rsidRPr="00830AC3">
        <w:t xml:space="preserve">explanatory reports for </w:t>
      </w:r>
      <w:r w:rsidR="00830AC3" w:rsidRPr="00830AC3">
        <w:t xml:space="preserve">the </w:t>
      </w:r>
      <w:r w:rsidRPr="00830AC3">
        <w:t xml:space="preserve">draft </w:t>
      </w:r>
      <w:r w:rsidR="00A8006C" w:rsidRPr="00830AC3">
        <w:t>PSA</w:t>
      </w:r>
      <w:r w:rsidR="001F03A1" w:rsidRPr="00830AC3">
        <w:t>s</w:t>
      </w:r>
      <w:r w:rsidR="00B656D7">
        <w:rPr>
          <w:rStyle w:val="FootnoteReference"/>
        </w:rPr>
        <w:footnoteReference w:id="16"/>
      </w:r>
      <w:r w:rsidRPr="00830AC3">
        <w:t xml:space="preserve"> </w:t>
      </w:r>
      <w:r w:rsidR="00830AC3" w:rsidRPr="00830AC3">
        <w:t xml:space="preserve">also stated </w:t>
      </w:r>
      <w:r w:rsidRPr="00830AC3">
        <w:t>that consultation with the C</w:t>
      </w:r>
      <w:r w:rsidR="00830AC3" w:rsidRPr="00830AC3">
        <w:t xml:space="preserve">FA </w:t>
      </w:r>
      <w:r w:rsidR="00A91DA3">
        <w:t xml:space="preserve">had </w:t>
      </w:r>
      <w:r w:rsidR="00830AC3" w:rsidRPr="00830AC3">
        <w:t xml:space="preserve">assisted in determining </w:t>
      </w:r>
      <w:r w:rsidRPr="00830AC3">
        <w:t xml:space="preserve">the final alignment for </w:t>
      </w:r>
      <w:r w:rsidR="00E40E22" w:rsidRPr="00830AC3">
        <w:t>the</w:t>
      </w:r>
      <w:r w:rsidRPr="00830AC3">
        <w:t xml:space="preserve"> duplication. </w:t>
      </w:r>
      <w:r w:rsidR="00830AC3" w:rsidRPr="00830AC3">
        <w:t xml:space="preserve"> N</w:t>
      </w:r>
      <w:r w:rsidRPr="00830AC3">
        <w:t xml:space="preserve">either </w:t>
      </w:r>
      <w:r w:rsidR="00A91DA3">
        <w:t xml:space="preserve">of the two </w:t>
      </w:r>
      <w:r w:rsidRPr="00830AC3">
        <w:t xml:space="preserve">Councils </w:t>
      </w:r>
      <w:r w:rsidR="00E40E22" w:rsidRPr="00830AC3">
        <w:t>n</w:t>
      </w:r>
      <w:r w:rsidRPr="00830AC3">
        <w:t>or the CFA raised concerns related to either of the proposed alignments in relation to bushfire risk</w:t>
      </w:r>
      <w:r w:rsidR="00830AC3" w:rsidRPr="00830AC3">
        <w:t xml:space="preserve"> </w:t>
      </w:r>
      <w:r w:rsidR="00A91DA3">
        <w:t>in response to</w:t>
      </w:r>
      <w:r w:rsidR="00830AC3" w:rsidRPr="00830AC3">
        <w:t xml:space="preserve"> the EES</w:t>
      </w:r>
      <w:r w:rsidRPr="00830AC3">
        <w:t>.</w:t>
      </w:r>
      <w:r>
        <w:t xml:space="preserve">  </w:t>
      </w:r>
    </w:p>
    <w:p w:rsidR="00325433" w:rsidRDefault="00325433" w:rsidP="0029672E">
      <w:r>
        <w:rPr>
          <w:b/>
          <w:i/>
        </w:rPr>
        <w:t>Existing infrastructure</w:t>
      </w:r>
      <w:r>
        <w:t xml:space="preserve"> </w:t>
      </w:r>
    </w:p>
    <w:p w:rsidR="006C6BD2" w:rsidRDefault="001A0BB1" w:rsidP="006C6BD2">
      <w:r>
        <w:t>Construction of t</w:t>
      </w:r>
      <w:r w:rsidR="006C6BD2">
        <w:t xml:space="preserve">he project will require short-term impacts on existing infrastructure that will need to be relocated as part of the duplication.  </w:t>
      </w:r>
      <w:r>
        <w:t>Impacts on existing infrastructure will be temporary in nature and able to be appropriately managed</w:t>
      </w:r>
      <w:r w:rsidR="00666B90">
        <w:t xml:space="preserve"> through the implementation of </w:t>
      </w:r>
      <w:r>
        <w:t>Construction Environmental Management Plan</w:t>
      </w:r>
      <w:r w:rsidR="00666B90">
        <w:t>s</w:t>
      </w:r>
      <w:r>
        <w:t xml:space="preserve"> (CEMP</w:t>
      </w:r>
      <w:r w:rsidR="00666B90">
        <w:t>s</w:t>
      </w:r>
      <w:r>
        <w:t xml:space="preserve">).  </w:t>
      </w:r>
      <w:r w:rsidR="006C6BD2">
        <w:t xml:space="preserve">Access for emergency service vehicles will be maintained </w:t>
      </w:r>
      <w:r>
        <w:t xml:space="preserve">during construction </w:t>
      </w:r>
      <w:r w:rsidR="006C6BD2">
        <w:t>through traffic management plans</w:t>
      </w:r>
      <w:r w:rsidR="00666B90">
        <w:t>,</w:t>
      </w:r>
      <w:r w:rsidR="006C6BD2">
        <w:t xml:space="preserve"> which will need to be developed in consultation with various emergency service bodies</w:t>
      </w:r>
      <w:r w:rsidR="006C6BD2">
        <w:rPr>
          <w:rStyle w:val="FootnoteReference"/>
        </w:rPr>
        <w:footnoteReference w:id="17"/>
      </w:r>
      <w:r w:rsidR="006C6BD2">
        <w:t xml:space="preserve">. </w:t>
      </w:r>
    </w:p>
    <w:p w:rsidR="001A0BB1" w:rsidRDefault="006C6BD2" w:rsidP="006C6BD2">
      <w:r>
        <w:t xml:space="preserve">Both </w:t>
      </w:r>
      <w:r w:rsidR="001A0BB1">
        <w:t xml:space="preserve">alignment </w:t>
      </w:r>
      <w:r>
        <w:t xml:space="preserve">options </w:t>
      </w:r>
      <w:r w:rsidR="001A0BB1">
        <w:t>would</w:t>
      </w:r>
      <w:r>
        <w:t xml:space="preserve"> require the relocation of power lines and fibre optic cables, though Option 2 </w:t>
      </w:r>
      <w:r w:rsidR="001A0BB1">
        <w:t>would</w:t>
      </w:r>
      <w:r>
        <w:t xml:space="preserve"> require a greater length of relocation of the fibre optic cable compared with Option 1</w:t>
      </w:r>
      <w:r>
        <w:rPr>
          <w:rStyle w:val="FootnoteReference"/>
        </w:rPr>
        <w:footnoteReference w:id="18"/>
      </w:r>
      <w:r>
        <w:t xml:space="preserve">. Both options </w:t>
      </w:r>
      <w:r w:rsidR="001A0BB1">
        <w:t xml:space="preserve">would </w:t>
      </w:r>
      <w:r>
        <w:t xml:space="preserve">require a new bridge crossing over the Ballarat-Ararat Railway line west of Buangor. </w:t>
      </w:r>
    </w:p>
    <w:p w:rsidR="006C6BD2" w:rsidRDefault="006C6BD2" w:rsidP="006C6BD2">
      <w:r>
        <w:t>The EES outlines VicRoads’ intention to reserve land for future improvement of the duplicated highway to freeway AMP</w:t>
      </w:r>
      <w:r w:rsidR="003A4A7E">
        <w:t>1</w:t>
      </w:r>
      <w:r>
        <w:t xml:space="preserve"> standard. The inquiry considered the application of a PAO over the land required for this future development to freeway standard to be responsible and proper planning practice</w:t>
      </w:r>
      <w:r>
        <w:rPr>
          <w:rStyle w:val="FootnoteReference"/>
        </w:rPr>
        <w:footnoteReference w:id="19"/>
      </w:r>
      <w:r>
        <w:t xml:space="preserve">. </w:t>
      </w:r>
    </w:p>
    <w:p w:rsidR="00325433" w:rsidRDefault="00CE3CD3" w:rsidP="0029672E">
      <w:r>
        <w:rPr>
          <w:b/>
          <w:i/>
        </w:rPr>
        <w:t xml:space="preserve">Impacts of </w:t>
      </w:r>
      <w:r w:rsidR="00325433">
        <w:rPr>
          <w:b/>
          <w:i/>
        </w:rPr>
        <w:t>land use</w:t>
      </w:r>
      <w:r>
        <w:rPr>
          <w:b/>
          <w:i/>
        </w:rPr>
        <w:t xml:space="preserve"> disruption </w:t>
      </w:r>
    </w:p>
    <w:p w:rsidR="004C06D2" w:rsidRDefault="00180983" w:rsidP="00456EE3">
      <w:r>
        <w:t xml:space="preserve">The </w:t>
      </w:r>
      <w:r w:rsidR="000A15AD">
        <w:t>WHP2</w:t>
      </w:r>
      <w:r>
        <w:t xml:space="preserve"> is unlikely to result in any </w:t>
      </w:r>
      <w:r w:rsidR="001F03A1">
        <w:t xml:space="preserve">major </w:t>
      </w:r>
      <w:r>
        <w:t xml:space="preserve">land use changes. </w:t>
      </w:r>
      <w:r w:rsidR="00F44E62">
        <w:t xml:space="preserve">The EES identifies the </w:t>
      </w:r>
      <w:r w:rsidR="00456EE3">
        <w:t xml:space="preserve">number of properties </w:t>
      </w:r>
      <w:r w:rsidR="00F44E62">
        <w:t xml:space="preserve">that will suffer </w:t>
      </w:r>
      <w:r w:rsidR="00830AC3">
        <w:t xml:space="preserve">some </w:t>
      </w:r>
      <w:r w:rsidR="00F44E62">
        <w:t xml:space="preserve">severance impacts </w:t>
      </w:r>
      <w:r w:rsidR="001F03A1">
        <w:t>(16 under Option 1 and 15 under Option 2</w:t>
      </w:r>
      <w:r w:rsidR="001F03A1">
        <w:rPr>
          <w:rStyle w:val="FootnoteReference"/>
        </w:rPr>
        <w:footnoteReference w:id="20"/>
      </w:r>
      <w:r w:rsidR="001F03A1">
        <w:t xml:space="preserve">) </w:t>
      </w:r>
      <w:r w:rsidR="00F44E62">
        <w:t>or require full acquisition</w:t>
      </w:r>
      <w:r w:rsidR="001F03A1">
        <w:t xml:space="preserve"> (3 properties for both options)</w:t>
      </w:r>
      <w:r w:rsidR="001F03A1">
        <w:rPr>
          <w:rStyle w:val="FootnoteReference"/>
        </w:rPr>
        <w:footnoteReference w:id="21"/>
      </w:r>
      <w:r w:rsidR="001F03A1">
        <w:t xml:space="preserve">. </w:t>
      </w:r>
      <w:r w:rsidR="00F44E62">
        <w:t xml:space="preserve"> </w:t>
      </w:r>
    </w:p>
    <w:p w:rsidR="0092620C" w:rsidRDefault="0092620C" w:rsidP="0092620C">
      <w:r>
        <w:t>The acquisition of a</w:t>
      </w:r>
      <w:r w:rsidR="003A4A7E">
        <w:t xml:space="preserve"> few</w:t>
      </w:r>
      <w:r>
        <w:t xml:space="preserve"> dwellings </w:t>
      </w:r>
      <w:r w:rsidR="00666B90">
        <w:t xml:space="preserve">for </w:t>
      </w:r>
      <w:r>
        <w:t xml:space="preserve">either option will not result in a significant social impact as it is expected that residents will relocate locally and be compensated by VicRoads. </w:t>
      </w:r>
    </w:p>
    <w:p w:rsidR="00456EE3" w:rsidRDefault="00456EE3" w:rsidP="00456EE3">
      <w:r>
        <w:lastRenderedPageBreak/>
        <w:t xml:space="preserve">Where land is severed by the project and remaining lots are below the minimum size for a dwelling in the farming zone (40 ha), lots may need to be consolidated or landowners </w:t>
      </w:r>
      <w:r w:rsidR="006C6BD2">
        <w:t xml:space="preserve">could </w:t>
      </w:r>
      <w:r w:rsidR="003A4A7E">
        <w:t xml:space="preserve">consult with the council regarding </w:t>
      </w:r>
      <w:r>
        <w:t xml:space="preserve">rezoning </w:t>
      </w:r>
      <w:r w:rsidR="003A4A7E">
        <w:t xml:space="preserve">options (e.g. </w:t>
      </w:r>
      <w:r>
        <w:t>to rural living or low density residential</w:t>
      </w:r>
      <w:r w:rsidR="003A4A7E">
        <w:t>)</w:t>
      </w:r>
      <w:r>
        <w:t xml:space="preserve">. </w:t>
      </w:r>
      <w:r w:rsidR="00F44E62">
        <w:t xml:space="preserve">The </w:t>
      </w:r>
      <w:r w:rsidR="00830AC3">
        <w:t xml:space="preserve">EES identified </w:t>
      </w:r>
      <w:r w:rsidR="00AA5E0A">
        <w:t xml:space="preserve">only 2 lots for Option 1 and no lots for Option 2 </w:t>
      </w:r>
      <w:r>
        <w:t>in this situation</w:t>
      </w:r>
      <w:r w:rsidR="00AA5E0A">
        <w:rPr>
          <w:rStyle w:val="FootnoteReference"/>
        </w:rPr>
        <w:footnoteReference w:id="22"/>
      </w:r>
      <w:r>
        <w:t xml:space="preserve"> . To assist the consideration of any such requests and to assist further mitigation of potential adverse effects in the vicinity of Buangor, the </w:t>
      </w:r>
      <w:r w:rsidR="00A8006C">
        <w:t>Inquiry</w:t>
      </w:r>
      <w:r>
        <w:t xml:space="preserve"> recommends the preparation of a structure plan by the Rural City of Ararat with some funding assistance to be provided by VicRoads</w:t>
      </w:r>
      <w:r>
        <w:rPr>
          <w:rStyle w:val="FootnoteReference"/>
        </w:rPr>
        <w:footnoteReference w:id="23"/>
      </w:r>
      <w:r>
        <w:t xml:space="preserve">. </w:t>
      </w:r>
      <w:r w:rsidR="006C6BD2">
        <w:t>H</w:t>
      </w:r>
      <w:r>
        <w:t>owever</w:t>
      </w:r>
      <w:r w:rsidR="006C6BD2">
        <w:t>, it is not</w:t>
      </w:r>
      <w:r>
        <w:t xml:space="preserve"> expected that </w:t>
      </w:r>
      <w:r w:rsidR="000A15AD">
        <w:t>WHP2</w:t>
      </w:r>
      <w:r>
        <w:t xml:space="preserve"> would result in any broad change of land use within the study area</w:t>
      </w:r>
      <w:r>
        <w:rPr>
          <w:rStyle w:val="FootnoteReference"/>
        </w:rPr>
        <w:footnoteReference w:id="24"/>
      </w:r>
      <w:r>
        <w:t xml:space="preserve">. </w:t>
      </w:r>
    </w:p>
    <w:p w:rsidR="00456EE3" w:rsidRDefault="00F44E62" w:rsidP="00456EE3">
      <w:r>
        <w:t xml:space="preserve">According to the EES, </w:t>
      </w:r>
      <w:r w:rsidR="00456EE3">
        <w:t xml:space="preserve">Option 1 will require the acquisition of approximately </w:t>
      </w:r>
      <w:r w:rsidR="00C274CA">
        <w:t xml:space="preserve">365 </w:t>
      </w:r>
      <w:r w:rsidR="00456EE3">
        <w:t>ha</w:t>
      </w:r>
      <w:r w:rsidR="00280581">
        <w:t>,</w:t>
      </w:r>
      <w:r w:rsidR="00456EE3">
        <w:t xml:space="preserve"> </w:t>
      </w:r>
      <w:r w:rsidR="00C274CA">
        <w:t>whil</w:t>
      </w:r>
      <w:r w:rsidR="004C06D2">
        <w:t>e</w:t>
      </w:r>
      <w:r w:rsidR="00456EE3">
        <w:t xml:space="preserve"> </w:t>
      </w:r>
      <w:r w:rsidR="001A0BB1">
        <w:t xml:space="preserve">Option </w:t>
      </w:r>
      <w:r w:rsidR="00456EE3">
        <w:t xml:space="preserve">2 will require the acquisition of approximately </w:t>
      </w:r>
      <w:r w:rsidR="00C274CA">
        <w:t xml:space="preserve">373 </w:t>
      </w:r>
      <w:r w:rsidR="00456EE3">
        <w:t>ha</w:t>
      </w:r>
      <w:r w:rsidR="00456EE3">
        <w:rPr>
          <w:rStyle w:val="FootnoteReference"/>
        </w:rPr>
        <w:footnoteReference w:id="25"/>
      </w:r>
      <w:r w:rsidR="00456EE3">
        <w:t xml:space="preserve">. </w:t>
      </w:r>
      <w:r w:rsidR="00456EE3" w:rsidRPr="00C77ACA">
        <w:t>The resulting economic impact on business</w:t>
      </w:r>
      <w:r w:rsidR="00456EE3">
        <w:t xml:space="preserve"> for the loss of land and severance is estimated to be in the range of $2.2 to $2.5 million over 30 years</w:t>
      </w:r>
      <w:r w:rsidR="00456EE3">
        <w:rPr>
          <w:rStyle w:val="FootnoteReference"/>
        </w:rPr>
        <w:footnoteReference w:id="26"/>
      </w:r>
      <w:r w:rsidR="00456EE3">
        <w:t xml:space="preserve">. </w:t>
      </w:r>
      <w:r w:rsidR="009E3C44">
        <w:t>Economic</w:t>
      </w:r>
      <w:r w:rsidR="00456EE3">
        <w:t xml:space="preserve"> loss to agriculture facilities and infrastructure over 30 years ranges from </w:t>
      </w:r>
      <w:r w:rsidR="00456EE3" w:rsidRPr="00C77ACA">
        <w:t>$1.</w:t>
      </w:r>
      <w:r w:rsidR="00456EE3">
        <w:t>5 million for Option 1 and</w:t>
      </w:r>
      <w:r w:rsidR="00456EE3" w:rsidRPr="00C77ACA">
        <w:t xml:space="preserve"> $1.</w:t>
      </w:r>
      <w:r w:rsidR="00456EE3">
        <w:t>3 million O</w:t>
      </w:r>
      <w:r w:rsidR="00456EE3" w:rsidRPr="00C77ACA">
        <w:t xml:space="preserve">ption </w:t>
      </w:r>
      <w:r w:rsidR="00456EE3">
        <w:t xml:space="preserve">2. Revenue loss during construction through disruption to businesses </w:t>
      </w:r>
      <w:r w:rsidR="00C274CA">
        <w:t xml:space="preserve">is </w:t>
      </w:r>
      <w:r w:rsidR="00456EE3">
        <w:t xml:space="preserve">estimated </w:t>
      </w:r>
      <w:r w:rsidR="00C274CA">
        <w:t xml:space="preserve">as </w:t>
      </w:r>
      <w:r w:rsidR="00456EE3">
        <w:t xml:space="preserve">less than $100,000. </w:t>
      </w:r>
      <w:r w:rsidR="00CE3CD3">
        <w:t>T</w:t>
      </w:r>
      <w:r w:rsidR="00456EE3" w:rsidRPr="00060025">
        <w:t xml:space="preserve">he difference between the two options </w:t>
      </w:r>
      <w:r w:rsidR="00CE3CD3">
        <w:t>in terms of economic</w:t>
      </w:r>
      <w:r w:rsidR="00CE3CD3" w:rsidRPr="00060025">
        <w:t xml:space="preserve"> impact </w:t>
      </w:r>
      <w:r w:rsidR="00CE3CD3">
        <w:t>from</w:t>
      </w:r>
      <w:r w:rsidR="00CE3CD3" w:rsidRPr="00060025">
        <w:t xml:space="preserve"> land</w:t>
      </w:r>
      <w:r w:rsidR="00CE3CD3">
        <w:t xml:space="preserve"> acquisition and</w:t>
      </w:r>
      <w:r w:rsidR="00CE3CD3" w:rsidRPr="00060025">
        <w:t xml:space="preserve"> </w:t>
      </w:r>
      <w:r w:rsidR="00CE3CD3">
        <w:t>severance</w:t>
      </w:r>
      <w:r w:rsidR="00CE3CD3" w:rsidRPr="00060025">
        <w:t xml:space="preserve"> </w:t>
      </w:r>
      <w:r w:rsidR="00456EE3" w:rsidRPr="00060025">
        <w:t xml:space="preserve">is </w:t>
      </w:r>
      <w:r w:rsidR="00903A6B">
        <w:t xml:space="preserve">considered to be </w:t>
      </w:r>
      <w:r w:rsidR="00456EE3" w:rsidRPr="00060025">
        <w:t>marginal</w:t>
      </w:r>
      <w:r w:rsidR="00456EE3">
        <w:rPr>
          <w:rStyle w:val="FootnoteReference"/>
        </w:rPr>
        <w:footnoteReference w:id="27"/>
      </w:r>
      <w:r w:rsidR="00456EE3" w:rsidRPr="00060025">
        <w:t>.</w:t>
      </w:r>
    </w:p>
    <w:p w:rsidR="00456EE3" w:rsidRDefault="00456EE3" w:rsidP="00456EE3">
      <w:r>
        <w:t xml:space="preserve">Land acquisition </w:t>
      </w:r>
      <w:r w:rsidR="0062735A">
        <w:t>will</w:t>
      </w:r>
      <w:r>
        <w:t xml:space="preserve"> be compensated </w:t>
      </w:r>
      <w:r w:rsidR="00CE3CD3">
        <w:t>in accordance</w:t>
      </w:r>
      <w:r>
        <w:t xml:space="preserve"> with requirements of the </w:t>
      </w:r>
      <w:r w:rsidR="00A8006C">
        <w:rPr>
          <w:i/>
        </w:rPr>
        <w:t>Land Acquisition and Compensation Act 1986</w:t>
      </w:r>
      <w:r>
        <w:t xml:space="preserve">. Where agricultural facilities are to be impacted either via necessary removal or reduced accessibility to other landholdings, </w:t>
      </w:r>
      <w:r w:rsidR="00CE3CD3">
        <w:t xml:space="preserve">VicRoads proposes to offer </w:t>
      </w:r>
      <w:r>
        <w:t xml:space="preserve">mitigation </w:t>
      </w:r>
      <w:r w:rsidR="00CE3CD3">
        <w:t xml:space="preserve">in </w:t>
      </w:r>
      <w:r>
        <w:t xml:space="preserve">the </w:t>
      </w:r>
      <w:r w:rsidR="00CE3CD3">
        <w:t xml:space="preserve">form of </w:t>
      </w:r>
      <w:r>
        <w:t xml:space="preserve">provision of duplicate facilities or alternate access arrangements as determined in consultation with individual land owners. In addition, VicRoads </w:t>
      </w:r>
      <w:r w:rsidR="00CE3CD3">
        <w:t xml:space="preserve">proposes to liaise </w:t>
      </w:r>
      <w:r>
        <w:t>with businesses to optimise construction schedules</w:t>
      </w:r>
      <w:r w:rsidR="00CE3CD3">
        <w:t xml:space="preserve"> in order</w:t>
      </w:r>
      <w:r>
        <w:t xml:space="preserve"> to minimise disturbance and </w:t>
      </w:r>
      <w:r w:rsidR="00CE3CD3">
        <w:t xml:space="preserve">also </w:t>
      </w:r>
      <w:r>
        <w:t xml:space="preserve">provide additional signage for businesses that rely on passer-by traffic.  </w:t>
      </w:r>
    </w:p>
    <w:p w:rsidR="00890693" w:rsidRDefault="00456EE3" w:rsidP="00456EE3">
      <w:r>
        <w:t xml:space="preserve">Overall, </w:t>
      </w:r>
      <w:r w:rsidR="00CE3CD3">
        <w:t xml:space="preserve">economic </w:t>
      </w:r>
      <w:r>
        <w:t xml:space="preserve">impacts </w:t>
      </w:r>
      <w:r w:rsidR="00CE3CD3">
        <w:t xml:space="preserve">on </w:t>
      </w:r>
      <w:r>
        <w:t>agricultur</w:t>
      </w:r>
      <w:r w:rsidR="00CE3CD3">
        <w:t xml:space="preserve">e and other businesses </w:t>
      </w:r>
      <w:r>
        <w:t xml:space="preserve">will be </w:t>
      </w:r>
      <w:r w:rsidR="00F44E62">
        <w:t xml:space="preserve">addressed </w:t>
      </w:r>
      <w:r w:rsidR="00976580">
        <w:t>readily through</w:t>
      </w:r>
      <w:r w:rsidR="00F44E62">
        <w:t xml:space="preserve"> </w:t>
      </w:r>
      <w:r w:rsidR="003C5D3D">
        <w:t xml:space="preserve">compensation and other </w:t>
      </w:r>
      <w:r>
        <w:t xml:space="preserve">mitigation measures. </w:t>
      </w:r>
    </w:p>
    <w:p w:rsidR="00456EE3" w:rsidRPr="005B2FBF" w:rsidRDefault="00456EE3" w:rsidP="00456EE3">
      <w:pPr>
        <w:rPr>
          <w:b/>
          <w:sz w:val="24"/>
        </w:rPr>
      </w:pPr>
      <w:r w:rsidRPr="005B2FBF">
        <w:rPr>
          <w:b/>
          <w:sz w:val="24"/>
        </w:rPr>
        <w:t>Conclusions</w:t>
      </w:r>
    </w:p>
    <w:p w:rsidR="00456EE3" w:rsidRDefault="00456EE3" w:rsidP="00456EE3">
      <w:r>
        <w:t>It is my assessment that:</w:t>
      </w:r>
    </w:p>
    <w:p w:rsidR="00A4439D" w:rsidRPr="00A4439D" w:rsidRDefault="00EA70E3" w:rsidP="00456EE3">
      <w:pPr>
        <w:pStyle w:val="ListParagraph"/>
        <w:numPr>
          <w:ilvl w:val="0"/>
          <w:numId w:val="15"/>
        </w:numPr>
      </w:pPr>
      <w:r w:rsidRPr="00EA70E3">
        <w:t xml:space="preserve">The </w:t>
      </w:r>
      <w:r w:rsidR="00890693" w:rsidRPr="00EA70E3">
        <w:t>d</w:t>
      </w:r>
      <w:r w:rsidR="00890693">
        <w:t>ifferences between the land use and</w:t>
      </w:r>
      <w:r w:rsidR="00890693" w:rsidRPr="00EA70E3">
        <w:t xml:space="preserve"> infrastructure impacts of the two options are</w:t>
      </w:r>
      <w:r w:rsidRPr="00EA70E3">
        <w:t xml:space="preserve"> marginal and should not be a determining factor in the alignment choice.</w:t>
      </w:r>
    </w:p>
    <w:p w:rsidR="00F44E62" w:rsidRPr="00DA59B5" w:rsidRDefault="00EA70E3" w:rsidP="00456EE3">
      <w:pPr>
        <w:pStyle w:val="ListParagraph"/>
        <w:numPr>
          <w:ilvl w:val="0"/>
          <w:numId w:val="15"/>
        </w:numPr>
      </w:pPr>
      <w:r w:rsidRPr="00EA70E3">
        <w:t xml:space="preserve">Although extensive land acquisition is required for the proposed road reservation, the associated economic effects </w:t>
      </w:r>
      <w:r w:rsidR="0004234B" w:rsidRPr="00EA70E3">
        <w:t>have largely been minimised</w:t>
      </w:r>
      <w:r w:rsidR="0004234B">
        <w:t xml:space="preserve"> and are not significant </w:t>
      </w:r>
      <w:r w:rsidR="00DA59B5">
        <w:t>c</w:t>
      </w:r>
      <w:r w:rsidR="0004234B" w:rsidRPr="00EA70E3">
        <w:t xml:space="preserve">onsidering the ability to compensate, and </w:t>
      </w:r>
      <w:r w:rsidRPr="00EA70E3">
        <w:t xml:space="preserve">are </w:t>
      </w:r>
      <w:r w:rsidR="0004234B">
        <w:t xml:space="preserve">therefore </w:t>
      </w:r>
      <w:r w:rsidRPr="00EA70E3">
        <w:t xml:space="preserve">acceptable in the </w:t>
      </w:r>
      <w:r w:rsidRPr="00DA59B5">
        <w:t>context of avoiding other significant environmental effects.</w:t>
      </w:r>
    </w:p>
    <w:p w:rsidR="0084086E" w:rsidRPr="00DA59B5" w:rsidRDefault="00F44E62">
      <w:r w:rsidRPr="00DA59B5">
        <w:t>Further, it is my assessment that:</w:t>
      </w:r>
    </w:p>
    <w:p w:rsidR="009E3C44" w:rsidRPr="00DA59B5" w:rsidRDefault="001A34F1" w:rsidP="00456EE3">
      <w:pPr>
        <w:pStyle w:val="ListParagraph"/>
        <w:numPr>
          <w:ilvl w:val="0"/>
          <w:numId w:val="15"/>
        </w:numPr>
      </w:pPr>
      <w:r w:rsidRPr="00DA59B5">
        <w:t>While t</w:t>
      </w:r>
      <w:r w:rsidR="00EA70E3" w:rsidRPr="00DA59B5">
        <w:t xml:space="preserve">he assessment of wildfire risk has been </w:t>
      </w:r>
      <w:r w:rsidR="00DA1B0E">
        <w:t xml:space="preserve">broadly </w:t>
      </w:r>
      <w:r w:rsidR="00EA70E3" w:rsidRPr="00DA59B5">
        <w:t xml:space="preserve">considered with respect to the </w:t>
      </w:r>
      <w:r w:rsidRPr="00DA59B5">
        <w:t>both alignment options</w:t>
      </w:r>
      <w:r w:rsidR="00DA59B5" w:rsidRPr="00DA59B5">
        <w:t xml:space="preserve"> assessed within the EES</w:t>
      </w:r>
      <w:r w:rsidRPr="00DA59B5">
        <w:t>,</w:t>
      </w:r>
      <w:r w:rsidR="00EA70E3" w:rsidRPr="00DA59B5">
        <w:t xml:space="preserve"> further consideration of </w:t>
      </w:r>
      <w:r w:rsidRPr="00DA59B5">
        <w:t xml:space="preserve">the </w:t>
      </w:r>
      <w:r w:rsidR="00EA70E3" w:rsidRPr="00DA59B5">
        <w:t xml:space="preserve">management of this risk </w:t>
      </w:r>
      <w:r w:rsidR="00DA59B5" w:rsidRPr="00DA59B5">
        <w:t xml:space="preserve">for the </w:t>
      </w:r>
      <w:r w:rsidR="008E5ED8">
        <w:t xml:space="preserve">design of the </w:t>
      </w:r>
      <w:r w:rsidR="00DA59B5" w:rsidRPr="00DA59B5">
        <w:t xml:space="preserve">final alignment </w:t>
      </w:r>
      <w:r w:rsidR="00F20AB7">
        <w:t xml:space="preserve">by VicRoads </w:t>
      </w:r>
      <w:r w:rsidR="00EA70E3" w:rsidRPr="00DA59B5">
        <w:t xml:space="preserve">is </w:t>
      </w:r>
      <w:r w:rsidR="008E5ED8">
        <w:t xml:space="preserve">necessary before approval of final </w:t>
      </w:r>
      <w:r w:rsidR="00EA70E3" w:rsidRPr="00DA59B5">
        <w:t>PSAs.</w:t>
      </w:r>
      <w:r w:rsidR="009E3C44" w:rsidRPr="00DA59B5">
        <w:t xml:space="preserve"> </w:t>
      </w:r>
    </w:p>
    <w:p w:rsidR="00456EE3" w:rsidRPr="00FA0CBE" w:rsidRDefault="00456EE3" w:rsidP="005B2FBF">
      <w:pPr>
        <w:pStyle w:val="Heading2"/>
      </w:pPr>
      <w:bookmarkStart w:id="45" w:name="_Ref329080175"/>
      <w:bookmarkStart w:id="46" w:name="_Toc354582227"/>
      <w:r w:rsidRPr="00FA0CBE">
        <w:lastRenderedPageBreak/>
        <w:t>Amenity</w:t>
      </w:r>
      <w:bookmarkEnd w:id="45"/>
      <w:bookmarkEnd w:id="46"/>
    </w:p>
    <w:p w:rsidR="00456EE3" w:rsidRPr="00FA0CBE" w:rsidRDefault="00456EE3" w:rsidP="005B2FBF">
      <w:pPr>
        <w:keepNext/>
        <w:rPr>
          <w:i/>
        </w:rPr>
      </w:pPr>
      <w:r w:rsidRPr="00856AE7">
        <w:rPr>
          <w:b/>
          <w:color w:val="0070C0"/>
        </w:rPr>
        <w:t>Evaluation Objective</w:t>
      </w:r>
      <w:r w:rsidRPr="00FA0CBE">
        <w:rPr>
          <w:b/>
        </w:rPr>
        <w:t xml:space="preserve"> –</w:t>
      </w:r>
      <w:r w:rsidRPr="00FA0CBE">
        <w:rPr>
          <w:i/>
        </w:rPr>
        <w:t xml:space="preserve"> To minimi</w:t>
      </w:r>
      <w:r w:rsidR="0062735A">
        <w:rPr>
          <w:i/>
        </w:rPr>
        <w:t xml:space="preserve">se </w:t>
      </w:r>
      <w:r w:rsidR="006A1490">
        <w:rPr>
          <w:i/>
        </w:rPr>
        <w:t xml:space="preserve">dust </w:t>
      </w:r>
      <w:r w:rsidR="0062735A">
        <w:rPr>
          <w:i/>
        </w:rPr>
        <w:t>emissions, noise, visual</w:t>
      </w:r>
      <w:r w:rsidRPr="00FA0CBE">
        <w:rPr>
          <w:i/>
        </w:rPr>
        <w:t xml:space="preserve"> and other adverse effects on residents’ </w:t>
      </w:r>
      <w:r w:rsidR="00571DAF">
        <w:rPr>
          <w:i/>
        </w:rPr>
        <w:t xml:space="preserve">amenity </w:t>
      </w:r>
      <w:r w:rsidR="0062735A">
        <w:rPr>
          <w:i/>
        </w:rPr>
        <w:t xml:space="preserve">as well as </w:t>
      </w:r>
      <w:r w:rsidR="00571DAF">
        <w:rPr>
          <w:i/>
        </w:rPr>
        <w:t xml:space="preserve">effects on </w:t>
      </w:r>
      <w:r w:rsidR="0062735A" w:rsidRPr="00FA0CBE">
        <w:rPr>
          <w:i/>
        </w:rPr>
        <w:t>landscape</w:t>
      </w:r>
      <w:r w:rsidR="00571DAF">
        <w:rPr>
          <w:i/>
        </w:rPr>
        <w:t xml:space="preserve"> values.</w:t>
      </w:r>
    </w:p>
    <w:p w:rsidR="00456EE3" w:rsidRPr="00FA0CBE" w:rsidRDefault="00456EE3" w:rsidP="005B2FBF">
      <w:pPr>
        <w:keepNext/>
        <w:rPr>
          <w:b/>
        </w:rPr>
      </w:pPr>
      <w:r w:rsidRPr="00FA0CBE">
        <w:rPr>
          <w:b/>
        </w:rPr>
        <w:t>Key Issues</w:t>
      </w:r>
    </w:p>
    <w:p w:rsidR="00456EE3" w:rsidRPr="007F56F2" w:rsidRDefault="004B46DC" w:rsidP="005B2FBF">
      <w:pPr>
        <w:keepNext/>
      </w:pPr>
      <w:r>
        <w:t>The key a</w:t>
      </w:r>
      <w:r w:rsidR="00456EE3" w:rsidRPr="007F56F2">
        <w:t>menity</w:t>
      </w:r>
      <w:r>
        <w:t>-</w:t>
      </w:r>
      <w:r w:rsidR="00456EE3" w:rsidRPr="007F56F2">
        <w:t xml:space="preserve">related </w:t>
      </w:r>
      <w:r>
        <w:t xml:space="preserve">and landscape issues </w:t>
      </w:r>
      <w:r w:rsidR="00456EE3" w:rsidRPr="007F56F2">
        <w:t>associated with both construction and operat</w:t>
      </w:r>
      <w:r>
        <w:t xml:space="preserve">ion of the duplicated highway </w:t>
      </w:r>
      <w:r w:rsidR="00456EE3" w:rsidRPr="007F56F2">
        <w:t>are:</w:t>
      </w:r>
    </w:p>
    <w:p w:rsidR="00456EE3" w:rsidRPr="007F56F2" w:rsidRDefault="00456EE3" w:rsidP="00456EE3">
      <w:pPr>
        <w:pStyle w:val="ListParagraph"/>
        <w:numPr>
          <w:ilvl w:val="0"/>
          <w:numId w:val="15"/>
        </w:numPr>
      </w:pPr>
      <w:r w:rsidRPr="007F56F2">
        <w:t xml:space="preserve">Whether the construction and/or operation </w:t>
      </w:r>
      <w:r>
        <w:t xml:space="preserve">phases of the </w:t>
      </w:r>
      <w:r w:rsidR="000A15AD">
        <w:t>WHP2</w:t>
      </w:r>
      <w:r>
        <w:t xml:space="preserve"> will produce unacceptable noise </w:t>
      </w:r>
      <w:r w:rsidR="00010DE6">
        <w:t xml:space="preserve">effects </w:t>
      </w:r>
      <w:r>
        <w:t xml:space="preserve">at </w:t>
      </w:r>
      <w:r w:rsidRPr="007F56F2">
        <w:t xml:space="preserve">sensitive receptors such as residences and whether these effects </w:t>
      </w:r>
      <w:r w:rsidR="004B46DC">
        <w:t xml:space="preserve">are readily </w:t>
      </w:r>
      <w:r w:rsidR="00382CC9">
        <w:t>mitigated</w:t>
      </w:r>
      <w:r w:rsidR="006A1490">
        <w:t xml:space="preserve"> or managed</w:t>
      </w:r>
      <w:r w:rsidR="00FC50BE">
        <w:t>;</w:t>
      </w:r>
    </w:p>
    <w:p w:rsidR="00456EE3" w:rsidRDefault="00456EE3" w:rsidP="00456EE3">
      <w:pPr>
        <w:pStyle w:val="ListParagraph"/>
        <w:numPr>
          <w:ilvl w:val="0"/>
          <w:numId w:val="15"/>
        </w:numPr>
      </w:pPr>
      <w:r w:rsidRPr="007F56F2">
        <w:t xml:space="preserve">Whether </w:t>
      </w:r>
      <w:r w:rsidR="006A1490">
        <w:t>proposed measures to control dust emissions during construction will be adequate</w:t>
      </w:r>
      <w:r w:rsidR="00FC50BE">
        <w:t>;</w:t>
      </w:r>
    </w:p>
    <w:p w:rsidR="00456EE3" w:rsidRPr="007F56F2" w:rsidRDefault="00456EE3" w:rsidP="00456EE3">
      <w:pPr>
        <w:pStyle w:val="ListParagraph"/>
        <w:numPr>
          <w:ilvl w:val="0"/>
          <w:numId w:val="15"/>
        </w:numPr>
      </w:pPr>
      <w:r w:rsidRPr="007F56F2">
        <w:t>Whether likely visual effects on public viewpoints and residential areas closer to the duplicated highway are significant and acceptable following applicable mitigation measures.</w:t>
      </w:r>
    </w:p>
    <w:p w:rsidR="00456EE3" w:rsidRPr="00122E8E" w:rsidRDefault="00456EE3" w:rsidP="00456EE3">
      <w:pPr>
        <w:rPr>
          <w:highlight w:val="yellow"/>
        </w:rPr>
      </w:pPr>
      <w:r w:rsidRPr="007F56F2">
        <w:rPr>
          <w:b/>
        </w:rPr>
        <w:t>Discussion and Findings</w:t>
      </w:r>
    </w:p>
    <w:p w:rsidR="00E43CC5" w:rsidRPr="007F56F2" w:rsidRDefault="00E43CC5" w:rsidP="00E43CC5">
      <w:pPr>
        <w:rPr>
          <w:b/>
          <w:i/>
        </w:rPr>
      </w:pPr>
      <w:r w:rsidRPr="007F56F2">
        <w:rPr>
          <w:b/>
          <w:i/>
        </w:rPr>
        <w:t>Noise</w:t>
      </w:r>
    </w:p>
    <w:p w:rsidR="00E43CC5" w:rsidRDefault="00E43CC5" w:rsidP="00E43CC5">
      <w:r>
        <w:t>The EES indicates that most construction activities occurring within 200 m of a sensitive receptor would exceed both evening and night-time criteria in the EPA Noise Control Guidelines (2008</w:t>
      </w:r>
      <w:r w:rsidR="004B46DC">
        <w:t>)</w:t>
      </w:r>
      <w:r w:rsidR="006A1490">
        <w:t xml:space="preserve">, </w:t>
      </w:r>
      <w:r w:rsidR="004B46DC">
        <w:t xml:space="preserve">i.e. </w:t>
      </w:r>
      <w:r>
        <w:t xml:space="preserve">10 dB(A) </w:t>
      </w:r>
      <w:r w:rsidR="004B46DC">
        <w:t>above</w:t>
      </w:r>
      <w:r>
        <w:t xml:space="preserve"> existing background levels for evening and inaudible within a habitable room of residential premises for night-time. However, construction outside of day-time hours is likely to be quite minimal and would require contractors to obtain approval from VicRoads </w:t>
      </w:r>
      <w:r w:rsidR="006A1490">
        <w:t>and</w:t>
      </w:r>
      <w:r>
        <w:t xml:space="preserve"> the</w:t>
      </w:r>
      <w:r w:rsidR="006A1490">
        <w:t>n to</w:t>
      </w:r>
      <w:r>
        <w:t xml:space="preserve"> </w:t>
      </w:r>
      <w:r w:rsidR="004B46DC">
        <w:t>notif</w:t>
      </w:r>
      <w:r w:rsidR="006A1490">
        <w:t>y</w:t>
      </w:r>
      <w:r>
        <w:t xml:space="preserve"> affected members of the community.  </w:t>
      </w:r>
      <w:r w:rsidR="004B46DC">
        <w:t>VicRoads has advised that t</w:t>
      </w:r>
      <w:r>
        <w:t>he CEMP</w:t>
      </w:r>
      <w:r w:rsidR="006409C8">
        <w:t xml:space="preserve"> to be prepared by the contractor prior to works commencing</w:t>
      </w:r>
      <w:r>
        <w:t xml:space="preserve"> will adopt the EPA guidelines and provide </w:t>
      </w:r>
      <w:r w:rsidR="006A1490">
        <w:t xml:space="preserve">proposed </w:t>
      </w:r>
      <w:r>
        <w:t xml:space="preserve">measures to minimise noise effects.  </w:t>
      </w:r>
    </w:p>
    <w:p w:rsidR="00E43CC5" w:rsidRDefault="00E43CC5" w:rsidP="00E43CC5">
      <w:r w:rsidRPr="00A45427">
        <w:t xml:space="preserve">The </w:t>
      </w:r>
      <w:r>
        <w:t>modelling in the EES predicted operational noise levels for the</w:t>
      </w:r>
      <w:r w:rsidR="0033301C">
        <w:t xml:space="preserve"> duplicated highway and compared</w:t>
      </w:r>
      <w:r>
        <w:t xml:space="preserve"> this to the noise increases </w:t>
      </w:r>
      <w:r w:rsidR="006409C8">
        <w:t>for</w:t>
      </w:r>
      <w:r>
        <w:t xml:space="preserve"> predicted traffic </w:t>
      </w:r>
      <w:r w:rsidR="006A1490">
        <w:t xml:space="preserve">on </w:t>
      </w:r>
      <w:r>
        <w:t xml:space="preserve">an unduplicated highway </w:t>
      </w:r>
      <w:r w:rsidR="006A1490">
        <w:t xml:space="preserve">in </w:t>
      </w:r>
      <w:r>
        <w:t xml:space="preserve">2025 (i.e. the ‘no project scenario’). The </w:t>
      </w:r>
      <w:r w:rsidR="006409C8">
        <w:t xml:space="preserve">two optional </w:t>
      </w:r>
      <w:r>
        <w:t xml:space="preserve">alignments </w:t>
      </w:r>
      <w:r w:rsidR="006409C8">
        <w:t>would</w:t>
      </w:r>
      <w:r>
        <w:t xml:space="preserve"> have varying</w:t>
      </w:r>
      <w:r w:rsidR="006409C8">
        <w:t xml:space="preserve"> noise</w:t>
      </w:r>
      <w:r>
        <w:t xml:space="preserve"> impacts on residences as the alignments </w:t>
      </w:r>
      <w:r w:rsidR="006409C8">
        <w:t>would</w:t>
      </w:r>
      <w:r>
        <w:t xml:space="preserve"> bring traffic closer to some residents and take it further from others. </w:t>
      </w:r>
    </w:p>
    <w:p w:rsidR="00E43CC5" w:rsidRDefault="00E43CC5" w:rsidP="00E43CC5">
      <w:r>
        <w:t>The VicRoads Traffic Noise Reduction Policy 2005 seeks to limit noise for</w:t>
      </w:r>
      <w:r w:rsidR="006409C8">
        <w:t xml:space="preserve"> a</w:t>
      </w:r>
      <w:r>
        <w:t xml:space="preserve"> “new alignment” to 63 dB(A) for residential dwellings (Category A) between 6 am and midnight and for schools and other noise sensitive buildings </w:t>
      </w:r>
      <w:r w:rsidR="006409C8">
        <w:t xml:space="preserve">(Category B) </w:t>
      </w:r>
      <w:r>
        <w:t xml:space="preserve">between 6 am and 6 pm.  Further, where the noise level adjacent to either Category A or B buildings prior to the road improvements is less than 50 dB(A), consideration is given to limiting the noise level increase to 12 dB(A). The VicRoads policy further states that consideration </w:t>
      </w:r>
      <w:r w:rsidR="00FC03C3">
        <w:t>will be given to</w:t>
      </w:r>
      <w:r>
        <w:t xml:space="preserve"> retrofitting </w:t>
      </w:r>
      <w:r w:rsidR="006409C8">
        <w:t xml:space="preserve">mitigation measures to buildings </w:t>
      </w:r>
      <w:r>
        <w:t>for eligible projects where the traffic noise levels exceed 68</w:t>
      </w:r>
      <w:r w:rsidR="00FC03C3">
        <w:t xml:space="preserve"> </w:t>
      </w:r>
      <w:r w:rsidR="004E2D91">
        <w:t>dB(A)</w:t>
      </w:r>
      <w:r>
        <w:rPr>
          <w:rStyle w:val="FootnoteReference"/>
        </w:rPr>
        <w:footnoteReference w:id="28"/>
      </w:r>
      <w:r>
        <w:t>.</w:t>
      </w:r>
    </w:p>
    <w:p w:rsidR="00E43CC5" w:rsidRDefault="00E43CC5" w:rsidP="00E43CC5">
      <w:r>
        <w:t>The EES concluded that the project is likely to result in a ‘clearly noticeable’ increase in noise levels (</w:t>
      </w:r>
      <w:r w:rsidR="00FC03C3">
        <w:t xml:space="preserve">i.e. </w:t>
      </w:r>
      <w:r>
        <w:t>change in sound level of 5</w:t>
      </w:r>
      <w:r w:rsidR="00FC03C3">
        <w:t xml:space="preserve"> </w:t>
      </w:r>
      <w:r>
        <w:t>dB(A) or greater) for four dwellings for Option 1 and three dwellings for Option 2</w:t>
      </w:r>
      <w:r>
        <w:rPr>
          <w:rStyle w:val="FootnoteReference"/>
        </w:rPr>
        <w:footnoteReference w:id="29"/>
      </w:r>
      <w:r>
        <w:t xml:space="preserve">.  However, for each of these dwellings resultant noise levels are predicted to </w:t>
      </w:r>
      <w:r w:rsidR="00382CC9">
        <w:t xml:space="preserve">be </w:t>
      </w:r>
      <w:r w:rsidR="0033301C">
        <w:t xml:space="preserve">less than </w:t>
      </w:r>
      <w:r>
        <w:t xml:space="preserve">or up to 63 dB(A).  The predicted increase in </w:t>
      </w:r>
      <w:r w:rsidRPr="00CA5818">
        <w:t xml:space="preserve">traffic </w:t>
      </w:r>
      <w:r>
        <w:t xml:space="preserve">noise for </w:t>
      </w:r>
      <w:r w:rsidRPr="00CA5818">
        <w:t>the Buangor school is 1</w:t>
      </w:r>
      <w:r>
        <w:t>3</w:t>
      </w:r>
      <w:r w:rsidRPr="00CA5818">
        <w:t xml:space="preserve"> </w:t>
      </w:r>
      <w:r>
        <w:t xml:space="preserve">and 15 </w:t>
      </w:r>
      <w:r w:rsidRPr="00CA5818">
        <w:t xml:space="preserve">dB(A) for </w:t>
      </w:r>
      <w:r w:rsidR="006A1490">
        <w:t>O</w:t>
      </w:r>
      <w:r w:rsidRPr="00CA5818">
        <w:t>ption</w:t>
      </w:r>
      <w:r>
        <w:t>s 2 and 1 respectively, although the resulting noise levels at the closest facade for both options would be less than 63</w:t>
      </w:r>
      <w:r w:rsidRPr="00CA5818">
        <w:t xml:space="preserve"> dB(A)</w:t>
      </w:r>
      <w:r>
        <w:t>.</w:t>
      </w:r>
    </w:p>
    <w:p w:rsidR="00BC751A" w:rsidRPr="007930B1" w:rsidRDefault="00E43CC5" w:rsidP="00BC751A">
      <w:r>
        <w:t xml:space="preserve">The EES also notes that a clearly noticeable </w:t>
      </w:r>
      <w:r w:rsidRPr="002B5172">
        <w:rPr>
          <w:i/>
        </w:rPr>
        <w:t>reduction</w:t>
      </w:r>
      <w:r>
        <w:t xml:space="preserve"> in traffic noise will result from the project at 9 dwellings for Option 1 and 17 dwellings for Option 2, due to the road alignment moving further away.  Therefore, a larger number of dwellings would exp</w:t>
      </w:r>
      <w:r w:rsidR="00FC03C3">
        <w:t>erience a significant reduction</w:t>
      </w:r>
      <w:r>
        <w:t xml:space="preserve"> rather than</w:t>
      </w:r>
      <w:r w:rsidR="00FC03C3">
        <w:t xml:space="preserve"> an</w:t>
      </w:r>
      <w:r>
        <w:t xml:space="preserve"> increase in traffic noise as a result of the WHP2.</w:t>
      </w:r>
      <w:r w:rsidR="00BC751A" w:rsidRPr="00BC751A">
        <w:t xml:space="preserve"> </w:t>
      </w:r>
      <w:r w:rsidR="00BC751A">
        <w:t xml:space="preserve"> The Inquiry noted that there would be an overall improvement in road operation noise levels in Buangor and around Box’s cutting</w:t>
      </w:r>
      <w:r w:rsidR="00BC751A">
        <w:rPr>
          <w:rStyle w:val="FootnoteReference"/>
        </w:rPr>
        <w:footnoteReference w:id="30"/>
      </w:r>
      <w:r w:rsidR="00BC751A">
        <w:t>.</w:t>
      </w:r>
    </w:p>
    <w:p w:rsidR="00E43CC5" w:rsidRDefault="00E43CC5" w:rsidP="00E43CC5">
      <w:r>
        <w:lastRenderedPageBreak/>
        <w:t>For both alignment</w:t>
      </w:r>
      <w:r w:rsidR="00520401">
        <w:t xml:space="preserve"> O</w:t>
      </w:r>
      <w:r>
        <w:t xml:space="preserve">ptions 1 and 2 there are 16 residences for which the long term increase in noise levels is predicted to result in a total above 68 dB(A), although for all of these residences the increase attributed to the WHP2 would not be perceptible or noticeable as it is likely to cause an increase of less than 3 dB(A) </w:t>
      </w:r>
      <w:r>
        <w:rPr>
          <w:rStyle w:val="FootnoteReference"/>
        </w:rPr>
        <w:footnoteReference w:id="31"/>
      </w:r>
      <w:r>
        <w:t>.</w:t>
      </w:r>
    </w:p>
    <w:p w:rsidR="00E43CC5" w:rsidRDefault="00E43CC5" w:rsidP="00E43CC5">
      <w:r>
        <w:t>VicRoads is consider</w:t>
      </w:r>
      <w:r w:rsidR="00C02760">
        <w:t>ing</w:t>
      </w:r>
      <w:r>
        <w:t xml:space="preserve"> implementing measures to mitigate noise at two </w:t>
      </w:r>
      <w:r w:rsidR="00FC03C3">
        <w:t>dwellings and the school, as</w:t>
      </w:r>
      <w:r>
        <w:t xml:space="preserve"> these </w:t>
      </w:r>
      <w:r w:rsidR="00FC03C3">
        <w:t>are adjacent</w:t>
      </w:r>
      <w:r>
        <w:t xml:space="preserve"> to portions of the alignment options classified as a “new alignment” </w:t>
      </w:r>
      <w:r w:rsidR="00C02760">
        <w:t xml:space="preserve">under </w:t>
      </w:r>
      <w:r>
        <w:t>the VicRoads Policy.  F</w:t>
      </w:r>
      <w:r w:rsidR="008E5ED8">
        <w:t xml:space="preserve">or one residence </w:t>
      </w:r>
      <w:r>
        <w:t>the final noise level would be less than 63 dB(A) (55 dB(A) for Option 1 and 42 dB(A) for Option 2) but this represents an increase of more than 12 dB(A) for both o</w:t>
      </w:r>
      <w:r w:rsidR="008E5ED8">
        <w:t>ptions.  For the second residence</w:t>
      </w:r>
      <w:r>
        <w:t xml:space="preserve"> the resultant noise level would be 70 dB(A) although this represents only a 1 dB(A) increase from the ‘no project scenario’.</w:t>
      </w:r>
    </w:p>
    <w:p w:rsidR="00E43CC5" w:rsidRPr="00852523" w:rsidRDefault="00E43CC5" w:rsidP="00E43CC5">
      <w:r>
        <w:t xml:space="preserve">Proposed </w:t>
      </w:r>
      <w:r w:rsidR="0050261D">
        <w:t xml:space="preserve">management </w:t>
      </w:r>
      <w:r>
        <w:t xml:space="preserve">measures provided in the EES include noise monitoring to check compliance with the policy and mitigation works as outlined in the policy to be carried out </w:t>
      </w:r>
      <w:r w:rsidR="00C02760">
        <w:t xml:space="preserve">where </w:t>
      </w:r>
      <w:r>
        <w:t xml:space="preserve">required.  In addition, VicRoads intends to limit potential noise </w:t>
      </w:r>
      <w:r w:rsidR="0050261D">
        <w:t xml:space="preserve">generation or exposure </w:t>
      </w:r>
      <w:r>
        <w:t xml:space="preserve">during the design stage through the use of alignment shifts, pavement materials, speed limits and other </w:t>
      </w:r>
      <w:r w:rsidR="0050261D">
        <w:t xml:space="preserve">measures </w:t>
      </w:r>
      <w:r>
        <w:t>as required</w:t>
      </w:r>
      <w:r w:rsidR="00C02760">
        <w:t xml:space="preserve"> along the entire alignment</w:t>
      </w:r>
      <w:r>
        <w:rPr>
          <w:rStyle w:val="FootnoteReference"/>
        </w:rPr>
        <w:footnoteReference w:id="32"/>
      </w:r>
      <w:r>
        <w:t xml:space="preserve">. </w:t>
      </w:r>
    </w:p>
    <w:p w:rsidR="00E43CC5" w:rsidRDefault="00E43CC5" w:rsidP="00E43CC5">
      <w:r>
        <w:t xml:space="preserve">There are four houses for each option where there would be a change in noise considered to be ‘just perceptible’ (approximately 3 dB(A)), with the resultant levels being greater than 63 dB(A). There are no houses for which either option would result in a significant adverse effect (i.e. clearly noticeable increase) with resultant noise levels greater than 63 dB(A). </w:t>
      </w:r>
    </w:p>
    <w:p w:rsidR="00456EE3" w:rsidRPr="001A0783" w:rsidRDefault="00FC03C3" w:rsidP="00456EE3">
      <w:pPr>
        <w:rPr>
          <w:b/>
          <w:i/>
        </w:rPr>
      </w:pPr>
      <w:r>
        <w:rPr>
          <w:b/>
          <w:i/>
        </w:rPr>
        <w:t>Air q</w:t>
      </w:r>
      <w:r w:rsidR="00456EE3" w:rsidRPr="001A0783">
        <w:rPr>
          <w:b/>
          <w:i/>
        </w:rPr>
        <w:t>uality</w:t>
      </w:r>
    </w:p>
    <w:p w:rsidR="00456EE3" w:rsidRPr="00892564" w:rsidRDefault="00456EE3" w:rsidP="00456EE3">
      <w:r w:rsidRPr="00892564">
        <w:t>T</w:t>
      </w:r>
      <w:r>
        <w:t xml:space="preserve">he EES </w:t>
      </w:r>
      <w:r w:rsidR="0050261D">
        <w:t xml:space="preserve">indicates </w:t>
      </w:r>
      <w:r>
        <w:t xml:space="preserve">that the </w:t>
      </w:r>
      <w:r w:rsidR="0050261D">
        <w:t xml:space="preserve">project’s </w:t>
      </w:r>
      <w:r>
        <w:t xml:space="preserve">effect on air quality </w:t>
      </w:r>
      <w:r w:rsidR="0050261D">
        <w:t xml:space="preserve">will </w:t>
      </w:r>
      <w:r>
        <w:t xml:space="preserve">largely </w:t>
      </w:r>
      <w:r w:rsidR="0050261D">
        <w:t xml:space="preserve">be </w:t>
      </w:r>
      <w:r>
        <w:t>confined to construction dust as the increase in operational air emissions from vehicles travelling along the duplicated highway would be negligible and remain below the relevant intervention levels</w:t>
      </w:r>
      <w:r w:rsidR="005A5197">
        <w:t xml:space="preserve"> under the State Environment Protection Policy </w:t>
      </w:r>
      <w:r w:rsidR="0050261D">
        <w:t xml:space="preserve">(SEPP) </w:t>
      </w:r>
      <w:r w:rsidR="005A5197">
        <w:t>(Air Quality Management)</w:t>
      </w:r>
      <w:r>
        <w:rPr>
          <w:rStyle w:val="FootnoteReference"/>
        </w:rPr>
        <w:footnoteReference w:id="33"/>
      </w:r>
      <w:r>
        <w:t xml:space="preserve">. Construction dust is expected to extend </w:t>
      </w:r>
      <w:r w:rsidR="00FC03C3">
        <w:t xml:space="preserve">approximately 400 </w:t>
      </w:r>
      <w:r>
        <w:t xml:space="preserve">m south of the construction corridor with slightly greater </w:t>
      </w:r>
      <w:r w:rsidR="0050261D">
        <w:t xml:space="preserve">dispersal </w:t>
      </w:r>
      <w:r>
        <w:t>to the north of the road due to</w:t>
      </w:r>
      <w:r w:rsidR="0050261D">
        <w:t xml:space="preserve"> prevailing</w:t>
      </w:r>
      <w:r>
        <w:t xml:space="preserve"> </w:t>
      </w:r>
      <w:r w:rsidR="0050261D">
        <w:t xml:space="preserve">wind </w:t>
      </w:r>
      <w:r>
        <w:t xml:space="preserve">conditions. </w:t>
      </w:r>
      <w:r w:rsidR="005A5197">
        <w:t xml:space="preserve">The EES states that, under the proposed Environmental Management Framework </w:t>
      </w:r>
      <w:r w:rsidR="007E42BF">
        <w:t xml:space="preserve">(EMF) </w:t>
      </w:r>
      <w:r w:rsidR="005A5197">
        <w:t xml:space="preserve">for WHP2, VicRoads </w:t>
      </w:r>
      <w:r w:rsidR="0050261D">
        <w:t xml:space="preserve">will </w:t>
      </w:r>
      <w:r w:rsidR="005A5197">
        <w:t>implement a</w:t>
      </w:r>
      <w:r>
        <w:t xml:space="preserve"> dust management protocol to minimise these impacts including by a</w:t>
      </w:r>
      <w:r w:rsidR="005A5197">
        <w:t xml:space="preserve"> staged approach to construction and</w:t>
      </w:r>
      <w:r>
        <w:t xml:space="preserve"> promptly rehabilitating cleared areas</w:t>
      </w:r>
      <w:r>
        <w:rPr>
          <w:rStyle w:val="FootnoteReference"/>
        </w:rPr>
        <w:footnoteReference w:id="34"/>
      </w:r>
      <w:r>
        <w:t xml:space="preserve">. </w:t>
      </w:r>
    </w:p>
    <w:p w:rsidR="002D1386" w:rsidRPr="00456EE3" w:rsidRDefault="002D1386" w:rsidP="00382CC9">
      <w:pPr>
        <w:keepNext/>
        <w:rPr>
          <w:b/>
          <w:i/>
        </w:rPr>
      </w:pPr>
      <w:r w:rsidRPr="00456EE3">
        <w:rPr>
          <w:b/>
          <w:i/>
        </w:rPr>
        <w:t xml:space="preserve">Visual and </w:t>
      </w:r>
      <w:r w:rsidR="0092620C">
        <w:rPr>
          <w:b/>
          <w:i/>
        </w:rPr>
        <w:t>l</w:t>
      </w:r>
      <w:r w:rsidRPr="00456EE3">
        <w:rPr>
          <w:b/>
          <w:i/>
        </w:rPr>
        <w:t>andscape</w:t>
      </w:r>
    </w:p>
    <w:p w:rsidR="00CF1642" w:rsidRPr="00834A23" w:rsidRDefault="00F14A28" w:rsidP="00E66AE9">
      <w:r w:rsidRPr="00834A23">
        <w:t xml:space="preserve">The EES </w:t>
      </w:r>
      <w:r w:rsidR="0092620C">
        <w:t>provides</w:t>
      </w:r>
      <w:r w:rsidRPr="00834A23">
        <w:t xml:space="preserve"> an evaluation of the potential visual impacts of WHP2</w:t>
      </w:r>
      <w:r w:rsidR="0092620C">
        <w:t>,</w:t>
      </w:r>
      <w:r w:rsidRPr="00834A23">
        <w:t xml:space="preserve"> based on a systematic analysis of landscape character types and their sensitivity to visual change. Eight landscape character types were identified within the WHP2 viewshed and the sensitivity of each to visual change was rated on a scale from high (e.g. bushland) to very low</w:t>
      </w:r>
      <w:r w:rsidR="0003284E">
        <w:rPr>
          <w:rStyle w:val="FootnoteReference"/>
        </w:rPr>
        <w:footnoteReference w:id="35"/>
      </w:r>
      <w:r w:rsidR="00D60BC6">
        <w:t>.</w:t>
      </w:r>
      <w:r w:rsidRPr="00834A23">
        <w:t xml:space="preserve"> </w:t>
      </w:r>
      <w:r w:rsidR="00FD35A4" w:rsidRPr="00834A23">
        <w:t xml:space="preserve">The visual study assessed the level of change within eight areas along WHP2 on a scale from insignificant to major. The level of impact in each area was derived from a combination of the sensitivity </w:t>
      </w:r>
      <w:r w:rsidR="00CF1642" w:rsidRPr="00834A23">
        <w:t xml:space="preserve">of the landscape character </w:t>
      </w:r>
      <w:r w:rsidR="00FD35A4" w:rsidRPr="00834A23">
        <w:t xml:space="preserve">and the level of change </w:t>
      </w:r>
      <w:r w:rsidR="00CF1642" w:rsidRPr="00834A23">
        <w:t xml:space="preserve">from WHP2 in each area </w:t>
      </w:r>
      <w:r w:rsidR="00FD35A4" w:rsidRPr="00834A23">
        <w:t xml:space="preserve">to produce </w:t>
      </w:r>
      <w:r w:rsidR="00BC751A" w:rsidRPr="00834A23">
        <w:t>an</w:t>
      </w:r>
      <w:r w:rsidR="00FD35A4" w:rsidRPr="00834A23">
        <w:t xml:space="preserve"> impact rating</w:t>
      </w:r>
      <w:r w:rsidR="00CF1642" w:rsidRPr="00834A23">
        <w:t>.</w:t>
      </w:r>
    </w:p>
    <w:p w:rsidR="00D62548" w:rsidRPr="00834A23" w:rsidRDefault="00CF1642" w:rsidP="00E66AE9">
      <w:r w:rsidRPr="00834A23">
        <w:t xml:space="preserve">It is noted that the impact </w:t>
      </w:r>
      <w:r w:rsidR="0003284E">
        <w:t>on the visual amenity of</w:t>
      </w:r>
      <w:r w:rsidR="0003284E" w:rsidRPr="00834A23">
        <w:t xml:space="preserve"> </w:t>
      </w:r>
      <w:r w:rsidRPr="00834A23">
        <w:t xml:space="preserve">dwellings </w:t>
      </w:r>
      <w:r w:rsidR="008E5ED8">
        <w:t xml:space="preserve">along the alignment </w:t>
      </w:r>
      <w:r w:rsidRPr="00834A23">
        <w:t xml:space="preserve">was assessed </w:t>
      </w:r>
      <w:r w:rsidR="0003284E">
        <w:t xml:space="preserve">in the EES </w:t>
      </w:r>
      <w:r w:rsidRPr="00834A23">
        <w:t>a</w:t>
      </w:r>
      <w:r w:rsidR="002D4CFF" w:rsidRPr="00834A23">
        <w:t xml:space="preserve">s </w:t>
      </w:r>
      <w:r w:rsidR="008E5ED8">
        <w:t xml:space="preserve">mostly </w:t>
      </w:r>
      <w:r w:rsidR="002D4CFF" w:rsidRPr="00834A23">
        <w:t>insignificant</w:t>
      </w:r>
      <w:r w:rsidR="008E5ED8">
        <w:t>, apart from a</w:t>
      </w:r>
      <w:r w:rsidR="00D62548" w:rsidRPr="00834A23">
        <w:t>t Buangor</w:t>
      </w:r>
      <w:r w:rsidR="008E5ED8">
        <w:t xml:space="preserve"> where th</w:t>
      </w:r>
      <w:r w:rsidR="00101B30">
        <w:t xml:space="preserve">e visual change for 9 dwellings was assessed as being </w:t>
      </w:r>
      <w:r w:rsidR="008E5ED8">
        <w:t>moderate and the impact as minor</w:t>
      </w:r>
      <w:r w:rsidR="00101B30">
        <w:rPr>
          <w:rStyle w:val="FootnoteReference"/>
        </w:rPr>
        <w:footnoteReference w:id="36"/>
      </w:r>
      <w:r w:rsidRPr="00834A23">
        <w:t>.</w:t>
      </w:r>
      <w:r w:rsidR="00515A4E" w:rsidRPr="00834A23">
        <w:t xml:space="preserve"> </w:t>
      </w:r>
      <w:r w:rsidR="00D62548" w:rsidRPr="00834A23">
        <w:t xml:space="preserve"> </w:t>
      </w:r>
      <w:r w:rsidR="00101B30">
        <w:t xml:space="preserve">VicRoads will prepare a </w:t>
      </w:r>
      <w:r w:rsidR="00D62548" w:rsidRPr="00834A23">
        <w:t>landscape plan for WHP2</w:t>
      </w:r>
      <w:r w:rsidR="00101B30">
        <w:t>, which should</w:t>
      </w:r>
      <w:r w:rsidR="00D62548" w:rsidRPr="00834A23">
        <w:t xml:space="preserve"> </w:t>
      </w:r>
      <w:r w:rsidR="00101B30">
        <w:t xml:space="preserve">involve </w:t>
      </w:r>
      <w:r w:rsidR="00D62548" w:rsidRPr="00834A23">
        <w:t>consultation with adjoining residents in order to minimise visual intrusion into existing residential views.</w:t>
      </w:r>
      <w:r w:rsidR="00DB4444">
        <w:t xml:space="preserve"> </w:t>
      </w:r>
      <w:r w:rsidR="00101B30">
        <w:t xml:space="preserve"> </w:t>
      </w:r>
      <w:r w:rsidR="00DB4444">
        <w:t xml:space="preserve">Table 17-11 in the EES outlines a range of measures that would be implemented to </w:t>
      </w:r>
      <w:r w:rsidR="0003284E">
        <w:t xml:space="preserve">mitigate visual impacts </w:t>
      </w:r>
      <w:r w:rsidR="00DB4444">
        <w:t>through sensitive design, screening or landscaping along WHP2.</w:t>
      </w:r>
    </w:p>
    <w:p w:rsidR="00896CB1" w:rsidRPr="00834A23" w:rsidRDefault="00D62548" w:rsidP="009357F7">
      <w:pPr>
        <w:spacing w:after="0"/>
      </w:pPr>
      <w:r w:rsidRPr="00834A23">
        <w:t xml:space="preserve"> Apart from impacts on views </w:t>
      </w:r>
      <w:r w:rsidR="002B3877">
        <w:t>from</w:t>
      </w:r>
      <w:r w:rsidRPr="00834A23">
        <w:t xml:space="preserve"> existing residences, t</w:t>
      </w:r>
      <w:r w:rsidR="00515A4E" w:rsidRPr="00834A23">
        <w:t xml:space="preserve">he visual study identified three areas of </w:t>
      </w:r>
      <w:r w:rsidRPr="00834A23">
        <w:t xml:space="preserve">landscape impact </w:t>
      </w:r>
      <w:r w:rsidR="00B656D7">
        <w:t xml:space="preserve">which were </w:t>
      </w:r>
      <w:r w:rsidR="00896CB1" w:rsidRPr="00834A23">
        <w:t>consider</w:t>
      </w:r>
      <w:r w:rsidR="00B656D7">
        <w:t>ed in more detail within the EES</w:t>
      </w:r>
      <w:r w:rsidR="00896CB1" w:rsidRPr="00834A23">
        <w:t xml:space="preserve">. </w:t>
      </w:r>
      <w:r w:rsidR="00515A4E" w:rsidRPr="00834A23">
        <w:t xml:space="preserve">These </w:t>
      </w:r>
      <w:r w:rsidR="00896CB1" w:rsidRPr="00834A23">
        <w:t>were:</w:t>
      </w:r>
    </w:p>
    <w:p w:rsidR="006E75DD" w:rsidRPr="00834A23" w:rsidRDefault="006E75DD" w:rsidP="005F2BEF">
      <w:pPr>
        <w:numPr>
          <w:ilvl w:val="0"/>
          <w:numId w:val="21"/>
        </w:numPr>
      </w:pPr>
      <w:r w:rsidRPr="00834A23">
        <w:lastRenderedPageBreak/>
        <w:t>The</w:t>
      </w:r>
      <w:r w:rsidR="00896CB1" w:rsidRPr="00834A23">
        <w:t xml:space="preserve"> Eurambeen area where a </w:t>
      </w:r>
      <w:r w:rsidRPr="00834A23">
        <w:t xml:space="preserve">proposed </w:t>
      </w:r>
      <w:r w:rsidR="00896CB1" w:rsidRPr="00834A23">
        <w:t xml:space="preserve">overpass would be </w:t>
      </w:r>
      <w:r w:rsidRPr="00834A23">
        <w:t>a dominant element in a large relatively flat area of rural land with views to Mount Buangor and Mount Langi Ghiran</w:t>
      </w:r>
      <w:r w:rsidR="0033301C">
        <w:t>.</w:t>
      </w:r>
    </w:p>
    <w:p w:rsidR="006E75DD" w:rsidRPr="00834A23" w:rsidRDefault="006E75DD" w:rsidP="005F2BEF">
      <w:pPr>
        <w:numPr>
          <w:ilvl w:val="0"/>
          <w:numId w:val="21"/>
        </w:numPr>
      </w:pPr>
      <w:r w:rsidRPr="00834A23">
        <w:t>Buangor area where WHP2 would be visible from the primary school and nearby houses</w:t>
      </w:r>
      <w:r w:rsidR="0033301C">
        <w:t>.</w:t>
      </w:r>
    </w:p>
    <w:p w:rsidR="006E75DD" w:rsidRPr="00834A23" w:rsidRDefault="006E75DD" w:rsidP="009357F7">
      <w:pPr>
        <w:numPr>
          <w:ilvl w:val="0"/>
          <w:numId w:val="21"/>
        </w:numPr>
        <w:spacing w:after="240"/>
        <w:ind w:left="714" w:hanging="357"/>
      </w:pPr>
      <w:r w:rsidRPr="00834A23">
        <w:t>The Langi Ghiran area where the duplicated road would be more visible in the landscape from the State Park</w:t>
      </w:r>
      <w:r w:rsidR="0033301C">
        <w:t>.</w:t>
      </w:r>
    </w:p>
    <w:p w:rsidR="00114C4B" w:rsidRPr="00834A23" w:rsidRDefault="00515A4E" w:rsidP="00E66AE9">
      <w:r w:rsidRPr="00834A23">
        <w:t>Photomontages were prepared for the Eurambeen area and the</w:t>
      </w:r>
      <w:r w:rsidR="002D4CFF" w:rsidRPr="00834A23">
        <w:t xml:space="preserve"> northern side of Buangor to </w:t>
      </w:r>
      <w:r w:rsidR="00114C4B" w:rsidRPr="00834A23">
        <w:t>show</w:t>
      </w:r>
      <w:r w:rsidR="002D4CFF" w:rsidRPr="00834A23">
        <w:t xml:space="preserve"> the anticipated visual impact on the residents and the Buangor Primary </w:t>
      </w:r>
      <w:r w:rsidR="00114C4B" w:rsidRPr="00834A23">
        <w:t>School. These demonstrate that suitable landscaping treatment</w:t>
      </w:r>
      <w:r w:rsidR="0003284E">
        <w:t>,</w:t>
      </w:r>
      <w:r w:rsidR="00114C4B" w:rsidRPr="00834A23">
        <w:t xml:space="preserve"> particularly of </w:t>
      </w:r>
      <w:r w:rsidR="00A14760" w:rsidRPr="00834A23">
        <w:t>areas</w:t>
      </w:r>
      <w:r w:rsidR="00114C4B" w:rsidRPr="00834A23">
        <w:t xml:space="preserve"> of fill</w:t>
      </w:r>
      <w:r w:rsidR="0003284E">
        <w:t>,</w:t>
      </w:r>
      <w:r w:rsidR="00114C4B" w:rsidRPr="00834A23">
        <w:t xml:space="preserve"> would reduce the residual risk of landscape impacts to a low-medium level</w:t>
      </w:r>
      <w:r w:rsidR="00101B30">
        <w:rPr>
          <w:rStyle w:val="FootnoteReference"/>
        </w:rPr>
        <w:footnoteReference w:id="37"/>
      </w:r>
      <w:r w:rsidR="00114C4B" w:rsidRPr="00834A23">
        <w:t>.</w:t>
      </w:r>
    </w:p>
    <w:p w:rsidR="00B63AF6" w:rsidRPr="00834A23" w:rsidRDefault="00114C4B" w:rsidP="00E66AE9">
      <w:r w:rsidRPr="00834A23">
        <w:t xml:space="preserve">In order to evaluate the potential </w:t>
      </w:r>
      <w:r w:rsidR="0003284E">
        <w:t>landscape</w:t>
      </w:r>
      <w:r w:rsidR="0003284E" w:rsidRPr="00834A23">
        <w:t xml:space="preserve"> </w:t>
      </w:r>
      <w:r w:rsidRPr="00834A23">
        <w:t>impacts from Mount Langi Ghiran</w:t>
      </w:r>
      <w:r w:rsidR="0003284E">
        <w:t>,</w:t>
      </w:r>
      <w:r w:rsidRPr="00834A23">
        <w:t xml:space="preserve"> digital visualisations of views from a scenic lookout were prepared for both </w:t>
      </w:r>
      <w:r w:rsidR="0003284E">
        <w:t>O</w:t>
      </w:r>
      <w:r w:rsidRPr="00834A23">
        <w:t>ptions 1 and 2. These are shown in Figure 17-19 and 17-20 of the EES. These demonstrate that the visual impact of both options would be insignif</w:t>
      </w:r>
      <w:r w:rsidR="00B63AF6" w:rsidRPr="00834A23">
        <w:t xml:space="preserve">icant given the distance to the WHP2 alignments and the amount of detail evident in the expansive views from the lookout. </w:t>
      </w:r>
      <w:r w:rsidRPr="00834A23">
        <w:t xml:space="preserve"> </w:t>
      </w:r>
    </w:p>
    <w:p w:rsidR="00B63AF6" w:rsidRPr="00834A23" w:rsidRDefault="00B63AF6" w:rsidP="00E66AE9">
      <w:r w:rsidRPr="00834A23">
        <w:t xml:space="preserve">The Inquiry has considered the potential visual/landscape impacts of WHP2 and taken into account submissions from a number of local residents whose views </w:t>
      </w:r>
      <w:r w:rsidR="0033301C">
        <w:t xml:space="preserve">are </w:t>
      </w:r>
      <w:r w:rsidRPr="00834A23">
        <w:t>likely to be impacted by WHP2. The Inquiry has concluded that the detailed design for WHP2 would address submitters</w:t>
      </w:r>
      <w:r w:rsidR="00542957">
        <w:t>’</w:t>
      </w:r>
      <w:r w:rsidRPr="00834A23">
        <w:t xml:space="preserve"> issues of concern and would ensure that the visual and landscape </w:t>
      </w:r>
      <w:r w:rsidR="00BC751A" w:rsidRPr="00834A23">
        <w:t>effects</w:t>
      </w:r>
      <w:r w:rsidR="00BC751A">
        <w:t xml:space="preserve"> were minimised</w:t>
      </w:r>
      <w:r w:rsidR="008F186D" w:rsidRPr="00834A23">
        <w:t>.</w:t>
      </w:r>
    </w:p>
    <w:p w:rsidR="00456EE3" w:rsidRPr="005B2FBF" w:rsidRDefault="00456EE3" w:rsidP="00DA1B0E">
      <w:pPr>
        <w:keepNext/>
        <w:rPr>
          <w:b/>
          <w:sz w:val="24"/>
        </w:rPr>
      </w:pPr>
      <w:r w:rsidRPr="005B2FBF">
        <w:rPr>
          <w:b/>
          <w:sz w:val="24"/>
        </w:rPr>
        <w:t>Conclusions</w:t>
      </w:r>
    </w:p>
    <w:p w:rsidR="00E43CC5" w:rsidRPr="00411227" w:rsidRDefault="00E43CC5" w:rsidP="00E43CC5">
      <w:r w:rsidRPr="00411227">
        <w:t>It is my assessment that:</w:t>
      </w:r>
    </w:p>
    <w:p w:rsidR="00542957" w:rsidRDefault="00542957" w:rsidP="00542957">
      <w:pPr>
        <w:pStyle w:val="ListParagraph"/>
        <w:numPr>
          <w:ilvl w:val="0"/>
          <w:numId w:val="27"/>
        </w:numPr>
      </w:pPr>
      <w:r>
        <w:t xml:space="preserve">The by-pass of Buangor will generally improve the amenity of the town.  </w:t>
      </w:r>
    </w:p>
    <w:p w:rsidR="00E43CC5" w:rsidRPr="00411227" w:rsidRDefault="00E43CC5" w:rsidP="00E43CC5">
      <w:pPr>
        <w:numPr>
          <w:ilvl w:val="0"/>
          <w:numId w:val="27"/>
        </w:numPr>
      </w:pPr>
      <w:r w:rsidRPr="00411227">
        <w:t>The operational noise increases due to the project (</w:t>
      </w:r>
      <w:r>
        <w:t xml:space="preserve">for both </w:t>
      </w:r>
      <w:r w:rsidR="00C80839">
        <w:t>O</w:t>
      </w:r>
      <w:r w:rsidRPr="00411227">
        <w:t>ptions 1 and 2) are not likely to result in any significant adverse effects for sensitive receptors</w:t>
      </w:r>
      <w:r w:rsidR="00264D8A">
        <w:t xml:space="preserve"> (residences and schools)</w:t>
      </w:r>
      <w:r>
        <w:t>,</w:t>
      </w:r>
      <w:r w:rsidRPr="00411227">
        <w:t xml:space="preserve"> </w:t>
      </w:r>
      <w:r>
        <w:t xml:space="preserve">that is </w:t>
      </w:r>
      <w:r w:rsidRPr="00411227">
        <w:t>where this i</w:t>
      </w:r>
      <w:r w:rsidR="00542957">
        <w:t>nvolve</w:t>
      </w:r>
      <w:r w:rsidRPr="00411227">
        <w:t xml:space="preserve">s both a </w:t>
      </w:r>
      <w:r>
        <w:t>‘</w:t>
      </w:r>
      <w:r w:rsidRPr="00411227">
        <w:t>clearly noticeable</w:t>
      </w:r>
      <w:r>
        <w:t>’</w:t>
      </w:r>
      <w:r w:rsidRPr="00411227">
        <w:t xml:space="preserve"> increase in traffic noise and a resultant noise greater than 63 dB(A). </w:t>
      </w:r>
    </w:p>
    <w:p w:rsidR="00E43CC5" w:rsidRPr="00411227" w:rsidRDefault="00E43CC5" w:rsidP="00E43CC5">
      <w:pPr>
        <w:numPr>
          <w:ilvl w:val="0"/>
          <w:numId w:val="27"/>
        </w:numPr>
      </w:pPr>
      <w:r w:rsidRPr="00411227">
        <w:t>Effects on air quality are likely to be confined to construction dust</w:t>
      </w:r>
      <w:r w:rsidR="00264D8A">
        <w:t>, which</w:t>
      </w:r>
      <w:r w:rsidRPr="00411227">
        <w:t xml:space="preserve"> can be readily managed through standard procedures and </w:t>
      </w:r>
      <w:r w:rsidR="00264D8A">
        <w:t xml:space="preserve">additional </w:t>
      </w:r>
      <w:r w:rsidRPr="00411227">
        <w:t xml:space="preserve">measures </w:t>
      </w:r>
      <w:r w:rsidR="00264D8A">
        <w:t xml:space="preserve">that are outlined in the </w:t>
      </w:r>
      <w:r w:rsidR="007E42BF">
        <w:t>EMF</w:t>
      </w:r>
      <w:r w:rsidRPr="00411227">
        <w:t>.</w:t>
      </w:r>
    </w:p>
    <w:p w:rsidR="00E43CC5" w:rsidRDefault="00E43CC5" w:rsidP="00E43CC5">
      <w:pPr>
        <w:numPr>
          <w:ilvl w:val="0"/>
          <w:numId w:val="27"/>
        </w:numPr>
      </w:pPr>
      <w:r w:rsidRPr="00411227">
        <w:t>The potential visual amenity and landscape impacts of WHP2 are acceptable provided the detailed mitigation measures specified in Table 17-10 of the EES are incorporated into the landscape plan for WHP2 and are implemented.</w:t>
      </w:r>
    </w:p>
    <w:p w:rsidR="00E43CC5" w:rsidRDefault="00E43CC5" w:rsidP="00E43CC5">
      <w:r>
        <w:t>Further it is my assessment that p</w:t>
      </w:r>
      <w:r w:rsidRPr="00E43CC5">
        <w:t xml:space="preserve">roposed mitigation measures </w:t>
      </w:r>
      <w:r w:rsidR="00542957">
        <w:t>to address noise set out</w:t>
      </w:r>
      <w:r w:rsidR="00542957" w:rsidRPr="00E43CC5">
        <w:t xml:space="preserve"> </w:t>
      </w:r>
      <w:r w:rsidRPr="00E43CC5">
        <w:t xml:space="preserve">in the EES </w:t>
      </w:r>
      <w:r w:rsidR="00542957">
        <w:t>be</w:t>
      </w:r>
      <w:r w:rsidR="00542957" w:rsidRPr="00E43CC5">
        <w:t xml:space="preserve"> </w:t>
      </w:r>
      <w:r w:rsidRPr="00E43CC5">
        <w:t xml:space="preserve">implemented, including noise monitoring to check where noise objectives are exceeded and mitigation is necessary, </w:t>
      </w:r>
      <w:r w:rsidR="00542957">
        <w:t>in accordance with</w:t>
      </w:r>
      <w:r w:rsidRPr="00E43CC5">
        <w:t xml:space="preserve"> VicRoads </w:t>
      </w:r>
      <w:r w:rsidR="00542957">
        <w:t xml:space="preserve">noise </w:t>
      </w:r>
      <w:r w:rsidRPr="00E43CC5">
        <w:t>policy</w:t>
      </w:r>
      <w:r w:rsidR="00C80839">
        <w:t>.</w:t>
      </w:r>
    </w:p>
    <w:p w:rsidR="000C2D0F" w:rsidRDefault="000C2D0F" w:rsidP="00E43CC5"/>
    <w:p w:rsidR="00456EE3" w:rsidRPr="00823CC2" w:rsidRDefault="00456EE3" w:rsidP="00E43CC5">
      <w:pPr>
        <w:pStyle w:val="Heading2"/>
      </w:pPr>
      <w:bookmarkStart w:id="47" w:name="_Toc354582228"/>
      <w:r w:rsidRPr="00823CC2">
        <w:t>Catchment Values</w:t>
      </w:r>
      <w:bookmarkEnd w:id="47"/>
    </w:p>
    <w:p w:rsidR="00456EE3" w:rsidRPr="007707DC" w:rsidRDefault="00456EE3" w:rsidP="00456EE3">
      <w:pPr>
        <w:rPr>
          <w:i/>
        </w:rPr>
      </w:pPr>
      <w:r w:rsidRPr="005B2FBF">
        <w:rPr>
          <w:b/>
          <w:color w:val="0070C0"/>
        </w:rPr>
        <w:t>Evaluation Objective</w:t>
      </w:r>
      <w:r w:rsidRPr="007707DC">
        <w:rPr>
          <w:b/>
        </w:rPr>
        <w:t xml:space="preserve"> – </w:t>
      </w:r>
      <w:r w:rsidRPr="007707DC">
        <w:rPr>
          <w:i/>
        </w:rPr>
        <w:t xml:space="preserve">To protect catchment values, </w:t>
      </w:r>
      <w:r w:rsidR="00FC50BE">
        <w:rPr>
          <w:i/>
        </w:rPr>
        <w:t xml:space="preserve">including in relation to soils, </w:t>
      </w:r>
      <w:r w:rsidRPr="007707DC">
        <w:rPr>
          <w:i/>
        </w:rPr>
        <w:t>surface water and groundwater quality, stream flows and floodway capacity, as well as to avoid impacts on beneficial uses</w:t>
      </w:r>
    </w:p>
    <w:p w:rsidR="00456EE3" w:rsidRDefault="00456EE3" w:rsidP="00456EE3">
      <w:pPr>
        <w:rPr>
          <w:b/>
        </w:rPr>
      </w:pPr>
      <w:r w:rsidRPr="007707DC">
        <w:rPr>
          <w:b/>
        </w:rPr>
        <w:t>Key Issues</w:t>
      </w:r>
    </w:p>
    <w:p w:rsidR="00456EE3" w:rsidRDefault="00456EE3" w:rsidP="00456EE3">
      <w:r>
        <w:t xml:space="preserve">The key issues in relation to water and catchment values are: </w:t>
      </w:r>
    </w:p>
    <w:p w:rsidR="00456EE3" w:rsidRDefault="00456EE3" w:rsidP="00456EE3">
      <w:pPr>
        <w:numPr>
          <w:ilvl w:val="0"/>
          <w:numId w:val="28"/>
        </w:numPr>
      </w:pPr>
      <w:r>
        <w:t xml:space="preserve">Whether construction and operation of the </w:t>
      </w:r>
      <w:r w:rsidR="000A15AD">
        <w:t>WHP2</w:t>
      </w:r>
      <w:r>
        <w:t xml:space="preserve"> will have a potential</w:t>
      </w:r>
      <w:r w:rsidR="00C80839">
        <w:t>ly</w:t>
      </w:r>
      <w:r>
        <w:t xml:space="preserve"> significant effect</w:t>
      </w:r>
      <w:r w:rsidR="00C80839">
        <w:t>s, such as</w:t>
      </w:r>
      <w:r>
        <w:t xml:space="preserve"> through erosion, </w:t>
      </w:r>
      <w:r w:rsidR="00C80839">
        <w:t>or</w:t>
      </w:r>
      <w:r>
        <w:t xml:space="preserve"> the potential exposure of contaminated or hazardous soils</w:t>
      </w:r>
      <w:r w:rsidR="00E417CD">
        <w:t>.</w:t>
      </w:r>
    </w:p>
    <w:p w:rsidR="00456EE3" w:rsidRDefault="00456EE3" w:rsidP="00456EE3">
      <w:pPr>
        <w:numPr>
          <w:ilvl w:val="0"/>
          <w:numId w:val="28"/>
        </w:numPr>
      </w:pPr>
      <w:r>
        <w:t xml:space="preserve">Whether the construction of the </w:t>
      </w:r>
      <w:r w:rsidR="000A15AD">
        <w:t>WHP2</w:t>
      </w:r>
      <w:r>
        <w:t xml:space="preserve"> will have a significant effect on groundwater and its beneficial uses including dependent ecosystems</w:t>
      </w:r>
      <w:r w:rsidR="00E417CD">
        <w:t>.</w:t>
      </w:r>
    </w:p>
    <w:p w:rsidR="00456EE3" w:rsidRPr="007707DC" w:rsidRDefault="00456EE3" w:rsidP="00456EE3">
      <w:pPr>
        <w:numPr>
          <w:ilvl w:val="0"/>
          <w:numId w:val="28"/>
        </w:numPr>
      </w:pPr>
      <w:r>
        <w:lastRenderedPageBreak/>
        <w:t xml:space="preserve">Whether the construction of waterway crossing structures for the </w:t>
      </w:r>
      <w:r w:rsidR="000A15AD">
        <w:t>WHP2</w:t>
      </w:r>
      <w:r>
        <w:t xml:space="preserve"> will have a significant impact on the water quality and flood behaviour characteristics of surface waterways, to the detriment of beneficial uses. </w:t>
      </w:r>
    </w:p>
    <w:p w:rsidR="00456EE3" w:rsidRPr="007707DC" w:rsidRDefault="00456EE3" w:rsidP="00456EE3">
      <w:pPr>
        <w:rPr>
          <w:b/>
        </w:rPr>
      </w:pPr>
      <w:r w:rsidRPr="007707DC">
        <w:rPr>
          <w:b/>
        </w:rPr>
        <w:t>Discussion and Findings</w:t>
      </w:r>
    </w:p>
    <w:p w:rsidR="00456EE3" w:rsidRPr="007707DC" w:rsidRDefault="00456EE3" w:rsidP="00456EE3">
      <w:pPr>
        <w:rPr>
          <w:b/>
          <w:i/>
        </w:rPr>
      </w:pPr>
      <w:r w:rsidRPr="007707DC">
        <w:rPr>
          <w:b/>
          <w:i/>
        </w:rPr>
        <w:t>Soils</w:t>
      </w:r>
    </w:p>
    <w:p w:rsidR="00456EE3" w:rsidRDefault="00456EE3" w:rsidP="00456EE3">
      <w:r>
        <w:t xml:space="preserve">The EES’ desktop </w:t>
      </w:r>
      <w:r w:rsidR="00C80839">
        <w:t xml:space="preserve">study </w:t>
      </w:r>
      <w:r>
        <w:t xml:space="preserve">concluded that there was a moderate potential for the </w:t>
      </w:r>
      <w:r w:rsidR="00D77A84">
        <w:t>WHP2</w:t>
      </w:r>
      <w:r>
        <w:t xml:space="preserve"> to encounter contaminated soils during construction. </w:t>
      </w:r>
      <w:r w:rsidR="00C80839">
        <w:t xml:space="preserve"> </w:t>
      </w:r>
      <w:r>
        <w:t>Such sites could include contaminants from previous sheep dips, an existing service station, historic land management practices along the railway lines, historic mining works or buried waste. Such contamination if encountered is expected to be localised</w:t>
      </w:r>
      <w:r w:rsidR="00E417CD">
        <w:t>.  P</w:t>
      </w:r>
      <w:r>
        <w:t xml:space="preserve">roject specific controls include assessment in accordance with the relevant </w:t>
      </w:r>
      <w:r w:rsidR="00C80839">
        <w:t>SEPP</w:t>
      </w:r>
      <w:r>
        <w:t>, National Environment Protection Measure</w:t>
      </w:r>
      <w:r w:rsidR="00E52E41">
        <w:t>s</w:t>
      </w:r>
      <w:r>
        <w:t xml:space="preserve"> and Australian Standard</w:t>
      </w:r>
      <w:r w:rsidR="00E52E41">
        <w:t>s</w:t>
      </w:r>
      <w:r>
        <w:t xml:space="preserve"> and potential remediation where contaminant concentrations </w:t>
      </w:r>
      <w:r w:rsidR="007E42BF">
        <w:t xml:space="preserve">could </w:t>
      </w:r>
      <w:r>
        <w:t xml:space="preserve">impact the beneficial uses identified in the SEPP. </w:t>
      </w:r>
    </w:p>
    <w:p w:rsidR="00456EE3" w:rsidRDefault="00456EE3" w:rsidP="00456EE3">
      <w:r>
        <w:t xml:space="preserve">No </w:t>
      </w:r>
      <w:r w:rsidR="00E52E41">
        <w:t xml:space="preserve">assessment of </w:t>
      </w:r>
      <w:r>
        <w:t xml:space="preserve">potential acid sulphate soils (ASS) </w:t>
      </w:r>
      <w:r w:rsidR="00E52E41">
        <w:t>was</w:t>
      </w:r>
      <w:r>
        <w:t xml:space="preserve"> undertaken</w:t>
      </w:r>
      <w:r w:rsidR="00E52E41">
        <w:t xml:space="preserve"> for the EES. However,</w:t>
      </w:r>
      <w:r>
        <w:t xml:space="preserve"> </w:t>
      </w:r>
      <w:r w:rsidR="00E52E41">
        <w:t xml:space="preserve">VicRoads proposes that </w:t>
      </w:r>
      <w:r>
        <w:t xml:space="preserve">soils suspected of being ASS </w:t>
      </w:r>
      <w:r w:rsidR="00E52E41">
        <w:t>would</w:t>
      </w:r>
      <w:r>
        <w:t xml:space="preserve"> be sampled and in the event that they are discovered to be ASS, an </w:t>
      </w:r>
      <w:r w:rsidR="007E42BF">
        <w:t xml:space="preserve">ASS </w:t>
      </w:r>
      <w:r>
        <w:t xml:space="preserve">Management Plan would be </w:t>
      </w:r>
      <w:r w:rsidR="00F4605F">
        <w:t>prepared</w:t>
      </w:r>
      <w:r>
        <w:rPr>
          <w:rStyle w:val="FootnoteReference"/>
        </w:rPr>
        <w:footnoteReference w:id="38"/>
      </w:r>
      <w:r w:rsidR="00AE2BC2">
        <w:t xml:space="preserve"> in accordance with the E</w:t>
      </w:r>
      <w:r w:rsidR="00C80839">
        <w:t>MF</w:t>
      </w:r>
      <w:r w:rsidR="00AE2BC2">
        <w:t>.</w:t>
      </w:r>
      <w:r>
        <w:t xml:space="preserve"> </w:t>
      </w:r>
    </w:p>
    <w:p w:rsidR="00456EE3" w:rsidRDefault="00456EE3" w:rsidP="00456EE3">
      <w:r>
        <w:t xml:space="preserve">Pre-construction geotechnical investigations will be undertaken </w:t>
      </w:r>
      <w:r w:rsidR="00CD2363">
        <w:t xml:space="preserve">to further examine the potential for erosion, soil stability issues and other risks associated with soils </w:t>
      </w:r>
      <w:r w:rsidR="00026327">
        <w:t>a</w:t>
      </w:r>
      <w:r w:rsidR="00CD2363">
        <w:t xml:space="preserve">long the alignment, including in terms of potential sources of contamination.  </w:t>
      </w:r>
      <w:r>
        <w:t>Erosion control measures and p</w:t>
      </w:r>
      <w:r w:rsidR="00E417CD">
        <w:t>otential</w:t>
      </w:r>
      <w:r>
        <w:t xml:space="preserve"> ground improvement techniques would be implemented </w:t>
      </w:r>
      <w:r w:rsidR="00CD2363">
        <w:t>through the EMF</w:t>
      </w:r>
      <w:r w:rsidR="00E417CD">
        <w:t xml:space="preserve"> and CEMPs</w:t>
      </w:r>
      <w:r>
        <w:t xml:space="preserve">.    </w:t>
      </w:r>
    </w:p>
    <w:p w:rsidR="00456EE3" w:rsidRDefault="00456EE3" w:rsidP="00456EE3">
      <w:r>
        <w:t xml:space="preserve">The </w:t>
      </w:r>
      <w:r w:rsidR="00A8006C">
        <w:t>Inquiry</w:t>
      </w:r>
      <w:r>
        <w:t xml:space="preserve"> determined that VicRoads had adequately addressed issues associated with soils in the </w:t>
      </w:r>
      <w:r w:rsidR="00E544AF">
        <w:t xml:space="preserve">general </w:t>
      </w:r>
      <w:r>
        <w:t>project design</w:t>
      </w:r>
      <w:r w:rsidR="00E417CD">
        <w:t xml:space="preserve"> and the EMF</w:t>
      </w:r>
      <w:r>
        <w:t xml:space="preserve">. </w:t>
      </w:r>
    </w:p>
    <w:p w:rsidR="00456EE3" w:rsidRPr="007707DC" w:rsidRDefault="00456EE3" w:rsidP="00456EE3">
      <w:pPr>
        <w:rPr>
          <w:b/>
          <w:i/>
        </w:rPr>
      </w:pPr>
      <w:r w:rsidRPr="007707DC">
        <w:rPr>
          <w:b/>
          <w:i/>
        </w:rPr>
        <w:t>Surface Water</w:t>
      </w:r>
    </w:p>
    <w:p w:rsidR="00456EE3" w:rsidRDefault="00456EE3" w:rsidP="00456EE3">
      <w:r w:rsidRPr="00D66B12">
        <w:t>The</w:t>
      </w:r>
      <w:r>
        <w:t xml:space="preserve"> </w:t>
      </w:r>
      <w:r w:rsidR="000A15AD">
        <w:t>WHP2</w:t>
      </w:r>
      <w:r>
        <w:t xml:space="preserve"> will cross six significant named watercourses (Fiery Creek, Middle Creek, Charliecombe Creek, Billy Billy Creek, Hopkins River, Green Hill Creek). New or replacement crossing structures will need to be constructed at these locations. All river crossings will be designed to retain or enhance the</w:t>
      </w:r>
      <w:r w:rsidR="000A4D48">
        <w:t xml:space="preserve"> ability to convey flood waters, as well as to </w:t>
      </w:r>
      <w:r w:rsidR="00775E44">
        <w:t xml:space="preserve">retain </w:t>
      </w:r>
      <w:r w:rsidR="007E42BF">
        <w:t xml:space="preserve">waterways’ </w:t>
      </w:r>
      <w:r w:rsidR="00775E44">
        <w:t>ecological conditions</w:t>
      </w:r>
      <w:r>
        <w:rPr>
          <w:rStyle w:val="FootnoteReference"/>
        </w:rPr>
        <w:footnoteReference w:id="39"/>
      </w:r>
      <w:r>
        <w:t>.</w:t>
      </w:r>
    </w:p>
    <w:p w:rsidR="00113073" w:rsidRDefault="00456EE3" w:rsidP="00456EE3">
      <w:r>
        <w:t xml:space="preserve">The EES </w:t>
      </w:r>
      <w:r w:rsidRPr="009357F7">
        <w:t xml:space="preserve">identifies specific sites where there are risks to </w:t>
      </w:r>
      <w:r w:rsidR="00E544AF" w:rsidRPr="009357F7">
        <w:t xml:space="preserve">ecological conditions of </w:t>
      </w:r>
      <w:r w:rsidR="007E42BF" w:rsidRPr="009357F7">
        <w:t>waterways</w:t>
      </w:r>
      <w:r w:rsidR="00E544AF" w:rsidRPr="009357F7">
        <w:t xml:space="preserve">, </w:t>
      </w:r>
      <w:r w:rsidRPr="009357F7">
        <w:t>including a new crossing of Billy Billy Creek (at ch</w:t>
      </w:r>
      <w:r w:rsidR="007E42BF" w:rsidRPr="009357F7">
        <w:t>ainage</w:t>
      </w:r>
      <w:r w:rsidRPr="009357F7">
        <w:t xml:space="preserve"> 18200</w:t>
      </w:r>
      <w:r w:rsidR="007E42BF" w:rsidRPr="009357F7">
        <w:t>m</w:t>
      </w:r>
      <w:r w:rsidRPr="009357F7">
        <w:t xml:space="preserve">) which has significant </w:t>
      </w:r>
      <w:r w:rsidR="007E42BF" w:rsidRPr="009357F7">
        <w:t xml:space="preserve">aquatic </w:t>
      </w:r>
      <w:r w:rsidRPr="009357F7">
        <w:t xml:space="preserve">health values and forms habitat for the </w:t>
      </w:r>
      <w:r w:rsidR="00F4605F" w:rsidRPr="009357F7">
        <w:t>D</w:t>
      </w:r>
      <w:r w:rsidRPr="009357F7">
        <w:t xml:space="preserve">warf </w:t>
      </w:r>
      <w:r w:rsidR="00F4605F" w:rsidRPr="009357F7">
        <w:t>G</w:t>
      </w:r>
      <w:r w:rsidRPr="009357F7">
        <w:t xml:space="preserve">alaxias (see section </w:t>
      </w:r>
      <w:r w:rsidR="000F57C9">
        <w:fldChar w:fldCharType="begin"/>
      </w:r>
      <w:r w:rsidR="000F57C9">
        <w:instrText xml:space="preserve"> REF _Ref329080041 \r \h  \* MERGEFORMAT </w:instrText>
      </w:r>
      <w:r w:rsidR="000F57C9">
        <w:fldChar w:fldCharType="separate"/>
      </w:r>
      <w:r w:rsidR="00562F22">
        <w:t>3.4</w:t>
      </w:r>
      <w:r w:rsidR="000F57C9">
        <w:fldChar w:fldCharType="end"/>
      </w:r>
      <w:r w:rsidRPr="009357F7">
        <w:t>) and</w:t>
      </w:r>
      <w:r>
        <w:t xml:space="preserve"> the diversion of Charliecombe Creek for a length of </w:t>
      </w:r>
      <w:r w:rsidR="00D16E7B">
        <w:t>approximately 250</w:t>
      </w:r>
      <w:r>
        <w:t xml:space="preserve"> m</w:t>
      </w:r>
      <w:r w:rsidR="00D16E7B">
        <w:rPr>
          <w:rStyle w:val="FootnoteReference"/>
        </w:rPr>
        <w:footnoteReference w:id="40"/>
      </w:r>
      <w:r>
        <w:t xml:space="preserve">. </w:t>
      </w:r>
      <w:r w:rsidR="00D16E7B">
        <w:t xml:space="preserve">Realignments may be required for </w:t>
      </w:r>
      <w:r>
        <w:t xml:space="preserve">Charliecombe Creek </w:t>
      </w:r>
      <w:r w:rsidR="00D16E7B">
        <w:t xml:space="preserve">and one crossing of Billy Billy Creek to limit the length of waterway beneath carriageways and thus reduce </w:t>
      </w:r>
      <w:r>
        <w:t xml:space="preserve">potential impacts on </w:t>
      </w:r>
      <w:r w:rsidR="007E42BF">
        <w:t xml:space="preserve">aquatic </w:t>
      </w:r>
      <w:r>
        <w:t>health</w:t>
      </w:r>
      <w:r w:rsidR="00D16E7B" w:rsidRPr="00D16E7B">
        <w:t xml:space="preserve">. </w:t>
      </w:r>
      <w:r w:rsidR="00E43E1D">
        <w:t xml:space="preserve"> </w:t>
      </w:r>
      <w:r w:rsidR="00D16E7B" w:rsidRPr="00D16E7B">
        <w:t xml:space="preserve">Approval </w:t>
      </w:r>
      <w:r w:rsidR="00AE2BC2">
        <w:t xml:space="preserve">from the </w:t>
      </w:r>
      <w:r w:rsidR="009357F7" w:rsidRPr="009357F7">
        <w:t xml:space="preserve">Glenelg Hopkins </w:t>
      </w:r>
      <w:r w:rsidR="00AE2BC2">
        <w:t>Catchment Management Authority</w:t>
      </w:r>
      <w:r w:rsidR="009357F7">
        <w:t xml:space="preserve"> (CMA)</w:t>
      </w:r>
      <w:r w:rsidR="00AE2BC2">
        <w:t xml:space="preserve"> </w:t>
      </w:r>
      <w:r w:rsidR="00D16E7B" w:rsidRPr="00D16E7B">
        <w:t xml:space="preserve">for Works on Waterway will be required under the </w:t>
      </w:r>
      <w:r w:rsidR="00F35227" w:rsidRPr="00F35227">
        <w:rPr>
          <w:i/>
        </w:rPr>
        <w:t>Water Act 1989</w:t>
      </w:r>
      <w:r w:rsidR="00D16E7B" w:rsidRPr="00D16E7B">
        <w:t>.  Prerequisites will include an agreed design concept for the creek realignment that adequately addresses the reinstatement of stream morphology and environmental features/values</w:t>
      </w:r>
      <w:r w:rsidR="00113073">
        <w:t>. In addition, hydraulic modelling will need to be undertaken to ensure that waterway crossings do not increase flows, depths or velocities</w:t>
      </w:r>
      <w:r w:rsidR="00E417CD">
        <w:t>, including within floodplains and near property boundaries</w:t>
      </w:r>
      <w:r w:rsidR="00113073">
        <w:t xml:space="preserve">. </w:t>
      </w:r>
    </w:p>
    <w:p w:rsidR="00456EE3" w:rsidRPr="00D66B12" w:rsidRDefault="00456EE3" w:rsidP="00456EE3">
      <w:r>
        <w:t xml:space="preserve">The </w:t>
      </w:r>
      <w:r w:rsidR="00A8006C">
        <w:t>Inquiry</w:t>
      </w:r>
      <w:r>
        <w:t xml:space="preserve"> concluded that surface water impacts were low</w:t>
      </w:r>
      <w:r w:rsidR="00E43E1D">
        <w:t xml:space="preserve"> and acceptable</w:t>
      </w:r>
      <w:r>
        <w:rPr>
          <w:rStyle w:val="FootnoteReference"/>
        </w:rPr>
        <w:footnoteReference w:id="41"/>
      </w:r>
      <w:r>
        <w:t xml:space="preserve">. </w:t>
      </w:r>
    </w:p>
    <w:p w:rsidR="00DC0F0A" w:rsidRPr="00D527DD" w:rsidRDefault="00DC0F0A" w:rsidP="00E66AE9">
      <w:pPr>
        <w:rPr>
          <w:b/>
          <w:i/>
        </w:rPr>
      </w:pPr>
      <w:r w:rsidRPr="00D527DD">
        <w:rPr>
          <w:b/>
          <w:i/>
        </w:rPr>
        <w:t>Groundwater</w:t>
      </w:r>
    </w:p>
    <w:p w:rsidR="007844D2" w:rsidRPr="004407F3" w:rsidRDefault="0041638A" w:rsidP="00E66AE9">
      <w:r w:rsidRPr="00D527DD">
        <w:t xml:space="preserve">The potential effect on groundwater resources is mainly related to excavation during construction intercepting the </w:t>
      </w:r>
      <w:r w:rsidR="00D527DD">
        <w:t>ground</w:t>
      </w:r>
      <w:r w:rsidRPr="00D527DD">
        <w:t>water</w:t>
      </w:r>
      <w:r w:rsidR="00D527DD">
        <w:t xml:space="preserve"> </w:t>
      </w:r>
      <w:r w:rsidRPr="00D527DD">
        <w:t>table and therefore requiring some dewatering.  Hydro</w:t>
      </w:r>
      <w:r w:rsidR="00E417CD">
        <w:t>geo</w:t>
      </w:r>
      <w:r w:rsidRPr="00D527DD">
        <w:t xml:space="preserve">logical investigations have yet to be undertaken to determine the actual depth of the </w:t>
      </w:r>
      <w:r w:rsidR="008013ED">
        <w:t xml:space="preserve">groundwater </w:t>
      </w:r>
      <w:r w:rsidRPr="00D527DD">
        <w:t>across the study area, although t</w:t>
      </w:r>
      <w:r w:rsidR="007844D2" w:rsidRPr="00D527DD">
        <w:t>he EES</w:t>
      </w:r>
      <w:r w:rsidRPr="00D527DD">
        <w:t>’</w:t>
      </w:r>
      <w:r w:rsidR="007844D2" w:rsidRPr="00D527DD">
        <w:t xml:space="preserve"> </w:t>
      </w:r>
      <w:r w:rsidRPr="00D527DD">
        <w:t xml:space="preserve">desktop study </w:t>
      </w:r>
      <w:r w:rsidRPr="004407F3">
        <w:t>used a</w:t>
      </w:r>
      <w:r w:rsidR="007844D2" w:rsidRPr="004407F3">
        <w:t>vailable information from</w:t>
      </w:r>
      <w:r w:rsidRPr="004407F3">
        <w:t xml:space="preserve"> </w:t>
      </w:r>
      <w:r w:rsidR="008013ED">
        <w:t xml:space="preserve">some </w:t>
      </w:r>
      <w:r w:rsidR="00F76AB4" w:rsidRPr="004407F3">
        <w:t>existing</w:t>
      </w:r>
      <w:r w:rsidRPr="004407F3">
        <w:t xml:space="preserve"> bores, which </w:t>
      </w:r>
      <w:r w:rsidR="007844D2" w:rsidRPr="004407F3">
        <w:t xml:space="preserve">indicated </w:t>
      </w:r>
      <w:r w:rsidR="008013ED">
        <w:t>ground</w:t>
      </w:r>
      <w:r w:rsidR="007844D2" w:rsidRPr="004407F3">
        <w:t xml:space="preserve">water </w:t>
      </w:r>
      <w:r w:rsidR="008013ED">
        <w:t>depths range</w:t>
      </w:r>
      <w:r w:rsidR="007844D2" w:rsidRPr="004407F3">
        <w:t xml:space="preserve"> from less than 1 m to 22 m below the surface</w:t>
      </w:r>
      <w:r w:rsidR="002568E1" w:rsidRPr="004407F3">
        <w:t xml:space="preserve">. </w:t>
      </w:r>
      <w:r w:rsidR="007844D2" w:rsidRPr="004407F3">
        <w:t xml:space="preserve"> </w:t>
      </w:r>
    </w:p>
    <w:p w:rsidR="002568E1" w:rsidRPr="004407F3" w:rsidRDefault="002568E1" w:rsidP="00E66AE9">
      <w:r w:rsidRPr="004407F3">
        <w:lastRenderedPageBreak/>
        <w:t xml:space="preserve">In order to assess the potential risk of intercepting the </w:t>
      </w:r>
      <w:r w:rsidR="00D527DD" w:rsidRPr="004407F3">
        <w:t>ground</w:t>
      </w:r>
      <w:r w:rsidRPr="004407F3">
        <w:t>water table, the EES assessed areas where cuts below grade</w:t>
      </w:r>
      <w:r w:rsidR="00F76AB4">
        <w:t xml:space="preserve"> of</w:t>
      </w:r>
      <w:r w:rsidRPr="004407F3">
        <w:t xml:space="preserve"> greater than 3 m were required. The 3 m criteri</w:t>
      </w:r>
      <w:r w:rsidR="00A4439D" w:rsidRPr="004407F3">
        <w:t>on</w:t>
      </w:r>
      <w:r w:rsidRPr="004407F3">
        <w:t xml:space="preserve"> was considered appropriate as in locations where groundwater is within 2 m of the ground </w:t>
      </w:r>
      <w:r w:rsidR="007E42BF">
        <w:t xml:space="preserve">surface, </w:t>
      </w:r>
      <w:r w:rsidRPr="004407F3">
        <w:t>salinisation and water logging issues are likely to occur</w:t>
      </w:r>
      <w:r w:rsidR="00D527DD" w:rsidRPr="004407F3">
        <w:t>,</w:t>
      </w:r>
      <w:r w:rsidRPr="004407F3">
        <w:t xml:space="preserve"> for which road designers would likely </w:t>
      </w:r>
      <w:r w:rsidR="007E42BF">
        <w:t xml:space="preserve">establish </w:t>
      </w:r>
      <w:r w:rsidRPr="004407F3">
        <w:t>grade lines in fill (as opposed to cut)</w:t>
      </w:r>
      <w:r w:rsidR="00F4605F" w:rsidRPr="004407F3">
        <w:t xml:space="preserve">. </w:t>
      </w:r>
      <w:r w:rsidR="00D527DD" w:rsidRPr="004407F3">
        <w:t xml:space="preserve"> W</w:t>
      </w:r>
      <w:r w:rsidRPr="004407F3">
        <w:t xml:space="preserve">here cuts </w:t>
      </w:r>
      <w:r w:rsidR="00D527DD" w:rsidRPr="004407F3">
        <w:t xml:space="preserve">may </w:t>
      </w:r>
      <w:r w:rsidRPr="004407F3">
        <w:t xml:space="preserve">occur </w:t>
      </w:r>
      <w:r w:rsidR="00D527DD" w:rsidRPr="004407F3">
        <w:t xml:space="preserve">in areas </w:t>
      </w:r>
      <w:r w:rsidR="00F76AB4">
        <w:t xml:space="preserve">with </w:t>
      </w:r>
      <w:r w:rsidR="00D527DD" w:rsidRPr="004407F3">
        <w:t xml:space="preserve">groundwater less </w:t>
      </w:r>
      <w:r w:rsidRPr="004407F3">
        <w:t xml:space="preserve">than 3 m </w:t>
      </w:r>
      <w:r w:rsidR="00D527DD" w:rsidRPr="004407F3">
        <w:t xml:space="preserve">below the surface, it </w:t>
      </w:r>
      <w:r w:rsidRPr="004407F3">
        <w:t xml:space="preserve">is likely to be perched </w:t>
      </w:r>
      <w:r w:rsidR="00D527DD" w:rsidRPr="004407F3">
        <w:t>ground</w:t>
      </w:r>
      <w:r w:rsidRPr="004407F3">
        <w:t>water</w:t>
      </w:r>
      <w:r w:rsidR="00D527DD" w:rsidRPr="004407F3">
        <w:t xml:space="preserve"> </w:t>
      </w:r>
      <w:r w:rsidR="007E42BF">
        <w:t xml:space="preserve">(i.e. above a shallow impervious layer) </w:t>
      </w:r>
      <w:r w:rsidR="00D527DD" w:rsidRPr="004407F3">
        <w:t>and</w:t>
      </w:r>
      <w:r w:rsidR="007E42BF">
        <w:t xml:space="preserve"> to</w:t>
      </w:r>
      <w:r w:rsidR="00D527DD" w:rsidRPr="004407F3">
        <w:t xml:space="preserve"> </w:t>
      </w:r>
      <w:r w:rsidRPr="004407F3">
        <w:t xml:space="preserve">be </w:t>
      </w:r>
      <w:r w:rsidR="007E42BF">
        <w:t>manage</w:t>
      </w:r>
      <w:r w:rsidR="007E42BF" w:rsidRPr="004407F3">
        <w:t>able</w:t>
      </w:r>
      <w:r w:rsidR="00F4605F" w:rsidRPr="004407F3">
        <w:rPr>
          <w:rStyle w:val="FootnoteReference"/>
        </w:rPr>
        <w:footnoteReference w:id="42"/>
      </w:r>
      <w:r w:rsidRPr="004407F3">
        <w:t xml:space="preserve">.  The groundwater assessment determined that for </w:t>
      </w:r>
      <w:r w:rsidR="00AE3DFB">
        <w:t>both</w:t>
      </w:r>
      <w:r w:rsidR="00AE3DFB" w:rsidRPr="004407F3">
        <w:t xml:space="preserve"> </w:t>
      </w:r>
      <w:r w:rsidRPr="004407F3">
        <w:t>option</w:t>
      </w:r>
      <w:r w:rsidR="00AE3DFB">
        <w:t>s</w:t>
      </w:r>
      <w:r w:rsidRPr="004407F3">
        <w:t xml:space="preserve"> less than 1.6 km of the route would be likely to require </w:t>
      </w:r>
      <w:r w:rsidR="00AE3DFB">
        <w:t xml:space="preserve">a </w:t>
      </w:r>
      <w:r w:rsidRPr="004407F3">
        <w:t>cut below 3 m</w:t>
      </w:r>
      <w:r w:rsidR="00D527DD" w:rsidRPr="004407F3">
        <w:t xml:space="preserve"> and </w:t>
      </w:r>
      <w:r w:rsidR="00AE3DFB">
        <w:t>hence they</w:t>
      </w:r>
      <w:r w:rsidR="00AE3DFB" w:rsidRPr="004407F3">
        <w:t xml:space="preserve"> </w:t>
      </w:r>
      <w:r w:rsidRPr="004407F3">
        <w:t xml:space="preserve">present </w:t>
      </w:r>
      <w:r w:rsidR="00D527DD" w:rsidRPr="004407F3">
        <w:t xml:space="preserve">a relatively low and acceptable </w:t>
      </w:r>
      <w:r w:rsidRPr="004407F3">
        <w:t>risk of intersecting groundwater.</w:t>
      </w:r>
      <w:r w:rsidR="00D527DD" w:rsidRPr="004407F3">
        <w:t xml:space="preserve"> </w:t>
      </w:r>
      <w:r w:rsidRPr="004407F3">
        <w:t xml:space="preserve"> Further, the deepest cuts </w:t>
      </w:r>
      <w:r w:rsidR="00D527DD" w:rsidRPr="004407F3">
        <w:t xml:space="preserve">are </w:t>
      </w:r>
      <w:r w:rsidRPr="004407F3">
        <w:t xml:space="preserve">likely to be in areas of high topography </w:t>
      </w:r>
      <w:r w:rsidR="00D527DD" w:rsidRPr="004407F3">
        <w:t xml:space="preserve">(such as near Langi Ghiran State Park), where </w:t>
      </w:r>
      <w:r w:rsidRPr="004407F3">
        <w:t>deeper groundwater</w:t>
      </w:r>
      <w:r w:rsidR="00D527DD" w:rsidRPr="004407F3">
        <w:t xml:space="preserve"> is expected</w:t>
      </w:r>
      <w:r w:rsidR="00F4605F" w:rsidRPr="004407F3">
        <w:rPr>
          <w:rStyle w:val="FootnoteReference"/>
        </w:rPr>
        <w:footnoteReference w:id="43"/>
      </w:r>
      <w:r w:rsidRPr="004407F3">
        <w:t xml:space="preserve">.  </w:t>
      </w:r>
    </w:p>
    <w:p w:rsidR="002568E1" w:rsidRPr="004407F3" w:rsidRDefault="009F7491" w:rsidP="00E66AE9">
      <w:r>
        <w:t>R</w:t>
      </w:r>
      <w:r w:rsidR="00E428A3" w:rsidRPr="004407F3">
        <w:t>egional mapping of Groundwater Dependent Ecosystems (GDE) by the D</w:t>
      </w:r>
      <w:r w:rsidR="00026327">
        <w:t xml:space="preserve">epartment of </w:t>
      </w:r>
      <w:r w:rsidR="00E428A3" w:rsidRPr="004407F3">
        <w:t>P</w:t>
      </w:r>
      <w:r w:rsidR="00026327">
        <w:t xml:space="preserve">rimary </w:t>
      </w:r>
      <w:r w:rsidR="00E428A3" w:rsidRPr="004407F3">
        <w:t>I</w:t>
      </w:r>
      <w:r w:rsidR="00026327">
        <w:t>ndustries</w:t>
      </w:r>
      <w:r w:rsidR="00E428A3" w:rsidRPr="004407F3">
        <w:t xml:space="preserve"> </w:t>
      </w:r>
      <w:r>
        <w:t>indicates</w:t>
      </w:r>
      <w:r w:rsidR="00E428A3" w:rsidRPr="004407F3">
        <w:t xml:space="preserve"> that such ecosystems may be present in the study area</w:t>
      </w:r>
      <w:r w:rsidR="00DA5854">
        <w:t xml:space="preserve"> and </w:t>
      </w:r>
      <w:r w:rsidR="009357F7">
        <w:t xml:space="preserve">likely to be using groundwater to some extent.  However, </w:t>
      </w:r>
      <w:r w:rsidR="00AE3DFB">
        <w:t>the</w:t>
      </w:r>
      <w:r w:rsidR="00E428A3" w:rsidRPr="004407F3">
        <w:t xml:space="preserve"> high salinity </w:t>
      </w:r>
      <w:r w:rsidR="00DA5854">
        <w:t xml:space="preserve">levels of groundwater likely to be </w:t>
      </w:r>
      <w:r w:rsidR="00DA5854" w:rsidRPr="004407F3">
        <w:t xml:space="preserve">present </w:t>
      </w:r>
      <w:r w:rsidR="00DA5854">
        <w:t xml:space="preserve">in the project area </w:t>
      </w:r>
      <w:r w:rsidR="00DA5854" w:rsidRPr="004407F3">
        <w:t>are</w:t>
      </w:r>
      <w:r w:rsidR="00E428A3" w:rsidRPr="004407F3">
        <w:t xml:space="preserve"> not considered conducive to plant growth</w:t>
      </w:r>
      <w:r w:rsidR="00F4605F" w:rsidRPr="004407F3">
        <w:rPr>
          <w:rStyle w:val="FootnoteReference"/>
        </w:rPr>
        <w:footnoteReference w:id="44"/>
      </w:r>
      <w:r w:rsidR="00E428A3" w:rsidRPr="004407F3">
        <w:t xml:space="preserve">. </w:t>
      </w:r>
      <w:r w:rsidR="00DA5854">
        <w:t xml:space="preserve"> </w:t>
      </w:r>
      <w:r w:rsidR="00E428A3" w:rsidRPr="004407F3">
        <w:t xml:space="preserve">Where </w:t>
      </w:r>
      <w:r w:rsidR="00DA5854">
        <w:t>ground</w:t>
      </w:r>
      <w:r w:rsidR="00E428A3" w:rsidRPr="004407F3">
        <w:t>water tables are shallower and recharge more rapid</w:t>
      </w:r>
      <w:r w:rsidR="00DA5854">
        <w:t>ly</w:t>
      </w:r>
      <w:r w:rsidR="00E428A3" w:rsidRPr="004407F3">
        <w:t>, groundwater quality may be such that GDE could be supported. Alignment options south east of the Langi Ghiran State Park are considered to have</w:t>
      </w:r>
      <w:r w:rsidR="00A4439D" w:rsidRPr="004407F3">
        <w:t xml:space="preserve"> a</w:t>
      </w:r>
      <w:r w:rsidR="00E428A3" w:rsidRPr="004407F3">
        <w:t xml:space="preserve"> higher risk of shallow </w:t>
      </w:r>
      <w:r w:rsidR="008013ED">
        <w:t>ground</w:t>
      </w:r>
      <w:r w:rsidR="00E428A3" w:rsidRPr="004407F3">
        <w:t>water levels</w:t>
      </w:r>
      <w:r w:rsidR="00F4605F" w:rsidRPr="004407F3">
        <w:rPr>
          <w:rStyle w:val="FootnoteReference"/>
        </w:rPr>
        <w:footnoteReference w:id="45"/>
      </w:r>
      <w:r w:rsidR="00E428A3" w:rsidRPr="004407F3">
        <w:t xml:space="preserve">.  </w:t>
      </w:r>
      <w:r w:rsidR="00DA5854">
        <w:t xml:space="preserve"> The EES assessed the residual risk of impacts on GDEs to be negligible, as alternative environmental water </w:t>
      </w:r>
      <w:r w:rsidR="003A039B">
        <w:t xml:space="preserve">sources </w:t>
      </w:r>
      <w:r w:rsidR="00DA5854">
        <w:t>would be used to maintain any potentially affected GDEs</w:t>
      </w:r>
      <w:r w:rsidR="00DA5854">
        <w:rPr>
          <w:rStyle w:val="FootnoteReference"/>
        </w:rPr>
        <w:footnoteReference w:id="46"/>
      </w:r>
      <w:r w:rsidR="00DA5854">
        <w:t>.</w:t>
      </w:r>
    </w:p>
    <w:p w:rsidR="00E428A3" w:rsidRPr="004407F3" w:rsidRDefault="004407F3" w:rsidP="00E66AE9">
      <w:r w:rsidRPr="004407F3">
        <w:t>A G</w:t>
      </w:r>
      <w:r w:rsidR="00E428A3" w:rsidRPr="004407F3">
        <w:t xml:space="preserve">roundwater </w:t>
      </w:r>
      <w:r w:rsidRPr="004407F3">
        <w:t>M</w:t>
      </w:r>
      <w:r w:rsidR="00E428A3" w:rsidRPr="004407F3">
        <w:t xml:space="preserve">anagement </w:t>
      </w:r>
      <w:r w:rsidRPr="004407F3">
        <w:t>P</w:t>
      </w:r>
      <w:r w:rsidR="00E428A3" w:rsidRPr="004407F3">
        <w:t>lan</w:t>
      </w:r>
      <w:r w:rsidRPr="004407F3">
        <w:t>, together with</w:t>
      </w:r>
      <w:r w:rsidR="00E428A3" w:rsidRPr="004407F3">
        <w:t xml:space="preserve"> geotechnical investigations</w:t>
      </w:r>
      <w:r w:rsidR="00F76AB4">
        <w:t>,</w:t>
      </w:r>
      <w:r w:rsidR="00E428A3" w:rsidRPr="004407F3">
        <w:t xml:space="preserve"> </w:t>
      </w:r>
      <w:r w:rsidRPr="004407F3">
        <w:t>is to be undertaken to inform</w:t>
      </w:r>
      <w:r w:rsidR="008776AA" w:rsidRPr="004407F3">
        <w:t xml:space="preserve"> detailed design of cuts</w:t>
      </w:r>
      <w:r>
        <w:t xml:space="preserve">.  This will </w:t>
      </w:r>
      <w:r w:rsidR="008776AA" w:rsidRPr="004407F3">
        <w:t xml:space="preserve">reduce the need for dewatering </w:t>
      </w:r>
      <w:r>
        <w:t xml:space="preserve">and </w:t>
      </w:r>
      <w:r w:rsidR="00AE3DFB">
        <w:t xml:space="preserve">hence will </w:t>
      </w:r>
      <w:r w:rsidR="008776AA" w:rsidRPr="004407F3">
        <w:t xml:space="preserve">assist in mitigating the risk to </w:t>
      </w:r>
      <w:r w:rsidR="00AE3DFB">
        <w:t xml:space="preserve">a </w:t>
      </w:r>
      <w:r w:rsidR="008776AA" w:rsidRPr="004407F3">
        <w:t>low or negligible</w:t>
      </w:r>
      <w:r w:rsidR="00AE3DFB">
        <w:t xml:space="preserve"> level</w:t>
      </w:r>
      <w:r w:rsidR="008776AA" w:rsidRPr="004407F3">
        <w:t xml:space="preserve">. </w:t>
      </w:r>
      <w:r w:rsidR="00F76AB4">
        <w:t xml:space="preserve"> </w:t>
      </w:r>
      <w:r w:rsidR="00F4605F" w:rsidRPr="004407F3">
        <w:t xml:space="preserve">The </w:t>
      </w:r>
      <w:r>
        <w:t xml:space="preserve">EES assessed the </w:t>
      </w:r>
      <w:r w:rsidR="00F4605F" w:rsidRPr="004407F3">
        <w:t xml:space="preserve">majority of </w:t>
      </w:r>
      <w:r>
        <w:t xml:space="preserve">groundwater </w:t>
      </w:r>
      <w:r w:rsidR="00F4605F" w:rsidRPr="004407F3">
        <w:t>risks to be negligible or low</w:t>
      </w:r>
      <w:r>
        <w:t>, largely due to much of</w:t>
      </w:r>
      <w:r w:rsidR="00F4605F" w:rsidRPr="004407F3">
        <w:t xml:space="preserve"> </w:t>
      </w:r>
      <w:r>
        <w:t xml:space="preserve">the </w:t>
      </w:r>
      <w:r w:rsidR="00F4605F" w:rsidRPr="004407F3">
        <w:t>project be</w:t>
      </w:r>
      <w:r>
        <w:t>ing</w:t>
      </w:r>
      <w:r w:rsidR="00F4605F" w:rsidRPr="004407F3">
        <w:t xml:space="preserve"> constructed above existing grade. </w:t>
      </w:r>
      <w:r w:rsidR="00F76AB4">
        <w:t xml:space="preserve"> </w:t>
      </w:r>
      <w:r w:rsidR="008776AA" w:rsidRPr="004407F3">
        <w:t xml:space="preserve">The </w:t>
      </w:r>
      <w:r w:rsidR="00A8006C" w:rsidRPr="004407F3">
        <w:t>Inquiry</w:t>
      </w:r>
      <w:r w:rsidR="008776AA" w:rsidRPr="004407F3">
        <w:t xml:space="preserve"> stated that </w:t>
      </w:r>
      <w:r>
        <w:t xml:space="preserve">there </w:t>
      </w:r>
      <w:r w:rsidR="008776AA" w:rsidRPr="004407F3">
        <w:t xml:space="preserve">was </w:t>
      </w:r>
      <w:r>
        <w:t xml:space="preserve">a </w:t>
      </w:r>
      <w:r w:rsidR="008776AA" w:rsidRPr="004407F3">
        <w:t xml:space="preserve">reasonable </w:t>
      </w:r>
      <w:r>
        <w:t xml:space="preserve">basis </w:t>
      </w:r>
      <w:r w:rsidR="008776AA" w:rsidRPr="004407F3">
        <w:t xml:space="preserve">to conclude there would be limited opportunity for direct interaction with </w:t>
      </w:r>
      <w:r>
        <w:t xml:space="preserve">and risk to </w:t>
      </w:r>
      <w:r w:rsidR="008776AA" w:rsidRPr="004407F3">
        <w:t>groundwater</w:t>
      </w:r>
      <w:r w:rsidR="00F4605F" w:rsidRPr="004407F3">
        <w:rPr>
          <w:rStyle w:val="FootnoteReference"/>
        </w:rPr>
        <w:footnoteReference w:id="47"/>
      </w:r>
      <w:r w:rsidR="008776AA" w:rsidRPr="004407F3">
        <w:t>.</w:t>
      </w:r>
    </w:p>
    <w:p w:rsidR="00DC0F0A" w:rsidRPr="008013ED" w:rsidRDefault="00DC0F0A" w:rsidP="00E66AE9">
      <w:pPr>
        <w:rPr>
          <w:b/>
          <w:sz w:val="24"/>
        </w:rPr>
      </w:pPr>
      <w:r w:rsidRPr="008013ED">
        <w:rPr>
          <w:b/>
          <w:sz w:val="24"/>
        </w:rPr>
        <w:t>Conclusions</w:t>
      </w:r>
    </w:p>
    <w:p w:rsidR="00DC0F0A" w:rsidRPr="00890693" w:rsidRDefault="008776AA" w:rsidP="00E66AE9">
      <w:r w:rsidRPr="00890693">
        <w:t>It is my assessment that t</w:t>
      </w:r>
      <w:r w:rsidR="00DC0F0A" w:rsidRPr="00890693">
        <w:t xml:space="preserve">he potential environmental </w:t>
      </w:r>
      <w:r w:rsidR="0081193D" w:rsidRPr="00890693">
        <w:t xml:space="preserve">effects </w:t>
      </w:r>
      <w:r w:rsidR="00DC0F0A" w:rsidRPr="00890693">
        <w:t>from works on and near waterways</w:t>
      </w:r>
      <w:r w:rsidR="008F3C3A" w:rsidRPr="00890693">
        <w:t xml:space="preserve"> </w:t>
      </w:r>
      <w:r w:rsidR="00DC0F0A" w:rsidRPr="00890693">
        <w:t>are unlikely to be significant.</w:t>
      </w:r>
      <w:r w:rsidR="004407F3" w:rsidRPr="00890693">
        <w:t xml:space="preserve">  The </w:t>
      </w:r>
      <w:r w:rsidR="00695FF0" w:rsidRPr="00890693">
        <w:t>effects on groundwater are</w:t>
      </w:r>
      <w:r w:rsidR="004407F3" w:rsidRPr="00890693">
        <w:t xml:space="preserve"> also unlikely to be significant, although there is some uncertainty regarding</w:t>
      </w:r>
      <w:r w:rsidR="00695FF0" w:rsidRPr="00890693">
        <w:t xml:space="preserve"> the depth </w:t>
      </w:r>
      <w:r w:rsidR="008013ED">
        <w:t xml:space="preserve">and quality </w:t>
      </w:r>
      <w:r w:rsidR="00695FF0" w:rsidRPr="00890693">
        <w:t>of groundwater</w:t>
      </w:r>
      <w:r w:rsidR="008526C7" w:rsidRPr="00890693">
        <w:t xml:space="preserve"> in the project area</w:t>
      </w:r>
      <w:r w:rsidR="003A039B">
        <w:t xml:space="preserve"> and its relationship to GDEs likely to be present</w:t>
      </w:r>
      <w:r w:rsidR="008526C7" w:rsidRPr="00890693">
        <w:t xml:space="preserve">, which </w:t>
      </w:r>
      <w:r w:rsidR="00695FF0" w:rsidRPr="00890693">
        <w:t xml:space="preserve">needs to be resolved prior to </w:t>
      </w:r>
      <w:r w:rsidR="008526C7" w:rsidRPr="00890693">
        <w:t xml:space="preserve">completion of a </w:t>
      </w:r>
      <w:r w:rsidR="00695FF0" w:rsidRPr="00890693">
        <w:t>detailed design.</w:t>
      </w:r>
      <w:r w:rsidR="004407F3" w:rsidRPr="00890693">
        <w:t xml:space="preserve"> </w:t>
      </w:r>
    </w:p>
    <w:p w:rsidR="00695FF0" w:rsidRPr="00890693" w:rsidRDefault="00DC0F0A" w:rsidP="00E66AE9">
      <w:r w:rsidRPr="00890693">
        <w:t>Further</w:t>
      </w:r>
      <w:r w:rsidR="0052031C" w:rsidRPr="00890693">
        <w:t>,</w:t>
      </w:r>
      <w:r w:rsidR="00695FF0" w:rsidRPr="00890693">
        <w:t xml:space="preserve"> it is my assessment that:</w:t>
      </w:r>
    </w:p>
    <w:p w:rsidR="00DC0F0A" w:rsidRPr="00890693" w:rsidRDefault="00695FF0" w:rsidP="00695FF0">
      <w:pPr>
        <w:numPr>
          <w:ilvl w:val="0"/>
          <w:numId w:val="28"/>
        </w:numPr>
      </w:pPr>
      <w:r w:rsidRPr="00890693">
        <w:t>D</w:t>
      </w:r>
      <w:r w:rsidR="00DC0F0A" w:rsidRPr="00890693">
        <w:t xml:space="preserve">etailed design of waterway crossings, culverts and </w:t>
      </w:r>
      <w:r w:rsidR="008776AA" w:rsidRPr="00890693">
        <w:t>creek realignments</w:t>
      </w:r>
      <w:r w:rsidR="00DC0F0A" w:rsidRPr="00890693">
        <w:t xml:space="preserve"> </w:t>
      </w:r>
      <w:r w:rsidR="008F3C3A" w:rsidRPr="00890693">
        <w:t>occur</w:t>
      </w:r>
      <w:r w:rsidR="00DC0F0A" w:rsidRPr="00890693">
        <w:t xml:space="preserve"> in consultation with </w:t>
      </w:r>
      <w:r w:rsidR="008776AA" w:rsidRPr="00890693">
        <w:t>Glenelg Hopkins</w:t>
      </w:r>
      <w:r w:rsidR="00DC0F0A" w:rsidRPr="00890693">
        <w:t xml:space="preserve"> CMA</w:t>
      </w:r>
      <w:r w:rsidR="008776AA" w:rsidRPr="00890693">
        <w:t xml:space="preserve"> and relevant landowners</w:t>
      </w:r>
      <w:r w:rsidR="00DC0F0A" w:rsidRPr="00890693">
        <w:t xml:space="preserve">, such that potential impacts on </w:t>
      </w:r>
      <w:r w:rsidR="00400A99" w:rsidRPr="00890693">
        <w:t>waterway environments</w:t>
      </w:r>
      <w:r w:rsidR="0021165E" w:rsidRPr="00890693">
        <w:t>, flooding extent and behaviour</w:t>
      </w:r>
      <w:r w:rsidR="00400A99" w:rsidRPr="00890693">
        <w:t xml:space="preserve"> </w:t>
      </w:r>
      <w:r w:rsidR="0021165E" w:rsidRPr="00890693">
        <w:t xml:space="preserve">are </w:t>
      </w:r>
      <w:r w:rsidR="00F76AB4" w:rsidRPr="00890693">
        <w:t xml:space="preserve">avoided or </w:t>
      </w:r>
      <w:r w:rsidR="0021165E" w:rsidRPr="00890693">
        <w:t>minimised</w:t>
      </w:r>
      <w:r w:rsidRPr="00890693">
        <w:t>.</w:t>
      </w:r>
    </w:p>
    <w:p w:rsidR="00695FF0" w:rsidRPr="00890693" w:rsidRDefault="00D5155F" w:rsidP="00695FF0">
      <w:pPr>
        <w:numPr>
          <w:ilvl w:val="0"/>
          <w:numId w:val="28"/>
        </w:numPr>
      </w:pPr>
      <w:r w:rsidRPr="00890693">
        <w:t xml:space="preserve">Geotechnical investigations necessary to confirm the potential for </w:t>
      </w:r>
      <w:r w:rsidR="00F76AB4" w:rsidRPr="00890693">
        <w:t xml:space="preserve">ASS and </w:t>
      </w:r>
      <w:r w:rsidRPr="00890693">
        <w:t>groundwater to be intersected by the project</w:t>
      </w:r>
      <w:r w:rsidR="00F41278">
        <w:t xml:space="preserve">, together with the </w:t>
      </w:r>
      <w:r w:rsidR="00F41278" w:rsidRPr="004407F3">
        <w:t>Groundwater Management Plan</w:t>
      </w:r>
      <w:r w:rsidR="00F41278">
        <w:t>,</w:t>
      </w:r>
      <w:r w:rsidR="00C22E75" w:rsidRPr="00890693">
        <w:t xml:space="preserve"> be provided to the </w:t>
      </w:r>
      <w:r w:rsidR="008526C7" w:rsidRPr="00890693">
        <w:t xml:space="preserve">Glenelg Hopkins CMA </w:t>
      </w:r>
      <w:r w:rsidR="00C22E75" w:rsidRPr="00890693">
        <w:t xml:space="preserve">to assist with </w:t>
      </w:r>
      <w:r w:rsidR="008526C7" w:rsidRPr="00890693">
        <w:t xml:space="preserve">the </w:t>
      </w:r>
      <w:r w:rsidR="00F41278">
        <w:t xml:space="preserve">confirmation </w:t>
      </w:r>
      <w:r w:rsidR="00C22E75" w:rsidRPr="00890693">
        <w:t>of any</w:t>
      </w:r>
      <w:r w:rsidRPr="00890693">
        <w:t xml:space="preserve"> measures </w:t>
      </w:r>
      <w:r w:rsidR="00C22E75" w:rsidRPr="00890693">
        <w:t>ne</w:t>
      </w:r>
      <w:r w:rsidR="008526C7" w:rsidRPr="00890693">
        <w:t>cessary</w:t>
      </w:r>
      <w:r w:rsidR="00C22E75" w:rsidRPr="00890693">
        <w:t xml:space="preserve"> </w:t>
      </w:r>
      <w:r w:rsidRPr="00890693">
        <w:t xml:space="preserve">to minimise the potential for </w:t>
      </w:r>
      <w:r w:rsidR="00AE3DFB" w:rsidRPr="00890693">
        <w:t xml:space="preserve">adverse </w:t>
      </w:r>
      <w:r w:rsidRPr="00890693">
        <w:t>effect</w:t>
      </w:r>
      <w:r w:rsidR="00AE3DFB" w:rsidRPr="00890693">
        <w:t>s</w:t>
      </w:r>
      <w:r w:rsidRPr="00890693">
        <w:t xml:space="preserve"> </w:t>
      </w:r>
      <w:r w:rsidR="00C22E75" w:rsidRPr="00890693">
        <w:t xml:space="preserve">on </w:t>
      </w:r>
      <w:r w:rsidR="00F76AB4" w:rsidRPr="00890693">
        <w:t xml:space="preserve">groundwater and any </w:t>
      </w:r>
      <w:r w:rsidR="00C22E75" w:rsidRPr="00890693">
        <w:t xml:space="preserve">relevant </w:t>
      </w:r>
      <w:r w:rsidRPr="00890693">
        <w:t xml:space="preserve">GDEs, prior to </w:t>
      </w:r>
      <w:r w:rsidR="00280581">
        <w:t>any construction commencing</w:t>
      </w:r>
      <w:r w:rsidRPr="00890693">
        <w:t>.</w:t>
      </w:r>
    </w:p>
    <w:p w:rsidR="00695FF0" w:rsidRPr="00890693" w:rsidRDefault="00695FF0" w:rsidP="00E66AE9"/>
    <w:p w:rsidR="00B304FC" w:rsidRPr="0092470D" w:rsidRDefault="00CD5E4E" w:rsidP="008526C7">
      <w:pPr>
        <w:pStyle w:val="Heading2"/>
      </w:pPr>
      <w:bookmarkStart w:id="48" w:name="_Ref329080090"/>
      <w:bookmarkStart w:id="49" w:name="_Ref329080124"/>
      <w:bookmarkStart w:id="50" w:name="_Toc354582229"/>
      <w:r w:rsidRPr="0092470D">
        <w:lastRenderedPageBreak/>
        <w:t>Cultural Heritage</w:t>
      </w:r>
      <w:bookmarkEnd w:id="48"/>
      <w:bookmarkEnd w:id="49"/>
      <w:bookmarkEnd w:id="50"/>
    </w:p>
    <w:p w:rsidR="003B286A" w:rsidRPr="00266AC6" w:rsidRDefault="003B286A" w:rsidP="008526C7">
      <w:pPr>
        <w:keepNext/>
      </w:pPr>
      <w:r w:rsidRPr="005B2FBF">
        <w:rPr>
          <w:b/>
          <w:color w:val="0070C0"/>
        </w:rPr>
        <w:t>Evaluation Objective</w:t>
      </w:r>
      <w:r w:rsidRPr="00266AC6">
        <w:rPr>
          <w:b/>
        </w:rPr>
        <w:t xml:space="preserve"> –</w:t>
      </w:r>
      <w:r w:rsidR="00E34F46" w:rsidRPr="00266AC6">
        <w:t xml:space="preserve"> </w:t>
      </w:r>
      <w:r w:rsidR="00266AC6" w:rsidRPr="00266AC6">
        <w:rPr>
          <w:i/>
        </w:rPr>
        <w:t>To protect Aboriginal and non-Aboriginal cultural heritage</w:t>
      </w:r>
      <w:r w:rsidRPr="00266AC6">
        <w:t>.</w:t>
      </w:r>
    </w:p>
    <w:p w:rsidR="00793D36" w:rsidRPr="00266AC6" w:rsidRDefault="00793D36" w:rsidP="008526C7">
      <w:pPr>
        <w:keepNext/>
        <w:rPr>
          <w:b/>
        </w:rPr>
      </w:pPr>
      <w:r w:rsidRPr="00266AC6">
        <w:rPr>
          <w:b/>
        </w:rPr>
        <w:t xml:space="preserve">Key Issues </w:t>
      </w:r>
    </w:p>
    <w:p w:rsidR="000F711A" w:rsidRPr="00266AC6" w:rsidRDefault="00793D36" w:rsidP="0021165E">
      <w:r w:rsidRPr="00266AC6">
        <w:t xml:space="preserve">The key issue to be considered </w:t>
      </w:r>
      <w:r w:rsidR="008526C7">
        <w:t>for this section is</w:t>
      </w:r>
      <w:r w:rsidR="0021165E">
        <w:t xml:space="preserve"> w</w:t>
      </w:r>
      <w:r w:rsidR="000F711A" w:rsidRPr="00266AC6">
        <w:t xml:space="preserve">hether </w:t>
      </w:r>
      <w:r w:rsidR="00B5531D">
        <w:t>WPH2 would have a</w:t>
      </w:r>
      <w:r w:rsidR="000F711A" w:rsidRPr="00266AC6">
        <w:t xml:space="preserve"> significant </w:t>
      </w:r>
      <w:r w:rsidR="0081193D" w:rsidRPr="00266AC6">
        <w:t xml:space="preserve">effect </w:t>
      </w:r>
      <w:r w:rsidR="000F711A" w:rsidRPr="00266AC6">
        <w:t xml:space="preserve">on Aboriginal </w:t>
      </w:r>
      <w:r w:rsidR="00B5531D">
        <w:t xml:space="preserve">or </w:t>
      </w:r>
      <w:r w:rsidR="0021165E">
        <w:t xml:space="preserve">non-Aboriginal </w:t>
      </w:r>
      <w:r w:rsidR="000F711A" w:rsidRPr="00266AC6">
        <w:t>cult</w:t>
      </w:r>
      <w:r w:rsidR="008526C7">
        <w:t>ural heritage sites and values.</w:t>
      </w:r>
    </w:p>
    <w:p w:rsidR="00445C51" w:rsidRPr="00266AC6" w:rsidRDefault="00445C51" w:rsidP="00E66AE9">
      <w:pPr>
        <w:rPr>
          <w:b/>
        </w:rPr>
      </w:pPr>
      <w:r w:rsidRPr="00266AC6">
        <w:rPr>
          <w:b/>
        </w:rPr>
        <w:t>Discussion and Findings</w:t>
      </w:r>
    </w:p>
    <w:p w:rsidR="00B304FC" w:rsidRPr="00266AC6" w:rsidRDefault="0009506D" w:rsidP="00E66AE9">
      <w:pPr>
        <w:rPr>
          <w:b/>
          <w:i/>
        </w:rPr>
      </w:pPr>
      <w:r w:rsidRPr="00266AC6">
        <w:rPr>
          <w:b/>
          <w:i/>
        </w:rPr>
        <w:t xml:space="preserve">Aboriginal </w:t>
      </w:r>
    </w:p>
    <w:p w:rsidR="006D2173" w:rsidRDefault="00266AC6" w:rsidP="00E66AE9">
      <w:r>
        <w:t>Thirty Aboriginal cultural heritage sites were identified in the study area</w:t>
      </w:r>
      <w:r w:rsidR="00B5531D">
        <w:t xml:space="preserve"> for the EES</w:t>
      </w:r>
      <w:r w:rsidR="00A4439D">
        <w:t>.</w:t>
      </w:r>
      <w:r>
        <w:t xml:space="preserve"> </w:t>
      </w:r>
      <w:r w:rsidR="00F058BB">
        <w:t xml:space="preserve"> </w:t>
      </w:r>
      <w:r w:rsidR="00A4439D">
        <w:t>B</w:t>
      </w:r>
      <w:r>
        <w:t>oth options would directly impact 11 currently registered Aboriginal cultural heritage sites</w:t>
      </w:r>
      <w:r w:rsidR="00A4439D">
        <w:t>.</w:t>
      </w:r>
      <w:r>
        <w:t xml:space="preserve"> </w:t>
      </w:r>
      <w:r w:rsidR="00A4439D">
        <w:t>N</w:t>
      </w:r>
      <w:r>
        <w:t xml:space="preserve">ine of these are </w:t>
      </w:r>
      <w:r w:rsidR="0021165E">
        <w:t>of minor significance (artefact</w:t>
      </w:r>
      <w:r>
        <w:t xml:space="preserve"> scatter</w:t>
      </w:r>
      <w:r w:rsidR="0021165E">
        <w:t>s</w:t>
      </w:r>
      <w:r>
        <w:t>) and two of which are of moderate significance (scarred trees)</w:t>
      </w:r>
      <w:r>
        <w:rPr>
          <w:rStyle w:val="FootnoteReference"/>
        </w:rPr>
        <w:footnoteReference w:id="48"/>
      </w:r>
      <w:r>
        <w:t xml:space="preserve">. </w:t>
      </w:r>
      <w:r w:rsidR="00B5531D">
        <w:t xml:space="preserve">While the </w:t>
      </w:r>
      <w:r>
        <w:t>project area also has the potential for mortuary trees</w:t>
      </w:r>
      <w:r w:rsidR="0021165E">
        <w:t>,</w:t>
      </w:r>
      <w:r>
        <w:t xml:space="preserve"> investigations to date of a total of 133 hollow trees have not identified any mortuary trees or human remains. </w:t>
      </w:r>
      <w:r w:rsidR="00F058BB">
        <w:t xml:space="preserve"> The EES assessed the </w:t>
      </w:r>
      <w:r w:rsidR="00924BF3">
        <w:t xml:space="preserve">overall risk to Aboriginal cultural heritage from the project </w:t>
      </w:r>
      <w:r w:rsidR="00F058BB">
        <w:t xml:space="preserve">as being </w:t>
      </w:r>
      <w:r w:rsidR="00924BF3">
        <w:t>medium</w:t>
      </w:r>
      <w:r w:rsidR="00924BF3">
        <w:rPr>
          <w:rStyle w:val="FootnoteReference"/>
        </w:rPr>
        <w:footnoteReference w:id="49"/>
      </w:r>
      <w:r w:rsidR="00924BF3">
        <w:t xml:space="preserve">. </w:t>
      </w:r>
    </w:p>
    <w:p w:rsidR="00F058BB" w:rsidRDefault="00924BF3" w:rsidP="00E66AE9">
      <w:r>
        <w:t xml:space="preserve">The </w:t>
      </w:r>
      <w:r w:rsidR="00A8006C">
        <w:t>Inquiry</w:t>
      </w:r>
      <w:r>
        <w:t xml:space="preserve"> was satisfied that the assessment</w:t>
      </w:r>
      <w:r w:rsidR="0021165E">
        <w:t xml:space="preserve"> </w:t>
      </w:r>
      <w:r w:rsidR="00F058BB">
        <w:t xml:space="preserve">of potential effects on </w:t>
      </w:r>
      <w:r w:rsidR="00B5531D">
        <w:t>A</w:t>
      </w:r>
      <w:r w:rsidR="00F058BB">
        <w:t xml:space="preserve">boriginal cultural </w:t>
      </w:r>
      <w:r w:rsidR="00B5531D">
        <w:t xml:space="preserve">heritage </w:t>
      </w:r>
      <w:r w:rsidR="00F058BB">
        <w:t xml:space="preserve">in the project area </w:t>
      </w:r>
      <w:r>
        <w:t xml:space="preserve">to date provides </w:t>
      </w:r>
      <w:r w:rsidR="00F058BB">
        <w:t xml:space="preserve">an </w:t>
      </w:r>
      <w:r>
        <w:t xml:space="preserve">adequate </w:t>
      </w:r>
      <w:r w:rsidR="00F058BB">
        <w:t>basis for concluding</w:t>
      </w:r>
      <w:r w:rsidR="00B5531D">
        <w:t xml:space="preserve"> that</w:t>
      </w:r>
      <w:r w:rsidR="00F058BB">
        <w:t xml:space="preserve"> the risks </w:t>
      </w:r>
      <w:r w:rsidR="00B5531D">
        <w:t>are</w:t>
      </w:r>
      <w:r w:rsidR="00F058BB">
        <w:t xml:space="preserve"> </w:t>
      </w:r>
      <w:r w:rsidR="008013ED">
        <w:t xml:space="preserve">low and </w:t>
      </w:r>
      <w:r w:rsidR="00F058BB">
        <w:t>acceptable</w:t>
      </w:r>
      <w:r>
        <w:rPr>
          <w:rStyle w:val="FootnoteReference"/>
        </w:rPr>
        <w:footnoteReference w:id="50"/>
      </w:r>
      <w:r>
        <w:t xml:space="preserve">. </w:t>
      </w:r>
    </w:p>
    <w:p w:rsidR="00924BF3" w:rsidRPr="00924BF3" w:rsidRDefault="00F058BB" w:rsidP="00E66AE9">
      <w:r>
        <w:t xml:space="preserve">Two Registered Aboriginal Parties for the project area (the Wathaurung and the Martang) will </w:t>
      </w:r>
      <w:r w:rsidR="00B5531D">
        <w:t xml:space="preserve">need </w:t>
      </w:r>
      <w:r>
        <w:t>to approve a CHMP prior to construction</w:t>
      </w:r>
      <w:r w:rsidR="00B5531D">
        <w:t xml:space="preserve"> commencing</w:t>
      </w:r>
      <w:r w:rsidR="008519B2">
        <w:t>.</w:t>
      </w:r>
    </w:p>
    <w:p w:rsidR="00701248" w:rsidRPr="00266AC6" w:rsidRDefault="0009506D" w:rsidP="00E66AE9">
      <w:pPr>
        <w:rPr>
          <w:b/>
          <w:i/>
        </w:rPr>
      </w:pPr>
      <w:r w:rsidRPr="00266AC6">
        <w:rPr>
          <w:b/>
          <w:i/>
        </w:rPr>
        <w:t xml:space="preserve">Non-Aboriginal </w:t>
      </w:r>
    </w:p>
    <w:p w:rsidR="00E148DD" w:rsidRDefault="00E148DD" w:rsidP="00E66AE9">
      <w:r>
        <w:t xml:space="preserve">A total of 17 historical sites were identified within and adjacent to the study area. Both options would require relocation of the Major Mitchell Cairn, considered of local historic significance. In addition, </w:t>
      </w:r>
      <w:r w:rsidR="00B5531D">
        <w:t>O</w:t>
      </w:r>
      <w:r>
        <w:t>ption 2 would also encounter the Peacocks Road House ruins and the former Colvinsby School site (both sites have been submitted to Heritage Victoria for inclusion in the Heritage Inventory as a result of the project</w:t>
      </w:r>
      <w:r w:rsidR="00D17517">
        <w:t xml:space="preserve"> and are considered to be of local historic significance</w:t>
      </w:r>
      <w:r>
        <w:t>).</w:t>
      </w:r>
    </w:p>
    <w:p w:rsidR="00924BF3" w:rsidRPr="00924BF3" w:rsidRDefault="00E148DD" w:rsidP="00E66AE9">
      <w:r>
        <w:t>The EES concludes that the overall impact to Non-Aboriginal cultural heritage would be low</w:t>
      </w:r>
      <w:r>
        <w:rPr>
          <w:rStyle w:val="FootnoteReference"/>
        </w:rPr>
        <w:footnoteReference w:id="51"/>
      </w:r>
      <w:r>
        <w:t xml:space="preserve">.   </w:t>
      </w:r>
    </w:p>
    <w:p w:rsidR="00B304FC" w:rsidRPr="00046EC7" w:rsidRDefault="00B304FC" w:rsidP="00D324F6">
      <w:pPr>
        <w:keepNext/>
        <w:rPr>
          <w:b/>
        </w:rPr>
      </w:pPr>
      <w:r w:rsidRPr="00046EC7">
        <w:rPr>
          <w:b/>
        </w:rPr>
        <w:t>Conclusion</w:t>
      </w:r>
      <w:r w:rsidR="00BF477F" w:rsidRPr="00046EC7">
        <w:rPr>
          <w:b/>
        </w:rPr>
        <w:t>s</w:t>
      </w:r>
    </w:p>
    <w:p w:rsidR="004426E3" w:rsidRPr="00890693" w:rsidRDefault="00F62908" w:rsidP="00890693">
      <w:r w:rsidRPr="00046EC7">
        <w:t>It is my assessment that</w:t>
      </w:r>
      <w:r w:rsidR="008519B2" w:rsidRPr="00046EC7">
        <w:t xml:space="preserve"> </w:t>
      </w:r>
      <w:r w:rsidR="00046EC7">
        <w:t xml:space="preserve">likely </w:t>
      </w:r>
      <w:r w:rsidR="005F5AB2" w:rsidRPr="00046EC7">
        <w:t xml:space="preserve">effects on Aboriginal </w:t>
      </w:r>
      <w:r w:rsidR="008519B2" w:rsidRPr="00046EC7">
        <w:t>and non-</w:t>
      </w:r>
      <w:r w:rsidR="00B5531D">
        <w:t>A</w:t>
      </w:r>
      <w:r w:rsidR="008519B2" w:rsidRPr="00046EC7">
        <w:t xml:space="preserve">boriginal </w:t>
      </w:r>
      <w:r w:rsidR="005F5AB2" w:rsidRPr="00046EC7">
        <w:t xml:space="preserve">cultural heritage </w:t>
      </w:r>
      <w:r w:rsidR="008519B2" w:rsidRPr="00046EC7">
        <w:t>are acceptable and can managed</w:t>
      </w:r>
      <w:r w:rsidR="00046EC7">
        <w:t xml:space="preserve"> through standard approaches</w:t>
      </w:r>
      <w:r w:rsidR="008519B2" w:rsidRPr="00046EC7">
        <w:t>.</w:t>
      </w:r>
      <w:r w:rsidR="005F5AB2" w:rsidRPr="00046EC7">
        <w:t xml:space="preserve"> </w:t>
      </w:r>
    </w:p>
    <w:p w:rsidR="008B43D7" w:rsidRPr="00834A23" w:rsidRDefault="0009506D" w:rsidP="0092470D">
      <w:pPr>
        <w:pStyle w:val="Heading2"/>
      </w:pPr>
      <w:bookmarkStart w:id="51" w:name="_Ref329080191"/>
      <w:bookmarkStart w:id="52" w:name="_Toc354582230"/>
      <w:r w:rsidRPr="00834A23">
        <w:t>Environmental Management Framework</w:t>
      </w:r>
      <w:bookmarkEnd w:id="51"/>
      <w:bookmarkEnd w:id="52"/>
    </w:p>
    <w:p w:rsidR="002B1E5C" w:rsidRPr="00E148DD" w:rsidRDefault="008B43D7" w:rsidP="00E66AE9">
      <w:pPr>
        <w:rPr>
          <w:i/>
        </w:rPr>
      </w:pPr>
      <w:r w:rsidRPr="005B2FBF">
        <w:rPr>
          <w:b/>
          <w:color w:val="0070C0"/>
        </w:rPr>
        <w:t>Evaluation Objective</w:t>
      </w:r>
      <w:r w:rsidRPr="00E148DD">
        <w:rPr>
          <w:b/>
        </w:rPr>
        <w:t xml:space="preserve"> </w:t>
      </w:r>
      <w:r w:rsidR="002B1E5C" w:rsidRPr="00E148DD">
        <w:rPr>
          <w:b/>
        </w:rPr>
        <w:t>–</w:t>
      </w:r>
      <w:r w:rsidRPr="00834A23">
        <w:t xml:space="preserve"> </w:t>
      </w:r>
      <w:r w:rsidR="003B286A" w:rsidRPr="00E148DD">
        <w:rPr>
          <w:i/>
        </w:rPr>
        <w:t>To provide a transparent framework with clear accountabilities for managing environmental effects and hazards associated with the project in order to achieve acceptable environmental outcomes.</w:t>
      </w:r>
    </w:p>
    <w:p w:rsidR="00B304FC" w:rsidRPr="00E148DD" w:rsidRDefault="00796359" w:rsidP="00E66AE9">
      <w:pPr>
        <w:rPr>
          <w:b/>
        </w:rPr>
      </w:pPr>
      <w:bookmarkStart w:id="53" w:name="_Toc293090573"/>
      <w:bookmarkStart w:id="54" w:name="_Ref293958205"/>
      <w:r w:rsidRPr="00E148DD">
        <w:rPr>
          <w:b/>
        </w:rPr>
        <w:t>Discussion and Findings</w:t>
      </w:r>
      <w:bookmarkEnd w:id="53"/>
      <w:bookmarkEnd w:id="54"/>
      <w:r w:rsidR="00B304FC" w:rsidRPr="00E148DD">
        <w:rPr>
          <w:b/>
        </w:rPr>
        <w:t xml:space="preserve"> </w:t>
      </w:r>
    </w:p>
    <w:p w:rsidR="00F95CCC" w:rsidRPr="00F303EE" w:rsidRDefault="00796359" w:rsidP="00E66AE9">
      <w:r w:rsidRPr="00F303EE">
        <w:t>The EES provides a detailed EMF</w:t>
      </w:r>
      <w:r w:rsidR="00494DD9" w:rsidRPr="00F303EE">
        <w:t xml:space="preserve">, which </w:t>
      </w:r>
      <w:r w:rsidRPr="00F303EE">
        <w:t xml:space="preserve">allocates responsibility and outlines </w:t>
      </w:r>
      <w:r w:rsidR="00F95CCC" w:rsidRPr="00F303EE">
        <w:t xml:space="preserve">the overall </w:t>
      </w:r>
      <w:r w:rsidR="00494DD9" w:rsidRPr="00F303EE">
        <w:t xml:space="preserve">approach </w:t>
      </w:r>
      <w:r w:rsidR="00F95CCC" w:rsidRPr="00F303EE">
        <w:t xml:space="preserve">for the management of potential environmental effects of </w:t>
      </w:r>
      <w:r w:rsidR="00F303EE" w:rsidRPr="00F303EE">
        <w:t>WHP2</w:t>
      </w:r>
      <w:r w:rsidR="0072396C" w:rsidRPr="00F303EE">
        <w:t>,</w:t>
      </w:r>
      <w:r w:rsidR="00F95CCC" w:rsidRPr="00F303EE">
        <w:t xml:space="preserve"> from detailed design through to construction and operation. The framework is set up to ensure that measures suggested in the EES will be incorporated into project decisions and approvals</w:t>
      </w:r>
      <w:r w:rsidR="00F41278">
        <w:t xml:space="preserve">.  The framework </w:t>
      </w:r>
      <w:r w:rsidR="00BA703B">
        <w:t xml:space="preserve">is to be incorporated in </w:t>
      </w:r>
      <w:r w:rsidR="00F95CCC" w:rsidRPr="00F303EE">
        <w:t>the VicRoads Project Environmental Protection Strategy (PEPS)</w:t>
      </w:r>
      <w:r w:rsidR="006968C6">
        <w:t xml:space="preserve"> for WHP2</w:t>
      </w:r>
      <w:r w:rsidR="00C44F9C" w:rsidRPr="00F303EE">
        <w:t>. Measures will</w:t>
      </w:r>
      <w:r w:rsidR="00F95CCC" w:rsidRPr="00F303EE">
        <w:t xml:space="preserve"> then </w:t>
      </w:r>
      <w:r w:rsidR="00C44F9C" w:rsidRPr="00F303EE">
        <w:t xml:space="preserve">be sorted according to work </w:t>
      </w:r>
      <w:r w:rsidR="00F95CCC" w:rsidRPr="00F303EE">
        <w:t>phase and carried through into appropriate management strategies and plans to be implemented by either VicRoads or a contractor</w:t>
      </w:r>
      <w:r w:rsidR="0072396C" w:rsidRPr="00F303EE">
        <w:t xml:space="preserve"> (</w:t>
      </w:r>
      <w:r w:rsidR="002304DC" w:rsidRPr="00F303EE">
        <w:t xml:space="preserve">see </w:t>
      </w:r>
      <w:r w:rsidR="00CA74E1">
        <w:t>F</w:t>
      </w:r>
      <w:r w:rsidR="0072396C" w:rsidRPr="00F303EE">
        <w:t xml:space="preserve">igure </w:t>
      </w:r>
      <w:r w:rsidR="00CA74E1">
        <w:t xml:space="preserve">2 </w:t>
      </w:r>
      <w:r w:rsidR="0072396C" w:rsidRPr="00F303EE">
        <w:t xml:space="preserve">below </w:t>
      </w:r>
      <w:r w:rsidR="002304DC" w:rsidRPr="00F303EE">
        <w:t>for further detail</w:t>
      </w:r>
      <w:r w:rsidR="0072396C" w:rsidRPr="00F303EE">
        <w:t>).</w:t>
      </w:r>
      <w:r w:rsidR="00F95CCC" w:rsidRPr="00F303EE">
        <w:t xml:space="preserve"> </w:t>
      </w:r>
    </w:p>
    <w:p w:rsidR="0072396C" w:rsidRPr="00122E8E" w:rsidRDefault="004B2BDE" w:rsidP="00E66AE9">
      <w:pPr>
        <w:rPr>
          <w:highlight w:val="yellow"/>
        </w:rPr>
      </w:pPr>
      <w:r>
        <w:rPr>
          <w:noProof/>
        </w:rPr>
        <w:lastRenderedPageBreak/>
        <w:drawing>
          <wp:inline distT="0" distB="0" distL="0" distR="0">
            <wp:extent cx="4029075" cy="6019800"/>
            <wp:effectExtent l="19050" t="0" r="9525" b="0"/>
            <wp:docPr id="1" name="Picture 1"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11" cstate="print"/>
                    <a:srcRect/>
                    <a:stretch>
                      <a:fillRect/>
                    </a:stretch>
                  </pic:blipFill>
                  <pic:spPr bwMode="auto">
                    <a:xfrm>
                      <a:off x="0" y="0"/>
                      <a:ext cx="4029075" cy="6019800"/>
                    </a:xfrm>
                    <a:prstGeom prst="rect">
                      <a:avLst/>
                    </a:prstGeom>
                    <a:noFill/>
                    <a:ln w="9525">
                      <a:noFill/>
                      <a:miter lim="800000"/>
                      <a:headEnd/>
                      <a:tailEnd/>
                    </a:ln>
                  </pic:spPr>
                </pic:pic>
              </a:graphicData>
            </a:graphic>
          </wp:inline>
        </w:drawing>
      </w:r>
    </w:p>
    <w:p w:rsidR="0072396C" w:rsidRPr="00856AE7" w:rsidRDefault="0072396C" w:rsidP="00C42285">
      <w:pPr>
        <w:spacing w:after="240"/>
        <w:rPr>
          <w:b/>
        </w:rPr>
      </w:pPr>
      <w:r w:rsidRPr="00856AE7">
        <w:rPr>
          <w:b/>
        </w:rPr>
        <w:t xml:space="preserve">Figure </w:t>
      </w:r>
      <w:r w:rsidR="00AA5706" w:rsidRPr="00856AE7">
        <w:rPr>
          <w:b/>
        </w:rPr>
        <w:fldChar w:fldCharType="begin"/>
      </w:r>
      <w:r w:rsidRPr="00856AE7">
        <w:rPr>
          <w:b/>
        </w:rPr>
        <w:instrText xml:space="preserve"> SEQ Figure \* ARABIC </w:instrText>
      </w:r>
      <w:r w:rsidR="00AA5706" w:rsidRPr="00856AE7">
        <w:rPr>
          <w:b/>
        </w:rPr>
        <w:fldChar w:fldCharType="separate"/>
      </w:r>
      <w:r w:rsidR="00562F22">
        <w:rPr>
          <w:b/>
          <w:noProof/>
        </w:rPr>
        <w:t>2</w:t>
      </w:r>
      <w:r w:rsidR="00AA5706" w:rsidRPr="00856AE7">
        <w:rPr>
          <w:b/>
        </w:rPr>
        <w:fldChar w:fldCharType="end"/>
      </w:r>
      <w:r w:rsidRPr="00856AE7">
        <w:rPr>
          <w:b/>
        </w:rPr>
        <w:t xml:space="preserve">. VicRoads’ Project Environmental Management Structure (EES, </w:t>
      </w:r>
      <w:r w:rsidR="00F303EE" w:rsidRPr="00856AE7">
        <w:rPr>
          <w:b/>
        </w:rPr>
        <w:t>Figure 21-1, page 21-4</w:t>
      </w:r>
      <w:r w:rsidRPr="00856AE7">
        <w:rPr>
          <w:b/>
        </w:rPr>
        <w:t>)</w:t>
      </w:r>
    </w:p>
    <w:p w:rsidR="002304DC" w:rsidRPr="00F303EE" w:rsidRDefault="002304DC" w:rsidP="00E66AE9">
      <w:r w:rsidRPr="00F303EE">
        <w:t>In addition to the PEPS, VicRoads would coordinate preparation of management plans</w:t>
      </w:r>
      <w:r w:rsidR="0021165E">
        <w:t xml:space="preserve"> by </w:t>
      </w:r>
      <w:r w:rsidR="000C01CF">
        <w:t xml:space="preserve">VicRoads and/or </w:t>
      </w:r>
      <w:r w:rsidR="0021165E">
        <w:t>contractors</w:t>
      </w:r>
      <w:r w:rsidRPr="00F303EE">
        <w:t>, including:</w:t>
      </w:r>
    </w:p>
    <w:p w:rsidR="00BA703B" w:rsidRDefault="00BA703B" w:rsidP="005F2BEF">
      <w:pPr>
        <w:numPr>
          <w:ilvl w:val="0"/>
          <w:numId w:val="22"/>
        </w:numPr>
      </w:pPr>
      <w:r>
        <w:t>CEMPs</w:t>
      </w:r>
      <w:r w:rsidR="00DB4983">
        <w:t>.</w:t>
      </w:r>
    </w:p>
    <w:p w:rsidR="002304DC" w:rsidRPr="00E42176" w:rsidRDefault="002304DC" w:rsidP="005F2BEF">
      <w:pPr>
        <w:numPr>
          <w:ilvl w:val="0"/>
          <w:numId w:val="22"/>
        </w:numPr>
      </w:pPr>
      <w:r w:rsidRPr="00E42176">
        <w:t>C</w:t>
      </w:r>
      <w:r w:rsidR="00BA703B">
        <w:t>HMP</w:t>
      </w:r>
      <w:r w:rsidR="00DB4983">
        <w:t>.</w:t>
      </w:r>
    </w:p>
    <w:p w:rsidR="002304DC" w:rsidRPr="00E42176" w:rsidRDefault="00BA703B" w:rsidP="005F2BEF">
      <w:pPr>
        <w:numPr>
          <w:ilvl w:val="0"/>
          <w:numId w:val="22"/>
        </w:numPr>
      </w:pPr>
      <w:r>
        <w:t xml:space="preserve">Site and Species </w:t>
      </w:r>
      <w:r w:rsidR="002304DC" w:rsidRPr="00E42176">
        <w:t>Specific Management Plan</w:t>
      </w:r>
      <w:r w:rsidR="00E42176">
        <w:t xml:space="preserve">s </w:t>
      </w:r>
      <w:r>
        <w:t xml:space="preserve">(e.g. for </w:t>
      </w:r>
      <w:r w:rsidR="00E42176">
        <w:t xml:space="preserve">species listed under the EPBC Act or FFG Act </w:t>
      </w:r>
      <w:r>
        <w:t xml:space="preserve">- </w:t>
      </w:r>
      <w:r w:rsidR="00E42176">
        <w:t>this would</w:t>
      </w:r>
      <w:r w:rsidR="00587CC7">
        <w:t xml:space="preserve"> also</w:t>
      </w:r>
      <w:r w:rsidR="00E42176">
        <w:t xml:space="preserve"> include salvage and translocation plans for Dwarf Galaxias, Brown</w:t>
      </w:r>
      <w:r w:rsidR="00A61410">
        <w:t xml:space="preserve"> Toadlet and Brown Treecreeper).</w:t>
      </w:r>
    </w:p>
    <w:p w:rsidR="002304DC" w:rsidRPr="00E42176" w:rsidRDefault="002304DC" w:rsidP="005F2BEF">
      <w:pPr>
        <w:numPr>
          <w:ilvl w:val="0"/>
          <w:numId w:val="22"/>
        </w:numPr>
      </w:pPr>
      <w:r w:rsidRPr="00E42176">
        <w:t xml:space="preserve">Offset Management </w:t>
      </w:r>
      <w:r w:rsidR="00E42176" w:rsidRPr="00E42176">
        <w:t>Strategy (to accord with requirements of the NVMF)</w:t>
      </w:r>
      <w:r w:rsidRPr="00E42176">
        <w:t>.</w:t>
      </w:r>
    </w:p>
    <w:p w:rsidR="00E42176" w:rsidRDefault="00DE428C" w:rsidP="00E66AE9">
      <w:pPr>
        <w:rPr>
          <w:highlight w:val="yellow"/>
        </w:rPr>
      </w:pPr>
      <w:r>
        <w:t>The PEPS would detail all th</w:t>
      </w:r>
      <w:r w:rsidR="00400945">
        <w:t>e</w:t>
      </w:r>
      <w:r>
        <w:t xml:space="preserve"> environmental management measures required for the detailed design, construction and operation of WHP2.</w:t>
      </w:r>
      <w:r w:rsidR="00400945">
        <w:t xml:space="preserve"> </w:t>
      </w:r>
      <w:r w:rsidR="002304DC" w:rsidRPr="00E42176">
        <w:t>The contractor(s) would be required to have an Environmental Management Strategy (EMS) in place that is consistent with ISO14001:2004 standards. This EMS would encompass the development and implementation of both project-wide and site-specific CEMP</w:t>
      </w:r>
      <w:r w:rsidR="006968C6">
        <w:t>s</w:t>
      </w:r>
      <w:r w:rsidR="002304DC" w:rsidRPr="00E42176">
        <w:t xml:space="preserve"> </w:t>
      </w:r>
      <w:r w:rsidR="00400945">
        <w:t xml:space="preserve">that ensure </w:t>
      </w:r>
      <w:r w:rsidR="002304DC" w:rsidRPr="00E42176">
        <w:t>particular environmental risks</w:t>
      </w:r>
      <w:r w:rsidR="00400945">
        <w:t xml:space="preserve"> at key locations are addressed</w:t>
      </w:r>
      <w:r w:rsidR="002304DC" w:rsidRPr="00E42176">
        <w:t xml:space="preserve">. The </w:t>
      </w:r>
      <w:r w:rsidR="002304DC" w:rsidRPr="00E42176">
        <w:lastRenderedPageBreak/>
        <w:t>CEMPs would be developed in consultati</w:t>
      </w:r>
      <w:r w:rsidR="00894462" w:rsidRPr="00E42176">
        <w:t>on with relevant authorities and</w:t>
      </w:r>
      <w:r w:rsidR="002304DC" w:rsidRPr="00E42176">
        <w:t xml:space="preserve"> </w:t>
      </w:r>
      <w:r w:rsidR="00D94FD9" w:rsidRPr="00E42176">
        <w:t xml:space="preserve">to address </w:t>
      </w:r>
      <w:r w:rsidR="002304DC" w:rsidRPr="00E42176">
        <w:t>the E</w:t>
      </w:r>
      <w:r w:rsidR="000C01CF">
        <w:t>PA</w:t>
      </w:r>
      <w:r w:rsidR="002304DC" w:rsidRPr="00E42176">
        <w:t xml:space="preserve"> Environmental Guidelines for Major Construction </w:t>
      </w:r>
      <w:r w:rsidR="002304DC" w:rsidRPr="00DE428C">
        <w:t>Sites.</w:t>
      </w:r>
    </w:p>
    <w:p w:rsidR="000B20BD" w:rsidRDefault="002304DC" w:rsidP="007823CF">
      <w:r w:rsidRPr="005A3547">
        <w:t xml:space="preserve"> </w:t>
      </w:r>
      <w:r w:rsidR="00DE428C" w:rsidRPr="005A3547">
        <w:t xml:space="preserve">The EES provides an outline of all the environmental measures that would be incorporated into </w:t>
      </w:r>
      <w:r w:rsidR="005A3547" w:rsidRPr="005A3547">
        <w:t>the</w:t>
      </w:r>
      <w:r w:rsidR="00DE428C" w:rsidRPr="005A3547">
        <w:t xml:space="preserve"> design</w:t>
      </w:r>
      <w:r w:rsidR="007823CF">
        <w:t>,</w:t>
      </w:r>
      <w:r w:rsidR="00DE428C" w:rsidRPr="005A3547">
        <w:t xml:space="preserve"> construction and operation of WHP2 through the m</w:t>
      </w:r>
      <w:r w:rsidR="005A3547" w:rsidRPr="005A3547">
        <w:t xml:space="preserve">anagement structure in </w:t>
      </w:r>
      <w:r w:rsidR="00F835D6">
        <w:t>F</w:t>
      </w:r>
      <w:r w:rsidR="005A3547" w:rsidRPr="005A3547">
        <w:t>igure 2</w:t>
      </w:r>
      <w:r w:rsidR="00F835D6">
        <w:t>,</w:t>
      </w:r>
      <w:r w:rsidR="005A3547" w:rsidRPr="005A3547">
        <w:t xml:space="preserve"> as well as specifying the organisation responsible for those measures. Tables 21-3 to 21-40 in the EES specify the objectives, indicators and environmental measures that would apply to WHP2 under the </w:t>
      </w:r>
      <w:r w:rsidR="007823CF">
        <w:t>relevant environmental factors</w:t>
      </w:r>
      <w:r w:rsidR="00F835D6">
        <w:t>,</w:t>
      </w:r>
      <w:r w:rsidR="00C42285">
        <w:t xml:space="preserve"> </w:t>
      </w:r>
      <w:r w:rsidR="00F835D6">
        <w:t>namely</w:t>
      </w:r>
      <w:r w:rsidR="005A3547" w:rsidRPr="005A3547">
        <w:t>:</w:t>
      </w:r>
      <w:r w:rsidR="007823CF">
        <w:t xml:space="preserve"> </w:t>
      </w:r>
      <w:r w:rsidR="005A3547" w:rsidRPr="005A3547">
        <w:t>Planning and land use</w:t>
      </w:r>
      <w:r w:rsidR="007823CF">
        <w:t xml:space="preserve">, </w:t>
      </w:r>
      <w:r w:rsidR="005A3547" w:rsidRPr="005A3547">
        <w:t>Traffic and transport</w:t>
      </w:r>
      <w:r w:rsidR="007823CF">
        <w:t xml:space="preserve">, </w:t>
      </w:r>
      <w:r w:rsidR="005A3547" w:rsidRPr="005A3547">
        <w:t>Geology and soils</w:t>
      </w:r>
      <w:r w:rsidR="007823CF">
        <w:t xml:space="preserve">, </w:t>
      </w:r>
      <w:r w:rsidR="005A3547" w:rsidRPr="005A3547">
        <w:t>Groundwater</w:t>
      </w:r>
      <w:r w:rsidR="007823CF">
        <w:t xml:space="preserve">, </w:t>
      </w:r>
      <w:r w:rsidR="005A3547" w:rsidRPr="005A3547">
        <w:t>Surface water</w:t>
      </w:r>
      <w:r w:rsidR="007823CF">
        <w:t xml:space="preserve">, </w:t>
      </w:r>
      <w:r w:rsidR="005A3547" w:rsidRPr="005A3547">
        <w:t>Biodiversity and habitat</w:t>
      </w:r>
      <w:r w:rsidR="007823CF">
        <w:t xml:space="preserve">, </w:t>
      </w:r>
      <w:r w:rsidR="005A3547" w:rsidRPr="005A3547">
        <w:t xml:space="preserve">Aboriginal cultural </w:t>
      </w:r>
      <w:r w:rsidR="005A3547" w:rsidRPr="00890693">
        <w:t>heritage</w:t>
      </w:r>
      <w:r w:rsidR="007823CF" w:rsidRPr="00890693">
        <w:t xml:space="preserve">, </w:t>
      </w:r>
      <w:r w:rsidR="005A3547" w:rsidRPr="00890693">
        <w:t>Non-Aboriginal heritage</w:t>
      </w:r>
      <w:r w:rsidR="007823CF" w:rsidRPr="00890693">
        <w:t xml:space="preserve">, </w:t>
      </w:r>
      <w:r w:rsidR="005A3547" w:rsidRPr="00890693">
        <w:t>Air quality</w:t>
      </w:r>
      <w:r w:rsidR="007823CF" w:rsidRPr="00890693">
        <w:t xml:space="preserve">, </w:t>
      </w:r>
      <w:r w:rsidR="005A3547" w:rsidRPr="00890693">
        <w:t>Noise</w:t>
      </w:r>
      <w:r w:rsidR="007823CF" w:rsidRPr="00890693">
        <w:t xml:space="preserve">, </w:t>
      </w:r>
      <w:r w:rsidR="005A3547" w:rsidRPr="00890693">
        <w:t>Visual and landscape</w:t>
      </w:r>
      <w:r w:rsidR="007823CF" w:rsidRPr="00890693">
        <w:t xml:space="preserve">, Social and </w:t>
      </w:r>
      <w:r w:rsidR="005A3547" w:rsidRPr="00890693">
        <w:t>Economic.</w:t>
      </w:r>
    </w:p>
    <w:p w:rsidR="00B304FC" w:rsidRPr="000C01CF" w:rsidRDefault="00FD5A82" w:rsidP="000C01CF">
      <w:pPr>
        <w:spacing w:before="240"/>
        <w:rPr>
          <w:b/>
          <w:sz w:val="24"/>
        </w:rPr>
      </w:pPr>
      <w:r w:rsidRPr="000C01CF">
        <w:rPr>
          <w:b/>
          <w:sz w:val="24"/>
        </w:rPr>
        <w:t>Conclusion</w:t>
      </w:r>
    </w:p>
    <w:p w:rsidR="00573965" w:rsidRPr="00890693" w:rsidRDefault="00D7443A" w:rsidP="00625AA4">
      <w:r w:rsidRPr="00890693">
        <w:t xml:space="preserve">It is my assessment that the </w:t>
      </w:r>
      <w:r w:rsidR="00F835D6" w:rsidRPr="00890693">
        <w:t>EMF</w:t>
      </w:r>
      <w:r w:rsidR="00C42285">
        <w:t xml:space="preserve"> </w:t>
      </w:r>
      <w:r w:rsidRPr="00890693">
        <w:t>for WHP2, as outlined in the EES, will provide a robust and transparent framework for the management of</w:t>
      </w:r>
      <w:r w:rsidR="00826847" w:rsidRPr="00890693">
        <w:t xml:space="preserve"> residual environmental effects and achievement of</w:t>
      </w:r>
      <w:r w:rsidR="00625AA4" w:rsidRPr="00890693">
        <w:t xml:space="preserve"> acceptable environmental outcomes.</w:t>
      </w:r>
    </w:p>
    <w:p w:rsidR="008B077B" w:rsidRDefault="00625AA4" w:rsidP="00C42285">
      <w:pPr>
        <w:spacing w:after="0"/>
      </w:pPr>
      <w:r w:rsidRPr="00890693">
        <w:t>Fu</w:t>
      </w:r>
      <w:r w:rsidR="008B077B">
        <w:t>rther, it is my assessment that:</w:t>
      </w:r>
    </w:p>
    <w:p w:rsidR="008B077B" w:rsidRPr="008B077B" w:rsidRDefault="00C42285" w:rsidP="008B077B">
      <w:pPr>
        <w:numPr>
          <w:ilvl w:val="0"/>
          <w:numId w:val="22"/>
        </w:numPr>
      </w:pPr>
      <w:r>
        <w:t xml:space="preserve">VicRoads </w:t>
      </w:r>
      <w:r w:rsidRPr="00890693">
        <w:t xml:space="preserve">ensure measures </w:t>
      </w:r>
      <w:r>
        <w:t>set out with</w:t>
      </w:r>
      <w:r w:rsidRPr="00890693">
        <w:t xml:space="preserve">in the EES </w:t>
      </w:r>
      <w:r w:rsidR="00AF54E0">
        <w:t xml:space="preserve">are </w:t>
      </w:r>
      <w:r w:rsidRPr="00890693">
        <w:t>incorporated into project implementation through the EMF</w:t>
      </w:r>
      <w:r>
        <w:t xml:space="preserve"> (i.e. </w:t>
      </w:r>
      <w:r w:rsidRPr="008B077B">
        <w:t>PEPS) and appropriate management strategies and plans</w:t>
      </w:r>
      <w:r w:rsidR="00625AA4" w:rsidRPr="008B077B">
        <w:t xml:space="preserve"> </w:t>
      </w:r>
      <w:r w:rsidRPr="008B077B">
        <w:t>(e.g. CEMPs)</w:t>
      </w:r>
    </w:p>
    <w:p w:rsidR="00C42285" w:rsidRPr="008B077B" w:rsidRDefault="00180FFF" w:rsidP="008B077B">
      <w:pPr>
        <w:numPr>
          <w:ilvl w:val="0"/>
          <w:numId w:val="22"/>
        </w:numPr>
      </w:pPr>
      <w:r w:rsidRPr="008B077B">
        <w:t xml:space="preserve">The EMF and core management plans be </w:t>
      </w:r>
      <w:r w:rsidR="00AF54E0" w:rsidRPr="008B077B">
        <w:t xml:space="preserve">included as </w:t>
      </w:r>
      <w:r w:rsidR="00826847" w:rsidRPr="008B077B">
        <w:t>conditio</w:t>
      </w:r>
      <w:r w:rsidR="008B077B" w:rsidRPr="008B077B">
        <w:t xml:space="preserve">ns </w:t>
      </w:r>
      <w:r w:rsidR="008B077B">
        <w:t xml:space="preserve">(as set out below) </w:t>
      </w:r>
      <w:r w:rsidR="008B077B" w:rsidRPr="008B077B">
        <w:t>of the PSA Incorporated Documents</w:t>
      </w:r>
      <w:r w:rsidR="00826847" w:rsidRPr="008B077B">
        <w:t xml:space="preserve"> and </w:t>
      </w:r>
      <w:r w:rsidRPr="008B077B">
        <w:t xml:space="preserve">be </w:t>
      </w:r>
      <w:r w:rsidR="00826847" w:rsidRPr="008B077B">
        <w:t xml:space="preserve">developed in consultation with and to </w:t>
      </w:r>
      <w:r w:rsidR="00AB24EF" w:rsidRPr="008B077B">
        <w:t xml:space="preserve">the </w:t>
      </w:r>
      <w:r w:rsidR="00826847" w:rsidRPr="008B077B">
        <w:t>satisfaction of the appropriate agencies</w:t>
      </w:r>
      <w:r w:rsidR="00C42285" w:rsidRPr="008B077B">
        <w:t>:</w:t>
      </w:r>
    </w:p>
    <w:p w:rsidR="00180FFF" w:rsidRPr="008B077B" w:rsidRDefault="008B077B" w:rsidP="008B077B">
      <w:pPr>
        <w:numPr>
          <w:ilvl w:val="1"/>
          <w:numId w:val="22"/>
        </w:numPr>
      </w:pPr>
      <w:r w:rsidRPr="008B077B">
        <w:rPr>
          <w:i/>
        </w:rPr>
        <w:t>EMF</w:t>
      </w:r>
      <w:r w:rsidRPr="008B077B">
        <w:t xml:space="preserve">: Prior to the commencement of </w:t>
      </w:r>
      <w:r w:rsidR="00DB4983">
        <w:t xml:space="preserve">construction </w:t>
      </w:r>
      <w:r w:rsidRPr="008B077B">
        <w:t xml:space="preserve">or works associated with the project, an EMF or equivalent document must be prepared for the project, including relevant requirements as described in the Minister for Planning’s Assessment under the </w:t>
      </w:r>
      <w:r w:rsidRPr="008B077B">
        <w:rPr>
          <w:i/>
        </w:rPr>
        <w:t>Environment Effects Act 1978</w:t>
      </w:r>
      <w:r w:rsidRPr="008B077B">
        <w:t>.  The EMF or equivalent document needs to be submitted to and endorsed by the Secretary of DPCD (or delegate)</w:t>
      </w:r>
      <w:r w:rsidR="00B62C6C">
        <w:t>.</w:t>
      </w:r>
    </w:p>
    <w:p w:rsidR="00180FFF" w:rsidRPr="008B077B" w:rsidRDefault="00180FFF" w:rsidP="008B077B">
      <w:pPr>
        <w:numPr>
          <w:ilvl w:val="1"/>
          <w:numId w:val="22"/>
        </w:numPr>
      </w:pPr>
      <w:r w:rsidRPr="008B077B">
        <w:rPr>
          <w:i/>
        </w:rPr>
        <w:t>CEMPs</w:t>
      </w:r>
      <w:r w:rsidR="008B077B">
        <w:t xml:space="preserve">: </w:t>
      </w:r>
      <w:r w:rsidR="008B077B" w:rsidRPr="008B077B">
        <w:t xml:space="preserve">Consistent with the staging of works, and prior to the commencement of construction or carrying out of any works, Construction Environmental Management Plan(s) must be prepared in consultation with DSE, </w:t>
      </w:r>
      <w:r w:rsidR="000918F6" w:rsidRPr="000918F6">
        <w:t xml:space="preserve">the relevant </w:t>
      </w:r>
      <w:r w:rsidR="000918F6">
        <w:t>m</w:t>
      </w:r>
      <w:r w:rsidR="000918F6" w:rsidRPr="000918F6">
        <w:t>unicipality of Ararat Rural City Council and or Pyrenees Shire Council</w:t>
      </w:r>
      <w:r w:rsidR="008B077B" w:rsidRPr="008B077B">
        <w:t>, and then be submitted to, and endorsed by the Secretary of DPCD (or delegate)</w:t>
      </w:r>
      <w:r w:rsidR="00B62C6C">
        <w:t>.</w:t>
      </w:r>
    </w:p>
    <w:p w:rsidR="00E16DC7" w:rsidRPr="008B077B" w:rsidRDefault="008B077B" w:rsidP="008B077B">
      <w:pPr>
        <w:numPr>
          <w:ilvl w:val="1"/>
          <w:numId w:val="22"/>
        </w:numPr>
      </w:pPr>
      <w:r>
        <w:t xml:space="preserve">A </w:t>
      </w:r>
      <w:r w:rsidRPr="008B077B">
        <w:rPr>
          <w:i/>
        </w:rPr>
        <w:t>n</w:t>
      </w:r>
      <w:r w:rsidR="00E16DC7" w:rsidRPr="008B077B">
        <w:rPr>
          <w:i/>
        </w:rPr>
        <w:t>ative vegetation management plan</w:t>
      </w:r>
      <w:r>
        <w:t xml:space="preserve"> </w:t>
      </w:r>
      <w:r w:rsidR="00E16DC7" w:rsidRPr="008B077B">
        <w:t xml:space="preserve"> detailing additional measures to reduce the impacts on native vegetation and listed ecological communities, identified during the detailed design stage, be prepared to the satisfaction of DSE and DSEWPC before construction commences</w:t>
      </w:r>
      <w:r w:rsidR="00B62C6C">
        <w:t>.</w:t>
      </w:r>
    </w:p>
    <w:p w:rsidR="008B077B" w:rsidRDefault="008B077B" w:rsidP="008B077B">
      <w:pPr>
        <w:numPr>
          <w:ilvl w:val="1"/>
          <w:numId w:val="22"/>
        </w:numPr>
      </w:pPr>
      <w:r w:rsidRPr="008B077B">
        <w:rPr>
          <w:i/>
        </w:rPr>
        <w:t>Native Vegetation Offset Management Plan</w:t>
      </w:r>
      <w:r>
        <w:rPr>
          <w:i/>
        </w:rPr>
        <w:t>:</w:t>
      </w:r>
      <w:r>
        <w:t xml:space="preserve">  Prior to the commencement of </w:t>
      </w:r>
      <w:r w:rsidR="00F0236B">
        <w:t xml:space="preserve">construction or </w:t>
      </w:r>
      <w:r>
        <w:t>works and removal of any native vegetation associated with the project, a Native Vegetation Offset Management Plan</w:t>
      </w:r>
      <w:r w:rsidR="00280581">
        <w:t xml:space="preserve"> be</w:t>
      </w:r>
      <w:r>
        <w:t xml:space="preserve"> prepared in accordance with Victoria’s Native Vegetation Management – A Framework for Action (2002)</w:t>
      </w:r>
      <w:r w:rsidR="00080C2C">
        <w:t xml:space="preserve"> and </w:t>
      </w:r>
      <w:r w:rsidR="00080C2C" w:rsidRPr="008B077B">
        <w:t>the EPBC Act Environmental Offsets Policy (October 2012),</w:t>
      </w:r>
      <w:r>
        <w:t xml:space="preserve"> in consultation with DSE and DSEWPC, and </w:t>
      </w:r>
      <w:r w:rsidR="00280581">
        <w:t xml:space="preserve">be </w:t>
      </w:r>
      <w:r>
        <w:t>submitted to and endorsed by Secretary of the DSE (or delegate)</w:t>
      </w:r>
      <w:r w:rsidR="00B62C6C">
        <w:t>.</w:t>
      </w:r>
    </w:p>
    <w:p w:rsidR="00E16DC7" w:rsidRPr="008B077B" w:rsidRDefault="00080C2C" w:rsidP="008B077B">
      <w:pPr>
        <w:numPr>
          <w:ilvl w:val="1"/>
          <w:numId w:val="22"/>
        </w:numPr>
      </w:pPr>
      <w:r w:rsidRPr="00080C2C">
        <w:rPr>
          <w:i/>
        </w:rPr>
        <w:t>Threatened Species Management Plans</w:t>
      </w:r>
      <w:r>
        <w:t xml:space="preserve">:  </w:t>
      </w:r>
      <w:r w:rsidR="008B077B">
        <w:t>Prior to the commencement of construction or carrying out of any works, Threatened Species Management Plans must be prepared in consultation with the DSE and DSEWPC and then be submitted to, and endorsed by the Secretary of the DSE (or delegate)</w:t>
      </w:r>
      <w:r>
        <w:t xml:space="preserve">, including for </w:t>
      </w:r>
      <w:r w:rsidR="00E16DC7" w:rsidRPr="008B077B">
        <w:t>the Spiny Rice-flower, Dwarf Galaxias and Golden Sun Moth</w:t>
      </w:r>
      <w:r w:rsidR="00B62C6C">
        <w:t>.</w:t>
      </w:r>
    </w:p>
    <w:p w:rsidR="008B077B" w:rsidRDefault="008B077B" w:rsidP="00080C2C">
      <w:pPr>
        <w:numPr>
          <w:ilvl w:val="1"/>
          <w:numId w:val="22"/>
        </w:numPr>
      </w:pPr>
      <w:r w:rsidRPr="00080C2C">
        <w:rPr>
          <w:i/>
        </w:rPr>
        <w:t>Groundwater Management Plan</w:t>
      </w:r>
      <w:r w:rsidR="00080C2C">
        <w:rPr>
          <w:i/>
        </w:rPr>
        <w:t xml:space="preserve">: </w:t>
      </w:r>
      <w:r w:rsidR="00080C2C" w:rsidRPr="00080C2C">
        <w:t>Prior to the commencement of construction or carrying out of any works</w:t>
      </w:r>
      <w:r w:rsidR="00080C2C">
        <w:t>, a Groundwater Management Plan</w:t>
      </w:r>
      <w:r w:rsidR="00080C2C" w:rsidRPr="00080C2C">
        <w:t xml:space="preserve"> </w:t>
      </w:r>
      <w:r w:rsidR="00080C2C">
        <w:t xml:space="preserve">must be prepared in consultation with </w:t>
      </w:r>
      <w:r w:rsidR="00080C2C" w:rsidRPr="00080C2C">
        <w:t>the Glenelg Hopkins CMA</w:t>
      </w:r>
      <w:r w:rsidR="00080C2C">
        <w:t>,</w:t>
      </w:r>
      <w:r w:rsidR="00080C2C" w:rsidRPr="00080C2C">
        <w:t xml:space="preserve"> to assist with the confirmation of any measures necessary to minimise the potential for adverse effects on groundwater and any relevant GDEs</w:t>
      </w:r>
      <w:r w:rsidR="00956C58">
        <w:t>.</w:t>
      </w:r>
    </w:p>
    <w:p w:rsidR="00BB45BA" w:rsidRPr="00890693" w:rsidRDefault="00BB45BA" w:rsidP="00BB45BA"/>
    <w:p w:rsidR="00573965" w:rsidRPr="008F018F" w:rsidRDefault="00E16DC7" w:rsidP="00BB45BA">
      <w:pPr>
        <w:pStyle w:val="Heading2"/>
        <w:spacing w:before="480"/>
        <w:ind w:left="578" w:hanging="578"/>
      </w:pPr>
      <w:r>
        <w:lastRenderedPageBreak/>
        <w:t xml:space="preserve"> </w:t>
      </w:r>
      <w:bookmarkStart w:id="55" w:name="_Toc354582231"/>
      <w:r w:rsidR="00D7443A" w:rsidRPr="00890693">
        <w:t>Ecologically Sustainable Development</w:t>
      </w:r>
      <w:bookmarkEnd w:id="55"/>
    </w:p>
    <w:p w:rsidR="00573965" w:rsidRPr="008F018F" w:rsidRDefault="00D7443A" w:rsidP="00BB45BA">
      <w:pPr>
        <w:keepNext/>
      </w:pPr>
      <w:r w:rsidRPr="005B2FBF">
        <w:rPr>
          <w:b/>
          <w:color w:val="0070C0"/>
        </w:rPr>
        <w:t>Evaluation Objective</w:t>
      </w:r>
      <w:r w:rsidRPr="008F018F">
        <w:rPr>
          <w:b/>
        </w:rPr>
        <w:t xml:space="preserve"> –</w:t>
      </w:r>
      <w:r w:rsidRPr="00AB0CAF">
        <w:rPr>
          <w:i/>
        </w:rPr>
        <w:t xml:space="preserve"> To achieve an appropriate balance of environmental</w:t>
      </w:r>
      <w:r w:rsidR="00FD5A82" w:rsidRPr="00AB0CAF">
        <w:rPr>
          <w:i/>
        </w:rPr>
        <w:t>,</w:t>
      </w:r>
      <w:r w:rsidRPr="00AB0CAF">
        <w:rPr>
          <w:i/>
        </w:rPr>
        <w:t xml:space="preserve"> </w:t>
      </w:r>
      <w:r w:rsidR="00FD5A82" w:rsidRPr="00AB0CAF">
        <w:rPr>
          <w:i/>
        </w:rPr>
        <w:t xml:space="preserve">economic </w:t>
      </w:r>
      <w:r w:rsidRPr="00AB0CAF">
        <w:rPr>
          <w:i/>
        </w:rPr>
        <w:t>and social outcomes</w:t>
      </w:r>
      <w:r w:rsidR="00AB0CAF">
        <w:rPr>
          <w:i/>
        </w:rPr>
        <w:t xml:space="preserve">, consistent </w:t>
      </w:r>
      <w:r w:rsidR="00AB0CAF" w:rsidRPr="00AB0CAF">
        <w:rPr>
          <w:i/>
        </w:rPr>
        <w:t>with the principles and objectives of ESD</w:t>
      </w:r>
      <w:r w:rsidRPr="008F018F">
        <w:t>.</w:t>
      </w:r>
    </w:p>
    <w:p w:rsidR="00DF6806" w:rsidRPr="008F018F" w:rsidRDefault="00D7443A" w:rsidP="00BB45BA">
      <w:pPr>
        <w:keepNext/>
      </w:pPr>
      <w:r w:rsidRPr="008F018F">
        <w:t xml:space="preserve">This section focuses on the acceptability of the environmental outcomes of WHP2, </w:t>
      </w:r>
      <w:r w:rsidR="00493D5B">
        <w:t xml:space="preserve">relative to the economic and social outcomes, </w:t>
      </w:r>
      <w:r w:rsidR="00ED4337">
        <w:t xml:space="preserve">including </w:t>
      </w:r>
      <w:r w:rsidRPr="008F018F">
        <w:t xml:space="preserve">in the context of </w:t>
      </w:r>
      <w:r w:rsidR="00FA25CF" w:rsidRPr="00FA25CF">
        <w:t>the principles and objectives of</w:t>
      </w:r>
      <w:r w:rsidR="00493D5B" w:rsidRPr="00AB0CAF">
        <w:rPr>
          <w:i/>
        </w:rPr>
        <w:t xml:space="preserve"> </w:t>
      </w:r>
      <w:r w:rsidRPr="008F018F">
        <w:t xml:space="preserve">ESD.  The Ministerial Guidelines made under section 10 of the EE Act specifically require the assessment of the proposal and its effects to </w:t>
      </w:r>
      <w:r w:rsidR="00FD5A82">
        <w:t>consider</w:t>
      </w:r>
      <w:r w:rsidRPr="008F018F">
        <w:t xml:space="preserve"> the principles and objectives of ESD.  The WHP2’s overall consistency with </w:t>
      </w:r>
      <w:r w:rsidR="00F10AE5">
        <w:t>the</w:t>
      </w:r>
      <w:r w:rsidR="00493D5B">
        <w:t xml:space="preserve"> following</w:t>
      </w:r>
      <w:r w:rsidR="00F10AE5">
        <w:t xml:space="preserve"> </w:t>
      </w:r>
      <w:r w:rsidRPr="008F018F">
        <w:t>ESD objective and principle</w:t>
      </w:r>
      <w:r w:rsidR="00493D5B">
        <w:t xml:space="preserve"> of ESD are</w:t>
      </w:r>
      <w:r w:rsidR="00015C2D">
        <w:t xml:space="preserve"> </w:t>
      </w:r>
      <w:r w:rsidR="00015C2D" w:rsidRPr="008F018F">
        <w:t>particular</w:t>
      </w:r>
      <w:r w:rsidR="00015C2D">
        <w:t>ly pertinent.</w:t>
      </w:r>
      <w:r w:rsidRPr="008F018F">
        <w:t>:</w:t>
      </w:r>
    </w:p>
    <w:p w:rsidR="00DF6806" w:rsidRPr="008F018F" w:rsidRDefault="00D7443A" w:rsidP="005F2BEF">
      <w:pPr>
        <w:numPr>
          <w:ilvl w:val="0"/>
          <w:numId w:val="24"/>
        </w:numPr>
      </w:pPr>
      <w:r w:rsidRPr="008F018F">
        <w:t>To protect biological diversity and maintain essential ecological processes and life-support systems.</w:t>
      </w:r>
    </w:p>
    <w:p w:rsidR="00DF6806" w:rsidRPr="008F018F" w:rsidRDefault="00D7443A" w:rsidP="005F2BEF">
      <w:pPr>
        <w:numPr>
          <w:ilvl w:val="0"/>
          <w:numId w:val="24"/>
        </w:numPr>
      </w:pPr>
      <w:r w:rsidRPr="008F018F">
        <w:t>Decision-making processes should effectively integrate both long-term and short-term economic, environmental, social and equity considerations.</w:t>
      </w:r>
    </w:p>
    <w:p w:rsidR="00890693" w:rsidRDefault="00605BDD">
      <w:pPr>
        <w:rPr>
          <w:b/>
        </w:rPr>
      </w:pPr>
      <w:r w:rsidRPr="00605BDD">
        <w:rPr>
          <w:b/>
        </w:rPr>
        <w:t>En</w:t>
      </w:r>
      <w:r>
        <w:rPr>
          <w:b/>
        </w:rPr>
        <w:t>vironmental and Soci</w:t>
      </w:r>
      <w:r w:rsidR="004F7E56">
        <w:rPr>
          <w:b/>
        </w:rPr>
        <w:t>o-economic</w:t>
      </w:r>
      <w:r>
        <w:rPr>
          <w:b/>
        </w:rPr>
        <w:t xml:space="preserve"> </w:t>
      </w:r>
      <w:r w:rsidRPr="00605BDD">
        <w:rPr>
          <w:b/>
        </w:rPr>
        <w:t>Outcomes</w:t>
      </w:r>
    </w:p>
    <w:p w:rsidR="00605BDD" w:rsidRPr="008F018F" w:rsidRDefault="004F7E56" w:rsidP="00605BDD">
      <w:r>
        <w:t>In summary</w:t>
      </w:r>
      <w:r w:rsidR="00DB6EF1">
        <w:t>, this</w:t>
      </w:r>
      <w:r w:rsidR="00605BDD" w:rsidRPr="008F018F">
        <w:t xml:space="preserve"> Assessment has identified the following key </w:t>
      </w:r>
      <w:r w:rsidR="00605BDD">
        <w:t>environmental and</w:t>
      </w:r>
      <w:r w:rsidR="001E4771">
        <w:t xml:space="preserve"> </w:t>
      </w:r>
      <w:r w:rsidR="00605BDD">
        <w:t>soci</w:t>
      </w:r>
      <w:r>
        <w:t>o-</w:t>
      </w:r>
      <w:r w:rsidR="00605BDD">
        <w:t xml:space="preserve">economic </w:t>
      </w:r>
      <w:r w:rsidR="00605BDD" w:rsidRPr="008F018F">
        <w:t>outcomes:</w:t>
      </w:r>
    </w:p>
    <w:p w:rsidR="00605BDD" w:rsidRPr="008F018F" w:rsidRDefault="00605BDD" w:rsidP="00605BDD">
      <w:pPr>
        <w:numPr>
          <w:ilvl w:val="0"/>
          <w:numId w:val="25"/>
        </w:numPr>
      </w:pPr>
      <w:r w:rsidRPr="008F018F">
        <w:t>The implementation of WHP2 will result in a reduction in the crash rate between Beaufort and Ararat from 5.5 to 3.4 per million vehicle kms.</w:t>
      </w:r>
    </w:p>
    <w:p w:rsidR="00605BDD" w:rsidRDefault="00605BDD" w:rsidP="00605BDD">
      <w:pPr>
        <w:numPr>
          <w:ilvl w:val="0"/>
          <w:numId w:val="25"/>
        </w:numPr>
      </w:pPr>
      <w:r w:rsidRPr="008F018F">
        <w:t xml:space="preserve">The project will result in the permanent loss of </w:t>
      </w:r>
      <w:r>
        <w:t xml:space="preserve">a significant extent areas </w:t>
      </w:r>
      <w:r w:rsidRPr="008F018F">
        <w:t>of native vegetation</w:t>
      </w:r>
      <w:r>
        <w:t xml:space="preserve"> (</w:t>
      </w:r>
      <w:r w:rsidRPr="008F018F">
        <w:t>11</w:t>
      </w:r>
      <w:r>
        <w:t>1</w:t>
      </w:r>
      <w:r w:rsidRPr="008F018F">
        <w:t xml:space="preserve"> ha under </w:t>
      </w:r>
      <w:r>
        <w:t>O</w:t>
      </w:r>
      <w:r w:rsidRPr="008F018F">
        <w:t>ption</w:t>
      </w:r>
      <w:r>
        <w:t xml:space="preserve"> </w:t>
      </w:r>
      <w:r w:rsidRPr="008F018F">
        <w:t xml:space="preserve">1 and 132 ha under </w:t>
      </w:r>
      <w:r>
        <w:t>O</w:t>
      </w:r>
      <w:r w:rsidRPr="008F018F">
        <w:t>ption 2</w:t>
      </w:r>
      <w:r>
        <w:t xml:space="preserve">), most of which is </w:t>
      </w:r>
      <w:r w:rsidR="004F7E56">
        <w:t>VHCS and HCS</w:t>
      </w:r>
      <w:r>
        <w:t xml:space="preserve"> native vegetation (approximately 101</w:t>
      </w:r>
      <w:r w:rsidRPr="008F018F">
        <w:t xml:space="preserve"> ha </w:t>
      </w:r>
      <w:r>
        <w:t>for O</w:t>
      </w:r>
      <w:r w:rsidRPr="008F018F">
        <w:t>ption</w:t>
      </w:r>
      <w:r>
        <w:t xml:space="preserve"> 1 and 116</w:t>
      </w:r>
      <w:r w:rsidRPr="008F018F">
        <w:t xml:space="preserve"> ha </w:t>
      </w:r>
      <w:r>
        <w:t>for O</w:t>
      </w:r>
      <w:r w:rsidRPr="008F018F">
        <w:t>ption 2</w:t>
      </w:r>
      <w:r>
        <w:t xml:space="preserve">), as well as approximately </w:t>
      </w:r>
      <w:r w:rsidRPr="0085679D">
        <w:t xml:space="preserve">221 LOTs and 214 LOTs </w:t>
      </w:r>
      <w:r>
        <w:t>under O</w:t>
      </w:r>
      <w:r w:rsidRPr="0085679D">
        <w:t>ption</w:t>
      </w:r>
      <w:r>
        <w:t>s</w:t>
      </w:r>
      <w:r w:rsidRPr="0085679D">
        <w:t xml:space="preserve"> 1</w:t>
      </w:r>
      <w:r>
        <w:t xml:space="preserve"> and </w:t>
      </w:r>
      <w:r w:rsidRPr="0085679D">
        <w:t>2</w:t>
      </w:r>
      <w:r>
        <w:t xml:space="preserve"> respectively</w:t>
      </w:r>
      <w:r w:rsidRPr="008F018F">
        <w:t>.</w:t>
      </w:r>
    </w:p>
    <w:p w:rsidR="002748FF" w:rsidRDefault="002748FF" w:rsidP="002748FF">
      <w:pPr>
        <w:numPr>
          <w:ilvl w:val="0"/>
          <w:numId w:val="25"/>
        </w:numPr>
      </w:pPr>
      <w:r>
        <w:t xml:space="preserve">The project will result in a significant impact on two EPBC-listed communities (Natural Temperate Grassland of the Victorian Volcanic Plain and Grassy Eucalypt Woodland of the Victorian Volcanic Plain) and the Golden Sun </w:t>
      </w:r>
      <w:r w:rsidR="001E4771">
        <w:t>Moth through habitat removal.</w:t>
      </w:r>
    </w:p>
    <w:p w:rsidR="00605BDD" w:rsidRDefault="00605BDD" w:rsidP="00605BDD">
      <w:pPr>
        <w:numPr>
          <w:ilvl w:val="0"/>
          <w:numId w:val="25"/>
        </w:numPr>
      </w:pPr>
      <w:r w:rsidRPr="008F018F">
        <w:t xml:space="preserve">Disruption to local agriculture, current landholders and residents will occur during the construction period and some landholders will be affected by public acquisition of land. </w:t>
      </w:r>
      <w:r>
        <w:t xml:space="preserve"> </w:t>
      </w:r>
      <w:r w:rsidRPr="008F018F">
        <w:t xml:space="preserve">The proposal would result in </w:t>
      </w:r>
      <w:r w:rsidR="009E0425">
        <w:t>minor a</w:t>
      </w:r>
      <w:r w:rsidRPr="008F018F">
        <w:t>menity impacts in local area</w:t>
      </w:r>
      <w:r w:rsidR="00DB6EF1">
        <w:t>s</w:t>
      </w:r>
      <w:r w:rsidRPr="008F018F">
        <w:t>,</w:t>
      </w:r>
      <w:r>
        <w:t xml:space="preserve"> including noise impacts </w:t>
      </w:r>
      <w:r w:rsidRPr="008F018F">
        <w:t xml:space="preserve">(refer to section </w:t>
      </w:r>
      <w:r w:rsidR="000F57C9">
        <w:fldChar w:fldCharType="begin"/>
      </w:r>
      <w:r w:rsidR="000F57C9">
        <w:instrText xml:space="preserve"> REF _Ref329080175 \r \h  \* MERGEFORMAT </w:instrText>
      </w:r>
      <w:r w:rsidR="000F57C9">
        <w:fldChar w:fldCharType="separate"/>
      </w:r>
      <w:r w:rsidR="00562F22">
        <w:t>3.6</w:t>
      </w:r>
      <w:r w:rsidR="000F57C9">
        <w:fldChar w:fldCharType="end"/>
      </w:r>
      <w:r w:rsidRPr="008F018F">
        <w:t>).</w:t>
      </w:r>
    </w:p>
    <w:p w:rsidR="00605BDD" w:rsidRDefault="00605BDD" w:rsidP="00605BDD">
      <w:pPr>
        <w:numPr>
          <w:ilvl w:val="0"/>
          <w:numId w:val="25"/>
        </w:numPr>
      </w:pPr>
      <w:r w:rsidRPr="008F018F">
        <w:t xml:space="preserve">Impacts on Aboriginal cultural heritage can be </w:t>
      </w:r>
      <w:r>
        <w:t xml:space="preserve">readily </w:t>
      </w:r>
      <w:r w:rsidRPr="008F018F">
        <w:t xml:space="preserve">managed through the CHMP required under the AH Act (refer to section </w:t>
      </w:r>
      <w:r w:rsidR="000F57C9">
        <w:fldChar w:fldCharType="begin"/>
      </w:r>
      <w:r w:rsidR="000F57C9">
        <w:instrText xml:space="preserve"> REF _Ref32908009</w:instrText>
      </w:r>
      <w:r w:rsidR="000F57C9">
        <w:instrText xml:space="preserve">0 \r \h  \* MERGEFORMAT </w:instrText>
      </w:r>
      <w:r w:rsidR="000F57C9">
        <w:fldChar w:fldCharType="separate"/>
      </w:r>
      <w:r w:rsidR="00562F22">
        <w:t>3.8</w:t>
      </w:r>
      <w:r w:rsidR="000F57C9">
        <w:fldChar w:fldCharType="end"/>
      </w:r>
      <w:r w:rsidRPr="008F018F">
        <w:t>).</w:t>
      </w:r>
    </w:p>
    <w:p w:rsidR="00605BDD" w:rsidRDefault="00605BDD" w:rsidP="00605BDD">
      <w:pPr>
        <w:numPr>
          <w:ilvl w:val="0"/>
          <w:numId w:val="25"/>
        </w:numPr>
      </w:pPr>
      <w:r w:rsidRPr="008F018F">
        <w:t xml:space="preserve">The implementation of the EMF should enable the proposal to be implemented in an overall manner that is environmentally acceptable (refer to section </w:t>
      </w:r>
      <w:r w:rsidR="000F57C9">
        <w:fldChar w:fldCharType="begin"/>
      </w:r>
      <w:r w:rsidR="000F57C9">
        <w:instrText xml:space="preserve"> REF _Ref3</w:instrText>
      </w:r>
      <w:r w:rsidR="000F57C9">
        <w:instrText xml:space="preserve">29080191 \r \h  \* MERGEFORMAT </w:instrText>
      </w:r>
      <w:r w:rsidR="000F57C9">
        <w:fldChar w:fldCharType="separate"/>
      </w:r>
      <w:r w:rsidR="00562F22">
        <w:t>3.9</w:t>
      </w:r>
      <w:r w:rsidR="000F57C9">
        <w:fldChar w:fldCharType="end"/>
      </w:r>
      <w:r w:rsidRPr="008F018F">
        <w:t xml:space="preserve">). </w:t>
      </w:r>
    </w:p>
    <w:p w:rsidR="00B20E33" w:rsidRPr="008F018F" w:rsidRDefault="00191372" w:rsidP="00E66AE9">
      <w:pPr>
        <w:rPr>
          <w:b/>
        </w:rPr>
      </w:pPr>
      <w:r>
        <w:rPr>
          <w:b/>
        </w:rPr>
        <w:t xml:space="preserve">Balance of </w:t>
      </w:r>
      <w:r w:rsidR="00F10AE5">
        <w:rPr>
          <w:b/>
        </w:rPr>
        <w:t>Environmental, Social and Economic</w:t>
      </w:r>
      <w:r w:rsidR="00F10AE5" w:rsidRPr="008F018F">
        <w:rPr>
          <w:b/>
        </w:rPr>
        <w:t xml:space="preserve"> </w:t>
      </w:r>
      <w:r w:rsidR="00D7443A" w:rsidRPr="008F018F">
        <w:rPr>
          <w:b/>
        </w:rPr>
        <w:t>Outcomes</w:t>
      </w:r>
    </w:p>
    <w:p w:rsidR="00890693" w:rsidRPr="00890693" w:rsidRDefault="00DB6EF1">
      <w:r>
        <w:t>I concur with t</w:t>
      </w:r>
      <w:r w:rsidRPr="008F018F">
        <w:t xml:space="preserve">he Inquiry that subject to the implementation of </w:t>
      </w:r>
      <w:r>
        <w:t xml:space="preserve">appropriate offsets and </w:t>
      </w:r>
      <w:r w:rsidRPr="008F018F">
        <w:t>mitigation measures proposed by VicRoads</w:t>
      </w:r>
      <w:r>
        <w:t>,</w:t>
      </w:r>
      <w:r w:rsidRPr="008F018F">
        <w:t xml:space="preserve"> the environmental effects of WHP2 can be managed </w:t>
      </w:r>
      <w:r>
        <w:t xml:space="preserve">to acceptable levels </w:t>
      </w:r>
      <w:r w:rsidRPr="008F018F">
        <w:t xml:space="preserve">and </w:t>
      </w:r>
      <w:r>
        <w:t xml:space="preserve">that </w:t>
      </w:r>
      <w:r w:rsidRPr="008F018F">
        <w:t xml:space="preserve">the adverse long-term effects on surrounding properties and landscape </w:t>
      </w:r>
      <w:r>
        <w:t xml:space="preserve">values </w:t>
      </w:r>
      <w:r w:rsidRPr="008F018F">
        <w:t>should be minimal</w:t>
      </w:r>
      <w:r>
        <w:rPr>
          <w:rStyle w:val="FootnoteReference"/>
        </w:rPr>
        <w:footnoteReference w:id="52"/>
      </w:r>
      <w:r w:rsidRPr="008F018F">
        <w:t>.</w:t>
      </w:r>
      <w:r>
        <w:t xml:space="preserve">  D</w:t>
      </w:r>
      <w:r w:rsidRPr="008F018F">
        <w:t>espite the extens</w:t>
      </w:r>
      <w:r>
        <w:t>ive</w:t>
      </w:r>
      <w:r w:rsidRPr="008F018F">
        <w:t xml:space="preserve"> land acquisition required for the road reservation and the need to relocate</w:t>
      </w:r>
      <w:r w:rsidR="009E0425">
        <w:t xml:space="preserve"> some</w:t>
      </w:r>
      <w:r w:rsidRPr="008F018F">
        <w:t xml:space="preserve"> infrastructure assets, the associated soci</w:t>
      </w:r>
      <w:r>
        <w:t>o-</w:t>
      </w:r>
      <w:r w:rsidRPr="008F018F">
        <w:t xml:space="preserve">economic </w:t>
      </w:r>
      <w:r w:rsidRPr="00890693">
        <w:t>impacts are essentially of local significance and are acceptable in the wider context.</w:t>
      </w:r>
    </w:p>
    <w:p w:rsidR="003C5D3D" w:rsidRPr="00890693" w:rsidRDefault="00015C2D" w:rsidP="003C5D3D">
      <w:r w:rsidRPr="00890693">
        <w:t>In terms of economic outcomes, the role of this interstate freight link</w:t>
      </w:r>
      <w:r w:rsidR="00DB6EF1" w:rsidRPr="00890693">
        <w:t xml:space="preserve"> between regional and metropolitan centres</w:t>
      </w:r>
      <w:r w:rsidRPr="00890693">
        <w:t xml:space="preserve"> including export hubs, as well as the nexus between agricultural output and manufacturing employment in the region, means that the upgrading of the Western Highways’ capacity provided by WHP2 will make an important contribution to economic competitiveness</w:t>
      </w:r>
      <w:r w:rsidRPr="00890693">
        <w:rPr>
          <w:rStyle w:val="FootnoteReference"/>
        </w:rPr>
        <w:footnoteReference w:id="53"/>
      </w:r>
      <w:r w:rsidRPr="00890693">
        <w:t xml:space="preserve">.  </w:t>
      </w:r>
      <w:r w:rsidR="003C5D3D" w:rsidRPr="00890693">
        <w:t xml:space="preserve">Further, the expected generation of over 2000 full-time equivalent (FTE) jobs directly and indirectly involved with construction and flow-on effects of over 4000 FTE jobs will provide a boost to the regional economy over the three year construction period.  </w:t>
      </w:r>
    </w:p>
    <w:p w:rsidR="00D324F6" w:rsidRPr="00890693" w:rsidDel="00191372" w:rsidRDefault="00860F28" w:rsidP="00E66AE9">
      <w:r w:rsidRPr="00890693" w:rsidDel="00191372">
        <w:lastRenderedPageBreak/>
        <w:t>One</w:t>
      </w:r>
      <w:r w:rsidR="00D7443A" w:rsidRPr="00890693" w:rsidDel="00191372">
        <w:t xml:space="preserve"> key factor in the evaluation of alternatives and selection of a preferred and alternative alignment was the avoidance and/or minimisation of significant environmental effects, to help ensure biological diversity and ecological processes are maintained.  In particular, the alignment options were selected</w:t>
      </w:r>
      <w:r w:rsidR="00C332CA" w:rsidRPr="00890693" w:rsidDel="00191372">
        <w:t xml:space="preserve"> by VicRoads</w:t>
      </w:r>
      <w:r w:rsidR="00D7443A" w:rsidRPr="00890693" w:rsidDel="00191372">
        <w:t xml:space="preserve"> to minimise impacts on native vegetation of </w:t>
      </w:r>
      <w:r w:rsidR="001E4771">
        <w:t>VHCS</w:t>
      </w:r>
      <w:r w:rsidR="00D7443A" w:rsidRPr="00890693" w:rsidDel="00191372">
        <w:t xml:space="preserve"> and on matters of </w:t>
      </w:r>
      <w:r w:rsidR="001E4771">
        <w:t>NES</w:t>
      </w:r>
      <w:r w:rsidRPr="00890693" w:rsidDel="00191372">
        <w:t xml:space="preserve"> where possible</w:t>
      </w:r>
      <w:r w:rsidR="00B002BA" w:rsidRPr="00890693" w:rsidDel="00191372">
        <w:t xml:space="preserve">.  </w:t>
      </w:r>
    </w:p>
    <w:p w:rsidR="00964A9F" w:rsidRPr="00890693" w:rsidRDefault="00193FA7" w:rsidP="00E66AE9">
      <w:r w:rsidRPr="00890693">
        <w:t xml:space="preserve">During the EES investigations, VicRoads sought to achieve a balance of environmental, social and economic outcomes. </w:t>
      </w:r>
      <w:r w:rsidR="00860F28" w:rsidRPr="00890693">
        <w:t>In addition to considering how to avoid and reduce</w:t>
      </w:r>
      <w:r w:rsidRPr="00890693">
        <w:t xml:space="preserve"> impacts on </w:t>
      </w:r>
      <w:r w:rsidR="00860F28" w:rsidRPr="00890693">
        <w:t xml:space="preserve">significant </w:t>
      </w:r>
      <w:r w:rsidRPr="00890693">
        <w:t xml:space="preserve">native vegetation </w:t>
      </w:r>
      <w:r w:rsidR="00860F28" w:rsidRPr="00890693">
        <w:t xml:space="preserve">and biodiversity values, </w:t>
      </w:r>
      <w:r w:rsidRPr="00890693">
        <w:t xml:space="preserve">VicRoads also </w:t>
      </w:r>
      <w:r w:rsidR="00860F28" w:rsidRPr="00890693">
        <w:t xml:space="preserve">addressed the </w:t>
      </w:r>
      <w:r w:rsidRPr="00890693">
        <w:t xml:space="preserve">potential social and economic outcomes </w:t>
      </w:r>
      <w:r w:rsidR="00860F28" w:rsidRPr="00890693">
        <w:t xml:space="preserve">for </w:t>
      </w:r>
      <w:r w:rsidRPr="00890693">
        <w:t xml:space="preserve">local communities and adjoining land use </w:t>
      </w:r>
      <w:r w:rsidR="00D7443A" w:rsidRPr="00890693">
        <w:t xml:space="preserve">that </w:t>
      </w:r>
      <w:r w:rsidR="00860F28" w:rsidRPr="00890693">
        <w:t xml:space="preserve">could </w:t>
      </w:r>
      <w:r w:rsidR="00D7443A" w:rsidRPr="00890693">
        <w:t>result from the acquisition of land</w:t>
      </w:r>
      <w:r w:rsidR="00860F28" w:rsidRPr="00890693">
        <w:t>.</w:t>
      </w:r>
      <w:r w:rsidR="00D7443A" w:rsidRPr="00890693">
        <w:t xml:space="preserve"> </w:t>
      </w:r>
      <w:r w:rsidR="00860F28" w:rsidRPr="00890693">
        <w:t xml:space="preserve"> This was done </w:t>
      </w:r>
      <w:r w:rsidR="00DB2AB8" w:rsidRPr="00890693">
        <w:t xml:space="preserve">consistently </w:t>
      </w:r>
      <w:r w:rsidRPr="00890693">
        <w:t>throughout the three phases of the options selection process</w:t>
      </w:r>
      <w:r w:rsidR="00860F28" w:rsidRPr="00890693">
        <w:t xml:space="preserve"> (refer to section 3.2)</w:t>
      </w:r>
      <w:r w:rsidR="00D7443A" w:rsidRPr="00890693">
        <w:t xml:space="preserve">.  </w:t>
      </w:r>
      <w:r w:rsidR="006E104C" w:rsidRPr="00890693">
        <w:t>T</w:t>
      </w:r>
      <w:r w:rsidR="00D7443A" w:rsidRPr="00890693">
        <w:t xml:space="preserve">he preferred and alternative alignments </w:t>
      </w:r>
      <w:r w:rsidRPr="00890693">
        <w:t xml:space="preserve">presented in the EES </w:t>
      </w:r>
      <w:r w:rsidR="00D7443A" w:rsidRPr="00890693">
        <w:t>were also selected in light of community views</w:t>
      </w:r>
      <w:r w:rsidRPr="00890693">
        <w:t xml:space="preserve"> through a staged community consultation process.</w:t>
      </w:r>
      <w:r w:rsidR="00D7443A" w:rsidRPr="00890693">
        <w:t xml:space="preserve"> </w:t>
      </w:r>
    </w:p>
    <w:p w:rsidR="00473D89" w:rsidRPr="00890693" w:rsidRDefault="00B002BA" w:rsidP="00E66AE9">
      <w:r w:rsidRPr="00890693">
        <w:t xml:space="preserve">The Inquiry has given careful consideration to finding the most appropriate balance between the </w:t>
      </w:r>
      <w:r w:rsidR="00193FA7" w:rsidRPr="00890693">
        <w:t xml:space="preserve">environmental, </w:t>
      </w:r>
      <w:r w:rsidRPr="00890693">
        <w:t xml:space="preserve">social economic outcomes for WHP2 given the differences in impacts between </w:t>
      </w:r>
      <w:r w:rsidR="00860F28" w:rsidRPr="00890693">
        <w:t>O</w:t>
      </w:r>
      <w:r w:rsidRPr="00890693">
        <w:t xml:space="preserve">ptions 1 and 2. The Inquiry has found that, on balance, </w:t>
      </w:r>
      <w:r w:rsidR="00473D89" w:rsidRPr="00890693">
        <w:t>the</w:t>
      </w:r>
      <w:r w:rsidRPr="00890693">
        <w:t xml:space="preserve"> avoidance of significant vegetation</w:t>
      </w:r>
      <w:r w:rsidR="00191372" w:rsidRPr="00890693">
        <w:t xml:space="preserve"> </w:t>
      </w:r>
      <w:r w:rsidR="003204D8" w:rsidRPr="00890693">
        <w:t>by</w:t>
      </w:r>
      <w:r w:rsidR="00191372" w:rsidRPr="00890693">
        <w:t xml:space="preserve"> Option 1</w:t>
      </w:r>
      <w:r w:rsidRPr="00890693">
        <w:t xml:space="preserve">, coupled with </w:t>
      </w:r>
      <w:r w:rsidR="00473D89" w:rsidRPr="00890693">
        <w:t>the</w:t>
      </w:r>
      <w:r w:rsidRPr="00890693">
        <w:t xml:space="preserve"> lesser severance impact on agricultural land around and west of Buangor</w:t>
      </w:r>
      <w:r w:rsidR="00860F28" w:rsidRPr="00890693">
        <w:t>,</w:t>
      </w:r>
      <w:r w:rsidR="00473D89" w:rsidRPr="00890693">
        <w:t xml:space="preserve"> outweigh the marginal benefits of </w:t>
      </w:r>
      <w:r w:rsidR="00860F28" w:rsidRPr="00890693">
        <w:t>O</w:t>
      </w:r>
      <w:r w:rsidR="00473D89" w:rsidRPr="00890693">
        <w:t>ption 2</w:t>
      </w:r>
      <w:r w:rsidR="002748FF">
        <w:rPr>
          <w:rStyle w:val="FootnoteReference"/>
        </w:rPr>
        <w:footnoteReference w:id="54"/>
      </w:r>
      <w:r w:rsidR="00860F28" w:rsidRPr="00890693">
        <w:t>.</w:t>
      </w:r>
      <w:r w:rsidRPr="00890693">
        <w:t xml:space="preserve"> </w:t>
      </w:r>
      <w:r w:rsidR="00860F28" w:rsidRPr="00890693">
        <w:t xml:space="preserve"> </w:t>
      </w:r>
      <w:r w:rsidR="00473D89" w:rsidRPr="00890693">
        <w:t xml:space="preserve">It is noted that, in coming to its view, the Inquiry gave weight to the </w:t>
      </w:r>
      <w:r w:rsidR="003204D8" w:rsidRPr="00890693">
        <w:t xml:space="preserve">availability </w:t>
      </w:r>
      <w:r w:rsidR="00473D89" w:rsidRPr="00890693">
        <w:t xml:space="preserve">for compensation of the impacts on individual property owners provided by the </w:t>
      </w:r>
      <w:r w:rsidR="00473D89" w:rsidRPr="00890693">
        <w:rPr>
          <w:i/>
        </w:rPr>
        <w:t>Land Acquisition and Compensation Act 1986</w:t>
      </w:r>
      <w:r w:rsidR="00473D89" w:rsidRPr="00890693">
        <w:t xml:space="preserve">. </w:t>
      </w:r>
    </w:p>
    <w:p w:rsidR="00D2425E" w:rsidRPr="00890693" w:rsidRDefault="003204D8" w:rsidP="00E66AE9">
      <w:r w:rsidRPr="00890693">
        <w:t>T</w:t>
      </w:r>
      <w:r w:rsidR="00D7443A" w:rsidRPr="00890693">
        <w:t xml:space="preserve">his Assessment </w:t>
      </w:r>
      <w:r w:rsidR="006E104C" w:rsidRPr="00890693">
        <w:t xml:space="preserve">has </w:t>
      </w:r>
      <w:r w:rsidR="00860F28" w:rsidRPr="00890693">
        <w:t xml:space="preserve">examined the </w:t>
      </w:r>
      <w:r w:rsidR="006E104C" w:rsidRPr="00890693">
        <w:t>predicted effects and likely outcomes of both options</w:t>
      </w:r>
      <w:r w:rsidR="003816FC" w:rsidRPr="00890693">
        <w:t xml:space="preserve"> for WHP2</w:t>
      </w:r>
      <w:r w:rsidRPr="00890693">
        <w:t xml:space="preserve"> in light of the Inquiry report and submissions</w:t>
      </w:r>
      <w:r w:rsidR="00860F28" w:rsidRPr="00890693">
        <w:t>,</w:t>
      </w:r>
      <w:r w:rsidR="006E104C" w:rsidRPr="00890693">
        <w:t xml:space="preserve"> </w:t>
      </w:r>
      <w:r w:rsidR="00860F28" w:rsidRPr="00890693">
        <w:t>to reach a</w:t>
      </w:r>
      <w:r w:rsidRPr="00890693">
        <w:t xml:space="preserve"> conclusion o</w:t>
      </w:r>
      <w:r w:rsidR="00860F28" w:rsidRPr="00890693">
        <w:t xml:space="preserve">n </w:t>
      </w:r>
      <w:r w:rsidRPr="00890693">
        <w:t>the superior option</w:t>
      </w:r>
      <w:r w:rsidR="00860F28" w:rsidRPr="00890693">
        <w:t xml:space="preserve">.  It has established that </w:t>
      </w:r>
      <w:r w:rsidR="003816FC" w:rsidRPr="00890693">
        <w:t xml:space="preserve">the difference in </w:t>
      </w:r>
      <w:r w:rsidR="00860F28" w:rsidRPr="00890693">
        <w:t xml:space="preserve">effects </w:t>
      </w:r>
      <w:r w:rsidR="003816FC" w:rsidRPr="00890693">
        <w:t xml:space="preserve">between </w:t>
      </w:r>
      <w:r w:rsidR="00860F28" w:rsidRPr="00890693">
        <w:t>O</w:t>
      </w:r>
      <w:r w:rsidR="003816FC" w:rsidRPr="00890693">
        <w:t xml:space="preserve">ptions 1 and 2 (save for biodiversity and habitat) are not substantial and therefore not significant factors in selecting the final alignment. </w:t>
      </w:r>
      <w:r w:rsidR="00860F28" w:rsidRPr="00890693">
        <w:t xml:space="preserve"> </w:t>
      </w:r>
    </w:p>
    <w:p w:rsidR="006569E9" w:rsidRPr="00890693" w:rsidRDefault="00D2425E" w:rsidP="00E66AE9">
      <w:r w:rsidRPr="00890693">
        <w:t xml:space="preserve">So the focus of determining which option should be implemented is the consideration of effects on biodiversity and habitat, largely native vegetation with </w:t>
      </w:r>
      <w:r w:rsidR="003204D8" w:rsidRPr="00890693">
        <w:t>VHCS or HCS which provides</w:t>
      </w:r>
      <w:r w:rsidRPr="00890693">
        <w:t xml:space="preserve"> habitat for protected species.  In doing so, th</w:t>
      </w:r>
      <w:r w:rsidR="003816FC" w:rsidRPr="00890693">
        <w:t xml:space="preserve">is Assessment </w:t>
      </w:r>
      <w:r w:rsidR="003204D8" w:rsidRPr="00890693">
        <w:t>finds</w:t>
      </w:r>
      <w:r w:rsidR="003816FC" w:rsidRPr="00890693">
        <w:t xml:space="preserve"> that </w:t>
      </w:r>
      <w:r w:rsidRPr="00890693">
        <w:t>O</w:t>
      </w:r>
      <w:r w:rsidR="00D7443A" w:rsidRPr="00890693">
        <w:t xml:space="preserve">ption 1 </w:t>
      </w:r>
      <w:r w:rsidR="006E104C" w:rsidRPr="00890693">
        <w:t>(</w:t>
      </w:r>
      <w:r w:rsidR="00D7443A" w:rsidRPr="00890693">
        <w:t>the “alternative alignment” in the EES</w:t>
      </w:r>
      <w:r w:rsidR="00DD0C3D" w:rsidRPr="00890693">
        <w:t>) would</w:t>
      </w:r>
      <w:r w:rsidR="003816FC" w:rsidRPr="00890693">
        <w:t xml:space="preserve"> have a superior overall biodiversity outcome</w:t>
      </w:r>
      <w:r w:rsidR="00447C3A" w:rsidRPr="00890693">
        <w:t xml:space="preserve">, due to clearly </w:t>
      </w:r>
      <w:r w:rsidR="00473D89" w:rsidRPr="00890693">
        <w:t xml:space="preserve">lower impacts on </w:t>
      </w:r>
      <w:r w:rsidR="00447C3A" w:rsidRPr="00890693">
        <w:t>native vegetation (</w:t>
      </w:r>
      <w:r w:rsidR="003204D8" w:rsidRPr="00890693">
        <w:t xml:space="preserve">both </w:t>
      </w:r>
      <w:r w:rsidR="00447C3A" w:rsidRPr="00890693">
        <w:t xml:space="preserve">total amounts and amounts of </w:t>
      </w:r>
      <w:r w:rsidR="003204D8" w:rsidRPr="00890693">
        <w:t xml:space="preserve">VHCS and HCS </w:t>
      </w:r>
      <w:r w:rsidR="00473D89" w:rsidRPr="00890693">
        <w:t>vegetation</w:t>
      </w:r>
      <w:r w:rsidR="00447C3A" w:rsidRPr="00890693">
        <w:t>)</w:t>
      </w:r>
      <w:r w:rsidR="00DD0C3D" w:rsidRPr="00890693">
        <w:t>,</w:t>
      </w:r>
      <w:r w:rsidR="00447C3A" w:rsidRPr="00890693">
        <w:t xml:space="preserve"> as well as</w:t>
      </w:r>
      <w:r w:rsidR="00473D89" w:rsidRPr="00890693">
        <w:t xml:space="preserve"> </w:t>
      </w:r>
      <w:r w:rsidR="007337D9" w:rsidRPr="00890693">
        <w:t xml:space="preserve">lower impacts on </w:t>
      </w:r>
      <w:r w:rsidR="005F3E3B" w:rsidRPr="00890693">
        <w:t xml:space="preserve">habitat </w:t>
      </w:r>
      <w:r w:rsidR="00447C3A" w:rsidRPr="00890693">
        <w:t xml:space="preserve">areas adjacent to Langi Ghiran State Park.  Option </w:t>
      </w:r>
      <w:r w:rsidR="005F3E3B" w:rsidRPr="00890693">
        <w:t xml:space="preserve">1 </w:t>
      </w:r>
      <w:r w:rsidR="00447C3A" w:rsidRPr="00890693">
        <w:t>would maintain</w:t>
      </w:r>
      <w:r w:rsidR="007337D9" w:rsidRPr="00890693">
        <w:t xml:space="preserve"> better habitat connectivity between the State Park and </w:t>
      </w:r>
      <w:r w:rsidR="005F3E3B" w:rsidRPr="00890693">
        <w:t xml:space="preserve">large areas of </w:t>
      </w:r>
      <w:r w:rsidR="007337D9" w:rsidRPr="00890693">
        <w:t>bushland south of the existing highway</w:t>
      </w:r>
      <w:r w:rsidR="00447C3A" w:rsidRPr="00890693">
        <w:t xml:space="preserve"> </w:t>
      </w:r>
      <w:r w:rsidR="005F3E3B" w:rsidRPr="00890693">
        <w:t xml:space="preserve">in particular </w:t>
      </w:r>
      <w:r w:rsidR="00447C3A" w:rsidRPr="00890693">
        <w:t xml:space="preserve">and result in less potential for road kill of native animals in this area of </w:t>
      </w:r>
      <w:r w:rsidR="003204D8" w:rsidRPr="00890693">
        <w:t xml:space="preserve">high </w:t>
      </w:r>
      <w:r w:rsidR="00447C3A" w:rsidRPr="00890693">
        <w:t>biodiversity values</w:t>
      </w:r>
      <w:r w:rsidR="007337D9" w:rsidRPr="00890693">
        <w:t>.</w:t>
      </w:r>
      <w:r w:rsidR="00DD0C3D" w:rsidRPr="00890693">
        <w:t xml:space="preserve"> </w:t>
      </w:r>
      <w:r w:rsidR="00447C3A" w:rsidRPr="00890693">
        <w:t xml:space="preserve"> These</w:t>
      </w:r>
      <w:r w:rsidR="00DD0C3D" w:rsidRPr="00890693">
        <w:t xml:space="preserve"> </w:t>
      </w:r>
      <w:r w:rsidR="00CE7564" w:rsidRPr="00890693">
        <w:t xml:space="preserve">ecological </w:t>
      </w:r>
      <w:r w:rsidR="00DD0C3D" w:rsidRPr="00890693">
        <w:t xml:space="preserve">benefits </w:t>
      </w:r>
      <w:r w:rsidR="00447C3A" w:rsidRPr="00890693">
        <w:t xml:space="preserve">in the areas </w:t>
      </w:r>
      <w:r w:rsidR="005F3E3B" w:rsidRPr="00890693">
        <w:t xml:space="preserve">adjacent and </w:t>
      </w:r>
      <w:r w:rsidR="00447C3A" w:rsidRPr="00890693">
        <w:t>near the State Park</w:t>
      </w:r>
      <w:r w:rsidR="003204D8" w:rsidRPr="00890693">
        <w:t>,</w:t>
      </w:r>
      <w:r w:rsidR="00447C3A" w:rsidRPr="00890693">
        <w:t xml:space="preserve"> </w:t>
      </w:r>
      <w:r w:rsidR="005F3E3B" w:rsidRPr="00890693">
        <w:t xml:space="preserve">as well as </w:t>
      </w:r>
      <w:r w:rsidR="00447C3A" w:rsidRPr="00890693">
        <w:t xml:space="preserve">the lower </w:t>
      </w:r>
      <w:r w:rsidR="00CE7564" w:rsidRPr="00890693">
        <w:t xml:space="preserve">total </w:t>
      </w:r>
      <w:r w:rsidR="00447C3A" w:rsidRPr="00890693">
        <w:t xml:space="preserve">amount of significant native vegetation to be cleared for Option 1, </w:t>
      </w:r>
      <w:r w:rsidR="00DD0C3D" w:rsidRPr="00890693">
        <w:t xml:space="preserve">outweigh </w:t>
      </w:r>
      <w:r w:rsidR="00447C3A" w:rsidRPr="00890693">
        <w:t xml:space="preserve">its </w:t>
      </w:r>
      <w:r w:rsidR="00DD0C3D" w:rsidRPr="00890693">
        <w:t>marginally higher impact on Golden Sun Moth habitat and Grassy Eucalypt Woodland of the Victorian Volcanic Plain.</w:t>
      </w:r>
    </w:p>
    <w:p w:rsidR="003C507C" w:rsidRPr="00890693" w:rsidRDefault="00D7443A" w:rsidP="00E66AE9">
      <w:pPr>
        <w:rPr>
          <w:b/>
        </w:rPr>
      </w:pPr>
      <w:r w:rsidRPr="00890693">
        <w:rPr>
          <w:b/>
        </w:rPr>
        <w:t>Overall Conclusions</w:t>
      </w:r>
    </w:p>
    <w:p w:rsidR="007623E9" w:rsidRPr="00890693" w:rsidRDefault="00D7443A" w:rsidP="00E66AE9">
      <w:r w:rsidRPr="00890693">
        <w:t>Having regard to the EES</w:t>
      </w:r>
      <w:r w:rsidR="004F7E56" w:rsidRPr="00890693">
        <w:t>,</w:t>
      </w:r>
      <w:r w:rsidRPr="00890693">
        <w:t xml:space="preserve"> </w:t>
      </w:r>
      <w:r w:rsidR="004F7E56" w:rsidRPr="00890693">
        <w:t xml:space="preserve">the </w:t>
      </w:r>
      <w:r w:rsidRPr="00890693">
        <w:t xml:space="preserve">Inquiry’s </w:t>
      </w:r>
      <w:r w:rsidR="004F7E56" w:rsidRPr="00890693">
        <w:t>report and matters raised in submissions</w:t>
      </w:r>
      <w:r w:rsidRPr="00890693">
        <w:t>, it is my overall assessment that:</w:t>
      </w:r>
    </w:p>
    <w:p w:rsidR="005F1BA5" w:rsidRPr="00890693" w:rsidRDefault="00A02EE0" w:rsidP="0022555D">
      <w:pPr>
        <w:numPr>
          <w:ilvl w:val="0"/>
          <w:numId w:val="26"/>
        </w:numPr>
        <w:spacing w:before="0" w:after="40"/>
        <w:ind w:left="714" w:hanging="357"/>
      </w:pPr>
      <w:r w:rsidRPr="00890693">
        <w:t xml:space="preserve">Option 1 provides a more appropriate balance between the </w:t>
      </w:r>
      <w:r w:rsidR="005F1BA5" w:rsidRPr="00890693">
        <w:t xml:space="preserve">likely </w:t>
      </w:r>
      <w:r w:rsidRPr="00890693">
        <w:t>environmental</w:t>
      </w:r>
      <w:r w:rsidR="005F1BA5" w:rsidRPr="00890693">
        <w:t xml:space="preserve"> effects, </w:t>
      </w:r>
      <w:r w:rsidRPr="00890693">
        <w:t xml:space="preserve">social </w:t>
      </w:r>
      <w:r w:rsidR="005F1BA5" w:rsidRPr="00890693">
        <w:t xml:space="preserve">and </w:t>
      </w:r>
      <w:r w:rsidR="00DD0C3D" w:rsidRPr="00890693">
        <w:t xml:space="preserve">economic </w:t>
      </w:r>
      <w:r w:rsidRPr="00890693">
        <w:t>out</w:t>
      </w:r>
      <w:r w:rsidR="005F1BA5" w:rsidRPr="00890693">
        <w:t>comes and should be implemented in a manner consistent with this Assessment, including the following responses to the recommendations of the Inquiry.</w:t>
      </w:r>
    </w:p>
    <w:p w:rsidR="002A322B" w:rsidRPr="00890693" w:rsidRDefault="00D7443A" w:rsidP="0022555D">
      <w:pPr>
        <w:numPr>
          <w:ilvl w:val="0"/>
          <w:numId w:val="26"/>
        </w:numPr>
        <w:spacing w:before="0" w:after="40"/>
        <w:ind w:left="714" w:hanging="357"/>
      </w:pPr>
      <w:r w:rsidRPr="00890693">
        <w:t>In relation to both the relevant legislation and policy framework and the overall benefits of the project</w:t>
      </w:r>
      <w:r w:rsidR="00DD0C3D" w:rsidRPr="00890693">
        <w:t xml:space="preserve"> in terms of enhancing its important role as a national highway</w:t>
      </w:r>
      <w:r w:rsidRPr="00890693">
        <w:t xml:space="preserve">, the potential environmental effects of WHP2 are acceptable, provided the appropriate </w:t>
      </w:r>
      <w:r w:rsidR="005F1BA5" w:rsidRPr="00890693">
        <w:t xml:space="preserve">minimisation, </w:t>
      </w:r>
      <w:r w:rsidRPr="00890693">
        <w:t xml:space="preserve">mitigation and management measures, </w:t>
      </w:r>
      <w:r w:rsidR="001E3165">
        <w:t xml:space="preserve">as reflect in </w:t>
      </w:r>
      <w:r w:rsidRPr="00890693">
        <w:t>the findings of this Assessment, are implemented.</w:t>
      </w:r>
    </w:p>
    <w:p w:rsidR="006D2173" w:rsidRPr="00890693" w:rsidRDefault="00D7443A" w:rsidP="0022555D">
      <w:pPr>
        <w:numPr>
          <w:ilvl w:val="0"/>
          <w:numId w:val="26"/>
        </w:numPr>
        <w:spacing w:before="0" w:after="40"/>
        <w:ind w:left="714" w:hanging="357"/>
      </w:pPr>
      <w:r w:rsidRPr="00890693">
        <w:t xml:space="preserve">The WHP2 will provide a </w:t>
      </w:r>
      <w:r w:rsidR="004F7E56" w:rsidRPr="00890693">
        <w:t xml:space="preserve">net </w:t>
      </w:r>
      <w:r w:rsidRPr="00890693">
        <w:t>benefit to the State of Victoria, having regard to both long-term and short-term economic, environmental and social considerations.</w:t>
      </w:r>
    </w:p>
    <w:p w:rsidR="0022555D" w:rsidRDefault="0022555D" w:rsidP="00E66AE9">
      <w:pPr>
        <w:rPr>
          <w:highlight w:val="yellow"/>
        </w:rPr>
      </w:pPr>
    </w:p>
    <w:p w:rsidR="0022555D" w:rsidRDefault="0022555D" w:rsidP="00280581">
      <w:pPr>
        <w:spacing w:after="240"/>
        <w:rPr>
          <w:highlight w:val="yellow"/>
        </w:rPr>
      </w:pPr>
    </w:p>
    <w:p w:rsidR="0022555D" w:rsidRDefault="0022555D" w:rsidP="00E66AE9">
      <w:pPr>
        <w:rPr>
          <w:highlight w:val="yellow"/>
        </w:rPr>
      </w:pPr>
    </w:p>
    <w:p w:rsidR="0022555D" w:rsidRDefault="0022555D" w:rsidP="0022555D">
      <w:pPr>
        <w:spacing w:before="0" w:after="0"/>
        <w:jc w:val="left"/>
        <w:rPr>
          <w:b/>
        </w:rPr>
      </w:pPr>
      <w:r w:rsidRPr="0022555D">
        <w:rPr>
          <w:b/>
        </w:rPr>
        <w:t>MATTHEW GUY</w:t>
      </w:r>
      <w:r>
        <w:rPr>
          <w:b/>
        </w:rPr>
        <w:t xml:space="preserve"> MLC</w:t>
      </w:r>
    </w:p>
    <w:p w:rsidR="0022555D" w:rsidRPr="0022555D" w:rsidRDefault="0022555D" w:rsidP="0022555D">
      <w:pPr>
        <w:spacing w:before="0" w:after="0"/>
        <w:jc w:val="left"/>
        <w:rPr>
          <w:b/>
        </w:rPr>
        <w:sectPr w:rsidR="0022555D" w:rsidRPr="0022555D" w:rsidSect="0022555D">
          <w:pgSz w:w="11906" w:h="16838"/>
          <w:pgMar w:top="1361" w:right="1134" w:bottom="1077" w:left="1134" w:header="709" w:footer="709" w:gutter="0"/>
          <w:cols w:space="708"/>
          <w:docGrid w:linePitch="360"/>
        </w:sectPr>
      </w:pPr>
      <w:r>
        <w:rPr>
          <w:b/>
        </w:rPr>
        <w:t>Minister for Planning</w:t>
      </w:r>
    </w:p>
    <w:p w:rsidR="002D2AD3" w:rsidRDefault="001E3165" w:rsidP="001E3165">
      <w:pPr>
        <w:pStyle w:val="Caption"/>
      </w:pPr>
      <w:r w:rsidRPr="001E3165">
        <w:rPr>
          <w:sz w:val="24"/>
          <w:szCs w:val="24"/>
        </w:rPr>
        <w:lastRenderedPageBreak/>
        <w:t xml:space="preserve">Table </w:t>
      </w:r>
      <w:r w:rsidR="00AA5706" w:rsidRPr="001E3165">
        <w:rPr>
          <w:sz w:val="24"/>
          <w:szCs w:val="24"/>
        </w:rPr>
        <w:fldChar w:fldCharType="begin"/>
      </w:r>
      <w:r w:rsidRPr="001E3165">
        <w:rPr>
          <w:sz w:val="24"/>
          <w:szCs w:val="24"/>
        </w:rPr>
        <w:instrText xml:space="preserve"> SEQ Table \* ARABIC </w:instrText>
      </w:r>
      <w:r w:rsidR="00AA5706" w:rsidRPr="001E3165">
        <w:rPr>
          <w:sz w:val="24"/>
          <w:szCs w:val="24"/>
        </w:rPr>
        <w:fldChar w:fldCharType="separate"/>
      </w:r>
      <w:r w:rsidR="00562F22">
        <w:rPr>
          <w:noProof/>
          <w:sz w:val="24"/>
          <w:szCs w:val="24"/>
        </w:rPr>
        <w:t>3</w:t>
      </w:r>
      <w:r w:rsidR="00AA5706" w:rsidRPr="001E3165">
        <w:rPr>
          <w:sz w:val="24"/>
          <w:szCs w:val="24"/>
        </w:rPr>
        <w:fldChar w:fldCharType="end"/>
      </w:r>
      <w:r w:rsidRPr="001E3165">
        <w:rPr>
          <w:sz w:val="24"/>
          <w:szCs w:val="24"/>
        </w:rPr>
        <w:t>.</w:t>
      </w:r>
      <w:r>
        <w:t xml:space="preserve"> </w:t>
      </w:r>
      <w:r w:rsidR="00015030" w:rsidRPr="001E3165">
        <w:rPr>
          <w:b w:val="0"/>
          <w:sz w:val="22"/>
          <w:szCs w:val="22"/>
        </w:rPr>
        <w:t xml:space="preserve">Inquiry’s recommendations </w:t>
      </w:r>
      <w:r w:rsidRPr="001E3165">
        <w:rPr>
          <w:b w:val="0"/>
          <w:sz w:val="22"/>
          <w:szCs w:val="22"/>
        </w:rPr>
        <w:t>(</w:t>
      </w:r>
      <w:r w:rsidR="00015030" w:rsidRPr="001E3165">
        <w:rPr>
          <w:b w:val="0"/>
          <w:sz w:val="22"/>
          <w:szCs w:val="22"/>
        </w:rPr>
        <w:t>in the left column</w:t>
      </w:r>
      <w:r w:rsidRPr="001E3165">
        <w:rPr>
          <w:b w:val="0"/>
          <w:sz w:val="22"/>
          <w:szCs w:val="22"/>
        </w:rPr>
        <w:t xml:space="preserve">) and the </w:t>
      </w:r>
      <w:r w:rsidR="00015030" w:rsidRPr="001E3165">
        <w:rPr>
          <w:b w:val="0"/>
          <w:sz w:val="22"/>
          <w:szCs w:val="22"/>
        </w:rPr>
        <w:t>Minister for Planning’s response to the recommendations</w:t>
      </w:r>
      <w:r w:rsidRPr="001E3165">
        <w:rPr>
          <w:b w:val="0"/>
          <w:sz w:val="22"/>
          <w:szCs w:val="22"/>
        </w:rPr>
        <w:t xml:space="preserve"> (in the right column)</w:t>
      </w:r>
      <w:r w:rsidR="00015030" w:rsidRPr="001E3165">
        <w:rPr>
          <w:b w:val="0"/>
          <w:sz w:val="22"/>
          <w:szCs w:val="22"/>
        </w:rPr>
        <w:t>.</w:t>
      </w:r>
    </w:p>
    <w:p w:rsidR="00A27522" w:rsidRPr="00E66AE9" w:rsidRDefault="00A27522" w:rsidP="00E66AE9"/>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47"/>
        <w:gridCol w:w="4678"/>
      </w:tblGrid>
      <w:tr w:rsidR="00790065" w:rsidRPr="00E66AE9" w:rsidTr="00790065">
        <w:trPr>
          <w:tblHeader/>
        </w:trPr>
        <w:tc>
          <w:tcPr>
            <w:tcW w:w="9747" w:type="dxa"/>
            <w:shd w:val="clear" w:color="auto" w:fill="262626"/>
          </w:tcPr>
          <w:p w:rsidR="00790065" w:rsidRPr="00E66AE9" w:rsidRDefault="00790065" w:rsidP="00E66AE9">
            <w:r w:rsidRPr="00E66AE9">
              <w:t>Inquiry Recommendation</w:t>
            </w:r>
          </w:p>
        </w:tc>
        <w:tc>
          <w:tcPr>
            <w:tcW w:w="4678" w:type="dxa"/>
            <w:shd w:val="clear" w:color="auto" w:fill="262626"/>
          </w:tcPr>
          <w:p w:rsidR="00790065" w:rsidRPr="00E66AE9" w:rsidRDefault="00790065" w:rsidP="00E66AE9">
            <w:r w:rsidRPr="00E66AE9">
              <w:t>Response</w:t>
            </w:r>
          </w:p>
        </w:tc>
      </w:tr>
      <w:tr w:rsidR="00790065" w:rsidRPr="00E66AE9" w:rsidTr="00790065">
        <w:tc>
          <w:tcPr>
            <w:tcW w:w="9747" w:type="dxa"/>
            <w:shd w:val="clear" w:color="auto" w:fill="A6A6A6"/>
          </w:tcPr>
          <w:p w:rsidR="00790065" w:rsidRPr="00E66AE9" w:rsidRDefault="00790065" w:rsidP="00E66AE9">
            <w:r w:rsidRPr="00E66AE9">
              <w:t>Road Alignment, Layout and Design</w:t>
            </w:r>
          </w:p>
        </w:tc>
        <w:tc>
          <w:tcPr>
            <w:tcW w:w="4678" w:type="dxa"/>
            <w:shd w:val="clear" w:color="auto" w:fill="A6A6A6"/>
          </w:tcPr>
          <w:p w:rsidR="00790065" w:rsidRPr="00E66AE9" w:rsidRDefault="00790065" w:rsidP="00E66AE9"/>
        </w:tc>
      </w:tr>
      <w:tr w:rsidR="00790065" w:rsidRPr="00E66AE9" w:rsidTr="00790065">
        <w:trPr>
          <w:trHeight w:val="772"/>
        </w:trPr>
        <w:tc>
          <w:tcPr>
            <w:tcW w:w="9747" w:type="dxa"/>
            <w:shd w:val="clear" w:color="auto" w:fill="FFFFFF"/>
          </w:tcPr>
          <w:p w:rsidR="00790065" w:rsidRPr="00E66AE9" w:rsidRDefault="00790065" w:rsidP="00485E38">
            <w:pPr>
              <w:rPr>
                <w:highlight w:val="yellow"/>
              </w:rPr>
            </w:pPr>
            <w:r>
              <w:t xml:space="preserve">1. VicRoads, in consultation with Councils, should consider the consolidation of any Farming Zone lots less than 40ha created as a result of the preferred Project alignment. </w:t>
            </w:r>
          </w:p>
        </w:tc>
        <w:tc>
          <w:tcPr>
            <w:tcW w:w="4678" w:type="dxa"/>
            <w:shd w:val="clear" w:color="auto" w:fill="FFFFFF"/>
          </w:tcPr>
          <w:p w:rsidR="00790065" w:rsidRPr="00E66AE9" w:rsidRDefault="00790065" w:rsidP="00E66AE9">
            <w:r>
              <w:t>Agreed</w:t>
            </w:r>
          </w:p>
        </w:tc>
      </w:tr>
      <w:tr w:rsidR="00790065" w:rsidRPr="00E66AE9" w:rsidTr="00790065">
        <w:tc>
          <w:tcPr>
            <w:tcW w:w="9747" w:type="dxa"/>
            <w:shd w:val="clear" w:color="auto" w:fill="FFFFFF"/>
          </w:tcPr>
          <w:p w:rsidR="00790065" w:rsidRPr="00E66AE9" w:rsidRDefault="00790065" w:rsidP="00485E38">
            <w:r>
              <w:t>2. Ararat Rural City Council should prepare, in collaboration with VicRoads and the local community, a structure plan for the Buangor Township.</w:t>
            </w:r>
          </w:p>
        </w:tc>
        <w:tc>
          <w:tcPr>
            <w:tcW w:w="4678" w:type="dxa"/>
            <w:shd w:val="clear" w:color="auto" w:fill="FFFFFF"/>
          </w:tcPr>
          <w:p w:rsidR="00790065" w:rsidRPr="00E66AE9" w:rsidRDefault="00790065" w:rsidP="00E66AE9">
            <w:r>
              <w:t>Agreed</w:t>
            </w:r>
          </w:p>
        </w:tc>
      </w:tr>
      <w:tr w:rsidR="00A27522" w:rsidRPr="00E66AE9" w:rsidTr="00790065">
        <w:tc>
          <w:tcPr>
            <w:tcW w:w="9747" w:type="dxa"/>
            <w:shd w:val="clear" w:color="auto" w:fill="FFFFFF"/>
          </w:tcPr>
          <w:p w:rsidR="00A27522" w:rsidRPr="00485E38" w:rsidRDefault="00A27522" w:rsidP="00485E38">
            <w:r>
              <w:t xml:space="preserve">3. The Minister for Planning should approve Planning Scheme Amendments C37 to the Pyrenees Planning Scheme and C27 to the Ararat Planning Scheme via the provisions of section 20(4) of the </w:t>
            </w:r>
            <w:r>
              <w:rPr>
                <w:i/>
              </w:rPr>
              <w:t>Planning and Environment Act 1987</w:t>
            </w:r>
            <w:r>
              <w:t xml:space="preserve">, including: </w:t>
            </w:r>
          </w:p>
          <w:p w:rsidR="00A27522" w:rsidRPr="009909E7" w:rsidRDefault="00A27522" w:rsidP="00485E38">
            <w:pPr>
              <w:rPr>
                <w:i/>
              </w:rPr>
            </w:pPr>
          </w:p>
        </w:tc>
        <w:tc>
          <w:tcPr>
            <w:tcW w:w="4678" w:type="dxa"/>
            <w:vMerge w:val="restart"/>
            <w:shd w:val="clear" w:color="auto" w:fill="FFFFFF"/>
          </w:tcPr>
          <w:p w:rsidR="00A27522" w:rsidRPr="00E66AE9" w:rsidRDefault="00A27522" w:rsidP="00E66AE9">
            <w:r>
              <w:t>Agreed</w:t>
            </w:r>
          </w:p>
        </w:tc>
      </w:tr>
      <w:tr w:rsidR="00A27522" w:rsidRPr="00E66AE9" w:rsidTr="00790065">
        <w:tc>
          <w:tcPr>
            <w:tcW w:w="9747" w:type="dxa"/>
            <w:shd w:val="clear" w:color="auto" w:fill="FFFFFF"/>
          </w:tcPr>
          <w:p w:rsidR="00A27522" w:rsidRPr="00E66AE9" w:rsidRDefault="00A27522" w:rsidP="005F2BEF">
            <w:pPr>
              <w:numPr>
                <w:ilvl w:val="0"/>
                <w:numId w:val="20"/>
              </w:numPr>
            </w:pPr>
            <w:r>
              <w:t>Introduction of the proposed Public Acquisition Overlays in the Pyrenees and Ararat Planning Schemes consistent with the preferred alignment as recommended in Part B of this report;</w:t>
            </w:r>
          </w:p>
        </w:tc>
        <w:tc>
          <w:tcPr>
            <w:tcW w:w="4678" w:type="dxa"/>
            <w:vMerge/>
            <w:shd w:val="clear" w:color="auto" w:fill="FFFFFF"/>
          </w:tcPr>
          <w:p w:rsidR="00A27522" w:rsidRPr="00E66AE9" w:rsidRDefault="00A27522" w:rsidP="00E66AE9"/>
        </w:tc>
      </w:tr>
      <w:tr w:rsidR="00A27522" w:rsidRPr="00E66AE9" w:rsidTr="00790065">
        <w:tc>
          <w:tcPr>
            <w:tcW w:w="9747" w:type="dxa"/>
            <w:shd w:val="clear" w:color="auto" w:fill="FFFFFF"/>
          </w:tcPr>
          <w:p w:rsidR="00A27522" w:rsidRPr="00E66AE9" w:rsidRDefault="00A27522" w:rsidP="005F2BEF">
            <w:pPr>
              <w:numPr>
                <w:ilvl w:val="0"/>
                <w:numId w:val="20"/>
              </w:numPr>
            </w:pPr>
            <w:r>
              <w:t>Amendments to Clause 52.03 ‘</w:t>
            </w:r>
            <w:r>
              <w:rPr>
                <w:i/>
              </w:rPr>
              <w:t>Specific Sites and Exclusions</w:t>
            </w:r>
            <w:r>
              <w:t>´ of the Pyrenees and Ararat Planning Schemes to exempt the Western Highway Project (Section 2 Beaufort – Ararat) and associated works from requiring planning permits; and</w:t>
            </w:r>
          </w:p>
        </w:tc>
        <w:tc>
          <w:tcPr>
            <w:tcW w:w="4678" w:type="dxa"/>
            <w:vMerge/>
            <w:shd w:val="clear" w:color="auto" w:fill="FFFFFF"/>
          </w:tcPr>
          <w:p w:rsidR="00A27522" w:rsidRPr="00E66AE9" w:rsidRDefault="00A27522" w:rsidP="00E66AE9"/>
        </w:tc>
      </w:tr>
      <w:tr w:rsidR="00A27522" w:rsidRPr="00E66AE9" w:rsidTr="00790065">
        <w:tc>
          <w:tcPr>
            <w:tcW w:w="9747" w:type="dxa"/>
            <w:shd w:val="clear" w:color="auto" w:fill="FFFFFF"/>
          </w:tcPr>
          <w:p w:rsidR="00A27522" w:rsidRPr="00E66AE9" w:rsidRDefault="00A27522" w:rsidP="005F2BEF">
            <w:pPr>
              <w:numPr>
                <w:ilvl w:val="0"/>
                <w:numId w:val="20"/>
              </w:numPr>
            </w:pPr>
            <w:r>
              <w:t>The proposed amendment to Clause 81.01 of the Pyrenees and Ararat Planning Schemes to introduce the ‘</w:t>
            </w:r>
            <w:r>
              <w:rPr>
                <w:i/>
              </w:rPr>
              <w:t xml:space="preserve">Western Highway Project: Section 2 – Beaufort to Ararat Incorporated Document’. </w:t>
            </w:r>
          </w:p>
        </w:tc>
        <w:tc>
          <w:tcPr>
            <w:tcW w:w="4678" w:type="dxa"/>
            <w:vMerge/>
            <w:shd w:val="clear" w:color="auto" w:fill="FFFFFF"/>
          </w:tcPr>
          <w:p w:rsidR="00A27522" w:rsidRPr="00E66AE9" w:rsidRDefault="00A27522" w:rsidP="00E66AE9"/>
        </w:tc>
      </w:tr>
      <w:tr w:rsidR="00790065" w:rsidRPr="00E66AE9" w:rsidTr="00790065">
        <w:tc>
          <w:tcPr>
            <w:tcW w:w="9747" w:type="dxa"/>
            <w:shd w:val="clear" w:color="auto" w:fill="FFFFFF"/>
          </w:tcPr>
          <w:p w:rsidR="00790065" w:rsidRPr="00E66AE9" w:rsidRDefault="00790065" w:rsidP="00485E38">
            <w:r>
              <w:t>The Panel recommends, subject to the implementation of mitigation measures proposed by VicRoads, and subject to</w:t>
            </w:r>
            <w:r w:rsidR="004F7E56">
              <w:t xml:space="preserve"> </w:t>
            </w:r>
            <w:r>
              <w:t>the minor design changes presented to</w:t>
            </w:r>
            <w:r w:rsidR="004F7E56">
              <w:t xml:space="preserve"> </w:t>
            </w:r>
            <w:r>
              <w:t xml:space="preserve">the Panel Hearing, that VicRoads’ alignment Option 1 be adopted as a basis for detailed design and the implementation of Public Acquisition Overlays as proposed in Draft Planning Scheme Amendments C37 to the Pyrenees Planning Scheme and C27 to the Ararat Planning Scheme. </w:t>
            </w:r>
          </w:p>
        </w:tc>
        <w:tc>
          <w:tcPr>
            <w:tcW w:w="4678" w:type="dxa"/>
            <w:shd w:val="clear" w:color="auto" w:fill="FFFFFF"/>
          </w:tcPr>
          <w:p w:rsidR="00790065" w:rsidRPr="00E66AE9" w:rsidRDefault="00790065" w:rsidP="00E66AE9">
            <w:r>
              <w:t>Agreed</w:t>
            </w:r>
          </w:p>
        </w:tc>
      </w:tr>
    </w:tbl>
    <w:p w:rsidR="001B5CAE" w:rsidRPr="00A27522" w:rsidRDefault="001B5CAE" w:rsidP="00B47504">
      <w:pPr>
        <w:rPr>
          <w:sz w:val="2"/>
          <w:szCs w:val="2"/>
        </w:rPr>
      </w:pPr>
    </w:p>
    <w:sectPr w:rsidR="001B5CAE" w:rsidRPr="00A27522" w:rsidSect="00A27522">
      <w:pgSz w:w="16838" w:h="11906" w:orient="landscape"/>
      <w:pgMar w:top="1418" w:right="1134"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3A" w:rsidRDefault="00A10F3A">
      <w:r>
        <w:separator/>
      </w:r>
    </w:p>
  </w:endnote>
  <w:endnote w:type="continuationSeparator" w:id="0">
    <w:p w:rsidR="00A10F3A" w:rsidRDefault="00A1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228"/>
      <w:docPartObj>
        <w:docPartGallery w:val="Page Numbers (Bottom of Page)"/>
        <w:docPartUnique/>
      </w:docPartObj>
    </w:sdtPr>
    <w:sdtEndPr/>
    <w:sdtContent>
      <w:p w:rsidR="00674ABA" w:rsidRDefault="000F57C9">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674ABA" w:rsidRPr="00376296" w:rsidRDefault="00674ABA" w:rsidP="00376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3A" w:rsidRDefault="00A10F3A">
      <w:r>
        <w:separator/>
      </w:r>
    </w:p>
  </w:footnote>
  <w:footnote w:type="continuationSeparator" w:id="0">
    <w:p w:rsidR="00A10F3A" w:rsidRDefault="00A10F3A">
      <w:r>
        <w:continuationSeparator/>
      </w:r>
    </w:p>
  </w:footnote>
  <w:footnote w:id="1">
    <w:p w:rsidR="00674ABA" w:rsidRPr="008D69CC" w:rsidRDefault="00674ABA" w:rsidP="00275B65">
      <w:pPr>
        <w:pStyle w:val="FootnoteText"/>
        <w:spacing w:before="0"/>
      </w:pPr>
      <w:r>
        <w:rPr>
          <w:rStyle w:val="FootnoteReference"/>
        </w:rPr>
        <w:footnoteRef/>
      </w:r>
      <w:r>
        <w:t xml:space="preserve"> See </w:t>
      </w:r>
      <w:r>
        <w:rPr>
          <w:i/>
        </w:rPr>
        <w:t xml:space="preserve">Ministerial guidelines for assessment of environmental effects under the Environment Effects Act 1978 </w:t>
      </w:r>
      <w:r>
        <w:t xml:space="preserve">made under section 10 of the EE Act; pp. 19 and 27. </w:t>
      </w:r>
    </w:p>
  </w:footnote>
  <w:footnote w:id="2">
    <w:p w:rsidR="00674ABA" w:rsidRDefault="00674ABA">
      <w:pPr>
        <w:pStyle w:val="FootnoteText"/>
      </w:pPr>
      <w:r>
        <w:rPr>
          <w:rStyle w:val="FootnoteReference"/>
        </w:rPr>
        <w:footnoteRef/>
      </w:r>
      <w:r>
        <w:t xml:space="preserve"> See EES page 2-5</w:t>
      </w:r>
    </w:p>
  </w:footnote>
  <w:footnote w:id="3">
    <w:p w:rsidR="00674ABA" w:rsidRDefault="00674ABA">
      <w:pPr>
        <w:pStyle w:val="FootnoteText"/>
      </w:pPr>
      <w:r>
        <w:rPr>
          <w:rStyle w:val="FootnoteReference"/>
        </w:rPr>
        <w:footnoteRef/>
      </w:r>
      <w:r>
        <w:t xml:space="preserve"> See p. 69 of Appendix D to the EES</w:t>
      </w:r>
    </w:p>
  </w:footnote>
  <w:footnote w:id="4">
    <w:p w:rsidR="00674ABA" w:rsidRDefault="00674ABA" w:rsidP="00F35DB9">
      <w:pPr>
        <w:pStyle w:val="FootnoteText"/>
      </w:pPr>
      <w:r>
        <w:rPr>
          <w:rStyle w:val="FootnoteReference"/>
        </w:rPr>
        <w:footnoteRef/>
      </w:r>
      <w:r>
        <w:t xml:space="preserve"> See EES p. 13-2. </w:t>
      </w:r>
    </w:p>
  </w:footnote>
  <w:footnote w:id="5">
    <w:p w:rsidR="00674ABA" w:rsidRDefault="00674ABA">
      <w:pPr>
        <w:pStyle w:val="FootnoteText"/>
      </w:pPr>
      <w:r>
        <w:rPr>
          <w:rStyle w:val="FootnoteReference"/>
        </w:rPr>
        <w:footnoteRef/>
      </w:r>
      <w:r>
        <w:t xml:space="preserve"> See Document 9 tabled at Inquiry (Emails and Drawings for Alignment Options along Existing Highway at Base of Mt Langi Ghiran (GHD, June 2012) </w:t>
      </w:r>
    </w:p>
  </w:footnote>
  <w:footnote w:id="6">
    <w:p w:rsidR="00674ABA" w:rsidRDefault="00674ABA">
      <w:pPr>
        <w:pStyle w:val="FootnoteText"/>
      </w:pPr>
      <w:r>
        <w:rPr>
          <w:rStyle w:val="FootnoteReference"/>
        </w:rPr>
        <w:footnoteRef/>
      </w:r>
      <w:r>
        <w:t xml:space="preserve"> See Statement of Expert Evidence by Ecology &amp; Heritage Partners (November 2012) page 33.</w:t>
      </w:r>
    </w:p>
  </w:footnote>
  <w:footnote w:id="7">
    <w:p w:rsidR="00674ABA" w:rsidRDefault="00674ABA" w:rsidP="003C0F4A">
      <w:pPr>
        <w:pStyle w:val="FootnoteText"/>
      </w:pPr>
      <w:r>
        <w:rPr>
          <w:rStyle w:val="FootnoteReference"/>
        </w:rPr>
        <w:footnoteRef/>
      </w:r>
      <w:r>
        <w:t xml:space="preserve"> See </w:t>
      </w:r>
      <w:r w:rsidRPr="00B06F9E">
        <w:rPr>
          <w:i/>
        </w:rPr>
        <w:t>Victoria</w:t>
      </w:r>
      <w:r>
        <w:rPr>
          <w:i/>
        </w:rPr>
        <w:t>’s Native Vegetation Management,</w:t>
      </w:r>
      <w:r w:rsidRPr="00B06F9E">
        <w:rPr>
          <w:i/>
        </w:rPr>
        <w:t xml:space="preserve"> A Framework for Action</w:t>
      </w:r>
      <w:r>
        <w:t xml:space="preserve"> (DSE, 2002), </w:t>
      </w:r>
      <w:r w:rsidRPr="00B06F9E">
        <w:t>Table 6, Appendix 4</w:t>
      </w:r>
      <w:r>
        <w:t xml:space="preserve"> (page 54).</w:t>
      </w:r>
    </w:p>
  </w:footnote>
  <w:footnote w:id="8">
    <w:p w:rsidR="00674ABA" w:rsidRDefault="00674ABA">
      <w:pPr>
        <w:pStyle w:val="FootnoteText"/>
      </w:pPr>
      <w:r>
        <w:rPr>
          <w:rStyle w:val="FootnoteReference"/>
        </w:rPr>
        <w:footnoteRef/>
      </w:r>
      <w:r>
        <w:t xml:space="preserve"> Details of the aquatic surveys, which were conducted across all suitable creeks and drainage lines, are provided in the EES Appendix H, page 30. Survey methods included bait trapping, fyke netting, electrofishing and dip netting.</w:t>
      </w:r>
    </w:p>
  </w:footnote>
  <w:footnote w:id="9">
    <w:p w:rsidR="00674ABA" w:rsidRDefault="00674ABA">
      <w:pPr>
        <w:pStyle w:val="FootnoteText"/>
      </w:pPr>
      <w:r>
        <w:rPr>
          <w:rStyle w:val="FootnoteReference"/>
        </w:rPr>
        <w:footnoteRef/>
      </w:r>
      <w:r>
        <w:t xml:space="preserve"> Details of the targeted Golden Sun Moth surveys are provided in the EES Appendix h page 28.</w:t>
      </w:r>
    </w:p>
  </w:footnote>
  <w:footnote w:id="10">
    <w:p w:rsidR="00674ABA" w:rsidRDefault="00674ABA" w:rsidP="00FD60F0">
      <w:pPr>
        <w:pStyle w:val="FootnoteText"/>
      </w:pPr>
      <w:r>
        <w:rPr>
          <w:rStyle w:val="FootnoteReference"/>
        </w:rPr>
        <w:footnoteRef/>
      </w:r>
      <w:r>
        <w:t xml:space="preserve"> These two communities correspond with some components of the endangered EVCs identified as Plains Grassland and Plains Grassy Woodland under the NVMF.</w:t>
      </w:r>
    </w:p>
  </w:footnote>
  <w:footnote w:id="11">
    <w:p w:rsidR="00674ABA" w:rsidRDefault="00674ABA" w:rsidP="00FD60F0">
      <w:pPr>
        <w:pStyle w:val="FootnoteText"/>
      </w:pPr>
      <w:r>
        <w:rPr>
          <w:rStyle w:val="FootnoteReference"/>
        </w:rPr>
        <w:footnoteRef/>
      </w:r>
      <w:r>
        <w:t xml:space="preserve"> </w:t>
      </w:r>
      <w:r w:rsidRPr="002A4D24">
        <w:rPr>
          <w:i/>
        </w:rPr>
        <w:t>Matters of National Environmental Significance- Significant Impact Guidelines 1.1 Environment Protection and Biodiversity Conservation Act 1999</w:t>
      </w:r>
    </w:p>
  </w:footnote>
  <w:footnote w:id="12">
    <w:p w:rsidR="00674ABA" w:rsidRDefault="00674ABA">
      <w:pPr>
        <w:pStyle w:val="FootnoteText"/>
      </w:pPr>
      <w:r>
        <w:rPr>
          <w:rStyle w:val="FootnoteReference"/>
        </w:rPr>
        <w:footnoteRef/>
      </w:r>
      <w:r>
        <w:t xml:space="preserve"> See EES page 13-34</w:t>
      </w:r>
    </w:p>
  </w:footnote>
  <w:footnote w:id="13">
    <w:p w:rsidR="00674ABA" w:rsidRDefault="00674ABA">
      <w:pPr>
        <w:pStyle w:val="FootnoteText"/>
      </w:pPr>
      <w:r>
        <w:rPr>
          <w:rStyle w:val="FootnoteReference"/>
        </w:rPr>
        <w:footnoteRef/>
      </w:r>
      <w:r>
        <w:t xml:space="preserve"> See p. 130-131 of Appendix H to the EES</w:t>
      </w:r>
    </w:p>
  </w:footnote>
  <w:footnote w:id="14">
    <w:p w:rsidR="00674ABA" w:rsidRDefault="00674ABA">
      <w:pPr>
        <w:pStyle w:val="FootnoteText"/>
      </w:pPr>
      <w:r>
        <w:rPr>
          <w:rStyle w:val="FootnoteReference"/>
        </w:rPr>
        <w:footnoteRef/>
      </w:r>
      <w:r>
        <w:t xml:space="preserve"> See EES p. 8-10 and 11</w:t>
      </w:r>
    </w:p>
  </w:footnote>
  <w:footnote w:id="15">
    <w:p w:rsidR="00674ABA" w:rsidRDefault="00674ABA">
      <w:pPr>
        <w:pStyle w:val="FootnoteText"/>
      </w:pPr>
      <w:r>
        <w:rPr>
          <w:rStyle w:val="FootnoteReference"/>
        </w:rPr>
        <w:footnoteRef/>
      </w:r>
      <w:r>
        <w:t xml:space="preserve"> Clause 22.06-03 of the Pyrenees Planning Scheme and Clause 21.04-02 of the Ararat Planning Scheme. </w:t>
      </w:r>
    </w:p>
  </w:footnote>
  <w:footnote w:id="16">
    <w:p w:rsidR="00674ABA" w:rsidRDefault="00674ABA">
      <w:pPr>
        <w:pStyle w:val="FootnoteText"/>
      </w:pPr>
      <w:r>
        <w:rPr>
          <w:rStyle w:val="FootnoteReference"/>
        </w:rPr>
        <w:footnoteRef/>
      </w:r>
      <w:r>
        <w:t xml:space="preserve"> See Appendix C to the EES</w:t>
      </w:r>
    </w:p>
  </w:footnote>
  <w:footnote w:id="17">
    <w:p w:rsidR="00674ABA" w:rsidRDefault="00674ABA" w:rsidP="006C6BD2">
      <w:pPr>
        <w:pStyle w:val="FootnoteText"/>
      </w:pPr>
      <w:r>
        <w:rPr>
          <w:rStyle w:val="FootnoteReference"/>
        </w:rPr>
        <w:footnoteRef/>
      </w:r>
      <w:r>
        <w:t xml:space="preserve"> See p. 66 of Appendix D to the EES</w:t>
      </w:r>
    </w:p>
  </w:footnote>
  <w:footnote w:id="18">
    <w:p w:rsidR="00674ABA" w:rsidRDefault="00674ABA" w:rsidP="006C6BD2">
      <w:pPr>
        <w:pStyle w:val="FootnoteText"/>
      </w:pPr>
      <w:r>
        <w:rPr>
          <w:rStyle w:val="FootnoteReference"/>
        </w:rPr>
        <w:footnoteRef/>
      </w:r>
      <w:r>
        <w:t xml:space="preserve"> See EES p. 5-28. </w:t>
      </w:r>
    </w:p>
  </w:footnote>
  <w:footnote w:id="19">
    <w:p w:rsidR="00674ABA" w:rsidRDefault="00674ABA" w:rsidP="006C6BD2">
      <w:pPr>
        <w:pStyle w:val="FootnoteText"/>
      </w:pPr>
      <w:r>
        <w:rPr>
          <w:rStyle w:val="FootnoteReference"/>
        </w:rPr>
        <w:footnoteRef/>
      </w:r>
      <w:r>
        <w:t xml:space="preserve"> See Inquiry Report p. 23</w:t>
      </w:r>
    </w:p>
  </w:footnote>
  <w:footnote w:id="20">
    <w:p w:rsidR="00674ABA" w:rsidRDefault="00674ABA">
      <w:pPr>
        <w:pStyle w:val="FootnoteText"/>
      </w:pPr>
      <w:r>
        <w:rPr>
          <w:rStyle w:val="FootnoteReference"/>
        </w:rPr>
        <w:footnoteRef/>
      </w:r>
      <w:r>
        <w:t xml:space="preserve"> See p. 44 – 46 of Appendix C to the EES.</w:t>
      </w:r>
    </w:p>
  </w:footnote>
  <w:footnote w:id="21">
    <w:p w:rsidR="00674ABA" w:rsidRDefault="00674ABA">
      <w:pPr>
        <w:pStyle w:val="FootnoteText"/>
      </w:pPr>
      <w:r>
        <w:rPr>
          <w:rStyle w:val="FootnoteReference"/>
        </w:rPr>
        <w:footnoteRef/>
      </w:r>
      <w:r>
        <w:t xml:space="preserve"> See EES p. 8-9 and p. 43 of Appendix C to the EES </w:t>
      </w:r>
    </w:p>
  </w:footnote>
  <w:footnote w:id="22">
    <w:p w:rsidR="00674ABA" w:rsidRDefault="00674ABA">
      <w:pPr>
        <w:pStyle w:val="FootnoteText"/>
      </w:pPr>
      <w:r>
        <w:rPr>
          <w:rStyle w:val="FootnoteReference"/>
        </w:rPr>
        <w:footnoteRef/>
      </w:r>
      <w:r>
        <w:t xml:space="preserve"> See p. 44 – 46 of Appendix C to the EES</w:t>
      </w:r>
    </w:p>
  </w:footnote>
  <w:footnote w:id="23">
    <w:p w:rsidR="00674ABA" w:rsidRDefault="00674ABA" w:rsidP="00456EE3">
      <w:pPr>
        <w:pStyle w:val="FootnoteText"/>
      </w:pPr>
      <w:r>
        <w:rPr>
          <w:rStyle w:val="FootnoteReference"/>
        </w:rPr>
        <w:footnoteRef/>
      </w:r>
      <w:r>
        <w:t xml:space="preserve"> Inquiry Report p. 24. </w:t>
      </w:r>
    </w:p>
  </w:footnote>
  <w:footnote w:id="24">
    <w:p w:rsidR="00674ABA" w:rsidRDefault="00674ABA" w:rsidP="00456EE3">
      <w:pPr>
        <w:pStyle w:val="FootnoteText"/>
      </w:pPr>
      <w:r>
        <w:rPr>
          <w:rStyle w:val="FootnoteReference"/>
        </w:rPr>
        <w:footnoteRef/>
      </w:r>
      <w:r>
        <w:t xml:space="preserve"> EES p. 8-1. </w:t>
      </w:r>
    </w:p>
  </w:footnote>
  <w:footnote w:id="25">
    <w:p w:rsidR="00674ABA" w:rsidRPr="00DA1B0E" w:rsidRDefault="00674ABA" w:rsidP="00456EE3">
      <w:pPr>
        <w:pStyle w:val="FootnoteText"/>
      </w:pPr>
      <w:r w:rsidRPr="00DA1B0E">
        <w:rPr>
          <w:rStyle w:val="FootnoteReference"/>
        </w:rPr>
        <w:footnoteRef/>
      </w:r>
      <w:r w:rsidRPr="00DA1B0E">
        <w:t xml:space="preserve"> See p. 34 of Appendix P to the EES</w:t>
      </w:r>
    </w:p>
  </w:footnote>
  <w:footnote w:id="26">
    <w:p w:rsidR="00674ABA" w:rsidRPr="00DA1B0E" w:rsidRDefault="00674ABA" w:rsidP="00456EE3">
      <w:pPr>
        <w:pStyle w:val="FootnoteText"/>
      </w:pPr>
      <w:r w:rsidRPr="00DA1B0E">
        <w:rPr>
          <w:rStyle w:val="FootnoteReference"/>
        </w:rPr>
        <w:footnoteRef/>
      </w:r>
      <w:r w:rsidRPr="00DA1B0E">
        <w:t xml:space="preserve"> EES Appendix P, p.34 </w:t>
      </w:r>
    </w:p>
  </w:footnote>
  <w:footnote w:id="27">
    <w:p w:rsidR="00674ABA" w:rsidRDefault="00674ABA" w:rsidP="00456EE3">
      <w:pPr>
        <w:pStyle w:val="FootnoteText"/>
      </w:pPr>
      <w:r w:rsidRPr="00DA1B0E">
        <w:rPr>
          <w:rStyle w:val="FootnoteReference"/>
        </w:rPr>
        <w:footnoteRef/>
      </w:r>
      <w:r w:rsidRPr="00DA1B0E">
        <w:t xml:space="preserve"> Inquiry Report, p. 21</w:t>
      </w:r>
    </w:p>
  </w:footnote>
  <w:footnote w:id="28">
    <w:p w:rsidR="00674ABA" w:rsidRDefault="00674ABA" w:rsidP="00E43CC5">
      <w:pPr>
        <w:pStyle w:val="FootnoteText"/>
      </w:pPr>
      <w:r>
        <w:rPr>
          <w:rStyle w:val="FootnoteReference"/>
        </w:rPr>
        <w:footnoteRef/>
      </w:r>
      <w:r>
        <w:t xml:space="preserve"> See section 3.2 of Road Design Note: Interpretation and application of VicRoads Traffic Noise Reduction Policy 2005. </w:t>
      </w:r>
    </w:p>
  </w:footnote>
  <w:footnote w:id="29">
    <w:p w:rsidR="00674ABA" w:rsidRDefault="00674ABA" w:rsidP="00E43CC5">
      <w:pPr>
        <w:pStyle w:val="FootnoteText"/>
      </w:pPr>
      <w:r>
        <w:rPr>
          <w:rStyle w:val="FootnoteReference"/>
        </w:rPr>
        <w:footnoteRef/>
      </w:r>
      <w:r>
        <w:t xml:space="preserve"> See Table 32 of Appendix M to the EES. </w:t>
      </w:r>
    </w:p>
  </w:footnote>
  <w:footnote w:id="30">
    <w:p w:rsidR="00674ABA" w:rsidRDefault="00674ABA" w:rsidP="00BC751A">
      <w:pPr>
        <w:pStyle w:val="FootnoteText"/>
      </w:pPr>
      <w:r>
        <w:rPr>
          <w:rStyle w:val="FootnoteReference"/>
        </w:rPr>
        <w:footnoteRef/>
      </w:r>
      <w:r>
        <w:t xml:space="preserve"> See EES p. 56</w:t>
      </w:r>
    </w:p>
  </w:footnote>
  <w:footnote w:id="31">
    <w:p w:rsidR="00674ABA" w:rsidRDefault="00674ABA" w:rsidP="00E43CC5">
      <w:pPr>
        <w:pStyle w:val="FootnoteText"/>
      </w:pPr>
      <w:r>
        <w:rPr>
          <w:rStyle w:val="FootnoteReference"/>
        </w:rPr>
        <w:footnoteRef/>
      </w:r>
      <w:r>
        <w:t xml:space="preserve"> See p. 64 of Appendix M of the EES. </w:t>
      </w:r>
    </w:p>
  </w:footnote>
  <w:footnote w:id="32">
    <w:p w:rsidR="00674ABA" w:rsidRDefault="00674ABA" w:rsidP="00E43CC5">
      <w:pPr>
        <w:pStyle w:val="FootnoteText"/>
      </w:pPr>
      <w:r>
        <w:rPr>
          <w:rStyle w:val="FootnoteReference"/>
        </w:rPr>
        <w:footnoteRef/>
      </w:r>
      <w:r>
        <w:t xml:space="preserve"> See EES p. 16-14.</w:t>
      </w:r>
    </w:p>
  </w:footnote>
  <w:footnote w:id="33">
    <w:p w:rsidR="00674ABA" w:rsidRDefault="00674ABA" w:rsidP="00456EE3">
      <w:pPr>
        <w:pStyle w:val="FootnoteText"/>
      </w:pPr>
      <w:r>
        <w:rPr>
          <w:rStyle w:val="FootnoteReference"/>
        </w:rPr>
        <w:footnoteRef/>
      </w:r>
      <w:r>
        <w:t xml:space="preserve"> See EES p. 15-1</w:t>
      </w:r>
    </w:p>
  </w:footnote>
  <w:footnote w:id="34">
    <w:p w:rsidR="00674ABA" w:rsidRDefault="00674ABA" w:rsidP="00456EE3">
      <w:pPr>
        <w:pStyle w:val="FootnoteText"/>
      </w:pPr>
      <w:r>
        <w:rPr>
          <w:rStyle w:val="FootnoteReference"/>
        </w:rPr>
        <w:footnoteRef/>
      </w:r>
      <w:r>
        <w:t xml:space="preserve"> See EES p. 15-10</w:t>
      </w:r>
    </w:p>
  </w:footnote>
  <w:footnote w:id="35">
    <w:p w:rsidR="00674ABA" w:rsidRDefault="00674ABA">
      <w:pPr>
        <w:pStyle w:val="FootnoteText"/>
      </w:pPr>
      <w:r>
        <w:rPr>
          <w:rStyle w:val="FootnoteReference"/>
        </w:rPr>
        <w:footnoteRef/>
      </w:r>
      <w:r>
        <w:t xml:space="preserve"> See Table 17-2 in EES</w:t>
      </w:r>
    </w:p>
  </w:footnote>
  <w:footnote w:id="36">
    <w:p w:rsidR="00674ABA" w:rsidRDefault="00674ABA">
      <w:pPr>
        <w:pStyle w:val="FootnoteText"/>
      </w:pPr>
      <w:r>
        <w:rPr>
          <w:rStyle w:val="FootnoteReference"/>
        </w:rPr>
        <w:footnoteRef/>
      </w:r>
      <w:r>
        <w:t xml:space="preserve"> See EES p. 17-12</w:t>
      </w:r>
    </w:p>
  </w:footnote>
  <w:footnote w:id="37">
    <w:p w:rsidR="00674ABA" w:rsidRDefault="00674ABA">
      <w:pPr>
        <w:pStyle w:val="FootnoteText"/>
      </w:pPr>
      <w:r>
        <w:rPr>
          <w:rStyle w:val="FootnoteReference"/>
        </w:rPr>
        <w:footnoteRef/>
      </w:r>
      <w:r>
        <w:t xml:space="preserve"> See EES p.17-17</w:t>
      </w:r>
    </w:p>
  </w:footnote>
  <w:footnote w:id="38">
    <w:p w:rsidR="00674ABA" w:rsidRDefault="00674ABA" w:rsidP="00456EE3">
      <w:pPr>
        <w:pStyle w:val="FootnoteText"/>
      </w:pPr>
      <w:r>
        <w:rPr>
          <w:rStyle w:val="FootnoteReference"/>
        </w:rPr>
        <w:footnoteRef/>
      </w:r>
      <w:r>
        <w:t xml:space="preserve"> See EES p. 10-12 </w:t>
      </w:r>
    </w:p>
  </w:footnote>
  <w:footnote w:id="39">
    <w:p w:rsidR="00674ABA" w:rsidRDefault="00674ABA" w:rsidP="00456EE3">
      <w:pPr>
        <w:pStyle w:val="FootnoteText"/>
      </w:pPr>
      <w:r>
        <w:rPr>
          <w:rStyle w:val="FootnoteReference"/>
        </w:rPr>
        <w:footnoteRef/>
      </w:r>
      <w:r>
        <w:t xml:space="preserve"> See Panel Report p. 35</w:t>
      </w:r>
    </w:p>
  </w:footnote>
  <w:footnote w:id="40">
    <w:p w:rsidR="00674ABA" w:rsidRPr="009357F7" w:rsidRDefault="00674ABA">
      <w:pPr>
        <w:pStyle w:val="FootnoteText"/>
      </w:pPr>
      <w:r w:rsidRPr="009357F7">
        <w:rPr>
          <w:rStyle w:val="FootnoteReference"/>
        </w:rPr>
        <w:footnoteRef/>
      </w:r>
      <w:r w:rsidRPr="009357F7">
        <w:t xml:space="preserve"> See EES p. 12-6 cf. with p. 3 and Table 20 of Appendix G</w:t>
      </w:r>
    </w:p>
  </w:footnote>
  <w:footnote w:id="41">
    <w:p w:rsidR="00674ABA" w:rsidRPr="009357F7" w:rsidRDefault="00674ABA" w:rsidP="00456EE3">
      <w:pPr>
        <w:pStyle w:val="FootnoteText"/>
      </w:pPr>
      <w:r w:rsidRPr="009357F7">
        <w:rPr>
          <w:rStyle w:val="FootnoteReference"/>
        </w:rPr>
        <w:footnoteRef/>
      </w:r>
      <w:r w:rsidRPr="009357F7">
        <w:t xml:space="preserve"> See Panel Report p. 37</w:t>
      </w:r>
    </w:p>
  </w:footnote>
  <w:footnote w:id="42">
    <w:p w:rsidR="00674ABA" w:rsidRDefault="00674ABA">
      <w:pPr>
        <w:pStyle w:val="FootnoteText"/>
      </w:pPr>
      <w:r w:rsidRPr="009357F7">
        <w:rPr>
          <w:rStyle w:val="FootnoteReference"/>
        </w:rPr>
        <w:footnoteRef/>
      </w:r>
      <w:r w:rsidRPr="009357F7">
        <w:t xml:space="preserve"> See EES p. 11-7.</w:t>
      </w:r>
    </w:p>
  </w:footnote>
  <w:footnote w:id="43">
    <w:p w:rsidR="00674ABA" w:rsidRPr="00F4605F" w:rsidRDefault="00674ABA">
      <w:pPr>
        <w:pStyle w:val="FootnoteText"/>
        <w:rPr>
          <w:i/>
        </w:rPr>
      </w:pPr>
      <w:r>
        <w:rPr>
          <w:rStyle w:val="FootnoteReference"/>
        </w:rPr>
        <w:footnoteRef/>
      </w:r>
      <w:r>
        <w:t xml:space="preserve"> </w:t>
      </w:r>
      <w:r>
        <w:rPr>
          <w:i/>
        </w:rPr>
        <w:t>Ibid.</w:t>
      </w:r>
    </w:p>
  </w:footnote>
  <w:footnote w:id="44">
    <w:p w:rsidR="00674ABA" w:rsidRDefault="00674ABA">
      <w:pPr>
        <w:pStyle w:val="FootnoteText"/>
      </w:pPr>
      <w:r>
        <w:rPr>
          <w:rStyle w:val="FootnoteReference"/>
        </w:rPr>
        <w:footnoteRef/>
      </w:r>
      <w:r>
        <w:t xml:space="preserve"> See EES p. 11-1. </w:t>
      </w:r>
    </w:p>
  </w:footnote>
  <w:footnote w:id="45">
    <w:p w:rsidR="00674ABA" w:rsidRDefault="00674ABA">
      <w:pPr>
        <w:pStyle w:val="FootnoteText"/>
      </w:pPr>
      <w:r>
        <w:rPr>
          <w:rStyle w:val="FootnoteReference"/>
        </w:rPr>
        <w:footnoteRef/>
      </w:r>
      <w:r>
        <w:t xml:space="preserve"> See EES p. 11-4. </w:t>
      </w:r>
    </w:p>
  </w:footnote>
  <w:footnote w:id="46">
    <w:p w:rsidR="00674ABA" w:rsidRDefault="00674ABA">
      <w:pPr>
        <w:pStyle w:val="FootnoteText"/>
      </w:pPr>
      <w:r>
        <w:rPr>
          <w:rStyle w:val="FootnoteReference"/>
        </w:rPr>
        <w:footnoteRef/>
      </w:r>
      <w:r>
        <w:t xml:space="preserve"> See EES p.11-10</w:t>
      </w:r>
    </w:p>
  </w:footnote>
  <w:footnote w:id="47">
    <w:p w:rsidR="00674ABA" w:rsidRDefault="00674ABA">
      <w:pPr>
        <w:pStyle w:val="FootnoteText"/>
      </w:pPr>
      <w:r>
        <w:rPr>
          <w:rStyle w:val="FootnoteReference"/>
        </w:rPr>
        <w:footnoteRef/>
      </w:r>
      <w:r>
        <w:t xml:space="preserve"> See Panel Report p. 33. </w:t>
      </w:r>
    </w:p>
  </w:footnote>
  <w:footnote w:id="48">
    <w:p w:rsidR="00674ABA" w:rsidRDefault="00674ABA">
      <w:pPr>
        <w:pStyle w:val="FootnoteText"/>
      </w:pPr>
      <w:r>
        <w:rPr>
          <w:rStyle w:val="FootnoteReference"/>
        </w:rPr>
        <w:footnoteRef/>
      </w:r>
      <w:r>
        <w:t xml:space="preserve"> See p 14-1 of the EES. </w:t>
      </w:r>
    </w:p>
  </w:footnote>
  <w:footnote w:id="49">
    <w:p w:rsidR="00674ABA" w:rsidRDefault="00674ABA">
      <w:pPr>
        <w:pStyle w:val="FootnoteText"/>
      </w:pPr>
      <w:r>
        <w:rPr>
          <w:rStyle w:val="FootnoteReference"/>
        </w:rPr>
        <w:footnoteRef/>
      </w:r>
      <w:r>
        <w:t xml:space="preserve"> See Table 14-5 of the EES. </w:t>
      </w:r>
    </w:p>
  </w:footnote>
  <w:footnote w:id="50">
    <w:p w:rsidR="00674ABA" w:rsidRDefault="00674ABA">
      <w:pPr>
        <w:pStyle w:val="FootnoteText"/>
      </w:pPr>
      <w:r>
        <w:rPr>
          <w:rStyle w:val="FootnoteReference"/>
        </w:rPr>
        <w:footnoteRef/>
      </w:r>
      <w:r>
        <w:t xml:space="preserve"> See p. 47 of the Inquiry report.</w:t>
      </w:r>
    </w:p>
  </w:footnote>
  <w:footnote w:id="51">
    <w:p w:rsidR="00674ABA" w:rsidRDefault="00674ABA">
      <w:pPr>
        <w:pStyle w:val="FootnoteText"/>
      </w:pPr>
      <w:r>
        <w:rPr>
          <w:rStyle w:val="FootnoteReference"/>
        </w:rPr>
        <w:footnoteRef/>
      </w:r>
      <w:r>
        <w:t xml:space="preserve"> See EES p. 14-1</w:t>
      </w:r>
    </w:p>
  </w:footnote>
  <w:footnote w:id="52">
    <w:p w:rsidR="00674ABA" w:rsidRDefault="00674ABA" w:rsidP="00DB6EF1">
      <w:pPr>
        <w:pStyle w:val="FootnoteText"/>
      </w:pPr>
      <w:r>
        <w:rPr>
          <w:rStyle w:val="FootnoteReference"/>
        </w:rPr>
        <w:footnoteRef/>
      </w:r>
      <w:r>
        <w:t xml:space="preserve"> See p. 81 of the Inquiry report</w:t>
      </w:r>
    </w:p>
  </w:footnote>
  <w:footnote w:id="53">
    <w:p w:rsidR="00674ABA" w:rsidRDefault="00674ABA" w:rsidP="00015C2D">
      <w:pPr>
        <w:pStyle w:val="FootnoteText"/>
      </w:pPr>
      <w:r>
        <w:rPr>
          <w:rStyle w:val="FootnoteReference"/>
        </w:rPr>
        <w:footnoteRef/>
      </w:r>
      <w:r>
        <w:t xml:space="preserve"> See EES p. 19-7</w:t>
      </w:r>
    </w:p>
  </w:footnote>
  <w:footnote w:id="54">
    <w:p w:rsidR="00674ABA" w:rsidRDefault="00674ABA" w:rsidP="00280581">
      <w:pPr>
        <w:pStyle w:val="FootnoteText"/>
        <w:spacing w:before="0" w:after="0"/>
      </w:pPr>
      <w:r>
        <w:rPr>
          <w:rStyle w:val="FootnoteReference"/>
        </w:rPr>
        <w:footnoteRef/>
      </w:r>
      <w:r>
        <w:t xml:space="preserve"> See p.128 of the Inquiry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2E7"/>
    <w:multiLevelType w:val="hybridMultilevel"/>
    <w:tmpl w:val="D1AE9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BC139C"/>
    <w:multiLevelType w:val="hybridMultilevel"/>
    <w:tmpl w:val="DFD0F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F215A3"/>
    <w:multiLevelType w:val="hybridMultilevel"/>
    <w:tmpl w:val="689CC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22135F"/>
    <w:multiLevelType w:val="hybridMultilevel"/>
    <w:tmpl w:val="C8ECA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966938"/>
    <w:multiLevelType w:val="hybridMultilevel"/>
    <w:tmpl w:val="995A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9790A"/>
    <w:multiLevelType w:val="hybridMultilevel"/>
    <w:tmpl w:val="74126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8A677E"/>
    <w:multiLevelType w:val="hybridMultilevel"/>
    <w:tmpl w:val="58FAE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9052B5"/>
    <w:multiLevelType w:val="hybridMultilevel"/>
    <w:tmpl w:val="433EF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197696"/>
    <w:multiLevelType w:val="hybridMultilevel"/>
    <w:tmpl w:val="6106B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796445"/>
    <w:multiLevelType w:val="hybridMultilevel"/>
    <w:tmpl w:val="EF264D3C"/>
    <w:lvl w:ilvl="0" w:tplc="0C090001">
      <w:start w:val="1"/>
      <w:numFmt w:val="bullet"/>
      <w:lvlText w:val=""/>
      <w:lvlJc w:val="left"/>
      <w:pPr>
        <w:tabs>
          <w:tab w:val="num" w:pos="360"/>
        </w:tabs>
        <w:ind w:left="360" w:hanging="360"/>
      </w:pPr>
      <w:rPr>
        <w:rFonts w:ascii="Symbol" w:hAnsi="Symbol" w:hint="default"/>
      </w:rPr>
    </w:lvl>
    <w:lvl w:ilvl="1" w:tplc="0C090003">
      <w:start w:val="1"/>
      <w:numFmt w:val="lowerLetter"/>
      <w:pStyle w:val="Parah0letter"/>
      <w:lvlText w:val="%2)"/>
      <w:lvlJc w:val="left"/>
      <w:pPr>
        <w:tabs>
          <w:tab w:val="num" w:pos="1437"/>
        </w:tabs>
        <w:ind w:left="1437" w:hanging="357"/>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A6102A8"/>
    <w:multiLevelType w:val="hybridMultilevel"/>
    <w:tmpl w:val="0B809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8B6020"/>
    <w:multiLevelType w:val="hybridMultilevel"/>
    <w:tmpl w:val="F22E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662C3E"/>
    <w:multiLevelType w:val="hybridMultilevel"/>
    <w:tmpl w:val="DEFE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9C370B"/>
    <w:multiLevelType w:val="hybridMultilevel"/>
    <w:tmpl w:val="AA063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69266A"/>
    <w:multiLevelType w:val="multilevel"/>
    <w:tmpl w:val="083E7D7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1.%2.%3.%4"/>
      <w:lvlJc w:val="left"/>
      <w:pPr>
        <w:tabs>
          <w:tab w:val="num" w:pos="864"/>
        </w:tabs>
        <w:ind w:left="864" w:hanging="864"/>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nsid w:val="46852BFE"/>
    <w:multiLevelType w:val="hybridMultilevel"/>
    <w:tmpl w:val="F51CC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C6091F"/>
    <w:multiLevelType w:val="singleLevel"/>
    <w:tmpl w:val="D01A07E6"/>
    <w:lvl w:ilvl="0">
      <w:start w:val="1"/>
      <w:numFmt w:val="bullet"/>
      <w:pStyle w:val="PPVBullet1"/>
      <w:lvlText w:val=""/>
      <w:lvlJc w:val="left"/>
      <w:pPr>
        <w:tabs>
          <w:tab w:val="num" w:pos="360"/>
        </w:tabs>
        <w:ind w:left="360" w:hanging="360"/>
      </w:pPr>
      <w:rPr>
        <w:rFonts w:ascii="Wingdings" w:hAnsi="Wingdings" w:hint="default"/>
      </w:rPr>
    </w:lvl>
  </w:abstractNum>
  <w:abstractNum w:abstractNumId="17">
    <w:nsid w:val="4A8B7193"/>
    <w:multiLevelType w:val="multilevel"/>
    <w:tmpl w:val="3D62432A"/>
    <w:lvl w:ilvl="0">
      <w:start w:val="1"/>
      <w:numFmt w:val="decimal"/>
      <w:pStyle w:val="NumberedText"/>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08F3FCF"/>
    <w:multiLevelType w:val="hybridMultilevel"/>
    <w:tmpl w:val="67F6C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170915"/>
    <w:multiLevelType w:val="hybridMultilevel"/>
    <w:tmpl w:val="26FAB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80F0FB0"/>
    <w:multiLevelType w:val="hybridMultilevel"/>
    <w:tmpl w:val="295AE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6D5034"/>
    <w:multiLevelType w:val="hybridMultilevel"/>
    <w:tmpl w:val="3BCA1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E23BA3"/>
    <w:multiLevelType w:val="hybridMultilevel"/>
    <w:tmpl w:val="42E8268C"/>
    <w:lvl w:ilvl="0" w:tplc="0C090001">
      <w:start w:val="1"/>
      <w:numFmt w:val="bullet"/>
      <w:lvlText w:val=""/>
      <w:lvlJc w:val="left"/>
      <w:pPr>
        <w:ind w:left="720" w:hanging="360"/>
      </w:pPr>
      <w:rPr>
        <w:rFonts w:ascii="Symbol" w:hAnsi="Symbol" w:hint="default"/>
      </w:rPr>
    </w:lvl>
    <w:lvl w:ilvl="1" w:tplc="54A47622">
      <w:start w:val="3"/>
      <w:numFmt w:val="bullet"/>
      <w:lvlText w:val="-"/>
      <w:lvlJc w:val="left"/>
      <w:pPr>
        <w:ind w:left="1440" w:hanging="360"/>
      </w:pPr>
      <w:rPr>
        <w:rFonts w:ascii="Arial Narrow" w:eastAsia="Times New Roman"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5751206"/>
    <w:multiLevelType w:val="singleLevel"/>
    <w:tmpl w:val="C338F52A"/>
    <w:lvl w:ilvl="0">
      <w:start w:val="1"/>
      <w:numFmt w:val="bullet"/>
      <w:pStyle w:val="PPVBullet2"/>
      <w:lvlText w:val="-"/>
      <w:lvlJc w:val="left"/>
      <w:pPr>
        <w:tabs>
          <w:tab w:val="num" w:pos="360"/>
        </w:tabs>
        <w:ind w:left="360" w:hanging="360"/>
      </w:pPr>
      <w:rPr>
        <w:rFonts w:ascii="Times New Roman" w:hAnsi="Times New Roman" w:hint="default"/>
      </w:rPr>
    </w:lvl>
  </w:abstractNum>
  <w:abstractNum w:abstractNumId="24">
    <w:nsid w:val="6A645219"/>
    <w:multiLevelType w:val="hybridMultilevel"/>
    <w:tmpl w:val="AC5CE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AD23A4B"/>
    <w:multiLevelType w:val="hybridMultilevel"/>
    <w:tmpl w:val="3386F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0D20A4"/>
    <w:multiLevelType w:val="hybridMultilevel"/>
    <w:tmpl w:val="94203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453993"/>
    <w:multiLevelType w:val="hybridMultilevel"/>
    <w:tmpl w:val="E050F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F0736C"/>
    <w:multiLevelType w:val="hybridMultilevel"/>
    <w:tmpl w:val="AEB85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BA2AC5"/>
    <w:multiLevelType w:val="hybridMultilevel"/>
    <w:tmpl w:val="0AFCD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CF17B2"/>
    <w:multiLevelType w:val="hybridMultilevel"/>
    <w:tmpl w:val="5F48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0778F0"/>
    <w:multiLevelType w:val="hybridMultilevel"/>
    <w:tmpl w:val="A078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6"/>
  </w:num>
  <w:num w:numId="4">
    <w:abstractNumId w:val="23"/>
  </w:num>
  <w:num w:numId="5">
    <w:abstractNumId w:val="14"/>
  </w:num>
  <w:num w:numId="6">
    <w:abstractNumId w:val="7"/>
  </w:num>
  <w:num w:numId="7">
    <w:abstractNumId w:val="5"/>
  </w:num>
  <w:num w:numId="8">
    <w:abstractNumId w:val="25"/>
  </w:num>
  <w:num w:numId="9">
    <w:abstractNumId w:val="11"/>
  </w:num>
  <w:num w:numId="10">
    <w:abstractNumId w:val="1"/>
  </w:num>
  <w:num w:numId="11">
    <w:abstractNumId w:val="28"/>
  </w:num>
  <w:num w:numId="12">
    <w:abstractNumId w:val="19"/>
  </w:num>
  <w:num w:numId="13">
    <w:abstractNumId w:val="6"/>
  </w:num>
  <w:num w:numId="14">
    <w:abstractNumId w:val="29"/>
  </w:num>
  <w:num w:numId="15">
    <w:abstractNumId w:val="18"/>
  </w:num>
  <w:num w:numId="16">
    <w:abstractNumId w:val="30"/>
  </w:num>
  <w:num w:numId="17">
    <w:abstractNumId w:val="31"/>
  </w:num>
  <w:num w:numId="18">
    <w:abstractNumId w:val="12"/>
  </w:num>
  <w:num w:numId="19">
    <w:abstractNumId w:val="4"/>
  </w:num>
  <w:num w:numId="20">
    <w:abstractNumId w:val="26"/>
  </w:num>
  <w:num w:numId="21">
    <w:abstractNumId w:val="27"/>
  </w:num>
  <w:num w:numId="22">
    <w:abstractNumId w:val="22"/>
  </w:num>
  <w:num w:numId="23">
    <w:abstractNumId w:val="2"/>
  </w:num>
  <w:num w:numId="24">
    <w:abstractNumId w:val="21"/>
  </w:num>
  <w:num w:numId="25">
    <w:abstractNumId w:val="20"/>
  </w:num>
  <w:num w:numId="26">
    <w:abstractNumId w:val="24"/>
  </w:num>
  <w:num w:numId="27">
    <w:abstractNumId w:val="15"/>
  </w:num>
  <w:num w:numId="28">
    <w:abstractNumId w:val="8"/>
  </w:num>
  <w:num w:numId="29">
    <w:abstractNumId w:val="14"/>
  </w:num>
  <w:num w:numId="30">
    <w:abstractNumId w:val="14"/>
  </w:num>
  <w:num w:numId="31">
    <w:abstractNumId w:val="14"/>
  </w:num>
  <w:num w:numId="32">
    <w:abstractNumId w:val="0"/>
  </w:num>
  <w:num w:numId="33">
    <w:abstractNumId w:val="10"/>
  </w:num>
  <w:num w:numId="34">
    <w:abstractNumId w:val="13"/>
  </w:num>
  <w:num w:numId="35">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6A"/>
    <w:rsid w:val="00001AF9"/>
    <w:rsid w:val="00002059"/>
    <w:rsid w:val="0000474E"/>
    <w:rsid w:val="00004B8A"/>
    <w:rsid w:val="000053FC"/>
    <w:rsid w:val="00005CB5"/>
    <w:rsid w:val="00007D40"/>
    <w:rsid w:val="00010DE6"/>
    <w:rsid w:val="00011671"/>
    <w:rsid w:val="000116F0"/>
    <w:rsid w:val="0001240A"/>
    <w:rsid w:val="00013001"/>
    <w:rsid w:val="00013922"/>
    <w:rsid w:val="000149DE"/>
    <w:rsid w:val="00014C7E"/>
    <w:rsid w:val="00015030"/>
    <w:rsid w:val="00015086"/>
    <w:rsid w:val="00015C2D"/>
    <w:rsid w:val="00015FB6"/>
    <w:rsid w:val="00016195"/>
    <w:rsid w:val="000173AC"/>
    <w:rsid w:val="00020963"/>
    <w:rsid w:val="0002166A"/>
    <w:rsid w:val="00021A4C"/>
    <w:rsid w:val="00021DA2"/>
    <w:rsid w:val="0002271A"/>
    <w:rsid w:val="00025606"/>
    <w:rsid w:val="00025B21"/>
    <w:rsid w:val="00025E29"/>
    <w:rsid w:val="00026327"/>
    <w:rsid w:val="00027463"/>
    <w:rsid w:val="00030532"/>
    <w:rsid w:val="000309BF"/>
    <w:rsid w:val="000317BC"/>
    <w:rsid w:val="000327F5"/>
    <w:rsid w:val="0003284E"/>
    <w:rsid w:val="00032CB4"/>
    <w:rsid w:val="0003307E"/>
    <w:rsid w:val="000336C0"/>
    <w:rsid w:val="0003385F"/>
    <w:rsid w:val="0003435E"/>
    <w:rsid w:val="00034734"/>
    <w:rsid w:val="000349E2"/>
    <w:rsid w:val="00034A8A"/>
    <w:rsid w:val="00035513"/>
    <w:rsid w:val="0003564C"/>
    <w:rsid w:val="00036FF4"/>
    <w:rsid w:val="0003729B"/>
    <w:rsid w:val="00040835"/>
    <w:rsid w:val="000414A7"/>
    <w:rsid w:val="0004234B"/>
    <w:rsid w:val="00042E8D"/>
    <w:rsid w:val="00043EAC"/>
    <w:rsid w:val="00044CA9"/>
    <w:rsid w:val="00046EC7"/>
    <w:rsid w:val="00047FBE"/>
    <w:rsid w:val="00052751"/>
    <w:rsid w:val="00052CAD"/>
    <w:rsid w:val="0005304F"/>
    <w:rsid w:val="00054426"/>
    <w:rsid w:val="00054842"/>
    <w:rsid w:val="00055834"/>
    <w:rsid w:val="000560DA"/>
    <w:rsid w:val="00056CB5"/>
    <w:rsid w:val="00057A6F"/>
    <w:rsid w:val="00057B65"/>
    <w:rsid w:val="00057C06"/>
    <w:rsid w:val="000603AF"/>
    <w:rsid w:val="0006056E"/>
    <w:rsid w:val="00061C96"/>
    <w:rsid w:val="0006289B"/>
    <w:rsid w:val="00063363"/>
    <w:rsid w:val="00063FBE"/>
    <w:rsid w:val="00065838"/>
    <w:rsid w:val="000662F0"/>
    <w:rsid w:val="0007100F"/>
    <w:rsid w:val="000711DC"/>
    <w:rsid w:val="000715E5"/>
    <w:rsid w:val="0007201F"/>
    <w:rsid w:val="00072771"/>
    <w:rsid w:val="00072E7A"/>
    <w:rsid w:val="00073247"/>
    <w:rsid w:val="000735C1"/>
    <w:rsid w:val="0007436E"/>
    <w:rsid w:val="0007511E"/>
    <w:rsid w:val="000751CE"/>
    <w:rsid w:val="0007567A"/>
    <w:rsid w:val="0007726E"/>
    <w:rsid w:val="00077BCE"/>
    <w:rsid w:val="00080870"/>
    <w:rsid w:val="00080BA8"/>
    <w:rsid w:val="00080C2C"/>
    <w:rsid w:val="00082568"/>
    <w:rsid w:val="000836DA"/>
    <w:rsid w:val="0008399A"/>
    <w:rsid w:val="00083AB2"/>
    <w:rsid w:val="000854A7"/>
    <w:rsid w:val="00086963"/>
    <w:rsid w:val="000902F6"/>
    <w:rsid w:val="00090B3D"/>
    <w:rsid w:val="00090B49"/>
    <w:rsid w:val="00090B9B"/>
    <w:rsid w:val="000918F6"/>
    <w:rsid w:val="0009506D"/>
    <w:rsid w:val="0009569A"/>
    <w:rsid w:val="00095786"/>
    <w:rsid w:val="00095B8B"/>
    <w:rsid w:val="00096ECC"/>
    <w:rsid w:val="00096F70"/>
    <w:rsid w:val="000A15AD"/>
    <w:rsid w:val="000A1788"/>
    <w:rsid w:val="000A2640"/>
    <w:rsid w:val="000A47EF"/>
    <w:rsid w:val="000A4D48"/>
    <w:rsid w:val="000A51FD"/>
    <w:rsid w:val="000A52ED"/>
    <w:rsid w:val="000A5618"/>
    <w:rsid w:val="000A572B"/>
    <w:rsid w:val="000A6940"/>
    <w:rsid w:val="000B0FCF"/>
    <w:rsid w:val="000B135C"/>
    <w:rsid w:val="000B20BD"/>
    <w:rsid w:val="000B2220"/>
    <w:rsid w:val="000B2731"/>
    <w:rsid w:val="000B3033"/>
    <w:rsid w:val="000B53FD"/>
    <w:rsid w:val="000B5AFE"/>
    <w:rsid w:val="000C01CF"/>
    <w:rsid w:val="000C0E8C"/>
    <w:rsid w:val="000C1843"/>
    <w:rsid w:val="000C1CF3"/>
    <w:rsid w:val="000C20C9"/>
    <w:rsid w:val="000C2B7C"/>
    <w:rsid w:val="000C2D0F"/>
    <w:rsid w:val="000C4346"/>
    <w:rsid w:val="000C4771"/>
    <w:rsid w:val="000C5012"/>
    <w:rsid w:val="000C50E6"/>
    <w:rsid w:val="000C513B"/>
    <w:rsid w:val="000C5FC8"/>
    <w:rsid w:val="000C6485"/>
    <w:rsid w:val="000D0352"/>
    <w:rsid w:val="000D05B8"/>
    <w:rsid w:val="000D05F0"/>
    <w:rsid w:val="000D0989"/>
    <w:rsid w:val="000D21EC"/>
    <w:rsid w:val="000D26F3"/>
    <w:rsid w:val="000D3317"/>
    <w:rsid w:val="000D4410"/>
    <w:rsid w:val="000D4D91"/>
    <w:rsid w:val="000D5812"/>
    <w:rsid w:val="000D5DEE"/>
    <w:rsid w:val="000D60EA"/>
    <w:rsid w:val="000D6247"/>
    <w:rsid w:val="000D75B5"/>
    <w:rsid w:val="000D7852"/>
    <w:rsid w:val="000E014D"/>
    <w:rsid w:val="000E02AD"/>
    <w:rsid w:val="000E0A2D"/>
    <w:rsid w:val="000E0E6A"/>
    <w:rsid w:val="000E39ED"/>
    <w:rsid w:val="000E445F"/>
    <w:rsid w:val="000E5FE7"/>
    <w:rsid w:val="000E6A0F"/>
    <w:rsid w:val="000F0542"/>
    <w:rsid w:val="000F0B3D"/>
    <w:rsid w:val="000F0C30"/>
    <w:rsid w:val="000F10CE"/>
    <w:rsid w:val="000F1C26"/>
    <w:rsid w:val="000F22A2"/>
    <w:rsid w:val="000F2839"/>
    <w:rsid w:val="000F2E08"/>
    <w:rsid w:val="000F3850"/>
    <w:rsid w:val="000F38AD"/>
    <w:rsid w:val="000F3B6C"/>
    <w:rsid w:val="000F3E74"/>
    <w:rsid w:val="000F4013"/>
    <w:rsid w:val="000F48A5"/>
    <w:rsid w:val="000F57C9"/>
    <w:rsid w:val="000F5ACC"/>
    <w:rsid w:val="000F5BD9"/>
    <w:rsid w:val="000F60A5"/>
    <w:rsid w:val="000F711A"/>
    <w:rsid w:val="000F7679"/>
    <w:rsid w:val="000F7874"/>
    <w:rsid w:val="000F7A2B"/>
    <w:rsid w:val="001001CA"/>
    <w:rsid w:val="00101315"/>
    <w:rsid w:val="00101B30"/>
    <w:rsid w:val="00101F82"/>
    <w:rsid w:val="0010228F"/>
    <w:rsid w:val="00102292"/>
    <w:rsid w:val="00104FB5"/>
    <w:rsid w:val="001051AD"/>
    <w:rsid w:val="00105DEB"/>
    <w:rsid w:val="00106D29"/>
    <w:rsid w:val="001077D0"/>
    <w:rsid w:val="00107D37"/>
    <w:rsid w:val="001108FD"/>
    <w:rsid w:val="00111C4C"/>
    <w:rsid w:val="00112092"/>
    <w:rsid w:val="00113073"/>
    <w:rsid w:val="00113726"/>
    <w:rsid w:val="00113729"/>
    <w:rsid w:val="00113DA0"/>
    <w:rsid w:val="001141A9"/>
    <w:rsid w:val="00114BE9"/>
    <w:rsid w:val="00114C4B"/>
    <w:rsid w:val="00115108"/>
    <w:rsid w:val="0011535E"/>
    <w:rsid w:val="00115D8B"/>
    <w:rsid w:val="00116644"/>
    <w:rsid w:val="00117645"/>
    <w:rsid w:val="001178B2"/>
    <w:rsid w:val="00117ED9"/>
    <w:rsid w:val="00121D26"/>
    <w:rsid w:val="00122E8E"/>
    <w:rsid w:val="0012423B"/>
    <w:rsid w:val="00124565"/>
    <w:rsid w:val="00124B5E"/>
    <w:rsid w:val="001254D1"/>
    <w:rsid w:val="00125E4A"/>
    <w:rsid w:val="00130998"/>
    <w:rsid w:val="00130AEB"/>
    <w:rsid w:val="00131AAC"/>
    <w:rsid w:val="001349E3"/>
    <w:rsid w:val="00135037"/>
    <w:rsid w:val="00135159"/>
    <w:rsid w:val="00136369"/>
    <w:rsid w:val="0013690A"/>
    <w:rsid w:val="00136E5A"/>
    <w:rsid w:val="00136F83"/>
    <w:rsid w:val="00140AB4"/>
    <w:rsid w:val="0014102D"/>
    <w:rsid w:val="00141350"/>
    <w:rsid w:val="00141676"/>
    <w:rsid w:val="00141B03"/>
    <w:rsid w:val="001439DA"/>
    <w:rsid w:val="00144291"/>
    <w:rsid w:val="00144A51"/>
    <w:rsid w:val="0014638A"/>
    <w:rsid w:val="00146D6F"/>
    <w:rsid w:val="00147636"/>
    <w:rsid w:val="00150069"/>
    <w:rsid w:val="00150A7B"/>
    <w:rsid w:val="00151D03"/>
    <w:rsid w:val="00151E81"/>
    <w:rsid w:val="001523C2"/>
    <w:rsid w:val="00153074"/>
    <w:rsid w:val="001541AC"/>
    <w:rsid w:val="001558EF"/>
    <w:rsid w:val="00155A2F"/>
    <w:rsid w:val="00155BFA"/>
    <w:rsid w:val="001563AA"/>
    <w:rsid w:val="001567F5"/>
    <w:rsid w:val="00157BEE"/>
    <w:rsid w:val="00160745"/>
    <w:rsid w:val="001624EB"/>
    <w:rsid w:val="001628A4"/>
    <w:rsid w:val="00162FA7"/>
    <w:rsid w:val="00163E50"/>
    <w:rsid w:val="00164072"/>
    <w:rsid w:val="00164871"/>
    <w:rsid w:val="001659D0"/>
    <w:rsid w:val="00166BFC"/>
    <w:rsid w:val="00170013"/>
    <w:rsid w:val="0017080A"/>
    <w:rsid w:val="00170C73"/>
    <w:rsid w:val="0017225C"/>
    <w:rsid w:val="00172903"/>
    <w:rsid w:val="00173D33"/>
    <w:rsid w:val="00176899"/>
    <w:rsid w:val="0018005C"/>
    <w:rsid w:val="00180983"/>
    <w:rsid w:val="001809EA"/>
    <w:rsid w:val="00180A3D"/>
    <w:rsid w:val="00180FFF"/>
    <w:rsid w:val="00181071"/>
    <w:rsid w:val="00181C25"/>
    <w:rsid w:val="001822F9"/>
    <w:rsid w:val="001824A4"/>
    <w:rsid w:val="00182602"/>
    <w:rsid w:val="00182704"/>
    <w:rsid w:val="00184ACA"/>
    <w:rsid w:val="00184C63"/>
    <w:rsid w:val="00184C65"/>
    <w:rsid w:val="00184C7E"/>
    <w:rsid w:val="00184E44"/>
    <w:rsid w:val="001859D0"/>
    <w:rsid w:val="00185BD0"/>
    <w:rsid w:val="00185EF7"/>
    <w:rsid w:val="00186319"/>
    <w:rsid w:val="00186A2E"/>
    <w:rsid w:val="00186F1F"/>
    <w:rsid w:val="00186FE8"/>
    <w:rsid w:val="00187E6D"/>
    <w:rsid w:val="00190216"/>
    <w:rsid w:val="001905DF"/>
    <w:rsid w:val="00190666"/>
    <w:rsid w:val="001908BF"/>
    <w:rsid w:val="001911AE"/>
    <w:rsid w:val="00191372"/>
    <w:rsid w:val="00191B93"/>
    <w:rsid w:val="0019369E"/>
    <w:rsid w:val="001939F2"/>
    <w:rsid w:val="00193AC9"/>
    <w:rsid w:val="00193FA7"/>
    <w:rsid w:val="00194128"/>
    <w:rsid w:val="00194529"/>
    <w:rsid w:val="001969A3"/>
    <w:rsid w:val="00197CF9"/>
    <w:rsid w:val="001A0BB1"/>
    <w:rsid w:val="001A155C"/>
    <w:rsid w:val="001A160D"/>
    <w:rsid w:val="001A19C0"/>
    <w:rsid w:val="001A34F1"/>
    <w:rsid w:val="001A5411"/>
    <w:rsid w:val="001A56D5"/>
    <w:rsid w:val="001A5725"/>
    <w:rsid w:val="001A578E"/>
    <w:rsid w:val="001A5D2F"/>
    <w:rsid w:val="001A79F6"/>
    <w:rsid w:val="001B1848"/>
    <w:rsid w:val="001B1FB4"/>
    <w:rsid w:val="001B3528"/>
    <w:rsid w:val="001B3E81"/>
    <w:rsid w:val="001B41B0"/>
    <w:rsid w:val="001B4600"/>
    <w:rsid w:val="001B5CAE"/>
    <w:rsid w:val="001B6402"/>
    <w:rsid w:val="001B6A33"/>
    <w:rsid w:val="001B750B"/>
    <w:rsid w:val="001C1141"/>
    <w:rsid w:val="001C18A6"/>
    <w:rsid w:val="001C1C19"/>
    <w:rsid w:val="001C1EDE"/>
    <w:rsid w:val="001C21AA"/>
    <w:rsid w:val="001C2591"/>
    <w:rsid w:val="001C3244"/>
    <w:rsid w:val="001C36F0"/>
    <w:rsid w:val="001C42E2"/>
    <w:rsid w:val="001C4EDD"/>
    <w:rsid w:val="001C5568"/>
    <w:rsid w:val="001C5A88"/>
    <w:rsid w:val="001C60CF"/>
    <w:rsid w:val="001C63C6"/>
    <w:rsid w:val="001C6AE5"/>
    <w:rsid w:val="001C77A8"/>
    <w:rsid w:val="001C7A6F"/>
    <w:rsid w:val="001D0205"/>
    <w:rsid w:val="001D22FD"/>
    <w:rsid w:val="001D3091"/>
    <w:rsid w:val="001D34E5"/>
    <w:rsid w:val="001D3F23"/>
    <w:rsid w:val="001D4AE4"/>
    <w:rsid w:val="001D4D91"/>
    <w:rsid w:val="001D6ADF"/>
    <w:rsid w:val="001D7029"/>
    <w:rsid w:val="001D72A8"/>
    <w:rsid w:val="001D7B28"/>
    <w:rsid w:val="001E0463"/>
    <w:rsid w:val="001E13B2"/>
    <w:rsid w:val="001E2B2A"/>
    <w:rsid w:val="001E3165"/>
    <w:rsid w:val="001E4771"/>
    <w:rsid w:val="001E506A"/>
    <w:rsid w:val="001E54C8"/>
    <w:rsid w:val="001E67E1"/>
    <w:rsid w:val="001E6EA1"/>
    <w:rsid w:val="001E6EB0"/>
    <w:rsid w:val="001E7940"/>
    <w:rsid w:val="001F038B"/>
    <w:rsid w:val="001F03A1"/>
    <w:rsid w:val="001F258D"/>
    <w:rsid w:val="001F3567"/>
    <w:rsid w:val="001F4235"/>
    <w:rsid w:val="001F4BC8"/>
    <w:rsid w:val="001F4D24"/>
    <w:rsid w:val="001F510C"/>
    <w:rsid w:val="001F71C1"/>
    <w:rsid w:val="002004D4"/>
    <w:rsid w:val="002008BB"/>
    <w:rsid w:val="00200FFB"/>
    <w:rsid w:val="00201EC3"/>
    <w:rsid w:val="002024C3"/>
    <w:rsid w:val="002025FA"/>
    <w:rsid w:val="00202FFE"/>
    <w:rsid w:val="00203C64"/>
    <w:rsid w:val="0020411C"/>
    <w:rsid w:val="002041FB"/>
    <w:rsid w:val="0020434E"/>
    <w:rsid w:val="00204550"/>
    <w:rsid w:val="00204567"/>
    <w:rsid w:val="00205171"/>
    <w:rsid w:val="0020713B"/>
    <w:rsid w:val="00207C67"/>
    <w:rsid w:val="00210281"/>
    <w:rsid w:val="00210AD7"/>
    <w:rsid w:val="0021165E"/>
    <w:rsid w:val="00211DAA"/>
    <w:rsid w:val="00212A2F"/>
    <w:rsid w:val="00212F36"/>
    <w:rsid w:val="0021305D"/>
    <w:rsid w:val="00213277"/>
    <w:rsid w:val="00213A01"/>
    <w:rsid w:val="0021409C"/>
    <w:rsid w:val="0021447F"/>
    <w:rsid w:val="00216AE8"/>
    <w:rsid w:val="00216D3A"/>
    <w:rsid w:val="00216EC1"/>
    <w:rsid w:val="00217B11"/>
    <w:rsid w:val="002208E2"/>
    <w:rsid w:val="0022130D"/>
    <w:rsid w:val="00222F0E"/>
    <w:rsid w:val="00223A9C"/>
    <w:rsid w:val="00223DAA"/>
    <w:rsid w:val="00224401"/>
    <w:rsid w:val="00224990"/>
    <w:rsid w:val="00224AA2"/>
    <w:rsid w:val="0022514D"/>
    <w:rsid w:val="0022555D"/>
    <w:rsid w:val="00225909"/>
    <w:rsid w:val="00225B8C"/>
    <w:rsid w:val="00226FFF"/>
    <w:rsid w:val="002270A1"/>
    <w:rsid w:val="002277F3"/>
    <w:rsid w:val="00227BBE"/>
    <w:rsid w:val="002304C8"/>
    <w:rsid w:val="002304DC"/>
    <w:rsid w:val="002309F9"/>
    <w:rsid w:val="00230E99"/>
    <w:rsid w:val="002315AF"/>
    <w:rsid w:val="00231C91"/>
    <w:rsid w:val="00231F6F"/>
    <w:rsid w:val="002323FA"/>
    <w:rsid w:val="002324B5"/>
    <w:rsid w:val="002324F9"/>
    <w:rsid w:val="00233E83"/>
    <w:rsid w:val="002343EF"/>
    <w:rsid w:val="00234E40"/>
    <w:rsid w:val="00235561"/>
    <w:rsid w:val="00235F82"/>
    <w:rsid w:val="0023739A"/>
    <w:rsid w:val="002375F3"/>
    <w:rsid w:val="0023764D"/>
    <w:rsid w:val="00237CCB"/>
    <w:rsid w:val="002402BB"/>
    <w:rsid w:val="00241EEF"/>
    <w:rsid w:val="00241F48"/>
    <w:rsid w:val="002424D7"/>
    <w:rsid w:val="0024306E"/>
    <w:rsid w:val="002467C4"/>
    <w:rsid w:val="00247661"/>
    <w:rsid w:val="002501AF"/>
    <w:rsid w:val="002522F3"/>
    <w:rsid w:val="00252AAE"/>
    <w:rsid w:val="00253D70"/>
    <w:rsid w:val="00253ED9"/>
    <w:rsid w:val="002554C6"/>
    <w:rsid w:val="0025569E"/>
    <w:rsid w:val="002568E1"/>
    <w:rsid w:val="00256CC5"/>
    <w:rsid w:val="00257286"/>
    <w:rsid w:val="00260B7D"/>
    <w:rsid w:val="0026152F"/>
    <w:rsid w:val="0026270B"/>
    <w:rsid w:val="00262864"/>
    <w:rsid w:val="002628F5"/>
    <w:rsid w:val="0026293D"/>
    <w:rsid w:val="00263A36"/>
    <w:rsid w:val="00263D45"/>
    <w:rsid w:val="00263E1B"/>
    <w:rsid w:val="00263E8B"/>
    <w:rsid w:val="00264B5C"/>
    <w:rsid w:val="00264D8A"/>
    <w:rsid w:val="00265D79"/>
    <w:rsid w:val="002660DE"/>
    <w:rsid w:val="00266A3B"/>
    <w:rsid w:val="00266AC6"/>
    <w:rsid w:val="002677BB"/>
    <w:rsid w:val="00270790"/>
    <w:rsid w:val="002710D2"/>
    <w:rsid w:val="00274051"/>
    <w:rsid w:val="002748FF"/>
    <w:rsid w:val="00275B65"/>
    <w:rsid w:val="00276A81"/>
    <w:rsid w:val="00277A53"/>
    <w:rsid w:val="00280581"/>
    <w:rsid w:val="002827FB"/>
    <w:rsid w:val="00282E28"/>
    <w:rsid w:val="00282E74"/>
    <w:rsid w:val="00283469"/>
    <w:rsid w:val="00284AFB"/>
    <w:rsid w:val="00285240"/>
    <w:rsid w:val="00286B36"/>
    <w:rsid w:val="00287285"/>
    <w:rsid w:val="00287A8B"/>
    <w:rsid w:val="00287B8E"/>
    <w:rsid w:val="00290925"/>
    <w:rsid w:val="00291465"/>
    <w:rsid w:val="0029193A"/>
    <w:rsid w:val="00292886"/>
    <w:rsid w:val="00292FC5"/>
    <w:rsid w:val="0029361B"/>
    <w:rsid w:val="00294AAF"/>
    <w:rsid w:val="002950D9"/>
    <w:rsid w:val="0029672E"/>
    <w:rsid w:val="002978F3"/>
    <w:rsid w:val="002A173D"/>
    <w:rsid w:val="002A322B"/>
    <w:rsid w:val="002A417F"/>
    <w:rsid w:val="002A47F6"/>
    <w:rsid w:val="002A4D24"/>
    <w:rsid w:val="002B01E5"/>
    <w:rsid w:val="002B0612"/>
    <w:rsid w:val="002B19E6"/>
    <w:rsid w:val="002B1B80"/>
    <w:rsid w:val="002B1E5C"/>
    <w:rsid w:val="002B3877"/>
    <w:rsid w:val="002B4356"/>
    <w:rsid w:val="002B4F8D"/>
    <w:rsid w:val="002B5717"/>
    <w:rsid w:val="002B661D"/>
    <w:rsid w:val="002C20B9"/>
    <w:rsid w:val="002C2248"/>
    <w:rsid w:val="002C2C02"/>
    <w:rsid w:val="002C3E1A"/>
    <w:rsid w:val="002C3F4A"/>
    <w:rsid w:val="002C4653"/>
    <w:rsid w:val="002C5329"/>
    <w:rsid w:val="002C53C1"/>
    <w:rsid w:val="002C5DF0"/>
    <w:rsid w:val="002C6E67"/>
    <w:rsid w:val="002C7389"/>
    <w:rsid w:val="002C7B97"/>
    <w:rsid w:val="002D012A"/>
    <w:rsid w:val="002D0440"/>
    <w:rsid w:val="002D081C"/>
    <w:rsid w:val="002D0BDB"/>
    <w:rsid w:val="002D1386"/>
    <w:rsid w:val="002D2266"/>
    <w:rsid w:val="002D23D7"/>
    <w:rsid w:val="002D29B6"/>
    <w:rsid w:val="002D2AD3"/>
    <w:rsid w:val="002D4152"/>
    <w:rsid w:val="002D430B"/>
    <w:rsid w:val="002D4511"/>
    <w:rsid w:val="002D492C"/>
    <w:rsid w:val="002D4CFF"/>
    <w:rsid w:val="002D4DAC"/>
    <w:rsid w:val="002D51A2"/>
    <w:rsid w:val="002D617A"/>
    <w:rsid w:val="002D673D"/>
    <w:rsid w:val="002D6BAD"/>
    <w:rsid w:val="002D6E17"/>
    <w:rsid w:val="002D798E"/>
    <w:rsid w:val="002E0E30"/>
    <w:rsid w:val="002E127C"/>
    <w:rsid w:val="002E24E5"/>
    <w:rsid w:val="002E2966"/>
    <w:rsid w:val="002E330E"/>
    <w:rsid w:val="002E373E"/>
    <w:rsid w:val="002E374F"/>
    <w:rsid w:val="002E3831"/>
    <w:rsid w:val="002E41AC"/>
    <w:rsid w:val="002E41E8"/>
    <w:rsid w:val="002E4A53"/>
    <w:rsid w:val="002E5317"/>
    <w:rsid w:val="002E6014"/>
    <w:rsid w:val="002E6772"/>
    <w:rsid w:val="002E7F73"/>
    <w:rsid w:val="002F0542"/>
    <w:rsid w:val="002F1E97"/>
    <w:rsid w:val="002F312E"/>
    <w:rsid w:val="002F4E8F"/>
    <w:rsid w:val="002F521C"/>
    <w:rsid w:val="002F5D71"/>
    <w:rsid w:val="00300378"/>
    <w:rsid w:val="00300708"/>
    <w:rsid w:val="00301325"/>
    <w:rsid w:val="003014A4"/>
    <w:rsid w:val="00301867"/>
    <w:rsid w:val="00302534"/>
    <w:rsid w:val="00303704"/>
    <w:rsid w:val="00303B36"/>
    <w:rsid w:val="0030406E"/>
    <w:rsid w:val="00305540"/>
    <w:rsid w:val="00305956"/>
    <w:rsid w:val="00306220"/>
    <w:rsid w:val="0030659B"/>
    <w:rsid w:val="00306BBF"/>
    <w:rsid w:val="0031203D"/>
    <w:rsid w:val="0031253C"/>
    <w:rsid w:val="00312EA6"/>
    <w:rsid w:val="00312F39"/>
    <w:rsid w:val="003133CA"/>
    <w:rsid w:val="003148B4"/>
    <w:rsid w:val="00314C99"/>
    <w:rsid w:val="00315392"/>
    <w:rsid w:val="0031554F"/>
    <w:rsid w:val="0031563E"/>
    <w:rsid w:val="00320384"/>
    <w:rsid w:val="003204D8"/>
    <w:rsid w:val="00320E1C"/>
    <w:rsid w:val="0032110B"/>
    <w:rsid w:val="00321195"/>
    <w:rsid w:val="00321F2B"/>
    <w:rsid w:val="0032254F"/>
    <w:rsid w:val="00322F1D"/>
    <w:rsid w:val="00322F7F"/>
    <w:rsid w:val="0032324A"/>
    <w:rsid w:val="003232F3"/>
    <w:rsid w:val="00323A90"/>
    <w:rsid w:val="003240EB"/>
    <w:rsid w:val="0032471A"/>
    <w:rsid w:val="00325433"/>
    <w:rsid w:val="00325AED"/>
    <w:rsid w:val="00326158"/>
    <w:rsid w:val="0032688B"/>
    <w:rsid w:val="0032789F"/>
    <w:rsid w:val="00327DF1"/>
    <w:rsid w:val="00327F4F"/>
    <w:rsid w:val="00330AEC"/>
    <w:rsid w:val="0033301C"/>
    <w:rsid w:val="003346F0"/>
    <w:rsid w:val="00334D1A"/>
    <w:rsid w:val="00335073"/>
    <w:rsid w:val="00335514"/>
    <w:rsid w:val="00335BF7"/>
    <w:rsid w:val="00335D8D"/>
    <w:rsid w:val="0033620E"/>
    <w:rsid w:val="00336A76"/>
    <w:rsid w:val="00340B6D"/>
    <w:rsid w:val="00341987"/>
    <w:rsid w:val="00341F3C"/>
    <w:rsid w:val="00344050"/>
    <w:rsid w:val="0034410D"/>
    <w:rsid w:val="00344191"/>
    <w:rsid w:val="00344A87"/>
    <w:rsid w:val="003462F5"/>
    <w:rsid w:val="003464E0"/>
    <w:rsid w:val="003467BB"/>
    <w:rsid w:val="00350F92"/>
    <w:rsid w:val="00351254"/>
    <w:rsid w:val="0035137C"/>
    <w:rsid w:val="00351D39"/>
    <w:rsid w:val="003521AD"/>
    <w:rsid w:val="00352651"/>
    <w:rsid w:val="00352A91"/>
    <w:rsid w:val="0035581D"/>
    <w:rsid w:val="003562C5"/>
    <w:rsid w:val="003567B3"/>
    <w:rsid w:val="0035691A"/>
    <w:rsid w:val="00356B8D"/>
    <w:rsid w:val="003573F0"/>
    <w:rsid w:val="00360102"/>
    <w:rsid w:val="003603F4"/>
    <w:rsid w:val="003608B0"/>
    <w:rsid w:val="00360D58"/>
    <w:rsid w:val="0036198E"/>
    <w:rsid w:val="003635E7"/>
    <w:rsid w:val="003641A1"/>
    <w:rsid w:val="00365193"/>
    <w:rsid w:val="00365306"/>
    <w:rsid w:val="00366495"/>
    <w:rsid w:val="00366F9B"/>
    <w:rsid w:val="00367067"/>
    <w:rsid w:val="003676EF"/>
    <w:rsid w:val="00370D8A"/>
    <w:rsid w:val="0037225B"/>
    <w:rsid w:val="0037285E"/>
    <w:rsid w:val="003729B2"/>
    <w:rsid w:val="00372D5C"/>
    <w:rsid w:val="00374882"/>
    <w:rsid w:val="00374AF0"/>
    <w:rsid w:val="00376296"/>
    <w:rsid w:val="00376F5E"/>
    <w:rsid w:val="00380197"/>
    <w:rsid w:val="003805F1"/>
    <w:rsid w:val="003815AD"/>
    <w:rsid w:val="003816FC"/>
    <w:rsid w:val="00382100"/>
    <w:rsid w:val="00382297"/>
    <w:rsid w:val="00382CC9"/>
    <w:rsid w:val="0038535B"/>
    <w:rsid w:val="0038541D"/>
    <w:rsid w:val="003854E5"/>
    <w:rsid w:val="00387331"/>
    <w:rsid w:val="00387A15"/>
    <w:rsid w:val="00387DFE"/>
    <w:rsid w:val="0039151C"/>
    <w:rsid w:val="00391CED"/>
    <w:rsid w:val="00393FD3"/>
    <w:rsid w:val="003948D0"/>
    <w:rsid w:val="00394B5B"/>
    <w:rsid w:val="003950A0"/>
    <w:rsid w:val="00396621"/>
    <w:rsid w:val="0039707B"/>
    <w:rsid w:val="00397600"/>
    <w:rsid w:val="00397AFB"/>
    <w:rsid w:val="003A039B"/>
    <w:rsid w:val="003A0739"/>
    <w:rsid w:val="003A0C26"/>
    <w:rsid w:val="003A0E54"/>
    <w:rsid w:val="003A11BE"/>
    <w:rsid w:val="003A1526"/>
    <w:rsid w:val="003A1786"/>
    <w:rsid w:val="003A232D"/>
    <w:rsid w:val="003A24EF"/>
    <w:rsid w:val="003A3583"/>
    <w:rsid w:val="003A3D26"/>
    <w:rsid w:val="003A3EAD"/>
    <w:rsid w:val="003A4789"/>
    <w:rsid w:val="003A4A7E"/>
    <w:rsid w:val="003A4C3A"/>
    <w:rsid w:val="003A5317"/>
    <w:rsid w:val="003A65FA"/>
    <w:rsid w:val="003A68D4"/>
    <w:rsid w:val="003A6D99"/>
    <w:rsid w:val="003A7739"/>
    <w:rsid w:val="003A799A"/>
    <w:rsid w:val="003A7A8A"/>
    <w:rsid w:val="003B286A"/>
    <w:rsid w:val="003B406E"/>
    <w:rsid w:val="003B5324"/>
    <w:rsid w:val="003B7588"/>
    <w:rsid w:val="003C08AA"/>
    <w:rsid w:val="003C0F4A"/>
    <w:rsid w:val="003C1475"/>
    <w:rsid w:val="003C1532"/>
    <w:rsid w:val="003C222E"/>
    <w:rsid w:val="003C507C"/>
    <w:rsid w:val="003C53A2"/>
    <w:rsid w:val="003C5D3D"/>
    <w:rsid w:val="003C65E4"/>
    <w:rsid w:val="003D0E91"/>
    <w:rsid w:val="003D15E1"/>
    <w:rsid w:val="003D18E2"/>
    <w:rsid w:val="003D1F16"/>
    <w:rsid w:val="003D4718"/>
    <w:rsid w:val="003D4A37"/>
    <w:rsid w:val="003D4B63"/>
    <w:rsid w:val="003D53A7"/>
    <w:rsid w:val="003D655E"/>
    <w:rsid w:val="003D6A99"/>
    <w:rsid w:val="003D703D"/>
    <w:rsid w:val="003D7DBD"/>
    <w:rsid w:val="003E0086"/>
    <w:rsid w:val="003E042A"/>
    <w:rsid w:val="003E136A"/>
    <w:rsid w:val="003E157D"/>
    <w:rsid w:val="003E2963"/>
    <w:rsid w:val="003E3995"/>
    <w:rsid w:val="003E4F2B"/>
    <w:rsid w:val="003E5082"/>
    <w:rsid w:val="003E525E"/>
    <w:rsid w:val="003E54D1"/>
    <w:rsid w:val="003E594E"/>
    <w:rsid w:val="003E6BA9"/>
    <w:rsid w:val="003E6EEF"/>
    <w:rsid w:val="003E6FE8"/>
    <w:rsid w:val="003E74B0"/>
    <w:rsid w:val="003E7C84"/>
    <w:rsid w:val="003F001D"/>
    <w:rsid w:val="003F25B2"/>
    <w:rsid w:val="003F29CB"/>
    <w:rsid w:val="003F2C67"/>
    <w:rsid w:val="003F2FA3"/>
    <w:rsid w:val="003F39C1"/>
    <w:rsid w:val="003F4705"/>
    <w:rsid w:val="003F477C"/>
    <w:rsid w:val="003F49DF"/>
    <w:rsid w:val="00400945"/>
    <w:rsid w:val="00400A99"/>
    <w:rsid w:val="004015FF"/>
    <w:rsid w:val="0040172E"/>
    <w:rsid w:val="0040244C"/>
    <w:rsid w:val="00402454"/>
    <w:rsid w:val="00402A2B"/>
    <w:rsid w:val="0040674C"/>
    <w:rsid w:val="00406A8D"/>
    <w:rsid w:val="00406B0F"/>
    <w:rsid w:val="00407EDD"/>
    <w:rsid w:val="00410656"/>
    <w:rsid w:val="004109FC"/>
    <w:rsid w:val="00412A8B"/>
    <w:rsid w:val="00413421"/>
    <w:rsid w:val="00414CE6"/>
    <w:rsid w:val="0041541F"/>
    <w:rsid w:val="00415C42"/>
    <w:rsid w:val="00415D0B"/>
    <w:rsid w:val="0041638A"/>
    <w:rsid w:val="004204BD"/>
    <w:rsid w:val="0042062F"/>
    <w:rsid w:val="0042132C"/>
    <w:rsid w:val="00422129"/>
    <w:rsid w:val="00422C93"/>
    <w:rsid w:val="004254EF"/>
    <w:rsid w:val="00425575"/>
    <w:rsid w:val="004260DA"/>
    <w:rsid w:val="00426D8D"/>
    <w:rsid w:val="00432727"/>
    <w:rsid w:val="00432AF4"/>
    <w:rsid w:val="00432E95"/>
    <w:rsid w:val="004339F5"/>
    <w:rsid w:val="00433D3F"/>
    <w:rsid w:val="004349AC"/>
    <w:rsid w:val="00434C5C"/>
    <w:rsid w:val="00436769"/>
    <w:rsid w:val="004407F3"/>
    <w:rsid w:val="0044175F"/>
    <w:rsid w:val="00441B65"/>
    <w:rsid w:val="00441E79"/>
    <w:rsid w:val="004426E3"/>
    <w:rsid w:val="0044354F"/>
    <w:rsid w:val="0044385C"/>
    <w:rsid w:val="00443ACD"/>
    <w:rsid w:val="00443F2C"/>
    <w:rsid w:val="004441D6"/>
    <w:rsid w:val="00444410"/>
    <w:rsid w:val="0044507C"/>
    <w:rsid w:val="004450C7"/>
    <w:rsid w:val="004456B4"/>
    <w:rsid w:val="00445C51"/>
    <w:rsid w:val="004466E9"/>
    <w:rsid w:val="00447371"/>
    <w:rsid w:val="00447612"/>
    <w:rsid w:val="00447C1C"/>
    <w:rsid w:val="00447C3A"/>
    <w:rsid w:val="00450311"/>
    <w:rsid w:val="004504CD"/>
    <w:rsid w:val="004514B7"/>
    <w:rsid w:val="004522F4"/>
    <w:rsid w:val="00452A36"/>
    <w:rsid w:val="00453554"/>
    <w:rsid w:val="0045400A"/>
    <w:rsid w:val="00454EBF"/>
    <w:rsid w:val="00456175"/>
    <w:rsid w:val="00456ACE"/>
    <w:rsid w:val="00456D13"/>
    <w:rsid w:val="00456EE3"/>
    <w:rsid w:val="00460180"/>
    <w:rsid w:val="00460F5F"/>
    <w:rsid w:val="0046154E"/>
    <w:rsid w:val="00461679"/>
    <w:rsid w:val="00461CE4"/>
    <w:rsid w:val="00462085"/>
    <w:rsid w:val="004633FF"/>
    <w:rsid w:val="00464C26"/>
    <w:rsid w:val="0046691E"/>
    <w:rsid w:val="00466D47"/>
    <w:rsid w:val="00466EE0"/>
    <w:rsid w:val="00467371"/>
    <w:rsid w:val="00470D44"/>
    <w:rsid w:val="00471D59"/>
    <w:rsid w:val="0047250F"/>
    <w:rsid w:val="00472FF5"/>
    <w:rsid w:val="00473D89"/>
    <w:rsid w:val="004744B3"/>
    <w:rsid w:val="004748F0"/>
    <w:rsid w:val="00474CE8"/>
    <w:rsid w:val="004752BE"/>
    <w:rsid w:val="00475562"/>
    <w:rsid w:val="004756B5"/>
    <w:rsid w:val="00475ECC"/>
    <w:rsid w:val="0047696D"/>
    <w:rsid w:val="00476B82"/>
    <w:rsid w:val="00477265"/>
    <w:rsid w:val="00477E46"/>
    <w:rsid w:val="00477EEE"/>
    <w:rsid w:val="004800FB"/>
    <w:rsid w:val="0048060E"/>
    <w:rsid w:val="00480761"/>
    <w:rsid w:val="00480A5E"/>
    <w:rsid w:val="00481467"/>
    <w:rsid w:val="00482C07"/>
    <w:rsid w:val="00484348"/>
    <w:rsid w:val="0048466C"/>
    <w:rsid w:val="00485E38"/>
    <w:rsid w:val="00486300"/>
    <w:rsid w:val="004864E8"/>
    <w:rsid w:val="00487E0B"/>
    <w:rsid w:val="00490F3E"/>
    <w:rsid w:val="00490F6E"/>
    <w:rsid w:val="004914A4"/>
    <w:rsid w:val="004916F5"/>
    <w:rsid w:val="004921A7"/>
    <w:rsid w:val="00493B1B"/>
    <w:rsid w:val="00493D5B"/>
    <w:rsid w:val="00493FB1"/>
    <w:rsid w:val="004941A1"/>
    <w:rsid w:val="0049446A"/>
    <w:rsid w:val="00494DD9"/>
    <w:rsid w:val="00496233"/>
    <w:rsid w:val="00496A30"/>
    <w:rsid w:val="00496F19"/>
    <w:rsid w:val="00497874"/>
    <w:rsid w:val="004A14E2"/>
    <w:rsid w:val="004A1B49"/>
    <w:rsid w:val="004A2197"/>
    <w:rsid w:val="004A26C0"/>
    <w:rsid w:val="004A37F6"/>
    <w:rsid w:val="004A3C6C"/>
    <w:rsid w:val="004A3CD3"/>
    <w:rsid w:val="004A458A"/>
    <w:rsid w:val="004A51DB"/>
    <w:rsid w:val="004A549E"/>
    <w:rsid w:val="004A5B9C"/>
    <w:rsid w:val="004A6BE7"/>
    <w:rsid w:val="004A7AE5"/>
    <w:rsid w:val="004B045C"/>
    <w:rsid w:val="004B1071"/>
    <w:rsid w:val="004B11A9"/>
    <w:rsid w:val="004B1C64"/>
    <w:rsid w:val="004B1FE2"/>
    <w:rsid w:val="004B2823"/>
    <w:rsid w:val="004B2BDE"/>
    <w:rsid w:val="004B37C0"/>
    <w:rsid w:val="004B3C36"/>
    <w:rsid w:val="004B46DC"/>
    <w:rsid w:val="004B4707"/>
    <w:rsid w:val="004B5489"/>
    <w:rsid w:val="004B5A23"/>
    <w:rsid w:val="004B5C42"/>
    <w:rsid w:val="004B5D05"/>
    <w:rsid w:val="004B5D44"/>
    <w:rsid w:val="004B63E6"/>
    <w:rsid w:val="004B6CB1"/>
    <w:rsid w:val="004B6FB7"/>
    <w:rsid w:val="004B740C"/>
    <w:rsid w:val="004B7436"/>
    <w:rsid w:val="004B7810"/>
    <w:rsid w:val="004B7CAC"/>
    <w:rsid w:val="004B7ECA"/>
    <w:rsid w:val="004C06D2"/>
    <w:rsid w:val="004C0A92"/>
    <w:rsid w:val="004C0F9A"/>
    <w:rsid w:val="004C1A8B"/>
    <w:rsid w:val="004C2195"/>
    <w:rsid w:val="004C25F3"/>
    <w:rsid w:val="004C3A4A"/>
    <w:rsid w:val="004C469D"/>
    <w:rsid w:val="004C47B3"/>
    <w:rsid w:val="004C5D01"/>
    <w:rsid w:val="004C6B95"/>
    <w:rsid w:val="004C77C2"/>
    <w:rsid w:val="004D017A"/>
    <w:rsid w:val="004D07DF"/>
    <w:rsid w:val="004D0CC7"/>
    <w:rsid w:val="004D19FC"/>
    <w:rsid w:val="004D28ED"/>
    <w:rsid w:val="004D31A6"/>
    <w:rsid w:val="004D3BD2"/>
    <w:rsid w:val="004D4C6F"/>
    <w:rsid w:val="004D51EC"/>
    <w:rsid w:val="004D5270"/>
    <w:rsid w:val="004D6344"/>
    <w:rsid w:val="004D6522"/>
    <w:rsid w:val="004D7352"/>
    <w:rsid w:val="004E0820"/>
    <w:rsid w:val="004E0D0F"/>
    <w:rsid w:val="004E1989"/>
    <w:rsid w:val="004E2286"/>
    <w:rsid w:val="004E2B65"/>
    <w:rsid w:val="004E2D91"/>
    <w:rsid w:val="004E3668"/>
    <w:rsid w:val="004E445D"/>
    <w:rsid w:val="004E5B09"/>
    <w:rsid w:val="004E6116"/>
    <w:rsid w:val="004E7553"/>
    <w:rsid w:val="004E7EC7"/>
    <w:rsid w:val="004F0277"/>
    <w:rsid w:val="004F1646"/>
    <w:rsid w:val="004F288D"/>
    <w:rsid w:val="004F3037"/>
    <w:rsid w:val="004F399D"/>
    <w:rsid w:val="004F3FFC"/>
    <w:rsid w:val="004F5ADE"/>
    <w:rsid w:val="004F607B"/>
    <w:rsid w:val="004F7C65"/>
    <w:rsid w:val="004F7E56"/>
    <w:rsid w:val="00501233"/>
    <w:rsid w:val="00502132"/>
    <w:rsid w:val="00502194"/>
    <w:rsid w:val="00502232"/>
    <w:rsid w:val="0050261D"/>
    <w:rsid w:val="005028CE"/>
    <w:rsid w:val="00503BB7"/>
    <w:rsid w:val="00504948"/>
    <w:rsid w:val="00505123"/>
    <w:rsid w:val="00505876"/>
    <w:rsid w:val="00505DA4"/>
    <w:rsid w:val="00507188"/>
    <w:rsid w:val="0051042E"/>
    <w:rsid w:val="00510767"/>
    <w:rsid w:val="00511E19"/>
    <w:rsid w:val="00512225"/>
    <w:rsid w:val="00514231"/>
    <w:rsid w:val="00514663"/>
    <w:rsid w:val="00515840"/>
    <w:rsid w:val="00515A4E"/>
    <w:rsid w:val="00517996"/>
    <w:rsid w:val="00517B1F"/>
    <w:rsid w:val="0052031C"/>
    <w:rsid w:val="00520401"/>
    <w:rsid w:val="00520614"/>
    <w:rsid w:val="00521D7D"/>
    <w:rsid w:val="005233DE"/>
    <w:rsid w:val="005235F9"/>
    <w:rsid w:val="005244DB"/>
    <w:rsid w:val="00524D73"/>
    <w:rsid w:val="00526E08"/>
    <w:rsid w:val="00527973"/>
    <w:rsid w:val="00530256"/>
    <w:rsid w:val="0053049D"/>
    <w:rsid w:val="0053139F"/>
    <w:rsid w:val="005321B3"/>
    <w:rsid w:val="00534C3F"/>
    <w:rsid w:val="00534DFD"/>
    <w:rsid w:val="005366D7"/>
    <w:rsid w:val="0053689C"/>
    <w:rsid w:val="00536E31"/>
    <w:rsid w:val="00537865"/>
    <w:rsid w:val="00537885"/>
    <w:rsid w:val="0054051E"/>
    <w:rsid w:val="00540551"/>
    <w:rsid w:val="00541B5B"/>
    <w:rsid w:val="00541C87"/>
    <w:rsid w:val="0054251A"/>
    <w:rsid w:val="00542842"/>
    <w:rsid w:val="00542957"/>
    <w:rsid w:val="0054321C"/>
    <w:rsid w:val="00544737"/>
    <w:rsid w:val="00544C0F"/>
    <w:rsid w:val="0054552C"/>
    <w:rsid w:val="00547617"/>
    <w:rsid w:val="00547B1E"/>
    <w:rsid w:val="005501CB"/>
    <w:rsid w:val="00551690"/>
    <w:rsid w:val="00552430"/>
    <w:rsid w:val="0055265E"/>
    <w:rsid w:val="0055393C"/>
    <w:rsid w:val="00553BB3"/>
    <w:rsid w:val="005559B8"/>
    <w:rsid w:val="00556856"/>
    <w:rsid w:val="00556AC1"/>
    <w:rsid w:val="0055750C"/>
    <w:rsid w:val="0055799F"/>
    <w:rsid w:val="00560579"/>
    <w:rsid w:val="005605AD"/>
    <w:rsid w:val="0056118F"/>
    <w:rsid w:val="00562E7B"/>
    <w:rsid w:val="00562F22"/>
    <w:rsid w:val="00563C10"/>
    <w:rsid w:val="00564613"/>
    <w:rsid w:val="005646C5"/>
    <w:rsid w:val="00564ABE"/>
    <w:rsid w:val="00564EA0"/>
    <w:rsid w:val="005655A2"/>
    <w:rsid w:val="00565EF2"/>
    <w:rsid w:val="005678DC"/>
    <w:rsid w:val="0057016A"/>
    <w:rsid w:val="005703E5"/>
    <w:rsid w:val="00570BA7"/>
    <w:rsid w:val="00570CE9"/>
    <w:rsid w:val="00571DAF"/>
    <w:rsid w:val="00571F09"/>
    <w:rsid w:val="00573965"/>
    <w:rsid w:val="00573A61"/>
    <w:rsid w:val="00573F54"/>
    <w:rsid w:val="00574F60"/>
    <w:rsid w:val="005753E4"/>
    <w:rsid w:val="00575B9B"/>
    <w:rsid w:val="00576DA0"/>
    <w:rsid w:val="00576FA7"/>
    <w:rsid w:val="00577150"/>
    <w:rsid w:val="0058048D"/>
    <w:rsid w:val="00581438"/>
    <w:rsid w:val="00581E64"/>
    <w:rsid w:val="0058207D"/>
    <w:rsid w:val="00583143"/>
    <w:rsid w:val="005833DE"/>
    <w:rsid w:val="0058489B"/>
    <w:rsid w:val="00585E78"/>
    <w:rsid w:val="00586FD4"/>
    <w:rsid w:val="00587CC7"/>
    <w:rsid w:val="00587CD3"/>
    <w:rsid w:val="005901A8"/>
    <w:rsid w:val="005917AF"/>
    <w:rsid w:val="005919CA"/>
    <w:rsid w:val="00591E73"/>
    <w:rsid w:val="00592154"/>
    <w:rsid w:val="0059368D"/>
    <w:rsid w:val="0059395F"/>
    <w:rsid w:val="00595B52"/>
    <w:rsid w:val="00595D8F"/>
    <w:rsid w:val="0059639A"/>
    <w:rsid w:val="005971D9"/>
    <w:rsid w:val="00597406"/>
    <w:rsid w:val="005A02D0"/>
    <w:rsid w:val="005A0358"/>
    <w:rsid w:val="005A08D6"/>
    <w:rsid w:val="005A1004"/>
    <w:rsid w:val="005A1C9A"/>
    <w:rsid w:val="005A1F61"/>
    <w:rsid w:val="005A24B1"/>
    <w:rsid w:val="005A29A6"/>
    <w:rsid w:val="005A2E3E"/>
    <w:rsid w:val="005A3547"/>
    <w:rsid w:val="005A4B7D"/>
    <w:rsid w:val="005A4BBE"/>
    <w:rsid w:val="005A5197"/>
    <w:rsid w:val="005A63F1"/>
    <w:rsid w:val="005A66FF"/>
    <w:rsid w:val="005A67B8"/>
    <w:rsid w:val="005A6811"/>
    <w:rsid w:val="005B02B1"/>
    <w:rsid w:val="005B0FD2"/>
    <w:rsid w:val="005B295B"/>
    <w:rsid w:val="005B2D52"/>
    <w:rsid w:val="005B2FBF"/>
    <w:rsid w:val="005B3825"/>
    <w:rsid w:val="005B5807"/>
    <w:rsid w:val="005B623A"/>
    <w:rsid w:val="005B6E55"/>
    <w:rsid w:val="005B7F3D"/>
    <w:rsid w:val="005C0CFA"/>
    <w:rsid w:val="005C1EE6"/>
    <w:rsid w:val="005C2933"/>
    <w:rsid w:val="005C2F5E"/>
    <w:rsid w:val="005C3448"/>
    <w:rsid w:val="005C5582"/>
    <w:rsid w:val="005C55CC"/>
    <w:rsid w:val="005C743D"/>
    <w:rsid w:val="005C7791"/>
    <w:rsid w:val="005C7CD8"/>
    <w:rsid w:val="005D0256"/>
    <w:rsid w:val="005D050C"/>
    <w:rsid w:val="005D1223"/>
    <w:rsid w:val="005D1D01"/>
    <w:rsid w:val="005D442D"/>
    <w:rsid w:val="005D45AF"/>
    <w:rsid w:val="005D4CE1"/>
    <w:rsid w:val="005D52E0"/>
    <w:rsid w:val="005D5363"/>
    <w:rsid w:val="005D590E"/>
    <w:rsid w:val="005D73C1"/>
    <w:rsid w:val="005E11B6"/>
    <w:rsid w:val="005E1447"/>
    <w:rsid w:val="005E148A"/>
    <w:rsid w:val="005E1D92"/>
    <w:rsid w:val="005E1EF9"/>
    <w:rsid w:val="005E1F5C"/>
    <w:rsid w:val="005E22AC"/>
    <w:rsid w:val="005E3A51"/>
    <w:rsid w:val="005E3DC4"/>
    <w:rsid w:val="005E492B"/>
    <w:rsid w:val="005E54DC"/>
    <w:rsid w:val="005E5624"/>
    <w:rsid w:val="005E6157"/>
    <w:rsid w:val="005E69DF"/>
    <w:rsid w:val="005E7659"/>
    <w:rsid w:val="005F055F"/>
    <w:rsid w:val="005F05A9"/>
    <w:rsid w:val="005F1BA5"/>
    <w:rsid w:val="005F2593"/>
    <w:rsid w:val="005F2BEF"/>
    <w:rsid w:val="005F2E0B"/>
    <w:rsid w:val="005F374B"/>
    <w:rsid w:val="005F3E3B"/>
    <w:rsid w:val="005F3E8C"/>
    <w:rsid w:val="005F4170"/>
    <w:rsid w:val="005F4562"/>
    <w:rsid w:val="005F5019"/>
    <w:rsid w:val="005F502F"/>
    <w:rsid w:val="005F5363"/>
    <w:rsid w:val="005F5AB2"/>
    <w:rsid w:val="005F78FF"/>
    <w:rsid w:val="006005E3"/>
    <w:rsid w:val="0060094B"/>
    <w:rsid w:val="00601F14"/>
    <w:rsid w:val="006027E7"/>
    <w:rsid w:val="00602E66"/>
    <w:rsid w:val="006036CC"/>
    <w:rsid w:val="00603A6A"/>
    <w:rsid w:val="00604073"/>
    <w:rsid w:val="0060408E"/>
    <w:rsid w:val="006044D1"/>
    <w:rsid w:val="006048D4"/>
    <w:rsid w:val="00604FB6"/>
    <w:rsid w:val="006055F3"/>
    <w:rsid w:val="00605BDD"/>
    <w:rsid w:val="006061A9"/>
    <w:rsid w:val="00606B2B"/>
    <w:rsid w:val="00607764"/>
    <w:rsid w:val="00607985"/>
    <w:rsid w:val="00607BD0"/>
    <w:rsid w:val="00607F78"/>
    <w:rsid w:val="0061086E"/>
    <w:rsid w:val="00610BC2"/>
    <w:rsid w:val="00611FCA"/>
    <w:rsid w:val="00613337"/>
    <w:rsid w:val="0061345C"/>
    <w:rsid w:val="00613D3F"/>
    <w:rsid w:val="00615DB4"/>
    <w:rsid w:val="006163D2"/>
    <w:rsid w:val="00616AF3"/>
    <w:rsid w:val="00616C75"/>
    <w:rsid w:val="00616EC2"/>
    <w:rsid w:val="006174A9"/>
    <w:rsid w:val="00617773"/>
    <w:rsid w:val="0062056F"/>
    <w:rsid w:val="006217C8"/>
    <w:rsid w:val="00622080"/>
    <w:rsid w:val="006222D8"/>
    <w:rsid w:val="006226D8"/>
    <w:rsid w:val="00622AC1"/>
    <w:rsid w:val="006235E1"/>
    <w:rsid w:val="00624B00"/>
    <w:rsid w:val="006251D3"/>
    <w:rsid w:val="00625261"/>
    <w:rsid w:val="006254AB"/>
    <w:rsid w:val="00625AA4"/>
    <w:rsid w:val="00626BCA"/>
    <w:rsid w:val="0062735A"/>
    <w:rsid w:val="0062763A"/>
    <w:rsid w:val="00632A04"/>
    <w:rsid w:val="00633233"/>
    <w:rsid w:val="006346AE"/>
    <w:rsid w:val="006358C7"/>
    <w:rsid w:val="00636776"/>
    <w:rsid w:val="00636F32"/>
    <w:rsid w:val="006370B1"/>
    <w:rsid w:val="00637CE2"/>
    <w:rsid w:val="006409C8"/>
    <w:rsid w:val="00642B2A"/>
    <w:rsid w:val="00642CE9"/>
    <w:rsid w:val="0064308E"/>
    <w:rsid w:val="006433DD"/>
    <w:rsid w:val="00643701"/>
    <w:rsid w:val="006437C1"/>
    <w:rsid w:val="0064406F"/>
    <w:rsid w:val="00644A5B"/>
    <w:rsid w:val="00644C37"/>
    <w:rsid w:val="0064549A"/>
    <w:rsid w:val="006459B5"/>
    <w:rsid w:val="006465ED"/>
    <w:rsid w:val="00646636"/>
    <w:rsid w:val="00646C6E"/>
    <w:rsid w:val="0064785E"/>
    <w:rsid w:val="006501A0"/>
    <w:rsid w:val="006504CC"/>
    <w:rsid w:val="006514E2"/>
    <w:rsid w:val="00652B52"/>
    <w:rsid w:val="0065305F"/>
    <w:rsid w:val="00653F7A"/>
    <w:rsid w:val="00654433"/>
    <w:rsid w:val="00654A79"/>
    <w:rsid w:val="00656349"/>
    <w:rsid w:val="006569E9"/>
    <w:rsid w:val="00657114"/>
    <w:rsid w:val="00657A23"/>
    <w:rsid w:val="00660946"/>
    <w:rsid w:val="0066114F"/>
    <w:rsid w:val="00662691"/>
    <w:rsid w:val="006628DD"/>
    <w:rsid w:val="00662B1D"/>
    <w:rsid w:val="00662E1E"/>
    <w:rsid w:val="00665516"/>
    <w:rsid w:val="006655F7"/>
    <w:rsid w:val="0066586E"/>
    <w:rsid w:val="00666B90"/>
    <w:rsid w:val="00667A81"/>
    <w:rsid w:val="00670AE4"/>
    <w:rsid w:val="006710FD"/>
    <w:rsid w:val="00672A6B"/>
    <w:rsid w:val="00674ABA"/>
    <w:rsid w:val="00674ACF"/>
    <w:rsid w:val="00674CF5"/>
    <w:rsid w:val="006755B5"/>
    <w:rsid w:val="006764D9"/>
    <w:rsid w:val="00677BF7"/>
    <w:rsid w:val="00683192"/>
    <w:rsid w:val="00686DA4"/>
    <w:rsid w:val="006873EA"/>
    <w:rsid w:val="00690953"/>
    <w:rsid w:val="00690B9F"/>
    <w:rsid w:val="00690CDB"/>
    <w:rsid w:val="006920A1"/>
    <w:rsid w:val="00692FA9"/>
    <w:rsid w:val="0069388C"/>
    <w:rsid w:val="00694257"/>
    <w:rsid w:val="00694572"/>
    <w:rsid w:val="0069469D"/>
    <w:rsid w:val="00695881"/>
    <w:rsid w:val="00695FF0"/>
    <w:rsid w:val="006965C4"/>
    <w:rsid w:val="006968C6"/>
    <w:rsid w:val="0069693E"/>
    <w:rsid w:val="0069714F"/>
    <w:rsid w:val="00697280"/>
    <w:rsid w:val="00697646"/>
    <w:rsid w:val="0069770B"/>
    <w:rsid w:val="00697917"/>
    <w:rsid w:val="006A1318"/>
    <w:rsid w:val="006A1490"/>
    <w:rsid w:val="006A154D"/>
    <w:rsid w:val="006A2C34"/>
    <w:rsid w:val="006A4C17"/>
    <w:rsid w:val="006A5008"/>
    <w:rsid w:val="006A5A3B"/>
    <w:rsid w:val="006A5AF5"/>
    <w:rsid w:val="006A5DE4"/>
    <w:rsid w:val="006A5E2B"/>
    <w:rsid w:val="006A6764"/>
    <w:rsid w:val="006A6957"/>
    <w:rsid w:val="006A6997"/>
    <w:rsid w:val="006A75CA"/>
    <w:rsid w:val="006A79E2"/>
    <w:rsid w:val="006B01EC"/>
    <w:rsid w:val="006B0D0E"/>
    <w:rsid w:val="006B150C"/>
    <w:rsid w:val="006B1F0F"/>
    <w:rsid w:val="006B232B"/>
    <w:rsid w:val="006B2569"/>
    <w:rsid w:val="006B2A47"/>
    <w:rsid w:val="006B3122"/>
    <w:rsid w:val="006B3127"/>
    <w:rsid w:val="006B316D"/>
    <w:rsid w:val="006B3674"/>
    <w:rsid w:val="006B468E"/>
    <w:rsid w:val="006B4EAE"/>
    <w:rsid w:val="006B5281"/>
    <w:rsid w:val="006B65A7"/>
    <w:rsid w:val="006B74DB"/>
    <w:rsid w:val="006C0690"/>
    <w:rsid w:val="006C1B6A"/>
    <w:rsid w:val="006C1E61"/>
    <w:rsid w:val="006C2722"/>
    <w:rsid w:val="006C2CA0"/>
    <w:rsid w:val="006C3362"/>
    <w:rsid w:val="006C353A"/>
    <w:rsid w:val="006C3580"/>
    <w:rsid w:val="006C37B4"/>
    <w:rsid w:val="006C3A0A"/>
    <w:rsid w:val="006C4B2D"/>
    <w:rsid w:val="006C5F43"/>
    <w:rsid w:val="006C6A23"/>
    <w:rsid w:val="006C6BD2"/>
    <w:rsid w:val="006C6EDF"/>
    <w:rsid w:val="006C73B6"/>
    <w:rsid w:val="006D1A55"/>
    <w:rsid w:val="006D2173"/>
    <w:rsid w:val="006D3D73"/>
    <w:rsid w:val="006D3F7D"/>
    <w:rsid w:val="006D4976"/>
    <w:rsid w:val="006D4B57"/>
    <w:rsid w:val="006D4E55"/>
    <w:rsid w:val="006D5F34"/>
    <w:rsid w:val="006D653C"/>
    <w:rsid w:val="006D67C1"/>
    <w:rsid w:val="006D68B8"/>
    <w:rsid w:val="006D6B74"/>
    <w:rsid w:val="006D6F7C"/>
    <w:rsid w:val="006D7222"/>
    <w:rsid w:val="006D763F"/>
    <w:rsid w:val="006D7742"/>
    <w:rsid w:val="006D77EE"/>
    <w:rsid w:val="006D784D"/>
    <w:rsid w:val="006D7EEF"/>
    <w:rsid w:val="006E0133"/>
    <w:rsid w:val="006E0364"/>
    <w:rsid w:val="006E104C"/>
    <w:rsid w:val="006E1A5D"/>
    <w:rsid w:val="006E1EA5"/>
    <w:rsid w:val="006E3656"/>
    <w:rsid w:val="006E435E"/>
    <w:rsid w:val="006E4421"/>
    <w:rsid w:val="006E4925"/>
    <w:rsid w:val="006E5259"/>
    <w:rsid w:val="006E5922"/>
    <w:rsid w:val="006E6317"/>
    <w:rsid w:val="006E69AF"/>
    <w:rsid w:val="006E75DD"/>
    <w:rsid w:val="006F00B8"/>
    <w:rsid w:val="006F1D36"/>
    <w:rsid w:val="006F2340"/>
    <w:rsid w:val="006F2C94"/>
    <w:rsid w:val="006F41D1"/>
    <w:rsid w:val="006F4E44"/>
    <w:rsid w:val="006F591E"/>
    <w:rsid w:val="006F5BEA"/>
    <w:rsid w:val="006F5C51"/>
    <w:rsid w:val="006F60C8"/>
    <w:rsid w:val="006F6324"/>
    <w:rsid w:val="006F6443"/>
    <w:rsid w:val="006F6898"/>
    <w:rsid w:val="007002F0"/>
    <w:rsid w:val="00701248"/>
    <w:rsid w:val="00702406"/>
    <w:rsid w:val="00702968"/>
    <w:rsid w:val="00702992"/>
    <w:rsid w:val="007047E1"/>
    <w:rsid w:val="00705384"/>
    <w:rsid w:val="007053C3"/>
    <w:rsid w:val="00705729"/>
    <w:rsid w:val="00710DE0"/>
    <w:rsid w:val="00711E91"/>
    <w:rsid w:val="00712323"/>
    <w:rsid w:val="00712341"/>
    <w:rsid w:val="007129C1"/>
    <w:rsid w:val="007137CA"/>
    <w:rsid w:val="00714B27"/>
    <w:rsid w:val="00715109"/>
    <w:rsid w:val="007152D5"/>
    <w:rsid w:val="0071662E"/>
    <w:rsid w:val="007169F8"/>
    <w:rsid w:val="00716F73"/>
    <w:rsid w:val="0071748C"/>
    <w:rsid w:val="00717CBC"/>
    <w:rsid w:val="0072062D"/>
    <w:rsid w:val="007214EA"/>
    <w:rsid w:val="00721820"/>
    <w:rsid w:val="007221D5"/>
    <w:rsid w:val="00722D6C"/>
    <w:rsid w:val="0072344F"/>
    <w:rsid w:val="0072388E"/>
    <w:rsid w:val="0072396C"/>
    <w:rsid w:val="00725523"/>
    <w:rsid w:val="00725D41"/>
    <w:rsid w:val="007274F1"/>
    <w:rsid w:val="0072791C"/>
    <w:rsid w:val="00727A6D"/>
    <w:rsid w:val="00727D32"/>
    <w:rsid w:val="00730812"/>
    <w:rsid w:val="00730D9F"/>
    <w:rsid w:val="0073161D"/>
    <w:rsid w:val="00731C00"/>
    <w:rsid w:val="00732C48"/>
    <w:rsid w:val="0073323E"/>
    <w:rsid w:val="007337D9"/>
    <w:rsid w:val="00733F05"/>
    <w:rsid w:val="007345AD"/>
    <w:rsid w:val="00734DAD"/>
    <w:rsid w:val="00735227"/>
    <w:rsid w:val="00735A82"/>
    <w:rsid w:val="00735CFE"/>
    <w:rsid w:val="007409A4"/>
    <w:rsid w:val="00740CB6"/>
    <w:rsid w:val="00740DCA"/>
    <w:rsid w:val="007410C0"/>
    <w:rsid w:val="0074121D"/>
    <w:rsid w:val="007423B9"/>
    <w:rsid w:val="0074505E"/>
    <w:rsid w:val="00745938"/>
    <w:rsid w:val="007463F5"/>
    <w:rsid w:val="00746758"/>
    <w:rsid w:val="00747F0E"/>
    <w:rsid w:val="00750220"/>
    <w:rsid w:val="007509E8"/>
    <w:rsid w:val="0075268D"/>
    <w:rsid w:val="00754453"/>
    <w:rsid w:val="00755115"/>
    <w:rsid w:val="007555B5"/>
    <w:rsid w:val="00756026"/>
    <w:rsid w:val="0075785F"/>
    <w:rsid w:val="00757921"/>
    <w:rsid w:val="00757CB2"/>
    <w:rsid w:val="007608EC"/>
    <w:rsid w:val="007617C0"/>
    <w:rsid w:val="007619A9"/>
    <w:rsid w:val="007623E9"/>
    <w:rsid w:val="0076285A"/>
    <w:rsid w:val="00762A7F"/>
    <w:rsid w:val="00763E5C"/>
    <w:rsid w:val="0076410B"/>
    <w:rsid w:val="00764394"/>
    <w:rsid w:val="00764471"/>
    <w:rsid w:val="00766DDF"/>
    <w:rsid w:val="00771282"/>
    <w:rsid w:val="00771567"/>
    <w:rsid w:val="007716B8"/>
    <w:rsid w:val="00772EA7"/>
    <w:rsid w:val="00772F25"/>
    <w:rsid w:val="007731F0"/>
    <w:rsid w:val="007736A4"/>
    <w:rsid w:val="00773DAD"/>
    <w:rsid w:val="00774F38"/>
    <w:rsid w:val="007759EC"/>
    <w:rsid w:val="00775E44"/>
    <w:rsid w:val="00776412"/>
    <w:rsid w:val="00776EBA"/>
    <w:rsid w:val="00777D88"/>
    <w:rsid w:val="00777DA0"/>
    <w:rsid w:val="0078018F"/>
    <w:rsid w:val="00780E87"/>
    <w:rsid w:val="00781F58"/>
    <w:rsid w:val="007823CF"/>
    <w:rsid w:val="0078245D"/>
    <w:rsid w:val="00782921"/>
    <w:rsid w:val="0078298C"/>
    <w:rsid w:val="007829A9"/>
    <w:rsid w:val="00782C3C"/>
    <w:rsid w:val="00782F1B"/>
    <w:rsid w:val="007844D2"/>
    <w:rsid w:val="007858C8"/>
    <w:rsid w:val="00786B13"/>
    <w:rsid w:val="007878D8"/>
    <w:rsid w:val="00787DF0"/>
    <w:rsid w:val="00790065"/>
    <w:rsid w:val="00790A7A"/>
    <w:rsid w:val="00791134"/>
    <w:rsid w:val="00791BD2"/>
    <w:rsid w:val="00792489"/>
    <w:rsid w:val="00792B54"/>
    <w:rsid w:val="00792F68"/>
    <w:rsid w:val="007930B1"/>
    <w:rsid w:val="0079389E"/>
    <w:rsid w:val="00793D36"/>
    <w:rsid w:val="00795695"/>
    <w:rsid w:val="0079571B"/>
    <w:rsid w:val="00795B39"/>
    <w:rsid w:val="007961B8"/>
    <w:rsid w:val="00796359"/>
    <w:rsid w:val="007965F7"/>
    <w:rsid w:val="00796AED"/>
    <w:rsid w:val="0079703D"/>
    <w:rsid w:val="0079713B"/>
    <w:rsid w:val="00797514"/>
    <w:rsid w:val="007A2087"/>
    <w:rsid w:val="007A24E7"/>
    <w:rsid w:val="007A2D71"/>
    <w:rsid w:val="007A306C"/>
    <w:rsid w:val="007A45B9"/>
    <w:rsid w:val="007A48B4"/>
    <w:rsid w:val="007A5C04"/>
    <w:rsid w:val="007A5E1D"/>
    <w:rsid w:val="007B00C8"/>
    <w:rsid w:val="007B0A3F"/>
    <w:rsid w:val="007B1E3C"/>
    <w:rsid w:val="007B253E"/>
    <w:rsid w:val="007B25CB"/>
    <w:rsid w:val="007B2B6E"/>
    <w:rsid w:val="007B3628"/>
    <w:rsid w:val="007B3780"/>
    <w:rsid w:val="007B4DF3"/>
    <w:rsid w:val="007B5146"/>
    <w:rsid w:val="007B5C92"/>
    <w:rsid w:val="007B6CD2"/>
    <w:rsid w:val="007C01C1"/>
    <w:rsid w:val="007C055F"/>
    <w:rsid w:val="007C09B4"/>
    <w:rsid w:val="007C1A91"/>
    <w:rsid w:val="007C37D8"/>
    <w:rsid w:val="007C3A64"/>
    <w:rsid w:val="007C4B11"/>
    <w:rsid w:val="007C66B1"/>
    <w:rsid w:val="007C7726"/>
    <w:rsid w:val="007C79A0"/>
    <w:rsid w:val="007D1899"/>
    <w:rsid w:val="007D18D3"/>
    <w:rsid w:val="007D2255"/>
    <w:rsid w:val="007D2EF7"/>
    <w:rsid w:val="007D3601"/>
    <w:rsid w:val="007D6693"/>
    <w:rsid w:val="007D6DA2"/>
    <w:rsid w:val="007D7024"/>
    <w:rsid w:val="007D762D"/>
    <w:rsid w:val="007D7655"/>
    <w:rsid w:val="007E0951"/>
    <w:rsid w:val="007E0FA5"/>
    <w:rsid w:val="007E19CA"/>
    <w:rsid w:val="007E1A10"/>
    <w:rsid w:val="007E1A6C"/>
    <w:rsid w:val="007E28B9"/>
    <w:rsid w:val="007E2F41"/>
    <w:rsid w:val="007E42BF"/>
    <w:rsid w:val="007E442A"/>
    <w:rsid w:val="007E4BA2"/>
    <w:rsid w:val="007E4C5D"/>
    <w:rsid w:val="007E669C"/>
    <w:rsid w:val="007E74A7"/>
    <w:rsid w:val="007E76B8"/>
    <w:rsid w:val="007E77F0"/>
    <w:rsid w:val="007E7D96"/>
    <w:rsid w:val="007F3260"/>
    <w:rsid w:val="007F3E0A"/>
    <w:rsid w:val="007F505A"/>
    <w:rsid w:val="007F51C2"/>
    <w:rsid w:val="007F5701"/>
    <w:rsid w:val="007F6451"/>
    <w:rsid w:val="007F6B3B"/>
    <w:rsid w:val="007F6FD2"/>
    <w:rsid w:val="007F7172"/>
    <w:rsid w:val="007F7523"/>
    <w:rsid w:val="007F7C81"/>
    <w:rsid w:val="0080057A"/>
    <w:rsid w:val="0080102E"/>
    <w:rsid w:val="008013ED"/>
    <w:rsid w:val="00801BE0"/>
    <w:rsid w:val="008025A3"/>
    <w:rsid w:val="00803037"/>
    <w:rsid w:val="00803FB2"/>
    <w:rsid w:val="00804675"/>
    <w:rsid w:val="00804DA0"/>
    <w:rsid w:val="0081193D"/>
    <w:rsid w:val="00814B8A"/>
    <w:rsid w:val="008159C8"/>
    <w:rsid w:val="008166C2"/>
    <w:rsid w:val="008167F6"/>
    <w:rsid w:val="00816A23"/>
    <w:rsid w:val="00817245"/>
    <w:rsid w:val="00817360"/>
    <w:rsid w:val="008178A8"/>
    <w:rsid w:val="00820CBD"/>
    <w:rsid w:val="0082248F"/>
    <w:rsid w:val="00823495"/>
    <w:rsid w:val="008239C1"/>
    <w:rsid w:val="00823BA8"/>
    <w:rsid w:val="00824C70"/>
    <w:rsid w:val="00825732"/>
    <w:rsid w:val="00825C89"/>
    <w:rsid w:val="00826847"/>
    <w:rsid w:val="008274AE"/>
    <w:rsid w:val="008275C9"/>
    <w:rsid w:val="00827712"/>
    <w:rsid w:val="0083004A"/>
    <w:rsid w:val="00830AC3"/>
    <w:rsid w:val="00832B3E"/>
    <w:rsid w:val="008339C0"/>
    <w:rsid w:val="0083428C"/>
    <w:rsid w:val="00834579"/>
    <w:rsid w:val="00834A23"/>
    <w:rsid w:val="00834EB0"/>
    <w:rsid w:val="008404C3"/>
    <w:rsid w:val="0084086E"/>
    <w:rsid w:val="008409D0"/>
    <w:rsid w:val="0084257D"/>
    <w:rsid w:val="00842E7B"/>
    <w:rsid w:val="008435F2"/>
    <w:rsid w:val="00843662"/>
    <w:rsid w:val="00843F6F"/>
    <w:rsid w:val="00844BF4"/>
    <w:rsid w:val="00844FF8"/>
    <w:rsid w:val="0084527B"/>
    <w:rsid w:val="00845309"/>
    <w:rsid w:val="00845804"/>
    <w:rsid w:val="00845BD7"/>
    <w:rsid w:val="00845DFB"/>
    <w:rsid w:val="0084646B"/>
    <w:rsid w:val="00846F6A"/>
    <w:rsid w:val="008477F9"/>
    <w:rsid w:val="00850281"/>
    <w:rsid w:val="00850C77"/>
    <w:rsid w:val="00851118"/>
    <w:rsid w:val="0085191A"/>
    <w:rsid w:val="008519B2"/>
    <w:rsid w:val="008521ED"/>
    <w:rsid w:val="00852512"/>
    <w:rsid w:val="008526C7"/>
    <w:rsid w:val="008529CE"/>
    <w:rsid w:val="008531B4"/>
    <w:rsid w:val="0085361B"/>
    <w:rsid w:val="00853F01"/>
    <w:rsid w:val="00854606"/>
    <w:rsid w:val="008554B1"/>
    <w:rsid w:val="0085679D"/>
    <w:rsid w:val="00856AE7"/>
    <w:rsid w:val="00857625"/>
    <w:rsid w:val="0086074F"/>
    <w:rsid w:val="00860F28"/>
    <w:rsid w:val="00861531"/>
    <w:rsid w:val="00861F2D"/>
    <w:rsid w:val="008628E2"/>
    <w:rsid w:val="00862CD9"/>
    <w:rsid w:val="00863CEE"/>
    <w:rsid w:val="00864241"/>
    <w:rsid w:val="00864A32"/>
    <w:rsid w:val="00865D2D"/>
    <w:rsid w:val="0086648E"/>
    <w:rsid w:val="008667B6"/>
    <w:rsid w:val="008670DD"/>
    <w:rsid w:val="00872502"/>
    <w:rsid w:val="00872955"/>
    <w:rsid w:val="0087324F"/>
    <w:rsid w:val="00873264"/>
    <w:rsid w:val="00874918"/>
    <w:rsid w:val="00875AAA"/>
    <w:rsid w:val="00876CA5"/>
    <w:rsid w:val="008776AA"/>
    <w:rsid w:val="0088030E"/>
    <w:rsid w:val="00882268"/>
    <w:rsid w:val="00882EFA"/>
    <w:rsid w:val="0088324D"/>
    <w:rsid w:val="00883774"/>
    <w:rsid w:val="00883A04"/>
    <w:rsid w:val="00883FC5"/>
    <w:rsid w:val="0088418F"/>
    <w:rsid w:val="00884828"/>
    <w:rsid w:val="00884DE0"/>
    <w:rsid w:val="00885074"/>
    <w:rsid w:val="008867D3"/>
    <w:rsid w:val="00886846"/>
    <w:rsid w:val="008869B6"/>
    <w:rsid w:val="0088734B"/>
    <w:rsid w:val="00887CDC"/>
    <w:rsid w:val="0089066B"/>
    <w:rsid w:val="00890693"/>
    <w:rsid w:val="00890D39"/>
    <w:rsid w:val="00894262"/>
    <w:rsid w:val="00894462"/>
    <w:rsid w:val="00894772"/>
    <w:rsid w:val="0089491B"/>
    <w:rsid w:val="0089493B"/>
    <w:rsid w:val="00894B64"/>
    <w:rsid w:val="00894CB0"/>
    <w:rsid w:val="00896CB1"/>
    <w:rsid w:val="0089752B"/>
    <w:rsid w:val="00897A1C"/>
    <w:rsid w:val="00897AA1"/>
    <w:rsid w:val="008A083F"/>
    <w:rsid w:val="008A097A"/>
    <w:rsid w:val="008A1BEF"/>
    <w:rsid w:val="008A2283"/>
    <w:rsid w:val="008A29ED"/>
    <w:rsid w:val="008A3EBB"/>
    <w:rsid w:val="008A4A33"/>
    <w:rsid w:val="008A50DE"/>
    <w:rsid w:val="008A593A"/>
    <w:rsid w:val="008A60D1"/>
    <w:rsid w:val="008A6A10"/>
    <w:rsid w:val="008A6A29"/>
    <w:rsid w:val="008A6F6E"/>
    <w:rsid w:val="008A70BA"/>
    <w:rsid w:val="008B0543"/>
    <w:rsid w:val="008B077B"/>
    <w:rsid w:val="008B0C33"/>
    <w:rsid w:val="008B0CF1"/>
    <w:rsid w:val="008B0E6E"/>
    <w:rsid w:val="008B145E"/>
    <w:rsid w:val="008B14AE"/>
    <w:rsid w:val="008B16A1"/>
    <w:rsid w:val="008B194E"/>
    <w:rsid w:val="008B2878"/>
    <w:rsid w:val="008B43D7"/>
    <w:rsid w:val="008B5B8E"/>
    <w:rsid w:val="008B69DE"/>
    <w:rsid w:val="008B772F"/>
    <w:rsid w:val="008B7EE9"/>
    <w:rsid w:val="008C0097"/>
    <w:rsid w:val="008C2FA1"/>
    <w:rsid w:val="008C3FDD"/>
    <w:rsid w:val="008C48EE"/>
    <w:rsid w:val="008C5890"/>
    <w:rsid w:val="008C5B7E"/>
    <w:rsid w:val="008C61B7"/>
    <w:rsid w:val="008C6802"/>
    <w:rsid w:val="008C6CE1"/>
    <w:rsid w:val="008C6D34"/>
    <w:rsid w:val="008C7DC8"/>
    <w:rsid w:val="008D0F33"/>
    <w:rsid w:val="008D18F8"/>
    <w:rsid w:val="008D1CB6"/>
    <w:rsid w:val="008D2460"/>
    <w:rsid w:val="008D38B3"/>
    <w:rsid w:val="008D3956"/>
    <w:rsid w:val="008D4D5C"/>
    <w:rsid w:val="008D522F"/>
    <w:rsid w:val="008D5823"/>
    <w:rsid w:val="008D6212"/>
    <w:rsid w:val="008D65D7"/>
    <w:rsid w:val="008D69CC"/>
    <w:rsid w:val="008D6FAB"/>
    <w:rsid w:val="008D7D89"/>
    <w:rsid w:val="008E0280"/>
    <w:rsid w:val="008E0577"/>
    <w:rsid w:val="008E0A2D"/>
    <w:rsid w:val="008E27E2"/>
    <w:rsid w:val="008E478E"/>
    <w:rsid w:val="008E550E"/>
    <w:rsid w:val="008E5747"/>
    <w:rsid w:val="008E59A9"/>
    <w:rsid w:val="008E5CD7"/>
    <w:rsid w:val="008E5ED8"/>
    <w:rsid w:val="008F018F"/>
    <w:rsid w:val="008F028B"/>
    <w:rsid w:val="008F09AF"/>
    <w:rsid w:val="008F0E0E"/>
    <w:rsid w:val="008F186D"/>
    <w:rsid w:val="008F1B00"/>
    <w:rsid w:val="008F1EA3"/>
    <w:rsid w:val="008F23EA"/>
    <w:rsid w:val="008F3B7A"/>
    <w:rsid w:val="008F3C3A"/>
    <w:rsid w:val="008F43E0"/>
    <w:rsid w:val="008F4B7E"/>
    <w:rsid w:val="008F52CD"/>
    <w:rsid w:val="008F64F2"/>
    <w:rsid w:val="008F73A1"/>
    <w:rsid w:val="008F7950"/>
    <w:rsid w:val="009002EB"/>
    <w:rsid w:val="00901836"/>
    <w:rsid w:val="00901F1A"/>
    <w:rsid w:val="009022AC"/>
    <w:rsid w:val="00902475"/>
    <w:rsid w:val="00903A6B"/>
    <w:rsid w:val="00904752"/>
    <w:rsid w:val="00904A6F"/>
    <w:rsid w:val="00905293"/>
    <w:rsid w:val="0090566D"/>
    <w:rsid w:val="0090725C"/>
    <w:rsid w:val="00907A3F"/>
    <w:rsid w:val="00910130"/>
    <w:rsid w:val="009108BF"/>
    <w:rsid w:val="00910934"/>
    <w:rsid w:val="00910991"/>
    <w:rsid w:val="0091112D"/>
    <w:rsid w:val="00911F36"/>
    <w:rsid w:val="0091246E"/>
    <w:rsid w:val="009129AC"/>
    <w:rsid w:val="00913672"/>
    <w:rsid w:val="00914CAC"/>
    <w:rsid w:val="00915009"/>
    <w:rsid w:val="009157E5"/>
    <w:rsid w:val="0091733F"/>
    <w:rsid w:val="009201D9"/>
    <w:rsid w:val="00920FD0"/>
    <w:rsid w:val="00922031"/>
    <w:rsid w:val="009224C7"/>
    <w:rsid w:val="0092278B"/>
    <w:rsid w:val="009241A7"/>
    <w:rsid w:val="009242E4"/>
    <w:rsid w:val="0092470D"/>
    <w:rsid w:val="00924BF3"/>
    <w:rsid w:val="00925952"/>
    <w:rsid w:val="00926058"/>
    <w:rsid w:val="0092620C"/>
    <w:rsid w:val="00926862"/>
    <w:rsid w:val="00927325"/>
    <w:rsid w:val="00927C0C"/>
    <w:rsid w:val="00931C58"/>
    <w:rsid w:val="00931D4A"/>
    <w:rsid w:val="00932499"/>
    <w:rsid w:val="00932B7C"/>
    <w:rsid w:val="0093360B"/>
    <w:rsid w:val="00933FD0"/>
    <w:rsid w:val="0093479D"/>
    <w:rsid w:val="00934964"/>
    <w:rsid w:val="009350DC"/>
    <w:rsid w:val="009357F7"/>
    <w:rsid w:val="00936A2F"/>
    <w:rsid w:val="00936BF3"/>
    <w:rsid w:val="00936C02"/>
    <w:rsid w:val="0093746F"/>
    <w:rsid w:val="0094129E"/>
    <w:rsid w:val="00941AEA"/>
    <w:rsid w:val="00942AA7"/>
    <w:rsid w:val="00942FF3"/>
    <w:rsid w:val="00943035"/>
    <w:rsid w:val="00943DE2"/>
    <w:rsid w:val="00943E77"/>
    <w:rsid w:val="0094472E"/>
    <w:rsid w:val="009457E9"/>
    <w:rsid w:val="00946DFB"/>
    <w:rsid w:val="00951D3C"/>
    <w:rsid w:val="00952BCD"/>
    <w:rsid w:val="0095519C"/>
    <w:rsid w:val="0095597A"/>
    <w:rsid w:val="00955A32"/>
    <w:rsid w:val="00956268"/>
    <w:rsid w:val="00956C58"/>
    <w:rsid w:val="009571FC"/>
    <w:rsid w:val="00957736"/>
    <w:rsid w:val="00957A95"/>
    <w:rsid w:val="00960036"/>
    <w:rsid w:val="00960121"/>
    <w:rsid w:val="009618D9"/>
    <w:rsid w:val="009626DA"/>
    <w:rsid w:val="00963757"/>
    <w:rsid w:val="009643F3"/>
    <w:rsid w:val="00964A9F"/>
    <w:rsid w:val="00964F6D"/>
    <w:rsid w:val="0096526A"/>
    <w:rsid w:val="009661CF"/>
    <w:rsid w:val="0096622F"/>
    <w:rsid w:val="00967595"/>
    <w:rsid w:val="00967DB9"/>
    <w:rsid w:val="00967F5A"/>
    <w:rsid w:val="009702DF"/>
    <w:rsid w:val="0097176B"/>
    <w:rsid w:val="00971859"/>
    <w:rsid w:val="00971B39"/>
    <w:rsid w:val="00972BBD"/>
    <w:rsid w:val="009730EF"/>
    <w:rsid w:val="009743EB"/>
    <w:rsid w:val="00976580"/>
    <w:rsid w:val="009768B7"/>
    <w:rsid w:val="00976940"/>
    <w:rsid w:val="009769E7"/>
    <w:rsid w:val="00976CC3"/>
    <w:rsid w:val="009773D8"/>
    <w:rsid w:val="00980062"/>
    <w:rsid w:val="00981BA9"/>
    <w:rsid w:val="00982198"/>
    <w:rsid w:val="00982F69"/>
    <w:rsid w:val="0098324B"/>
    <w:rsid w:val="00984BF6"/>
    <w:rsid w:val="00990E25"/>
    <w:rsid w:val="00991099"/>
    <w:rsid w:val="009916A6"/>
    <w:rsid w:val="009916D0"/>
    <w:rsid w:val="00991CAC"/>
    <w:rsid w:val="00992317"/>
    <w:rsid w:val="0099364B"/>
    <w:rsid w:val="009939BB"/>
    <w:rsid w:val="009941A7"/>
    <w:rsid w:val="009955E5"/>
    <w:rsid w:val="00995EF5"/>
    <w:rsid w:val="00996CE4"/>
    <w:rsid w:val="00997B12"/>
    <w:rsid w:val="00997EB6"/>
    <w:rsid w:val="009A103E"/>
    <w:rsid w:val="009A19B4"/>
    <w:rsid w:val="009A2768"/>
    <w:rsid w:val="009A2E0B"/>
    <w:rsid w:val="009A48EB"/>
    <w:rsid w:val="009A53E8"/>
    <w:rsid w:val="009A5432"/>
    <w:rsid w:val="009A765E"/>
    <w:rsid w:val="009B1AA5"/>
    <w:rsid w:val="009B1C75"/>
    <w:rsid w:val="009B1F72"/>
    <w:rsid w:val="009B2E08"/>
    <w:rsid w:val="009B2FD7"/>
    <w:rsid w:val="009B3AF9"/>
    <w:rsid w:val="009B3D26"/>
    <w:rsid w:val="009B4B80"/>
    <w:rsid w:val="009B4C1F"/>
    <w:rsid w:val="009B4E44"/>
    <w:rsid w:val="009B618F"/>
    <w:rsid w:val="009C0A07"/>
    <w:rsid w:val="009C18AB"/>
    <w:rsid w:val="009C1A76"/>
    <w:rsid w:val="009C1B86"/>
    <w:rsid w:val="009C2516"/>
    <w:rsid w:val="009C3302"/>
    <w:rsid w:val="009C33B1"/>
    <w:rsid w:val="009C3679"/>
    <w:rsid w:val="009C40F6"/>
    <w:rsid w:val="009C6F12"/>
    <w:rsid w:val="009C7B09"/>
    <w:rsid w:val="009C7D07"/>
    <w:rsid w:val="009C7E76"/>
    <w:rsid w:val="009D172F"/>
    <w:rsid w:val="009D1A27"/>
    <w:rsid w:val="009D1F4D"/>
    <w:rsid w:val="009D21BE"/>
    <w:rsid w:val="009D2989"/>
    <w:rsid w:val="009D2D72"/>
    <w:rsid w:val="009D3DD1"/>
    <w:rsid w:val="009D497F"/>
    <w:rsid w:val="009D4A19"/>
    <w:rsid w:val="009D4A96"/>
    <w:rsid w:val="009D5D25"/>
    <w:rsid w:val="009D6466"/>
    <w:rsid w:val="009D647E"/>
    <w:rsid w:val="009D65C5"/>
    <w:rsid w:val="009D69DD"/>
    <w:rsid w:val="009D7BC5"/>
    <w:rsid w:val="009E0425"/>
    <w:rsid w:val="009E068F"/>
    <w:rsid w:val="009E0D95"/>
    <w:rsid w:val="009E0FC4"/>
    <w:rsid w:val="009E12E0"/>
    <w:rsid w:val="009E1750"/>
    <w:rsid w:val="009E1C65"/>
    <w:rsid w:val="009E1CC7"/>
    <w:rsid w:val="009E25BD"/>
    <w:rsid w:val="009E2D98"/>
    <w:rsid w:val="009E2F18"/>
    <w:rsid w:val="009E3656"/>
    <w:rsid w:val="009E3801"/>
    <w:rsid w:val="009E3C44"/>
    <w:rsid w:val="009E5641"/>
    <w:rsid w:val="009E5CD6"/>
    <w:rsid w:val="009E5E5C"/>
    <w:rsid w:val="009E60D2"/>
    <w:rsid w:val="009F069D"/>
    <w:rsid w:val="009F0A2D"/>
    <w:rsid w:val="009F179C"/>
    <w:rsid w:val="009F1A23"/>
    <w:rsid w:val="009F2856"/>
    <w:rsid w:val="009F3944"/>
    <w:rsid w:val="009F42DE"/>
    <w:rsid w:val="009F4D79"/>
    <w:rsid w:val="009F5670"/>
    <w:rsid w:val="009F5A9C"/>
    <w:rsid w:val="009F626D"/>
    <w:rsid w:val="009F7491"/>
    <w:rsid w:val="009F763A"/>
    <w:rsid w:val="00A01259"/>
    <w:rsid w:val="00A01368"/>
    <w:rsid w:val="00A02789"/>
    <w:rsid w:val="00A02EE0"/>
    <w:rsid w:val="00A02F49"/>
    <w:rsid w:val="00A0343B"/>
    <w:rsid w:val="00A04CB3"/>
    <w:rsid w:val="00A0505A"/>
    <w:rsid w:val="00A05225"/>
    <w:rsid w:val="00A074A1"/>
    <w:rsid w:val="00A10F3A"/>
    <w:rsid w:val="00A11F3B"/>
    <w:rsid w:val="00A130E5"/>
    <w:rsid w:val="00A14682"/>
    <w:rsid w:val="00A14760"/>
    <w:rsid w:val="00A14EC3"/>
    <w:rsid w:val="00A15E7D"/>
    <w:rsid w:val="00A20188"/>
    <w:rsid w:val="00A207C7"/>
    <w:rsid w:val="00A24D55"/>
    <w:rsid w:val="00A263E6"/>
    <w:rsid w:val="00A272EE"/>
    <w:rsid w:val="00A273B1"/>
    <w:rsid w:val="00A27522"/>
    <w:rsid w:val="00A30B35"/>
    <w:rsid w:val="00A30D14"/>
    <w:rsid w:val="00A3175E"/>
    <w:rsid w:val="00A32A68"/>
    <w:rsid w:val="00A32D38"/>
    <w:rsid w:val="00A32E41"/>
    <w:rsid w:val="00A32ED4"/>
    <w:rsid w:val="00A34A10"/>
    <w:rsid w:val="00A34DD4"/>
    <w:rsid w:val="00A35193"/>
    <w:rsid w:val="00A35E98"/>
    <w:rsid w:val="00A36B86"/>
    <w:rsid w:val="00A37258"/>
    <w:rsid w:val="00A37385"/>
    <w:rsid w:val="00A373EF"/>
    <w:rsid w:val="00A37F22"/>
    <w:rsid w:val="00A401A7"/>
    <w:rsid w:val="00A4092E"/>
    <w:rsid w:val="00A40AE5"/>
    <w:rsid w:val="00A417B6"/>
    <w:rsid w:val="00A41BA5"/>
    <w:rsid w:val="00A41D77"/>
    <w:rsid w:val="00A42F54"/>
    <w:rsid w:val="00A4310B"/>
    <w:rsid w:val="00A43205"/>
    <w:rsid w:val="00A4356B"/>
    <w:rsid w:val="00A44265"/>
    <w:rsid w:val="00A4439D"/>
    <w:rsid w:val="00A445B1"/>
    <w:rsid w:val="00A44853"/>
    <w:rsid w:val="00A44E8D"/>
    <w:rsid w:val="00A45A40"/>
    <w:rsid w:val="00A45CA9"/>
    <w:rsid w:val="00A477D3"/>
    <w:rsid w:val="00A47B1A"/>
    <w:rsid w:val="00A50833"/>
    <w:rsid w:val="00A53BE0"/>
    <w:rsid w:val="00A53CCB"/>
    <w:rsid w:val="00A5480E"/>
    <w:rsid w:val="00A5554E"/>
    <w:rsid w:val="00A55AA2"/>
    <w:rsid w:val="00A55CB7"/>
    <w:rsid w:val="00A55F82"/>
    <w:rsid w:val="00A56485"/>
    <w:rsid w:val="00A57764"/>
    <w:rsid w:val="00A577A9"/>
    <w:rsid w:val="00A57AA4"/>
    <w:rsid w:val="00A57BD7"/>
    <w:rsid w:val="00A60959"/>
    <w:rsid w:val="00A61410"/>
    <w:rsid w:val="00A62586"/>
    <w:rsid w:val="00A628BF"/>
    <w:rsid w:val="00A63544"/>
    <w:rsid w:val="00A64300"/>
    <w:rsid w:val="00A65BF5"/>
    <w:rsid w:val="00A66901"/>
    <w:rsid w:val="00A66F34"/>
    <w:rsid w:val="00A67060"/>
    <w:rsid w:val="00A6731D"/>
    <w:rsid w:val="00A67AB3"/>
    <w:rsid w:val="00A700A7"/>
    <w:rsid w:val="00A71821"/>
    <w:rsid w:val="00A71EB2"/>
    <w:rsid w:val="00A722CA"/>
    <w:rsid w:val="00A7441E"/>
    <w:rsid w:val="00A74D08"/>
    <w:rsid w:val="00A760AF"/>
    <w:rsid w:val="00A76200"/>
    <w:rsid w:val="00A767B3"/>
    <w:rsid w:val="00A77568"/>
    <w:rsid w:val="00A77B31"/>
    <w:rsid w:val="00A8006C"/>
    <w:rsid w:val="00A80177"/>
    <w:rsid w:val="00A8072D"/>
    <w:rsid w:val="00A80A11"/>
    <w:rsid w:val="00A80DB4"/>
    <w:rsid w:val="00A825A3"/>
    <w:rsid w:val="00A82C77"/>
    <w:rsid w:val="00A86E0F"/>
    <w:rsid w:val="00A870E1"/>
    <w:rsid w:val="00A9010D"/>
    <w:rsid w:val="00A90F3F"/>
    <w:rsid w:val="00A91249"/>
    <w:rsid w:val="00A91DA3"/>
    <w:rsid w:val="00A92BA4"/>
    <w:rsid w:val="00A931C1"/>
    <w:rsid w:val="00A942F8"/>
    <w:rsid w:val="00A94C8F"/>
    <w:rsid w:val="00A94D99"/>
    <w:rsid w:val="00A94EB0"/>
    <w:rsid w:val="00A96184"/>
    <w:rsid w:val="00A96890"/>
    <w:rsid w:val="00A975E2"/>
    <w:rsid w:val="00AA0862"/>
    <w:rsid w:val="00AA0DAB"/>
    <w:rsid w:val="00AA0ED0"/>
    <w:rsid w:val="00AA1437"/>
    <w:rsid w:val="00AA2E3C"/>
    <w:rsid w:val="00AA40FB"/>
    <w:rsid w:val="00AA4A12"/>
    <w:rsid w:val="00AA5423"/>
    <w:rsid w:val="00AA5706"/>
    <w:rsid w:val="00AA588B"/>
    <w:rsid w:val="00AA5E0A"/>
    <w:rsid w:val="00AA7AAF"/>
    <w:rsid w:val="00AA7B47"/>
    <w:rsid w:val="00AB0CAF"/>
    <w:rsid w:val="00AB0D96"/>
    <w:rsid w:val="00AB1C21"/>
    <w:rsid w:val="00AB24EF"/>
    <w:rsid w:val="00AB2547"/>
    <w:rsid w:val="00AB26EA"/>
    <w:rsid w:val="00AB3029"/>
    <w:rsid w:val="00AB3219"/>
    <w:rsid w:val="00AB3B7D"/>
    <w:rsid w:val="00AB40D6"/>
    <w:rsid w:val="00AB422A"/>
    <w:rsid w:val="00AB4711"/>
    <w:rsid w:val="00AB4827"/>
    <w:rsid w:val="00AB52EC"/>
    <w:rsid w:val="00AB54ED"/>
    <w:rsid w:val="00AB6206"/>
    <w:rsid w:val="00AB64C0"/>
    <w:rsid w:val="00AB6AB8"/>
    <w:rsid w:val="00AB73B4"/>
    <w:rsid w:val="00AB742E"/>
    <w:rsid w:val="00AB74A3"/>
    <w:rsid w:val="00AB76B7"/>
    <w:rsid w:val="00AC109F"/>
    <w:rsid w:val="00AC1471"/>
    <w:rsid w:val="00AC1515"/>
    <w:rsid w:val="00AC18A2"/>
    <w:rsid w:val="00AC299A"/>
    <w:rsid w:val="00AC45E0"/>
    <w:rsid w:val="00AC4CD3"/>
    <w:rsid w:val="00AC585B"/>
    <w:rsid w:val="00AC592A"/>
    <w:rsid w:val="00AC5A60"/>
    <w:rsid w:val="00AD0599"/>
    <w:rsid w:val="00AD070B"/>
    <w:rsid w:val="00AD2400"/>
    <w:rsid w:val="00AD3E69"/>
    <w:rsid w:val="00AD51DB"/>
    <w:rsid w:val="00AD531B"/>
    <w:rsid w:val="00AD5E33"/>
    <w:rsid w:val="00AD5E8D"/>
    <w:rsid w:val="00AD5F07"/>
    <w:rsid w:val="00AE0F13"/>
    <w:rsid w:val="00AE2107"/>
    <w:rsid w:val="00AE231D"/>
    <w:rsid w:val="00AE2794"/>
    <w:rsid w:val="00AE2BC2"/>
    <w:rsid w:val="00AE3172"/>
    <w:rsid w:val="00AE3AF6"/>
    <w:rsid w:val="00AE3DFB"/>
    <w:rsid w:val="00AE4BD8"/>
    <w:rsid w:val="00AE4E9C"/>
    <w:rsid w:val="00AE5313"/>
    <w:rsid w:val="00AE7064"/>
    <w:rsid w:val="00AF077C"/>
    <w:rsid w:val="00AF1908"/>
    <w:rsid w:val="00AF1965"/>
    <w:rsid w:val="00AF2FD8"/>
    <w:rsid w:val="00AF3630"/>
    <w:rsid w:val="00AF402B"/>
    <w:rsid w:val="00AF48B0"/>
    <w:rsid w:val="00AF535D"/>
    <w:rsid w:val="00AF54E0"/>
    <w:rsid w:val="00AF7FEB"/>
    <w:rsid w:val="00B002BA"/>
    <w:rsid w:val="00B00421"/>
    <w:rsid w:val="00B023B2"/>
    <w:rsid w:val="00B0254E"/>
    <w:rsid w:val="00B04DB6"/>
    <w:rsid w:val="00B04FA2"/>
    <w:rsid w:val="00B04FF5"/>
    <w:rsid w:val="00B07D4A"/>
    <w:rsid w:val="00B106CC"/>
    <w:rsid w:val="00B11526"/>
    <w:rsid w:val="00B121AF"/>
    <w:rsid w:val="00B12836"/>
    <w:rsid w:val="00B13A2F"/>
    <w:rsid w:val="00B13DBE"/>
    <w:rsid w:val="00B156E9"/>
    <w:rsid w:val="00B168D7"/>
    <w:rsid w:val="00B17CE6"/>
    <w:rsid w:val="00B209BA"/>
    <w:rsid w:val="00B20C4A"/>
    <w:rsid w:val="00B20E33"/>
    <w:rsid w:val="00B21899"/>
    <w:rsid w:val="00B220F0"/>
    <w:rsid w:val="00B22F21"/>
    <w:rsid w:val="00B279AA"/>
    <w:rsid w:val="00B300A3"/>
    <w:rsid w:val="00B300BD"/>
    <w:rsid w:val="00B304FC"/>
    <w:rsid w:val="00B338B0"/>
    <w:rsid w:val="00B33A3B"/>
    <w:rsid w:val="00B33E42"/>
    <w:rsid w:val="00B343DF"/>
    <w:rsid w:val="00B3506E"/>
    <w:rsid w:val="00B3550C"/>
    <w:rsid w:val="00B35A34"/>
    <w:rsid w:val="00B35F0B"/>
    <w:rsid w:val="00B3662A"/>
    <w:rsid w:val="00B36650"/>
    <w:rsid w:val="00B37899"/>
    <w:rsid w:val="00B379A3"/>
    <w:rsid w:val="00B37D76"/>
    <w:rsid w:val="00B37F46"/>
    <w:rsid w:val="00B4016C"/>
    <w:rsid w:val="00B405D8"/>
    <w:rsid w:val="00B41265"/>
    <w:rsid w:val="00B41745"/>
    <w:rsid w:val="00B41F8D"/>
    <w:rsid w:val="00B42FAF"/>
    <w:rsid w:val="00B432BC"/>
    <w:rsid w:val="00B43EC8"/>
    <w:rsid w:val="00B45B79"/>
    <w:rsid w:val="00B464D1"/>
    <w:rsid w:val="00B46AC9"/>
    <w:rsid w:val="00B47504"/>
    <w:rsid w:val="00B476D9"/>
    <w:rsid w:val="00B51EC9"/>
    <w:rsid w:val="00B52BCF"/>
    <w:rsid w:val="00B5531D"/>
    <w:rsid w:val="00B56609"/>
    <w:rsid w:val="00B5683D"/>
    <w:rsid w:val="00B56E89"/>
    <w:rsid w:val="00B56EB0"/>
    <w:rsid w:val="00B57D0F"/>
    <w:rsid w:val="00B601A1"/>
    <w:rsid w:val="00B612FA"/>
    <w:rsid w:val="00B61DB2"/>
    <w:rsid w:val="00B6270B"/>
    <w:rsid w:val="00B62C6C"/>
    <w:rsid w:val="00B634DB"/>
    <w:rsid w:val="00B63593"/>
    <w:rsid w:val="00B63AF6"/>
    <w:rsid w:val="00B64085"/>
    <w:rsid w:val="00B64A91"/>
    <w:rsid w:val="00B6511B"/>
    <w:rsid w:val="00B656D7"/>
    <w:rsid w:val="00B65824"/>
    <w:rsid w:val="00B65BAC"/>
    <w:rsid w:val="00B66DD4"/>
    <w:rsid w:val="00B6731B"/>
    <w:rsid w:val="00B70AA3"/>
    <w:rsid w:val="00B71587"/>
    <w:rsid w:val="00B717EF"/>
    <w:rsid w:val="00B71940"/>
    <w:rsid w:val="00B726E1"/>
    <w:rsid w:val="00B760EA"/>
    <w:rsid w:val="00B77A90"/>
    <w:rsid w:val="00B80478"/>
    <w:rsid w:val="00B8121F"/>
    <w:rsid w:val="00B81715"/>
    <w:rsid w:val="00B821BE"/>
    <w:rsid w:val="00B831D7"/>
    <w:rsid w:val="00B83B6B"/>
    <w:rsid w:val="00B841F8"/>
    <w:rsid w:val="00B84772"/>
    <w:rsid w:val="00B858A3"/>
    <w:rsid w:val="00B87430"/>
    <w:rsid w:val="00B9129F"/>
    <w:rsid w:val="00B9171E"/>
    <w:rsid w:val="00B92699"/>
    <w:rsid w:val="00B93541"/>
    <w:rsid w:val="00B93786"/>
    <w:rsid w:val="00B94C28"/>
    <w:rsid w:val="00B94C41"/>
    <w:rsid w:val="00B9510B"/>
    <w:rsid w:val="00B953F7"/>
    <w:rsid w:val="00B95772"/>
    <w:rsid w:val="00B95A46"/>
    <w:rsid w:val="00B95D42"/>
    <w:rsid w:val="00B97282"/>
    <w:rsid w:val="00B97C37"/>
    <w:rsid w:val="00BA0A7E"/>
    <w:rsid w:val="00BA1CE9"/>
    <w:rsid w:val="00BA29BC"/>
    <w:rsid w:val="00BA3582"/>
    <w:rsid w:val="00BA50AC"/>
    <w:rsid w:val="00BA703B"/>
    <w:rsid w:val="00BA7177"/>
    <w:rsid w:val="00BA7BBC"/>
    <w:rsid w:val="00BB047D"/>
    <w:rsid w:val="00BB0DF1"/>
    <w:rsid w:val="00BB1315"/>
    <w:rsid w:val="00BB2EEB"/>
    <w:rsid w:val="00BB38CD"/>
    <w:rsid w:val="00BB408F"/>
    <w:rsid w:val="00BB45BA"/>
    <w:rsid w:val="00BB5EB2"/>
    <w:rsid w:val="00BB6668"/>
    <w:rsid w:val="00BB7BED"/>
    <w:rsid w:val="00BC0766"/>
    <w:rsid w:val="00BC1979"/>
    <w:rsid w:val="00BC19B8"/>
    <w:rsid w:val="00BC1F0D"/>
    <w:rsid w:val="00BC24CA"/>
    <w:rsid w:val="00BC29E6"/>
    <w:rsid w:val="00BC2E6F"/>
    <w:rsid w:val="00BC44E0"/>
    <w:rsid w:val="00BC7001"/>
    <w:rsid w:val="00BC751A"/>
    <w:rsid w:val="00BD2CB5"/>
    <w:rsid w:val="00BD3009"/>
    <w:rsid w:val="00BD3FD3"/>
    <w:rsid w:val="00BD4E20"/>
    <w:rsid w:val="00BD4E31"/>
    <w:rsid w:val="00BD54F5"/>
    <w:rsid w:val="00BD78B2"/>
    <w:rsid w:val="00BD7A7F"/>
    <w:rsid w:val="00BE2FCB"/>
    <w:rsid w:val="00BE3556"/>
    <w:rsid w:val="00BE4866"/>
    <w:rsid w:val="00BE51F9"/>
    <w:rsid w:val="00BE5ED7"/>
    <w:rsid w:val="00BF0DCB"/>
    <w:rsid w:val="00BF1AE1"/>
    <w:rsid w:val="00BF29BA"/>
    <w:rsid w:val="00BF29F9"/>
    <w:rsid w:val="00BF2E3E"/>
    <w:rsid w:val="00BF3616"/>
    <w:rsid w:val="00BF477F"/>
    <w:rsid w:val="00BF4DC5"/>
    <w:rsid w:val="00BF7DCA"/>
    <w:rsid w:val="00C01A28"/>
    <w:rsid w:val="00C01E0F"/>
    <w:rsid w:val="00C022C4"/>
    <w:rsid w:val="00C02760"/>
    <w:rsid w:val="00C035F7"/>
    <w:rsid w:val="00C03697"/>
    <w:rsid w:val="00C0374F"/>
    <w:rsid w:val="00C03B4B"/>
    <w:rsid w:val="00C04031"/>
    <w:rsid w:val="00C04945"/>
    <w:rsid w:val="00C04BB2"/>
    <w:rsid w:val="00C06CFF"/>
    <w:rsid w:val="00C071C4"/>
    <w:rsid w:val="00C07CC2"/>
    <w:rsid w:val="00C11736"/>
    <w:rsid w:val="00C1294E"/>
    <w:rsid w:val="00C12B19"/>
    <w:rsid w:val="00C13AE4"/>
    <w:rsid w:val="00C14B20"/>
    <w:rsid w:val="00C14DE4"/>
    <w:rsid w:val="00C152C6"/>
    <w:rsid w:val="00C159BB"/>
    <w:rsid w:val="00C16E5C"/>
    <w:rsid w:val="00C16FAB"/>
    <w:rsid w:val="00C211CD"/>
    <w:rsid w:val="00C2145D"/>
    <w:rsid w:val="00C22D99"/>
    <w:rsid w:val="00C22E75"/>
    <w:rsid w:val="00C24294"/>
    <w:rsid w:val="00C262BD"/>
    <w:rsid w:val="00C26404"/>
    <w:rsid w:val="00C2693D"/>
    <w:rsid w:val="00C274CA"/>
    <w:rsid w:val="00C2780B"/>
    <w:rsid w:val="00C30F9A"/>
    <w:rsid w:val="00C32FEB"/>
    <w:rsid w:val="00C332CA"/>
    <w:rsid w:val="00C33874"/>
    <w:rsid w:val="00C3455F"/>
    <w:rsid w:val="00C36854"/>
    <w:rsid w:val="00C373AA"/>
    <w:rsid w:val="00C37B7A"/>
    <w:rsid w:val="00C401DC"/>
    <w:rsid w:val="00C408B9"/>
    <w:rsid w:val="00C409D5"/>
    <w:rsid w:val="00C419B0"/>
    <w:rsid w:val="00C42285"/>
    <w:rsid w:val="00C422B1"/>
    <w:rsid w:val="00C42726"/>
    <w:rsid w:val="00C44A29"/>
    <w:rsid w:val="00C44DD0"/>
    <w:rsid w:val="00C44F9C"/>
    <w:rsid w:val="00C45DA7"/>
    <w:rsid w:val="00C4612A"/>
    <w:rsid w:val="00C474F9"/>
    <w:rsid w:val="00C50286"/>
    <w:rsid w:val="00C51BFA"/>
    <w:rsid w:val="00C51E4F"/>
    <w:rsid w:val="00C52D28"/>
    <w:rsid w:val="00C53C83"/>
    <w:rsid w:val="00C54792"/>
    <w:rsid w:val="00C55ACB"/>
    <w:rsid w:val="00C55E58"/>
    <w:rsid w:val="00C5655C"/>
    <w:rsid w:val="00C57179"/>
    <w:rsid w:val="00C60426"/>
    <w:rsid w:val="00C60A5B"/>
    <w:rsid w:val="00C62217"/>
    <w:rsid w:val="00C6378E"/>
    <w:rsid w:val="00C648D1"/>
    <w:rsid w:val="00C6509D"/>
    <w:rsid w:val="00C6545D"/>
    <w:rsid w:val="00C66AA5"/>
    <w:rsid w:val="00C6752B"/>
    <w:rsid w:val="00C7050B"/>
    <w:rsid w:val="00C70A47"/>
    <w:rsid w:val="00C70A75"/>
    <w:rsid w:val="00C70E4C"/>
    <w:rsid w:val="00C715E3"/>
    <w:rsid w:val="00C718B9"/>
    <w:rsid w:val="00C72C17"/>
    <w:rsid w:val="00C743D8"/>
    <w:rsid w:val="00C74B2D"/>
    <w:rsid w:val="00C753D1"/>
    <w:rsid w:val="00C76FBD"/>
    <w:rsid w:val="00C7762A"/>
    <w:rsid w:val="00C779B6"/>
    <w:rsid w:val="00C77EB1"/>
    <w:rsid w:val="00C806C2"/>
    <w:rsid w:val="00C80839"/>
    <w:rsid w:val="00C80D7E"/>
    <w:rsid w:val="00C81F21"/>
    <w:rsid w:val="00C82B59"/>
    <w:rsid w:val="00C82CE3"/>
    <w:rsid w:val="00C83599"/>
    <w:rsid w:val="00C84063"/>
    <w:rsid w:val="00C842AF"/>
    <w:rsid w:val="00C844AC"/>
    <w:rsid w:val="00C84B58"/>
    <w:rsid w:val="00C84BE8"/>
    <w:rsid w:val="00C851A3"/>
    <w:rsid w:val="00C86530"/>
    <w:rsid w:val="00C8656E"/>
    <w:rsid w:val="00C86FB5"/>
    <w:rsid w:val="00C90135"/>
    <w:rsid w:val="00C91DA3"/>
    <w:rsid w:val="00C92BAC"/>
    <w:rsid w:val="00C92C5D"/>
    <w:rsid w:val="00C93A07"/>
    <w:rsid w:val="00C93A7C"/>
    <w:rsid w:val="00C95362"/>
    <w:rsid w:val="00C958D8"/>
    <w:rsid w:val="00C9624E"/>
    <w:rsid w:val="00C973B3"/>
    <w:rsid w:val="00CA0FEF"/>
    <w:rsid w:val="00CA1C57"/>
    <w:rsid w:val="00CA34AC"/>
    <w:rsid w:val="00CA388C"/>
    <w:rsid w:val="00CA4366"/>
    <w:rsid w:val="00CA48AA"/>
    <w:rsid w:val="00CA4946"/>
    <w:rsid w:val="00CA5F4F"/>
    <w:rsid w:val="00CA7321"/>
    <w:rsid w:val="00CA74E1"/>
    <w:rsid w:val="00CB0764"/>
    <w:rsid w:val="00CB0B39"/>
    <w:rsid w:val="00CB0D22"/>
    <w:rsid w:val="00CB0E7D"/>
    <w:rsid w:val="00CB2A5F"/>
    <w:rsid w:val="00CB2BAF"/>
    <w:rsid w:val="00CB32FC"/>
    <w:rsid w:val="00CB36A6"/>
    <w:rsid w:val="00CB3FE6"/>
    <w:rsid w:val="00CB4C17"/>
    <w:rsid w:val="00CB5593"/>
    <w:rsid w:val="00CB593B"/>
    <w:rsid w:val="00CB5EE4"/>
    <w:rsid w:val="00CB7928"/>
    <w:rsid w:val="00CC0580"/>
    <w:rsid w:val="00CC08E9"/>
    <w:rsid w:val="00CC10F7"/>
    <w:rsid w:val="00CC1453"/>
    <w:rsid w:val="00CC2236"/>
    <w:rsid w:val="00CC35A0"/>
    <w:rsid w:val="00CC39B0"/>
    <w:rsid w:val="00CC5369"/>
    <w:rsid w:val="00CC57EB"/>
    <w:rsid w:val="00CC58DC"/>
    <w:rsid w:val="00CC6351"/>
    <w:rsid w:val="00CC6D54"/>
    <w:rsid w:val="00CD06E0"/>
    <w:rsid w:val="00CD06F5"/>
    <w:rsid w:val="00CD07F4"/>
    <w:rsid w:val="00CD2363"/>
    <w:rsid w:val="00CD24DB"/>
    <w:rsid w:val="00CD254B"/>
    <w:rsid w:val="00CD2D97"/>
    <w:rsid w:val="00CD32BA"/>
    <w:rsid w:val="00CD47DD"/>
    <w:rsid w:val="00CD5AAE"/>
    <w:rsid w:val="00CD5DF9"/>
    <w:rsid w:val="00CD5E4E"/>
    <w:rsid w:val="00CD65C6"/>
    <w:rsid w:val="00CD6F83"/>
    <w:rsid w:val="00CD757B"/>
    <w:rsid w:val="00CD7AC3"/>
    <w:rsid w:val="00CD7C77"/>
    <w:rsid w:val="00CE0407"/>
    <w:rsid w:val="00CE0F58"/>
    <w:rsid w:val="00CE10FD"/>
    <w:rsid w:val="00CE233E"/>
    <w:rsid w:val="00CE271D"/>
    <w:rsid w:val="00CE272D"/>
    <w:rsid w:val="00CE284D"/>
    <w:rsid w:val="00CE32D1"/>
    <w:rsid w:val="00CE381F"/>
    <w:rsid w:val="00CE3CD3"/>
    <w:rsid w:val="00CE3E0D"/>
    <w:rsid w:val="00CE72B8"/>
    <w:rsid w:val="00CE7564"/>
    <w:rsid w:val="00CE7A74"/>
    <w:rsid w:val="00CF1642"/>
    <w:rsid w:val="00CF1B66"/>
    <w:rsid w:val="00CF3691"/>
    <w:rsid w:val="00CF3B62"/>
    <w:rsid w:val="00CF5347"/>
    <w:rsid w:val="00CF56B4"/>
    <w:rsid w:val="00CF5932"/>
    <w:rsid w:val="00CF602C"/>
    <w:rsid w:val="00CF7C30"/>
    <w:rsid w:val="00D01374"/>
    <w:rsid w:val="00D0160B"/>
    <w:rsid w:val="00D0172D"/>
    <w:rsid w:val="00D024A1"/>
    <w:rsid w:val="00D024A4"/>
    <w:rsid w:val="00D02BB3"/>
    <w:rsid w:val="00D03CDF"/>
    <w:rsid w:val="00D03F66"/>
    <w:rsid w:val="00D0454E"/>
    <w:rsid w:val="00D04F5A"/>
    <w:rsid w:val="00D06DDF"/>
    <w:rsid w:val="00D07FCA"/>
    <w:rsid w:val="00D11C17"/>
    <w:rsid w:val="00D126FC"/>
    <w:rsid w:val="00D12BA4"/>
    <w:rsid w:val="00D13ECE"/>
    <w:rsid w:val="00D13FA9"/>
    <w:rsid w:val="00D140B6"/>
    <w:rsid w:val="00D14967"/>
    <w:rsid w:val="00D14C0F"/>
    <w:rsid w:val="00D15E64"/>
    <w:rsid w:val="00D15EC3"/>
    <w:rsid w:val="00D16984"/>
    <w:rsid w:val="00D16E7B"/>
    <w:rsid w:val="00D17517"/>
    <w:rsid w:val="00D20471"/>
    <w:rsid w:val="00D2051D"/>
    <w:rsid w:val="00D20D56"/>
    <w:rsid w:val="00D220FA"/>
    <w:rsid w:val="00D2425E"/>
    <w:rsid w:val="00D246AA"/>
    <w:rsid w:val="00D258A6"/>
    <w:rsid w:val="00D25F5D"/>
    <w:rsid w:val="00D2665B"/>
    <w:rsid w:val="00D26C96"/>
    <w:rsid w:val="00D27012"/>
    <w:rsid w:val="00D271BF"/>
    <w:rsid w:val="00D27280"/>
    <w:rsid w:val="00D2738C"/>
    <w:rsid w:val="00D301C5"/>
    <w:rsid w:val="00D31248"/>
    <w:rsid w:val="00D31565"/>
    <w:rsid w:val="00D31E72"/>
    <w:rsid w:val="00D324F6"/>
    <w:rsid w:val="00D32C17"/>
    <w:rsid w:val="00D33548"/>
    <w:rsid w:val="00D336D2"/>
    <w:rsid w:val="00D343B5"/>
    <w:rsid w:val="00D3499A"/>
    <w:rsid w:val="00D35358"/>
    <w:rsid w:val="00D354BF"/>
    <w:rsid w:val="00D36988"/>
    <w:rsid w:val="00D36B3A"/>
    <w:rsid w:val="00D3734E"/>
    <w:rsid w:val="00D378FC"/>
    <w:rsid w:val="00D4104A"/>
    <w:rsid w:val="00D415D4"/>
    <w:rsid w:val="00D4283B"/>
    <w:rsid w:val="00D42AE6"/>
    <w:rsid w:val="00D42B1A"/>
    <w:rsid w:val="00D42E54"/>
    <w:rsid w:val="00D43A5F"/>
    <w:rsid w:val="00D44320"/>
    <w:rsid w:val="00D44329"/>
    <w:rsid w:val="00D446FE"/>
    <w:rsid w:val="00D4506D"/>
    <w:rsid w:val="00D459AF"/>
    <w:rsid w:val="00D45DAC"/>
    <w:rsid w:val="00D45FCA"/>
    <w:rsid w:val="00D470ED"/>
    <w:rsid w:val="00D5155F"/>
    <w:rsid w:val="00D527DD"/>
    <w:rsid w:val="00D55139"/>
    <w:rsid w:val="00D553A9"/>
    <w:rsid w:val="00D5564C"/>
    <w:rsid w:val="00D55772"/>
    <w:rsid w:val="00D56C31"/>
    <w:rsid w:val="00D56F29"/>
    <w:rsid w:val="00D57544"/>
    <w:rsid w:val="00D5796B"/>
    <w:rsid w:val="00D603ED"/>
    <w:rsid w:val="00D60BC6"/>
    <w:rsid w:val="00D62548"/>
    <w:rsid w:val="00D636E5"/>
    <w:rsid w:val="00D6388B"/>
    <w:rsid w:val="00D641C7"/>
    <w:rsid w:val="00D64C1C"/>
    <w:rsid w:val="00D64F0C"/>
    <w:rsid w:val="00D6595F"/>
    <w:rsid w:val="00D67D79"/>
    <w:rsid w:val="00D70710"/>
    <w:rsid w:val="00D70A12"/>
    <w:rsid w:val="00D71D81"/>
    <w:rsid w:val="00D723DD"/>
    <w:rsid w:val="00D72F6C"/>
    <w:rsid w:val="00D730AA"/>
    <w:rsid w:val="00D731D8"/>
    <w:rsid w:val="00D738BE"/>
    <w:rsid w:val="00D73D77"/>
    <w:rsid w:val="00D7443A"/>
    <w:rsid w:val="00D7478C"/>
    <w:rsid w:val="00D75F2B"/>
    <w:rsid w:val="00D767EA"/>
    <w:rsid w:val="00D768FA"/>
    <w:rsid w:val="00D76DF4"/>
    <w:rsid w:val="00D7713F"/>
    <w:rsid w:val="00D771E3"/>
    <w:rsid w:val="00D77218"/>
    <w:rsid w:val="00D77A84"/>
    <w:rsid w:val="00D80825"/>
    <w:rsid w:val="00D80A06"/>
    <w:rsid w:val="00D8133C"/>
    <w:rsid w:val="00D815AE"/>
    <w:rsid w:val="00D81E82"/>
    <w:rsid w:val="00D81F9A"/>
    <w:rsid w:val="00D829FF"/>
    <w:rsid w:val="00D83701"/>
    <w:rsid w:val="00D84A50"/>
    <w:rsid w:val="00D86A1A"/>
    <w:rsid w:val="00D86CAD"/>
    <w:rsid w:val="00D87A78"/>
    <w:rsid w:val="00D9022C"/>
    <w:rsid w:val="00D9041A"/>
    <w:rsid w:val="00D9066B"/>
    <w:rsid w:val="00D93103"/>
    <w:rsid w:val="00D9326B"/>
    <w:rsid w:val="00D94059"/>
    <w:rsid w:val="00D94800"/>
    <w:rsid w:val="00D9494E"/>
    <w:rsid w:val="00D94EF8"/>
    <w:rsid w:val="00D94FD9"/>
    <w:rsid w:val="00D9514C"/>
    <w:rsid w:val="00D95B06"/>
    <w:rsid w:val="00D97C23"/>
    <w:rsid w:val="00DA02C4"/>
    <w:rsid w:val="00DA19B8"/>
    <w:rsid w:val="00DA1B0E"/>
    <w:rsid w:val="00DA311C"/>
    <w:rsid w:val="00DA3675"/>
    <w:rsid w:val="00DA3D8E"/>
    <w:rsid w:val="00DA5854"/>
    <w:rsid w:val="00DA59B5"/>
    <w:rsid w:val="00DA60C9"/>
    <w:rsid w:val="00DA64E7"/>
    <w:rsid w:val="00DA6607"/>
    <w:rsid w:val="00DA74FF"/>
    <w:rsid w:val="00DA7E79"/>
    <w:rsid w:val="00DB0553"/>
    <w:rsid w:val="00DB182B"/>
    <w:rsid w:val="00DB2AB8"/>
    <w:rsid w:val="00DB2CB4"/>
    <w:rsid w:val="00DB34E8"/>
    <w:rsid w:val="00DB4444"/>
    <w:rsid w:val="00DB4507"/>
    <w:rsid w:val="00DB45DC"/>
    <w:rsid w:val="00DB4983"/>
    <w:rsid w:val="00DB5D28"/>
    <w:rsid w:val="00DB5FDC"/>
    <w:rsid w:val="00DB6015"/>
    <w:rsid w:val="00DB6B73"/>
    <w:rsid w:val="00DB6EF1"/>
    <w:rsid w:val="00DB7056"/>
    <w:rsid w:val="00DB7C61"/>
    <w:rsid w:val="00DC037E"/>
    <w:rsid w:val="00DC0477"/>
    <w:rsid w:val="00DC0725"/>
    <w:rsid w:val="00DC0F0A"/>
    <w:rsid w:val="00DC1172"/>
    <w:rsid w:val="00DC1547"/>
    <w:rsid w:val="00DC1952"/>
    <w:rsid w:val="00DC1D1D"/>
    <w:rsid w:val="00DC2EE7"/>
    <w:rsid w:val="00DC30CA"/>
    <w:rsid w:val="00DC48FF"/>
    <w:rsid w:val="00DC4D1B"/>
    <w:rsid w:val="00DC525E"/>
    <w:rsid w:val="00DC6B20"/>
    <w:rsid w:val="00DC6F9F"/>
    <w:rsid w:val="00DC71E1"/>
    <w:rsid w:val="00DC756F"/>
    <w:rsid w:val="00DD0C3D"/>
    <w:rsid w:val="00DD188C"/>
    <w:rsid w:val="00DD2F01"/>
    <w:rsid w:val="00DD36FC"/>
    <w:rsid w:val="00DD3902"/>
    <w:rsid w:val="00DD420D"/>
    <w:rsid w:val="00DD4261"/>
    <w:rsid w:val="00DD534A"/>
    <w:rsid w:val="00DD5CF3"/>
    <w:rsid w:val="00DD6350"/>
    <w:rsid w:val="00DD68D7"/>
    <w:rsid w:val="00DD7300"/>
    <w:rsid w:val="00DD7C7B"/>
    <w:rsid w:val="00DE01C0"/>
    <w:rsid w:val="00DE03F6"/>
    <w:rsid w:val="00DE0757"/>
    <w:rsid w:val="00DE0F66"/>
    <w:rsid w:val="00DE155D"/>
    <w:rsid w:val="00DE2012"/>
    <w:rsid w:val="00DE2D84"/>
    <w:rsid w:val="00DE3896"/>
    <w:rsid w:val="00DE3E1F"/>
    <w:rsid w:val="00DE428C"/>
    <w:rsid w:val="00DE43A9"/>
    <w:rsid w:val="00DE4A73"/>
    <w:rsid w:val="00DE4E6A"/>
    <w:rsid w:val="00DE654B"/>
    <w:rsid w:val="00DE6C70"/>
    <w:rsid w:val="00DF1118"/>
    <w:rsid w:val="00DF2C29"/>
    <w:rsid w:val="00DF2EC5"/>
    <w:rsid w:val="00DF3D57"/>
    <w:rsid w:val="00DF55C9"/>
    <w:rsid w:val="00DF5B65"/>
    <w:rsid w:val="00DF6806"/>
    <w:rsid w:val="00DF6A9C"/>
    <w:rsid w:val="00DF6FD0"/>
    <w:rsid w:val="00E0039B"/>
    <w:rsid w:val="00E00403"/>
    <w:rsid w:val="00E0060F"/>
    <w:rsid w:val="00E00C89"/>
    <w:rsid w:val="00E01464"/>
    <w:rsid w:val="00E0189E"/>
    <w:rsid w:val="00E024AC"/>
    <w:rsid w:val="00E026CB"/>
    <w:rsid w:val="00E02DAF"/>
    <w:rsid w:val="00E04F56"/>
    <w:rsid w:val="00E05C2C"/>
    <w:rsid w:val="00E06337"/>
    <w:rsid w:val="00E1314E"/>
    <w:rsid w:val="00E13676"/>
    <w:rsid w:val="00E139E9"/>
    <w:rsid w:val="00E148DD"/>
    <w:rsid w:val="00E15091"/>
    <w:rsid w:val="00E15C97"/>
    <w:rsid w:val="00E15E7B"/>
    <w:rsid w:val="00E16DC7"/>
    <w:rsid w:val="00E16F43"/>
    <w:rsid w:val="00E175AD"/>
    <w:rsid w:val="00E17F96"/>
    <w:rsid w:val="00E2025B"/>
    <w:rsid w:val="00E212B7"/>
    <w:rsid w:val="00E21BBD"/>
    <w:rsid w:val="00E22D62"/>
    <w:rsid w:val="00E23BE1"/>
    <w:rsid w:val="00E24A9A"/>
    <w:rsid w:val="00E2557A"/>
    <w:rsid w:val="00E256E2"/>
    <w:rsid w:val="00E25EAC"/>
    <w:rsid w:val="00E27BE7"/>
    <w:rsid w:val="00E30EAF"/>
    <w:rsid w:val="00E310F3"/>
    <w:rsid w:val="00E31742"/>
    <w:rsid w:val="00E3223E"/>
    <w:rsid w:val="00E327C8"/>
    <w:rsid w:val="00E327FF"/>
    <w:rsid w:val="00E32C67"/>
    <w:rsid w:val="00E34493"/>
    <w:rsid w:val="00E34F46"/>
    <w:rsid w:val="00E35618"/>
    <w:rsid w:val="00E359B1"/>
    <w:rsid w:val="00E376C8"/>
    <w:rsid w:val="00E40E22"/>
    <w:rsid w:val="00E4160E"/>
    <w:rsid w:val="00E417CD"/>
    <w:rsid w:val="00E42176"/>
    <w:rsid w:val="00E428A3"/>
    <w:rsid w:val="00E43CC5"/>
    <w:rsid w:val="00E43E1D"/>
    <w:rsid w:val="00E43EDB"/>
    <w:rsid w:val="00E446B4"/>
    <w:rsid w:val="00E44B00"/>
    <w:rsid w:val="00E454C2"/>
    <w:rsid w:val="00E47FF4"/>
    <w:rsid w:val="00E5025E"/>
    <w:rsid w:val="00E50700"/>
    <w:rsid w:val="00E509FD"/>
    <w:rsid w:val="00E514C9"/>
    <w:rsid w:val="00E51AFD"/>
    <w:rsid w:val="00E51D74"/>
    <w:rsid w:val="00E528E7"/>
    <w:rsid w:val="00E52E41"/>
    <w:rsid w:val="00E533A6"/>
    <w:rsid w:val="00E5352A"/>
    <w:rsid w:val="00E54304"/>
    <w:rsid w:val="00E544AF"/>
    <w:rsid w:val="00E55E82"/>
    <w:rsid w:val="00E55F0F"/>
    <w:rsid w:val="00E5616C"/>
    <w:rsid w:val="00E56998"/>
    <w:rsid w:val="00E57136"/>
    <w:rsid w:val="00E60283"/>
    <w:rsid w:val="00E634A0"/>
    <w:rsid w:val="00E63C31"/>
    <w:rsid w:val="00E64028"/>
    <w:rsid w:val="00E64F54"/>
    <w:rsid w:val="00E658A8"/>
    <w:rsid w:val="00E65BE2"/>
    <w:rsid w:val="00E65C94"/>
    <w:rsid w:val="00E65D5F"/>
    <w:rsid w:val="00E6633A"/>
    <w:rsid w:val="00E66AE9"/>
    <w:rsid w:val="00E66F3B"/>
    <w:rsid w:val="00E67659"/>
    <w:rsid w:val="00E67879"/>
    <w:rsid w:val="00E70220"/>
    <w:rsid w:val="00E70484"/>
    <w:rsid w:val="00E70608"/>
    <w:rsid w:val="00E70A5F"/>
    <w:rsid w:val="00E70BB3"/>
    <w:rsid w:val="00E70F86"/>
    <w:rsid w:val="00E71028"/>
    <w:rsid w:val="00E71644"/>
    <w:rsid w:val="00E71C15"/>
    <w:rsid w:val="00E7235E"/>
    <w:rsid w:val="00E73356"/>
    <w:rsid w:val="00E75A8E"/>
    <w:rsid w:val="00E75D7A"/>
    <w:rsid w:val="00E75DFB"/>
    <w:rsid w:val="00E763EC"/>
    <w:rsid w:val="00E76FEB"/>
    <w:rsid w:val="00E77C6C"/>
    <w:rsid w:val="00E80C53"/>
    <w:rsid w:val="00E81135"/>
    <w:rsid w:val="00E811E2"/>
    <w:rsid w:val="00E81614"/>
    <w:rsid w:val="00E81961"/>
    <w:rsid w:val="00E82031"/>
    <w:rsid w:val="00E82B74"/>
    <w:rsid w:val="00E82BEC"/>
    <w:rsid w:val="00E830C3"/>
    <w:rsid w:val="00E8338B"/>
    <w:rsid w:val="00E83438"/>
    <w:rsid w:val="00E83CD1"/>
    <w:rsid w:val="00E84175"/>
    <w:rsid w:val="00E8461A"/>
    <w:rsid w:val="00E84D6A"/>
    <w:rsid w:val="00E853AA"/>
    <w:rsid w:val="00E85A81"/>
    <w:rsid w:val="00E86CE2"/>
    <w:rsid w:val="00E8726F"/>
    <w:rsid w:val="00E902CE"/>
    <w:rsid w:val="00E903BD"/>
    <w:rsid w:val="00E910DA"/>
    <w:rsid w:val="00E9174B"/>
    <w:rsid w:val="00E91BC0"/>
    <w:rsid w:val="00E922D1"/>
    <w:rsid w:val="00E922EC"/>
    <w:rsid w:val="00E925A5"/>
    <w:rsid w:val="00E952CF"/>
    <w:rsid w:val="00E95354"/>
    <w:rsid w:val="00E955F3"/>
    <w:rsid w:val="00E95AC5"/>
    <w:rsid w:val="00E96237"/>
    <w:rsid w:val="00E96279"/>
    <w:rsid w:val="00E96B2E"/>
    <w:rsid w:val="00E96E42"/>
    <w:rsid w:val="00E96EC3"/>
    <w:rsid w:val="00E971FD"/>
    <w:rsid w:val="00E9720E"/>
    <w:rsid w:val="00EA05AA"/>
    <w:rsid w:val="00EA1DFA"/>
    <w:rsid w:val="00EA327E"/>
    <w:rsid w:val="00EA639B"/>
    <w:rsid w:val="00EA70E3"/>
    <w:rsid w:val="00EA7A2A"/>
    <w:rsid w:val="00EB013C"/>
    <w:rsid w:val="00EB05EC"/>
    <w:rsid w:val="00EB0E00"/>
    <w:rsid w:val="00EB3A4B"/>
    <w:rsid w:val="00EB3C9E"/>
    <w:rsid w:val="00EB404A"/>
    <w:rsid w:val="00EB43C5"/>
    <w:rsid w:val="00EB45A6"/>
    <w:rsid w:val="00EB4F0C"/>
    <w:rsid w:val="00EB5862"/>
    <w:rsid w:val="00EB5BAB"/>
    <w:rsid w:val="00EB5F0B"/>
    <w:rsid w:val="00EB627E"/>
    <w:rsid w:val="00EB6E7F"/>
    <w:rsid w:val="00EB715D"/>
    <w:rsid w:val="00EC06CE"/>
    <w:rsid w:val="00EC07E6"/>
    <w:rsid w:val="00EC0D55"/>
    <w:rsid w:val="00EC0F5E"/>
    <w:rsid w:val="00EC1124"/>
    <w:rsid w:val="00EC4E7E"/>
    <w:rsid w:val="00EC64F9"/>
    <w:rsid w:val="00EC6FDA"/>
    <w:rsid w:val="00EC77AF"/>
    <w:rsid w:val="00EC7A26"/>
    <w:rsid w:val="00EC7D69"/>
    <w:rsid w:val="00ED092F"/>
    <w:rsid w:val="00ED13D8"/>
    <w:rsid w:val="00ED1AC6"/>
    <w:rsid w:val="00ED1C2A"/>
    <w:rsid w:val="00ED2FBE"/>
    <w:rsid w:val="00ED3883"/>
    <w:rsid w:val="00ED3A82"/>
    <w:rsid w:val="00ED3D2E"/>
    <w:rsid w:val="00ED3D2F"/>
    <w:rsid w:val="00ED4138"/>
    <w:rsid w:val="00ED4337"/>
    <w:rsid w:val="00ED4CFC"/>
    <w:rsid w:val="00ED5D8D"/>
    <w:rsid w:val="00ED5FD3"/>
    <w:rsid w:val="00ED7253"/>
    <w:rsid w:val="00EE0360"/>
    <w:rsid w:val="00EE04EF"/>
    <w:rsid w:val="00EE0572"/>
    <w:rsid w:val="00EE1CA0"/>
    <w:rsid w:val="00EE3074"/>
    <w:rsid w:val="00EE383E"/>
    <w:rsid w:val="00EE4E1F"/>
    <w:rsid w:val="00EE5C23"/>
    <w:rsid w:val="00EE60A0"/>
    <w:rsid w:val="00EE65E1"/>
    <w:rsid w:val="00EF192B"/>
    <w:rsid w:val="00EF1D25"/>
    <w:rsid w:val="00EF205A"/>
    <w:rsid w:val="00EF2437"/>
    <w:rsid w:val="00EF2968"/>
    <w:rsid w:val="00EF2984"/>
    <w:rsid w:val="00EF2D51"/>
    <w:rsid w:val="00EF4092"/>
    <w:rsid w:val="00EF4355"/>
    <w:rsid w:val="00EF4850"/>
    <w:rsid w:val="00EF4A81"/>
    <w:rsid w:val="00EF6D94"/>
    <w:rsid w:val="00EF7473"/>
    <w:rsid w:val="00F00C1F"/>
    <w:rsid w:val="00F01AF8"/>
    <w:rsid w:val="00F01CCA"/>
    <w:rsid w:val="00F0236B"/>
    <w:rsid w:val="00F02775"/>
    <w:rsid w:val="00F028B5"/>
    <w:rsid w:val="00F02E05"/>
    <w:rsid w:val="00F03BE1"/>
    <w:rsid w:val="00F0457F"/>
    <w:rsid w:val="00F0587C"/>
    <w:rsid w:val="00F058BB"/>
    <w:rsid w:val="00F1052E"/>
    <w:rsid w:val="00F10AE5"/>
    <w:rsid w:val="00F11876"/>
    <w:rsid w:val="00F12562"/>
    <w:rsid w:val="00F12A0D"/>
    <w:rsid w:val="00F1451F"/>
    <w:rsid w:val="00F14A28"/>
    <w:rsid w:val="00F1556A"/>
    <w:rsid w:val="00F1625D"/>
    <w:rsid w:val="00F20AB7"/>
    <w:rsid w:val="00F2154C"/>
    <w:rsid w:val="00F21604"/>
    <w:rsid w:val="00F231D6"/>
    <w:rsid w:val="00F240F9"/>
    <w:rsid w:val="00F2468E"/>
    <w:rsid w:val="00F24F65"/>
    <w:rsid w:val="00F25497"/>
    <w:rsid w:val="00F2719E"/>
    <w:rsid w:val="00F303EE"/>
    <w:rsid w:val="00F30F83"/>
    <w:rsid w:val="00F31DFD"/>
    <w:rsid w:val="00F3288D"/>
    <w:rsid w:val="00F32FE4"/>
    <w:rsid w:val="00F3306A"/>
    <w:rsid w:val="00F3457C"/>
    <w:rsid w:val="00F34651"/>
    <w:rsid w:val="00F34EC6"/>
    <w:rsid w:val="00F35227"/>
    <w:rsid w:val="00F35DB9"/>
    <w:rsid w:val="00F36433"/>
    <w:rsid w:val="00F3672C"/>
    <w:rsid w:val="00F3698A"/>
    <w:rsid w:val="00F37ADC"/>
    <w:rsid w:val="00F40ADE"/>
    <w:rsid w:val="00F40E93"/>
    <w:rsid w:val="00F41189"/>
    <w:rsid w:val="00F41278"/>
    <w:rsid w:val="00F418D0"/>
    <w:rsid w:val="00F41AA2"/>
    <w:rsid w:val="00F41EB3"/>
    <w:rsid w:val="00F420C2"/>
    <w:rsid w:val="00F432EA"/>
    <w:rsid w:val="00F4332C"/>
    <w:rsid w:val="00F43ADB"/>
    <w:rsid w:val="00F4442B"/>
    <w:rsid w:val="00F44611"/>
    <w:rsid w:val="00F44E62"/>
    <w:rsid w:val="00F4605F"/>
    <w:rsid w:val="00F4613D"/>
    <w:rsid w:val="00F46468"/>
    <w:rsid w:val="00F467E0"/>
    <w:rsid w:val="00F47FA3"/>
    <w:rsid w:val="00F51B38"/>
    <w:rsid w:val="00F52788"/>
    <w:rsid w:val="00F52E56"/>
    <w:rsid w:val="00F542F4"/>
    <w:rsid w:val="00F576EF"/>
    <w:rsid w:val="00F57E55"/>
    <w:rsid w:val="00F6120F"/>
    <w:rsid w:val="00F62908"/>
    <w:rsid w:val="00F644F0"/>
    <w:rsid w:val="00F647CE"/>
    <w:rsid w:val="00F64E05"/>
    <w:rsid w:val="00F654A9"/>
    <w:rsid w:val="00F66457"/>
    <w:rsid w:val="00F708B1"/>
    <w:rsid w:val="00F70B21"/>
    <w:rsid w:val="00F70C43"/>
    <w:rsid w:val="00F70D32"/>
    <w:rsid w:val="00F712FE"/>
    <w:rsid w:val="00F71A47"/>
    <w:rsid w:val="00F71EC1"/>
    <w:rsid w:val="00F71F6C"/>
    <w:rsid w:val="00F71FE4"/>
    <w:rsid w:val="00F730F4"/>
    <w:rsid w:val="00F73252"/>
    <w:rsid w:val="00F7386C"/>
    <w:rsid w:val="00F73C56"/>
    <w:rsid w:val="00F754E9"/>
    <w:rsid w:val="00F75B53"/>
    <w:rsid w:val="00F76AB4"/>
    <w:rsid w:val="00F772CA"/>
    <w:rsid w:val="00F773EA"/>
    <w:rsid w:val="00F802E0"/>
    <w:rsid w:val="00F80F74"/>
    <w:rsid w:val="00F8113D"/>
    <w:rsid w:val="00F811AF"/>
    <w:rsid w:val="00F82061"/>
    <w:rsid w:val="00F82AB8"/>
    <w:rsid w:val="00F835D6"/>
    <w:rsid w:val="00F84A2F"/>
    <w:rsid w:val="00F85313"/>
    <w:rsid w:val="00F86E6D"/>
    <w:rsid w:val="00F901EC"/>
    <w:rsid w:val="00F91B48"/>
    <w:rsid w:val="00F91EBF"/>
    <w:rsid w:val="00F921F1"/>
    <w:rsid w:val="00F92EC9"/>
    <w:rsid w:val="00F95A18"/>
    <w:rsid w:val="00F95CCC"/>
    <w:rsid w:val="00F95ECA"/>
    <w:rsid w:val="00F969AE"/>
    <w:rsid w:val="00F97898"/>
    <w:rsid w:val="00F97A99"/>
    <w:rsid w:val="00FA08C4"/>
    <w:rsid w:val="00FA20AE"/>
    <w:rsid w:val="00FA25CF"/>
    <w:rsid w:val="00FA38AD"/>
    <w:rsid w:val="00FA51FA"/>
    <w:rsid w:val="00FA58A2"/>
    <w:rsid w:val="00FA7049"/>
    <w:rsid w:val="00FA7256"/>
    <w:rsid w:val="00FB09F7"/>
    <w:rsid w:val="00FB0B89"/>
    <w:rsid w:val="00FB1F0C"/>
    <w:rsid w:val="00FB372E"/>
    <w:rsid w:val="00FB3D6B"/>
    <w:rsid w:val="00FB4399"/>
    <w:rsid w:val="00FB7576"/>
    <w:rsid w:val="00FB770C"/>
    <w:rsid w:val="00FB7EEB"/>
    <w:rsid w:val="00FC01D7"/>
    <w:rsid w:val="00FC028B"/>
    <w:rsid w:val="00FC03C3"/>
    <w:rsid w:val="00FC1187"/>
    <w:rsid w:val="00FC16E6"/>
    <w:rsid w:val="00FC2AC8"/>
    <w:rsid w:val="00FC3699"/>
    <w:rsid w:val="00FC50BE"/>
    <w:rsid w:val="00FC70FF"/>
    <w:rsid w:val="00FC7646"/>
    <w:rsid w:val="00FC7D10"/>
    <w:rsid w:val="00FC7F00"/>
    <w:rsid w:val="00FD1257"/>
    <w:rsid w:val="00FD2CDB"/>
    <w:rsid w:val="00FD35A4"/>
    <w:rsid w:val="00FD37F0"/>
    <w:rsid w:val="00FD578B"/>
    <w:rsid w:val="00FD5A82"/>
    <w:rsid w:val="00FD60F0"/>
    <w:rsid w:val="00FD73F6"/>
    <w:rsid w:val="00FD748A"/>
    <w:rsid w:val="00FD779E"/>
    <w:rsid w:val="00FD79B1"/>
    <w:rsid w:val="00FE199A"/>
    <w:rsid w:val="00FE1D0A"/>
    <w:rsid w:val="00FE33D4"/>
    <w:rsid w:val="00FE3C57"/>
    <w:rsid w:val="00FE573B"/>
    <w:rsid w:val="00FE5D13"/>
    <w:rsid w:val="00FE61E3"/>
    <w:rsid w:val="00FE6535"/>
    <w:rsid w:val="00FE68BD"/>
    <w:rsid w:val="00FE6A3D"/>
    <w:rsid w:val="00FE70F3"/>
    <w:rsid w:val="00FE7827"/>
    <w:rsid w:val="00FE7F40"/>
    <w:rsid w:val="00FF03A2"/>
    <w:rsid w:val="00FF175E"/>
    <w:rsid w:val="00FF487D"/>
    <w:rsid w:val="00FF5472"/>
    <w:rsid w:val="00FF5973"/>
    <w:rsid w:val="00FF5AD9"/>
    <w:rsid w:val="00FF656E"/>
    <w:rsid w:val="00FF6AFC"/>
    <w:rsid w:val="00FF6CB5"/>
    <w:rsid w:val="00FF746E"/>
    <w:rsid w:val="00FF7B46"/>
    <w:rsid w:val="00FF7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77F"/>
    <w:pPr>
      <w:spacing w:before="120" w:after="120"/>
      <w:jc w:val="both"/>
    </w:pPr>
    <w:rPr>
      <w:rFonts w:ascii="Arial Narrow" w:hAnsi="Arial Narrow"/>
      <w:sz w:val="22"/>
      <w:szCs w:val="24"/>
    </w:rPr>
  </w:style>
  <w:style w:type="paragraph" w:styleId="Heading1">
    <w:name w:val="heading 1"/>
    <w:basedOn w:val="Normal"/>
    <w:next w:val="Normal"/>
    <w:qFormat/>
    <w:rsid w:val="00320384"/>
    <w:pPr>
      <w:keepNext/>
      <w:numPr>
        <w:numId w:val="5"/>
      </w:numPr>
      <w:spacing w:before="240" w:after="60"/>
      <w:outlineLvl w:val="0"/>
    </w:pPr>
    <w:rPr>
      <w:rFonts w:ascii="Arial" w:hAnsi="Arial" w:cs="Arial"/>
      <w:b/>
      <w:bCs/>
      <w:caps/>
      <w:kern w:val="32"/>
      <w:sz w:val="32"/>
      <w:szCs w:val="32"/>
    </w:rPr>
  </w:style>
  <w:style w:type="paragraph" w:styleId="Heading2">
    <w:name w:val="heading 2"/>
    <w:basedOn w:val="Normal"/>
    <w:next w:val="Normal"/>
    <w:link w:val="Heading2Char"/>
    <w:qFormat/>
    <w:rsid w:val="003D4718"/>
    <w:pPr>
      <w:keepNext/>
      <w:numPr>
        <w:ilvl w:val="1"/>
        <w:numId w:val="5"/>
      </w:numPr>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60102"/>
    <w:pPr>
      <w:keepNext/>
      <w:numPr>
        <w:ilvl w:val="2"/>
        <w:numId w:val="5"/>
      </w:numPr>
      <w:spacing w:before="240" w:after="60"/>
      <w:outlineLvl w:val="2"/>
    </w:pPr>
    <w:rPr>
      <w:rFonts w:cs="Arial"/>
      <w:b/>
      <w:bCs/>
      <w:sz w:val="28"/>
      <w:szCs w:val="28"/>
    </w:rPr>
  </w:style>
  <w:style w:type="paragraph" w:styleId="Heading4">
    <w:name w:val="heading 4"/>
    <w:basedOn w:val="Normal"/>
    <w:next w:val="Normal"/>
    <w:qFormat/>
    <w:rsid w:val="00164871"/>
    <w:pPr>
      <w:keepNext/>
      <w:numPr>
        <w:ilvl w:val="3"/>
        <w:numId w:val="5"/>
      </w:numPr>
      <w:spacing w:before="240" w:after="60"/>
      <w:outlineLvl w:val="3"/>
    </w:pPr>
    <w:rPr>
      <w:b/>
      <w:bCs/>
      <w:sz w:val="24"/>
    </w:rPr>
  </w:style>
  <w:style w:type="paragraph" w:styleId="Heading5">
    <w:name w:val="heading 5"/>
    <w:basedOn w:val="Normal"/>
    <w:next w:val="Normal"/>
    <w:qFormat/>
    <w:rsid w:val="00997EB6"/>
    <w:pPr>
      <w:numPr>
        <w:ilvl w:val="4"/>
        <w:numId w:val="5"/>
      </w:numPr>
      <w:spacing w:before="240" w:after="60"/>
      <w:outlineLvl w:val="4"/>
    </w:pPr>
    <w:rPr>
      <w:b/>
      <w:bCs/>
      <w:i/>
      <w:iCs/>
      <w:sz w:val="26"/>
      <w:szCs w:val="26"/>
    </w:rPr>
  </w:style>
  <w:style w:type="paragraph" w:styleId="Heading6">
    <w:name w:val="heading 6"/>
    <w:basedOn w:val="Normal"/>
    <w:next w:val="Normal"/>
    <w:qFormat/>
    <w:rsid w:val="00997EB6"/>
    <w:pPr>
      <w:numPr>
        <w:ilvl w:val="5"/>
        <w:numId w:val="5"/>
      </w:numPr>
      <w:spacing w:before="240" w:after="60"/>
      <w:outlineLvl w:val="5"/>
    </w:pPr>
    <w:rPr>
      <w:rFonts w:ascii="Times New Roman" w:hAnsi="Times New Roman"/>
      <w:b/>
      <w:bCs/>
      <w:szCs w:val="22"/>
    </w:rPr>
  </w:style>
  <w:style w:type="paragraph" w:styleId="Heading7">
    <w:name w:val="heading 7"/>
    <w:basedOn w:val="Normal"/>
    <w:next w:val="Normal"/>
    <w:qFormat/>
    <w:rsid w:val="00997EB6"/>
    <w:pPr>
      <w:numPr>
        <w:ilvl w:val="6"/>
        <w:numId w:val="5"/>
      </w:numPr>
      <w:spacing w:before="240" w:after="60"/>
      <w:outlineLvl w:val="6"/>
    </w:pPr>
    <w:rPr>
      <w:rFonts w:ascii="Times New Roman" w:hAnsi="Times New Roman"/>
      <w:sz w:val="24"/>
    </w:rPr>
  </w:style>
  <w:style w:type="paragraph" w:styleId="Heading8">
    <w:name w:val="heading 8"/>
    <w:basedOn w:val="Normal"/>
    <w:next w:val="Normal"/>
    <w:qFormat/>
    <w:rsid w:val="00997EB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qFormat/>
    <w:rsid w:val="00997EB6"/>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20384"/>
    <w:rPr>
      <w:sz w:val="20"/>
      <w:szCs w:val="20"/>
    </w:rPr>
  </w:style>
  <w:style w:type="character" w:styleId="FootnoteReference">
    <w:name w:val="footnote reference"/>
    <w:basedOn w:val="DefaultParagraphFont"/>
    <w:semiHidden/>
    <w:rsid w:val="00320384"/>
    <w:rPr>
      <w:vertAlign w:val="superscript"/>
    </w:rPr>
  </w:style>
  <w:style w:type="paragraph" w:customStyle="1" w:styleId="NumberedText">
    <w:name w:val="Numbered Text"/>
    <w:basedOn w:val="Normal"/>
    <w:rsid w:val="00320384"/>
    <w:pPr>
      <w:numPr>
        <w:numId w:val="1"/>
      </w:numPr>
    </w:pPr>
  </w:style>
  <w:style w:type="paragraph" w:customStyle="1" w:styleId="Parah0letter">
    <w:name w:val="Parah 0 letter"/>
    <w:basedOn w:val="Normal"/>
    <w:rsid w:val="00320384"/>
    <w:pPr>
      <w:numPr>
        <w:ilvl w:val="1"/>
        <w:numId w:val="2"/>
      </w:numPr>
    </w:pPr>
  </w:style>
  <w:style w:type="paragraph" w:customStyle="1" w:styleId="StyleArialNarrow11ptJustified">
    <w:name w:val="Style Arial Narrow 11 pt Justified"/>
    <w:basedOn w:val="Normal"/>
    <w:link w:val="StyleArialNarrow11ptJustifiedChar"/>
    <w:rsid w:val="00320384"/>
    <w:pPr>
      <w:spacing w:before="0" w:after="0"/>
    </w:pPr>
    <w:rPr>
      <w:szCs w:val="20"/>
    </w:rPr>
  </w:style>
  <w:style w:type="character" w:customStyle="1" w:styleId="StyleArialNarrow11ptJustifiedChar">
    <w:name w:val="Style Arial Narrow 11 pt Justified Char"/>
    <w:basedOn w:val="DefaultParagraphFont"/>
    <w:link w:val="StyleArialNarrow11ptJustified"/>
    <w:rsid w:val="00320384"/>
    <w:rPr>
      <w:rFonts w:ascii="Arial Narrow" w:hAnsi="Arial Narrow"/>
      <w:sz w:val="22"/>
      <w:lang w:val="en-AU" w:eastAsia="en-AU" w:bidi="ar-SA"/>
    </w:rPr>
  </w:style>
  <w:style w:type="paragraph" w:styleId="Header">
    <w:name w:val="header"/>
    <w:basedOn w:val="Normal"/>
    <w:rsid w:val="00320384"/>
    <w:pPr>
      <w:tabs>
        <w:tab w:val="center" w:pos="4153"/>
        <w:tab w:val="right" w:pos="8306"/>
      </w:tabs>
    </w:pPr>
  </w:style>
  <w:style w:type="paragraph" w:styleId="Footer">
    <w:name w:val="footer"/>
    <w:basedOn w:val="Normal"/>
    <w:link w:val="FooterChar"/>
    <w:uiPriority w:val="99"/>
    <w:rsid w:val="00320384"/>
    <w:pPr>
      <w:tabs>
        <w:tab w:val="center" w:pos="4153"/>
        <w:tab w:val="right" w:pos="8306"/>
      </w:tabs>
    </w:pPr>
  </w:style>
  <w:style w:type="character" w:styleId="PageNumber">
    <w:name w:val="page number"/>
    <w:basedOn w:val="DefaultParagraphFont"/>
    <w:rsid w:val="00320384"/>
  </w:style>
  <w:style w:type="paragraph" w:styleId="TOC1">
    <w:name w:val="toc 1"/>
    <w:basedOn w:val="Normal"/>
    <w:next w:val="Normal"/>
    <w:autoRedefine/>
    <w:uiPriority w:val="39"/>
    <w:rsid w:val="003641A1"/>
    <w:pPr>
      <w:tabs>
        <w:tab w:val="left" w:pos="567"/>
        <w:tab w:val="right" w:leader="dot" w:pos="8302"/>
      </w:tabs>
      <w:spacing w:before="180"/>
    </w:pPr>
    <w:rPr>
      <w:b/>
      <w:caps/>
      <w:noProof/>
      <w:sz w:val="24"/>
    </w:rPr>
  </w:style>
  <w:style w:type="paragraph" w:styleId="TOC2">
    <w:name w:val="toc 2"/>
    <w:basedOn w:val="Normal"/>
    <w:next w:val="Normal"/>
    <w:autoRedefine/>
    <w:uiPriority w:val="39"/>
    <w:rsid w:val="0032110B"/>
    <w:pPr>
      <w:tabs>
        <w:tab w:val="left" w:pos="900"/>
        <w:tab w:val="right" w:leader="dot" w:pos="8302"/>
      </w:tabs>
      <w:ind w:left="220"/>
    </w:pPr>
    <w:rPr>
      <w:b/>
      <w:noProof/>
    </w:rPr>
  </w:style>
  <w:style w:type="paragraph" w:styleId="TOC3">
    <w:name w:val="toc 3"/>
    <w:basedOn w:val="Normal"/>
    <w:next w:val="Normal"/>
    <w:autoRedefine/>
    <w:uiPriority w:val="39"/>
    <w:rsid w:val="009916D0"/>
    <w:pPr>
      <w:tabs>
        <w:tab w:val="left" w:pos="1100"/>
        <w:tab w:val="right" w:leader="dot" w:pos="8302"/>
      </w:tabs>
      <w:ind w:left="440"/>
    </w:pPr>
    <w:rPr>
      <w:noProof/>
    </w:rPr>
  </w:style>
  <w:style w:type="character" w:styleId="Hyperlink">
    <w:name w:val="Hyperlink"/>
    <w:basedOn w:val="DefaultParagraphFont"/>
    <w:uiPriority w:val="99"/>
    <w:rsid w:val="00320384"/>
    <w:rPr>
      <w:color w:val="0000FF"/>
      <w:u w:val="single"/>
    </w:rPr>
  </w:style>
  <w:style w:type="paragraph" w:styleId="NormalWeb">
    <w:name w:val="Normal (Web)"/>
    <w:basedOn w:val="Normal"/>
    <w:rsid w:val="00552430"/>
    <w:pPr>
      <w:spacing w:before="100" w:beforeAutospacing="1" w:after="100" w:afterAutospacing="1"/>
      <w:jc w:val="left"/>
    </w:pPr>
    <w:rPr>
      <w:rFonts w:ascii="Times New Roman" w:hAnsi="Times New Roman"/>
      <w:color w:val="000000"/>
      <w:sz w:val="24"/>
    </w:rPr>
  </w:style>
  <w:style w:type="character" w:styleId="CommentReference">
    <w:name w:val="annotation reference"/>
    <w:basedOn w:val="DefaultParagraphFont"/>
    <w:uiPriority w:val="99"/>
    <w:semiHidden/>
    <w:rsid w:val="00397600"/>
    <w:rPr>
      <w:sz w:val="16"/>
      <w:szCs w:val="16"/>
    </w:rPr>
  </w:style>
  <w:style w:type="paragraph" w:styleId="CommentText">
    <w:name w:val="annotation text"/>
    <w:basedOn w:val="Normal"/>
    <w:link w:val="CommentTextChar"/>
    <w:uiPriority w:val="99"/>
    <w:semiHidden/>
    <w:rsid w:val="00397600"/>
    <w:rPr>
      <w:sz w:val="20"/>
      <w:szCs w:val="20"/>
    </w:rPr>
  </w:style>
  <w:style w:type="paragraph" w:styleId="CommentSubject">
    <w:name w:val="annotation subject"/>
    <w:basedOn w:val="CommentText"/>
    <w:next w:val="CommentText"/>
    <w:semiHidden/>
    <w:rsid w:val="00397600"/>
    <w:rPr>
      <w:b/>
      <w:bCs/>
    </w:rPr>
  </w:style>
  <w:style w:type="paragraph" w:styleId="BalloonText">
    <w:name w:val="Balloon Text"/>
    <w:basedOn w:val="Normal"/>
    <w:semiHidden/>
    <w:rsid w:val="00397600"/>
    <w:rPr>
      <w:rFonts w:ascii="Tahoma" w:hAnsi="Tahoma" w:cs="Tahoma"/>
      <w:sz w:val="16"/>
      <w:szCs w:val="16"/>
    </w:rPr>
  </w:style>
  <w:style w:type="paragraph" w:customStyle="1" w:styleId="PPVBullet1">
    <w:name w:val="PPV Bullet 1"/>
    <w:basedOn w:val="Normal"/>
    <w:rsid w:val="00341F3C"/>
    <w:pPr>
      <w:numPr>
        <w:numId w:val="3"/>
      </w:numPr>
      <w:spacing w:before="60" w:after="0"/>
      <w:jc w:val="left"/>
    </w:pPr>
    <w:rPr>
      <w:rFonts w:ascii="Palatino Linotype" w:hAnsi="Palatino Linotype"/>
      <w:sz w:val="24"/>
      <w:szCs w:val="20"/>
    </w:rPr>
  </w:style>
  <w:style w:type="paragraph" w:customStyle="1" w:styleId="PPVBullet2">
    <w:name w:val="PPV Bullet 2"/>
    <w:basedOn w:val="PPVBullet1"/>
    <w:rsid w:val="00341F3C"/>
    <w:pPr>
      <w:numPr>
        <w:numId w:val="4"/>
      </w:numPr>
      <w:tabs>
        <w:tab w:val="clear" w:pos="360"/>
      </w:tabs>
      <w:ind w:left="1276" w:hanging="567"/>
    </w:pPr>
  </w:style>
  <w:style w:type="paragraph" w:customStyle="1" w:styleId="PPVBody1">
    <w:name w:val="PPV Body 1"/>
    <w:link w:val="PPVBody1Char"/>
    <w:rsid w:val="00E60283"/>
    <w:pPr>
      <w:spacing w:before="240"/>
    </w:pPr>
    <w:rPr>
      <w:rFonts w:ascii="Palatino Linotype" w:hAnsi="Palatino Linotype"/>
      <w:sz w:val="24"/>
    </w:rPr>
  </w:style>
  <w:style w:type="character" w:customStyle="1" w:styleId="PPVBody1Char">
    <w:name w:val="PPV Body 1 Char"/>
    <w:link w:val="PPVBody1"/>
    <w:rsid w:val="00E60283"/>
    <w:rPr>
      <w:rFonts w:ascii="Palatino Linotype" w:hAnsi="Palatino Linotype"/>
      <w:sz w:val="24"/>
      <w:lang w:val="en-AU" w:eastAsia="en-AU" w:bidi="ar-SA"/>
    </w:rPr>
  </w:style>
  <w:style w:type="table" w:styleId="TableGrid">
    <w:name w:val="Table Grid"/>
    <w:basedOn w:val="TableNormal"/>
    <w:uiPriority w:val="59"/>
    <w:rsid w:val="002D2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4772"/>
    <w:rPr>
      <w:rFonts w:ascii="Arial Narrow" w:hAnsi="Arial Narrow"/>
      <w:sz w:val="22"/>
      <w:szCs w:val="24"/>
    </w:rPr>
  </w:style>
  <w:style w:type="character" w:customStyle="1" w:styleId="CommentTextChar">
    <w:name w:val="Comment Text Char"/>
    <w:basedOn w:val="DefaultParagraphFont"/>
    <w:link w:val="CommentText"/>
    <w:uiPriority w:val="99"/>
    <w:semiHidden/>
    <w:rsid w:val="00E44B00"/>
    <w:rPr>
      <w:rFonts w:ascii="Arial Narrow" w:hAnsi="Arial Narrow"/>
    </w:rPr>
  </w:style>
  <w:style w:type="paragraph" w:styleId="Caption">
    <w:name w:val="caption"/>
    <w:basedOn w:val="Normal"/>
    <w:next w:val="Normal"/>
    <w:qFormat/>
    <w:rsid w:val="0007726E"/>
    <w:rPr>
      <w:b/>
      <w:bCs/>
      <w:sz w:val="20"/>
      <w:szCs w:val="20"/>
    </w:rPr>
  </w:style>
  <w:style w:type="paragraph" w:customStyle="1" w:styleId="ProposalHeading1">
    <w:name w:val="Proposal:Heading1"/>
    <w:basedOn w:val="Normal"/>
    <w:rsid w:val="002827FB"/>
    <w:pPr>
      <w:tabs>
        <w:tab w:val="num" w:pos="432"/>
      </w:tabs>
      <w:spacing w:before="0" w:after="0"/>
      <w:ind w:left="432" w:hanging="432"/>
      <w:jc w:val="left"/>
    </w:pPr>
    <w:rPr>
      <w:rFonts w:ascii="Times New Roman" w:hAnsi="Times New Roman"/>
      <w:sz w:val="24"/>
    </w:rPr>
  </w:style>
  <w:style w:type="paragraph" w:customStyle="1" w:styleId="StyleProposalHeading2Arial12pt">
    <w:name w:val="Style Proposal:Heading2 + Arial 12 pt"/>
    <w:basedOn w:val="Normal"/>
    <w:rsid w:val="002827FB"/>
    <w:pPr>
      <w:tabs>
        <w:tab w:val="num" w:pos="862"/>
      </w:tabs>
      <w:spacing w:before="0" w:after="0"/>
      <w:ind w:left="646" w:hanging="504"/>
      <w:jc w:val="left"/>
    </w:pPr>
    <w:rPr>
      <w:rFonts w:ascii="Times New Roman" w:hAnsi="Times New Roman"/>
      <w:sz w:val="24"/>
    </w:rPr>
  </w:style>
  <w:style w:type="paragraph" w:customStyle="1" w:styleId="PPVGenlQuote1">
    <w:name w:val="PPV Genl Quote 1"/>
    <w:basedOn w:val="PPVBody1"/>
    <w:link w:val="PPVGenlQuote1Char"/>
    <w:rsid w:val="00282E28"/>
    <w:pPr>
      <w:spacing w:before="120"/>
      <w:ind w:left="567" w:right="567"/>
    </w:pPr>
    <w:rPr>
      <w:rFonts w:eastAsia="Times"/>
      <w:i/>
    </w:rPr>
  </w:style>
  <w:style w:type="character" w:customStyle="1" w:styleId="PPVGenlQuote1Char">
    <w:name w:val="PPV Genl Quote 1 Char"/>
    <w:link w:val="PPVGenlQuote1"/>
    <w:rsid w:val="00282E28"/>
    <w:rPr>
      <w:rFonts w:ascii="Palatino Linotype" w:eastAsia="Times" w:hAnsi="Palatino Linotype"/>
      <w:i/>
      <w:sz w:val="24"/>
      <w:lang w:val="en-AU" w:eastAsia="en-AU" w:bidi="ar-SA"/>
    </w:rPr>
  </w:style>
  <w:style w:type="paragraph" w:styleId="BodyText">
    <w:name w:val="Body Text"/>
    <w:basedOn w:val="Normal"/>
    <w:link w:val="BodyTextChar"/>
    <w:rsid w:val="00DD36FC"/>
    <w:pPr>
      <w:jc w:val="left"/>
    </w:pPr>
    <w:rPr>
      <w:rFonts w:ascii="Times New Roman" w:hAnsi="Times New Roman"/>
      <w:szCs w:val="20"/>
      <w:lang w:val="en-GB" w:eastAsia="en-US"/>
    </w:rPr>
  </w:style>
  <w:style w:type="character" w:customStyle="1" w:styleId="BodyTextChar">
    <w:name w:val="Body Text Char"/>
    <w:basedOn w:val="DefaultParagraphFont"/>
    <w:link w:val="BodyText"/>
    <w:rsid w:val="00DD36FC"/>
    <w:rPr>
      <w:sz w:val="22"/>
      <w:lang w:val="en-GB" w:eastAsia="en-US"/>
    </w:rPr>
  </w:style>
  <w:style w:type="character" w:customStyle="1" w:styleId="Heading3Char">
    <w:name w:val="Heading 3 Char"/>
    <w:basedOn w:val="DefaultParagraphFont"/>
    <w:link w:val="Heading3"/>
    <w:rsid w:val="00360102"/>
    <w:rPr>
      <w:rFonts w:ascii="Arial Narrow" w:hAnsi="Arial Narrow" w:cs="Arial"/>
      <w:b/>
      <w:bCs/>
      <w:sz w:val="28"/>
      <w:szCs w:val="28"/>
    </w:rPr>
  </w:style>
  <w:style w:type="character" w:customStyle="1" w:styleId="FootnoteTextChar">
    <w:name w:val="Footnote Text Char"/>
    <w:basedOn w:val="DefaultParagraphFont"/>
    <w:link w:val="FootnoteText"/>
    <w:semiHidden/>
    <w:rsid w:val="002D1386"/>
    <w:rPr>
      <w:rFonts w:ascii="Arial Narrow" w:hAnsi="Arial Narrow"/>
    </w:rPr>
  </w:style>
  <w:style w:type="paragraph" w:styleId="ListParagraph">
    <w:name w:val="List Paragraph"/>
    <w:basedOn w:val="Normal"/>
    <w:uiPriority w:val="34"/>
    <w:qFormat/>
    <w:rsid w:val="002D1386"/>
    <w:pPr>
      <w:ind w:left="720"/>
      <w:contextualSpacing/>
    </w:pPr>
  </w:style>
  <w:style w:type="paragraph" w:styleId="NoSpacing">
    <w:name w:val="No Spacing"/>
    <w:uiPriority w:val="1"/>
    <w:qFormat/>
    <w:rsid w:val="00FC1187"/>
    <w:pPr>
      <w:jc w:val="both"/>
    </w:pPr>
    <w:rPr>
      <w:rFonts w:ascii="Arial Narrow" w:hAnsi="Arial Narrow"/>
      <w:sz w:val="22"/>
      <w:szCs w:val="24"/>
    </w:rPr>
  </w:style>
  <w:style w:type="paragraph" w:styleId="EndnoteText">
    <w:name w:val="endnote text"/>
    <w:basedOn w:val="Normal"/>
    <w:link w:val="EndnoteTextChar"/>
    <w:rsid w:val="00C60426"/>
    <w:rPr>
      <w:sz w:val="20"/>
      <w:szCs w:val="20"/>
    </w:rPr>
  </w:style>
  <w:style w:type="character" w:customStyle="1" w:styleId="EndnoteTextChar">
    <w:name w:val="Endnote Text Char"/>
    <w:basedOn w:val="DefaultParagraphFont"/>
    <w:link w:val="EndnoteText"/>
    <w:rsid w:val="00C60426"/>
    <w:rPr>
      <w:rFonts w:ascii="Arial Narrow" w:hAnsi="Arial Narrow"/>
    </w:rPr>
  </w:style>
  <w:style w:type="character" w:styleId="EndnoteReference">
    <w:name w:val="endnote reference"/>
    <w:basedOn w:val="DefaultParagraphFont"/>
    <w:uiPriority w:val="99"/>
    <w:rsid w:val="00C60426"/>
    <w:rPr>
      <w:vertAlign w:val="superscript"/>
    </w:rPr>
  </w:style>
  <w:style w:type="character" w:customStyle="1" w:styleId="Heading2Char">
    <w:name w:val="Heading 2 Char"/>
    <w:basedOn w:val="DefaultParagraphFont"/>
    <w:link w:val="Heading2"/>
    <w:rsid w:val="003D4718"/>
    <w:rPr>
      <w:rFonts w:ascii="Arial" w:hAnsi="Arial" w:cs="Arial"/>
      <w:b/>
      <w:bCs/>
      <w:iCs/>
      <w:sz w:val="28"/>
      <w:szCs w:val="28"/>
    </w:rPr>
  </w:style>
  <w:style w:type="character" w:customStyle="1" w:styleId="FooterChar">
    <w:name w:val="Footer Char"/>
    <w:basedOn w:val="DefaultParagraphFont"/>
    <w:link w:val="Footer"/>
    <w:uiPriority w:val="99"/>
    <w:rsid w:val="000560DA"/>
    <w:rPr>
      <w:rFonts w:ascii="Arial Narrow" w:hAnsi="Arial Narrow"/>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77F"/>
    <w:pPr>
      <w:spacing w:before="120" w:after="120"/>
      <w:jc w:val="both"/>
    </w:pPr>
    <w:rPr>
      <w:rFonts w:ascii="Arial Narrow" w:hAnsi="Arial Narrow"/>
      <w:sz w:val="22"/>
      <w:szCs w:val="24"/>
    </w:rPr>
  </w:style>
  <w:style w:type="paragraph" w:styleId="Heading1">
    <w:name w:val="heading 1"/>
    <w:basedOn w:val="Normal"/>
    <w:next w:val="Normal"/>
    <w:qFormat/>
    <w:rsid w:val="00320384"/>
    <w:pPr>
      <w:keepNext/>
      <w:numPr>
        <w:numId w:val="5"/>
      </w:numPr>
      <w:spacing w:before="240" w:after="60"/>
      <w:outlineLvl w:val="0"/>
    </w:pPr>
    <w:rPr>
      <w:rFonts w:ascii="Arial" w:hAnsi="Arial" w:cs="Arial"/>
      <w:b/>
      <w:bCs/>
      <w:caps/>
      <w:kern w:val="32"/>
      <w:sz w:val="32"/>
      <w:szCs w:val="32"/>
    </w:rPr>
  </w:style>
  <w:style w:type="paragraph" w:styleId="Heading2">
    <w:name w:val="heading 2"/>
    <w:basedOn w:val="Normal"/>
    <w:next w:val="Normal"/>
    <w:link w:val="Heading2Char"/>
    <w:qFormat/>
    <w:rsid w:val="003D4718"/>
    <w:pPr>
      <w:keepNext/>
      <w:numPr>
        <w:ilvl w:val="1"/>
        <w:numId w:val="5"/>
      </w:numPr>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60102"/>
    <w:pPr>
      <w:keepNext/>
      <w:numPr>
        <w:ilvl w:val="2"/>
        <w:numId w:val="5"/>
      </w:numPr>
      <w:spacing w:before="240" w:after="60"/>
      <w:outlineLvl w:val="2"/>
    </w:pPr>
    <w:rPr>
      <w:rFonts w:cs="Arial"/>
      <w:b/>
      <w:bCs/>
      <w:sz w:val="28"/>
      <w:szCs w:val="28"/>
    </w:rPr>
  </w:style>
  <w:style w:type="paragraph" w:styleId="Heading4">
    <w:name w:val="heading 4"/>
    <w:basedOn w:val="Normal"/>
    <w:next w:val="Normal"/>
    <w:qFormat/>
    <w:rsid w:val="00164871"/>
    <w:pPr>
      <w:keepNext/>
      <w:numPr>
        <w:ilvl w:val="3"/>
        <w:numId w:val="5"/>
      </w:numPr>
      <w:spacing w:before="240" w:after="60"/>
      <w:outlineLvl w:val="3"/>
    </w:pPr>
    <w:rPr>
      <w:b/>
      <w:bCs/>
      <w:sz w:val="24"/>
    </w:rPr>
  </w:style>
  <w:style w:type="paragraph" w:styleId="Heading5">
    <w:name w:val="heading 5"/>
    <w:basedOn w:val="Normal"/>
    <w:next w:val="Normal"/>
    <w:qFormat/>
    <w:rsid w:val="00997EB6"/>
    <w:pPr>
      <w:numPr>
        <w:ilvl w:val="4"/>
        <w:numId w:val="5"/>
      </w:numPr>
      <w:spacing w:before="240" w:after="60"/>
      <w:outlineLvl w:val="4"/>
    </w:pPr>
    <w:rPr>
      <w:b/>
      <w:bCs/>
      <w:i/>
      <w:iCs/>
      <w:sz w:val="26"/>
      <w:szCs w:val="26"/>
    </w:rPr>
  </w:style>
  <w:style w:type="paragraph" w:styleId="Heading6">
    <w:name w:val="heading 6"/>
    <w:basedOn w:val="Normal"/>
    <w:next w:val="Normal"/>
    <w:qFormat/>
    <w:rsid w:val="00997EB6"/>
    <w:pPr>
      <w:numPr>
        <w:ilvl w:val="5"/>
        <w:numId w:val="5"/>
      </w:numPr>
      <w:spacing w:before="240" w:after="60"/>
      <w:outlineLvl w:val="5"/>
    </w:pPr>
    <w:rPr>
      <w:rFonts w:ascii="Times New Roman" w:hAnsi="Times New Roman"/>
      <w:b/>
      <w:bCs/>
      <w:szCs w:val="22"/>
    </w:rPr>
  </w:style>
  <w:style w:type="paragraph" w:styleId="Heading7">
    <w:name w:val="heading 7"/>
    <w:basedOn w:val="Normal"/>
    <w:next w:val="Normal"/>
    <w:qFormat/>
    <w:rsid w:val="00997EB6"/>
    <w:pPr>
      <w:numPr>
        <w:ilvl w:val="6"/>
        <w:numId w:val="5"/>
      </w:numPr>
      <w:spacing w:before="240" w:after="60"/>
      <w:outlineLvl w:val="6"/>
    </w:pPr>
    <w:rPr>
      <w:rFonts w:ascii="Times New Roman" w:hAnsi="Times New Roman"/>
      <w:sz w:val="24"/>
    </w:rPr>
  </w:style>
  <w:style w:type="paragraph" w:styleId="Heading8">
    <w:name w:val="heading 8"/>
    <w:basedOn w:val="Normal"/>
    <w:next w:val="Normal"/>
    <w:qFormat/>
    <w:rsid w:val="00997EB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qFormat/>
    <w:rsid w:val="00997EB6"/>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20384"/>
    <w:rPr>
      <w:sz w:val="20"/>
      <w:szCs w:val="20"/>
    </w:rPr>
  </w:style>
  <w:style w:type="character" w:styleId="FootnoteReference">
    <w:name w:val="footnote reference"/>
    <w:basedOn w:val="DefaultParagraphFont"/>
    <w:semiHidden/>
    <w:rsid w:val="00320384"/>
    <w:rPr>
      <w:vertAlign w:val="superscript"/>
    </w:rPr>
  </w:style>
  <w:style w:type="paragraph" w:customStyle="1" w:styleId="NumberedText">
    <w:name w:val="Numbered Text"/>
    <w:basedOn w:val="Normal"/>
    <w:rsid w:val="00320384"/>
    <w:pPr>
      <w:numPr>
        <w:numId w:val="1"/>
      </w:numPr>
    </w:pPr>
  </w:style>
  <w:style w:type="paragraph" w:customStyle="1" w:styleId="Parah0letter">
    <w:name w:val="Parah 0 letter"/>
    <w:basedOn w:val="Normal"/>
    <w:rsid w:val="00320384"/>
    <w:pPr>
      <w:numPr>
        <w:ilvl w:val="1"/>
        <w:numId w:val="2"/>
      </w:numPr>
    </w:pPr>
  </w:style>
  <w:style w:type="paragraph" w:customStyle="1" w:styleId="StyleArialNarrow11ptJustified">
    <w:name w:val="Style Arial Narrow 11 pt Justified"/>
    <w:basedOn w:val="Normal"/>
    <w:link w:val="StyleArialNarrow11ptJustifiedChar"/>
    <w:rsid w:val="00320384"/>
    <w:pPr>
      <w:spacing w:before="0" w:after="0"/>
    </w:pPr>
    <w:rPr>
      <w:szCs w:val="20"/>
    </w:rPr>
  </w:style>
  <w:style w:type="character" w:customStyle="1" w:styleId="StyleArialNarrow11ptJustifiedChar">
    <w:name w:val="Style Arial Narrow 11 pt Justified Char"/>
    <w:basedOn w:val="DefaultParagraphFont"/>
    <w:link w:val="StyleArialNarrow11ptJustified"/>
    <w:rsid w:val="00320384"/>
    <w:rPr>
      <w:rFonts w:ascii="Arial Narrow" w:hAnsi="Arial Narrow"/>
      <w:sz w:val="22"/>
      <w:lang w:val="en-AU" w:eastAsia="en-AU" w:bidi="ar-SA"/>
    </w:rPr>
  </w:style>
  <w:style w:type="paragraph" w:styleId="Header">
    <w:name w:val="header"/>
    <w:basedOn w:val="Normal"/>
    <w:rsid w:val="00320384"/>
    <w:pPr>
      <w:tabs>
        <w:tab w:val="center" w:pos="4153"/>
        <w:tab w:val="right" w:pos="8306"/>
      </w:tabs>
    </w:pPr>
  </w:style>
  <w:style w:type="paragraph" w:styleId="Footer">
    <w:name w:val="footer"/>
    <w:basedOn w:val="Normal"/>
    <w:link w:val="FooterChar"/>
    <w:uiPriority w:val="99"/>
    <w:rsid w:val="00320384"/>
    <w:pPr>
      <w:tabs>
        <w:tab w:val="center" w:pos="4153"/>
        <w:tab w:val="right" w:pos="8306"/>
      </w:tabs>
    </w:pPr>
  </w:style>
  <w:style w:type="character" w:styleId="PageNumber">
    <w:name w:val="page number"/>
    <w:basedOn w:val="DefaultParagraphFont"/>
    <w:rsid w:val="00320384"/>
  </w:style>
  <w:style w:type="paragraph" w:styleId="TOC1">
    <w:name w:val="toc 1"/>
    <w:basedOn w:val="Normal"/>
    <w:next w:val="Normal"/>
    <w:autoRedefine/>
    <w:uiPriority w:val="39"/>
    <w:rsid w:val="003641A1"/>
    <w:pPr>
      <w:tabs>
        <w:tab w:val="left" w:pos="567"/>
        <w:tab w:val="right" w:leader="dot" w:pos="8302"/>
      </w:tabs>
      <w:spacing w:before="180"/>
    </w:pPr>
    <w:rPr>
      <w:b/>
      <w:caps/>
      <w:noProof/>
      <w:sz w:val="24"/>
    </w:rPr>
  </w:style>
  <w:style w:type="paragraph" w:styleId="TOC2">
    <w:name w:val="toc 2"/>
    <w:basedOn w:val="Normal"/>
    <w:next w:val="Normal"/>
    <w:autoRedefine/>
    <w:uiPriority w:val="39"/>
    <w:rsid w:val="0032110B"/>
    <w:pPr>
      <w:tabs>
        <w:tab w:val="left" w:pos="900"/>
        <w:tab w:val="right" w:leader="dot" w:pos="8302"/>
      </w:tabs>
      <w:ind w:left="220"/>
    </w:pPr>
    <w:rPr>
      <w:b/>
      <w:noProof/>
    </w:rPr>
  </w:style>
  <w:style w:type="paragraph" w:styleId="TOC3">
    <w:name w:val="toc 3"/>
    <w:basedOn w:val="Normal"/>
    <w:next w:val="Normal"/>
    <w:autoRedefine/>
    <w:uiPriority w:val="39"/>
    <w:rsid w:val="009916D0"/>
    <w:pPr>
      <w:tabs>
        <w:tab w:val="left" w:pos="1100"/>
        <w:tab w:val="right" w:leader="dot" w:pos="8302"/>
      </w:tabs>
      <w:ind w:left="440"/>
    </w:pPr>
    <w:rPr>
      <w:noProof/>
    </w:rPr>
  </w:style>
  <w:style w:type="character" w:styleId="Hyperlink">
    <w:name w:val="Hyperlink"/>
    <w:basedOn w:val="DefaultParagraphFont"/>
    <w:uiPriority w:val="99"/>
    <w:rsid w:val="00320384"/>
    <w:rPr>
      <w:color w:val="0000FF"/>
      <w:u w:val="single"/>
    </w:rPr>
  </w:style>
  <w:style w:type="paragraph" w:styleId="NormalWeb">
    <w:name w:val="Normal (Web)"/>
    <w:basedOn w:val="Normal"/>
    <w:rsid w:val="00552430"/>
    <w:pPr>
      <w:spacing w:before="100" w:beforeAutospacing="1" w:after="100" w:afterAutospacing="1"/>
      <w:jc w:val="left"/>
    </w:pPr>
    <w:rPr>
      <w:rFonts w:ascii="Times New Roman" w:hAnsi="Times New Roman"/>
      <w:color w:val="000000"/>
      <w:sz w:val="24"/>
    </w:rPr>
  </w:style>
  <w:style w:type="character" w:styleId="CommentReference">
    <w:name w:val="annotation reference"/>
    <w:basedOn w:val="DefaultParagraphFont"/>
    <w:uiPriority w:val="99"/>
    <w:semiHidden/>
    <w:rsid w:val="00397600"/>
    <w:rPr>
      <w:sz w:val="16"/>
      <w:szCs w:val="16"/>
    </w:rPr>
  </w:style>
  <w:style w:type="paragraph" w:styleId="CommentText">
    <w:name w:val="annotation text"/>
    <w:basedOn w:val="Normal"/>
    <w:link w:val="CommentTextChar"/>
    <w:uiPriority w:val="99"/>
    <w:semiHidden/>
    <w:rsid w:val="00397600"/>
    <w:rPr>
      <w:sz w:val="20"/>
      <w:szCs w:val="20"/>
    </w:rPr>
  </w:style>
  <w:style w:type="paragraph" w:styleId="CommentSubject">
    <w:name w:val="annotation subject"/>
    <w:basedOn w:val="CommentText"/>
    <w:next w:val="CommentText"/>
    <w:semiHidden/>
    <w:rsid w:val="00397600"/>
    <w:rPr>
      <w:b/>
      <w:bCs/>
    </w:rPr>
  </w:style>
  <w:style w:type="paragraph" w:styleId="BalloonText">
    <w:name w:val="Balloon Text"/>
    <w:basedOn w:val="Normal"/>
    <w:semiHidden/>
    <w:rsid w:val="00397600"/>
    <w:rPr>
      <w:rFonts w:ascii="Tahoma" w:hAnsi="Tahoma" w:cs="Tahoma"/>
      <w:sz w:val="16"/>
      <w:szCs w:val="16"/>
    </w:rPr>
  </w:style>
  <w:style w:type="paragraph" w:customStyle="1" w:styleId="PPVBullet1">
    <w:name w:val="PPV Bullet 1"/>
    <w:basedOn w:val="Normal"/>
    <w:rsid w:val="00341F3C"/>
    <w:pPr>
      <w:numPr>
        <w:numId w:val="3"/>
      </w:numPr>
      <w:spacing w:before="60" w:after="0"/>
      <w:jc w:val="left"/>
    </w:pPr>
    <w:rPr>
      <w:rFonts w:ascii="Palatino Linotype" w:hAnsi="Palatino Linotype"/>
      <w:sz w:val="24"/>
      <w:szCs w:val="20"/>
    </w:rPr>
  </w:style>
  <w:style w:type="paragraph" w:customStyle="1" w:styleId="PPVBullet2">
    <w:name w:val="PPV Bullet 2"/>
    <w:basedOn w:val="PPVBullet1"/>
    <w:rsid w:val="00341F3C"/>
    <w:pPr>
      <w:numPr>
        <w:numId w:val="4"/>
      </w:numPr>
      <w:tabs>
        <w:tab w:val="clear" w:pos="360"/>
      </w:tabs>
      <w:ind w:left="1276" w:hanging="567"/>
    </w:pPr>
  </w:style>
  <w:style w:type="paragraph" w:customStyle="1" w:styleId="PPVBody1">
    <w:name w:val="PPV Body 1"/>
    <w:link w:val="PPVBody1Char"/>
    <w:rsid w:val="00E60283"/>
    <w:pPr>
      <w:spacing w:before="240"/>
    </w:pPr>
    <w:rPr>
      <w:rFonts w:ascii="Palatino Linotype" w:hAnsi="Palatino Linotype"/>
      <w:sz w:val="24"/>
    </w:rPr>
  </w:style>
  <w:style w:type="character" w:customStyle="1" w:styleId="PPVBody1Char">
    <w:name w:val="PPV Body 1 Char"/>
    <w:link w:val="PPVBody1"/>
    <w:rsid w:val="00E60283"/>
    <w:rPr>
      <w:rFonts w:ascii="Palatino Linotype" w:hAnsi="Palatino Linotype"/>
      <w:sz w:val="24"/>
      <w:lang w:val="en-AU" w:eastAsia="en-AU" w:bidi="ar-SA"/>
    </w:rPr>
  </w:style>
  <w:style w:type="table" w:styleId="TableGrid">
    <w:name w:val="Table Grid"/>
    <w:basedOn w:val="TableNormal"/>
    <w:uiPriority w:val="59"/>
    <w:rsid w:val="002D2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4772"/>
    <w:rPr>
      <w:rFonts w:ascii="Arial Narrow" w:hAnsi="Arial Narrow"/>
      <w:sz w:val="22"/>
      <w:szCs w:val="24"/>
    </w:rPr>
  </w:style>
  <w:style w:type="character" w:customStyle="1" w:styleId="CommentTextChar">
    <w:name w:val="Comment Text Char"/>
    <w:basedOn w:val="DefaultParagraphFont"/>
    <w:link w:val="CommentText"/>
    <w:uiPriority w:val="99"/>
    <w:semiHidden/>
    <w:rsid w:val="00E44B00"/>
    <w:rPr>
      <w:rFonts w:ascii="Arial Narrow" w:hAnsi="Arial Narrow"/>
    </w:rPr>
  </w:style>
  <w:style w:type="paragraph" w:styleId="Caption">
    <w:name w:val="caption"/>
    <w:basedOn w:val="Normal"/>
    <w:next w:val="Normal"/>
    <w:qFormat/>
    <w:rsid w:val="0007726E"/>
    <w:rPr>
      <w:b/>
      <w:bCs/>
      <w:sz w:val="20"/>
      <w:szCs w:val="20"/>
    </w:rPr>
  </w:style>
  <w:style w:type="paragraph" w:customStyle="1" w:styleId="ProposalHeading1">
    <w:name w:val="Proposal:Heading1"/>
    <w:basedOn w:val="Normal"/>
    <w:rsid w:val="002827FB"/>
    <w:pPr>
      <w:tabs>
        <w:tab w:val="num" w:pos="432"/>
      </w:tabs>
      <w:spacing w:before="0" w:after="0"/>
      <w:ind w:left="432" w:hanging="432"/>
      <w:jc w:val="left"/>
    </w:pPr>
    <w:rPr>
      <w:rFonts w:ascii="Times New Roman" w:hAnsi="Times New Roman"/>
      <w:sz w:val="24"/>
    </w:rPr>
  </w:style>
  <w:style w:type="paragraph" w:customStyle="1" w:styleId="StyleProposalHeading2Arial12pt">
    <w:name w:val="Style Proposal:Heading2 + Arial 12 pt"/>
    <w:basedOn w:val="Normal"/>
    <w:rsid w:val="002827FB"/>
    <w:pPr>
      <w:tabs>
        <w:tab w:val="num" w:pos="862"/>
      </w:tabs>
      <w:spacing w:before="0" w:after="0"/>
      <w:ind w:left="646" w:hanging="504"/>
      <w:jc w:val="left"/>
    </w:pPr>
    <w:rPr>
      <w:rFonts w:ascii="Times New Roman" w:hAnsi="Times New Roman"/>
      <w:sz w:val="24"/>
    </w:rPr>
  </w:style>
  <w:style w:type="paragraph" w:customStyle="1" w:styleId="PPVGenlQuote1">
    <w:name w:val="PPV Genl Quote 1"/>
    <w:basedOn w:val="PPVBody1"/>
    <w:link w:val="PPVGenlQuote1Char"/>
    <w:rsid w:val="00282E28"/>
    <w:pPr>
      <w:spacing w:before="120"/>
      <w:ind w:left="567" w:right="567"/>
    </w:pPr>
    <w:rPr>
      <w:rFonts w:eastAsia="Times"/>
      <w:i/>
    </w:rPr>
  </w:style>
  <w:style w:type="character" w:customStyle="1" w:styleId="PPVGenlQuote1Char">
    <w:name w:val="PPV Genl Quote 1 Char"/>
    <w:link w:val="PPVGenlQuote1"/>
    <w:rsid w:val="00282E28"/>
    <w:rPr>
      <w:rFonts w:ascii="Palatino Linotype" w:eastAsia="Times" w:hAnsi="Palatino Linotype"/>
      <w:i/>
      <w:sz w:val="24"/>
      <w:lang w:val="en-AU" w:eastAsia="en-AU" w:bidi="ar-SA"/>
    </w:rPr>
  </w:style>
  <w:style w:type="paragraph" w:styleId="BodyText">
    <w:name w:val="Body Text"/>
    <w:basedOn w:val="Normal"/>
    <w:link w:val="BodyTextChar"/>
    <w:rsid w:val="00DD36FC"/>
    <w:pPr>
      <w:jc w:val="left"/>
    </w:pPr>
    <w:rPr>
      <w:rFonts w:ascii="Times New Roman" w:hAnsi="Times New Roman"/>
      <w:szCs w:val="20"/>
      <w:lang w:val="en-GB" w:eastAsia="en-US"/>
    </w:rPr>
  </w:style>
  <w:style w:type="character" w:customStyle="1" w:styleId="BodyTextChar">
    <w:name w:val="Body Text Char"/>
    <w:basedOn w:val="DefaultParagraphFont"/>
    <w:link w:val="BodyText"/>
    <w:rsid w:val="00DD36FC"/>
    <w:rPr>
      <w:sz w:val="22"/>
      <w:lang w:val="en-GB" w:eastAsia="en-US"/>
    </w:rPr>
  </w:style>
  <w:style w:type="character" w:customStyle="1" w:styleId="Heading3Char">
    <w:name w:val="Heading 3 Char"/>
    <w:basedOn w:val="DefaultParagraphFont"/>
    <w:link w:val="Heading3"/>
    <w:rsid w:val="00360102"/>
    <w:rPr>
      <w:rFonts w:ascii="Arial Narrow" w:hAnsi="Arial Narrow" w:cs="Arial"/>
      <w:b/>
      <w:bCs/>
      <w:sz w:val="28"/>
      <w:szCs w:val="28"/>
    </w:rPr>
  </w:style>
  <w:style w:type="character" w:customStyle="1" w:styleId="FootnoteTextChar">
    <w:name w:val="Footnote Text Char"/>
    <w:basedOn w:val="DefaultParagraphFont"/>
    <w:link w:val="FootnoteText"/>
    <w:semiHidden/>
    <w:rsid w:val="002D1386"/>
    <w:rPr>
      <w:rFonts w:ascii="Arial Narrow" w:hAnsi="Arial Narrow"/>
    </w:rPr>
  </w:style>
  <w:style w:type="paragraph" w:styleId="ListParagraph">
    <w:name w:val="List Paragraph"/>
    <w:basedOn w:val="Normal"/>
    <w:uiPriority w:val="34"/>
    <w:qFormat/>
    <w:rsid w:val="002D1386"/>
    <w:pPr>
      <w:ind w:left="720"/>
      <w:contextualSpacing/>
    </w:pPr>
  </w:style>
  <w:style w:type="paragraph" w:styleId="NoSpacing">
    <w:name w:val="No Spacing"/>
    <w:uiPriority w:val="1"/>
    <w:qFormat/>
    <w:rsid w:val="00FC1187"/>
    <w:pPr>
      <w:jc w:val="both"/>
    </w:pPr>
    <w:rPr>
      <w:rFonts w:ascii="Arial Narrow" w:hAnsi="Arial Narrow"/>
      <w:sz w:val="22"/>
      <w:szCs w:val="24"/>
    </w:rPr>
  </w:style>
  <w:style w:type="paragraph" w:styleId="EndnoteText">
    <w:name w:val="endnote text"/>
    <w:basedOn w:val="Normal"/>
    <w:link w:val="EndnoteTextChar"/>
    <w:rsid w:val="00C60426"/>
    <w:rPr>
      <w:sz w:val="20"/>
      <w:szCs w:val="20"/>
    </w:rPr>
  </w:style>
  <w:style w:type="character" w:customStyle="1" w:styleId="EndnoteTextChar">
    <w:name w:val="Endnote Text Char"/>
    <w:basedOn w:val="DefaultParagraphFont"/>
    <w:link w:val="EndnoteText"/>
    <w:rsid w:val="00C60426"/>
    <w:rPr>
      <w:rFonts w:ascii="Arial Narrow" w:hAnsi="Arial Narrow"/>
    </w:rPr>
  </w:style>
  <w:style w:type="character" w:styleId="EndnoteReference">
    <w:name w:val="endnote reference"/>
    <w:basedOn w:val="DefaultParagraphFont"/>
    <w:uiPriority w:val="99"/>
    <w:rsid w:val="00C60426"/>
    <w:rPr>
      <w:vertAlign w:val="superscript"/>
    </w:rPr>
  </w:style>
  <w:style w:type="character" w:customStyle="1" w:styleId="Heading2Char">
    <w:name w:val="Heading 2 Char"/>
    <w:basedOn w:val="DefaultParagraphFont"/>
    <w:link w:val="Heading2"/>
    <w:rsid w:val="003D4718"/>
    <w:rPr>
      <w:rFonts w:ascii="Arial" w:hAnsi="Arial" w:cs="Arial"/>
      <w:b/>
      <w:bCs/>
      <w:iCs/>
      <w:sz w:val="28"/>
      <w:szCs w:val="28"/>
    </w:rPr>
  </w:style>
  <w:style w:type="character" w:customStyle="1" w:styleId="FooterChar">
    <w:name w:val="Footer Char"/>
    <w:basedOn w:val="DefaultParagraphFont"/>
    <w:link w:val="Footer"/>
    <w:uiPriority w:val="99"/>
    <w:rsid w:val="000560DA"/>
    <w:rPr>
      <w:rFonts w:ascii="Arial Narrow" w:hAnsi="Arial Narro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2671">
      <w:bodyDiv w:val="1"/>
      <w:marLeft w:val="0"/>
      <w:marRight w:val="0"/>
      <w:marTop w:val="0"/>
      <w:marBottom w:val="0"/>
      <w:divBdr>
        <w:top w:val="none" w:sz="0" w:space="0" w:color="auto"/>
        <w:left w:val="none" w:sz="0" w:space="0" w:color="auto"/>
        <w:bottom w:val="none" w:sz="0" w:space="0" w:color="auto"/>
        <w:right w:val="none" w:sz="0" w:space="0" w:color="auto"/>
      </w:divBdr>
      <w:divsChild>
        <w:div w:id="830219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619DC1-F0C4-438B-90C4-0821B905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12236</Words>
  <Characters>69751</Characters>
  <Application>Microsoft Office Word</Application>
  <DocSecurity>4</DocSecurity>
  <Lines>581</Lines>
  <Paragraphs>163</Paragraphs>
  <ScaleCrop>false</ScaleCrop>
  <HeadingPairs>
    <vt:vector size="2" baseType="variant">
      <vt:variant>
        <vt:lpstr>Title</vt:lpstr>
      </vt:variant>
      <vt:variant>
        <vt:i4>1</vt:i4>
      </vt:variant>
    </vt:vector>
  </HeadingPairs>
  <TitlesOfParts>
    <vt:vector size="1" baseType="lpstr">
      <vt:lpstr>Mornington Harbour Assessment</vt:lpstr>
    </vt:vector>
  </TitlesOfParts>
  <Company>TOSHIBA</Company>
  <LinksUpToDate>false</LinksUpToDate>
  <CharactersWithSpaces>81824</CharactersWithSpaces>
  <SharedDoc>false</SharedDoc>
  <HLinks>
    <vt:vector size="144" baseType="variant">
      <vt:variant>
        <vt:i4>1572912</vt:i4>
      </vt:variant>
      <vt:variant>
        <vt:i4>140</vt:i4>
      </vt:variant>
      <vt:variant>
        <vt:i4>0</vt:i4>
      </vt:variant>
      <vt:variant>
        <vt:i4>5</vt:i4>
      </vt:variant>
      <vt:variant>
        <vt:lpwstr/>
      </vt:variant>
      <vt:variant>
        <vt:lpwstr>_Toc333844403</vt:lpwstr>
      </vt:variant>
      <vt:variant>
        <vt:i4>1572912</vt:i4>
      </vt:variant>
      <vt:variant>
        <vt:i4>134</vt:i4>
      </vt:variant>
      <vt:variant>
        <vt:i4>0</vt:i4>
      </vt:variant>
      <vt:variant>
        <vt:i4>5</vt:i4>
      </vt:variant>
      <vt:variant>
        <vt:lpwstr/>
      </vt:variant>
      <vt:variant>
        <vt:lpwstr>_Toc333844402</vt:lpwstr>
      </vt:variant>
      <vt:variant>
        <vt:i4>1572912</vt:i4>
      </vt:variant>
      <vt:variant>
        <vt:i4>128</vt:i4>
      </vt:variant>
      <vt:variant>
        <vt:i4>0</vt:i4>
      </vt:variant>
      <vt:variant>
        <vt:i4>5</vt:i4>
      </vt:variant>
      <vt:variant>
        <vt:lpwstr/>
      </vt:variant>
      <vt:variant>
        <vt:lpwstr>_Toc333844401</vt:lpwstr>
      </vt:variant>
      <vt:variant>
        <vt:i4>1572912</vt:i4>
      </vt:variant>
      <vt:variant>
        <vt:i4>122</vt:i4>
      </vt:variant>
      <vt:variant>
        <vt:i4>0</vt:i4>
      </vt:variant>
      <vt:variant>
        <vt:i4>5</vt:i4>
      </vt:variant>
      <vt:variant>
        <vt:lpwstr/>
      </vt:variant>
      <vt:variant>
        <vt:lpwstr>_Toc333844400</vt:lpwstr>
      </vt:variant>
      <vt:variant>
        <vt:i4>1114167</vt:i4>
      </vt:variant>
      <vt:variant>
        <vt:i4>116</vt:i4>
      </vt:variant>
      <vt:variant>
        <vt:i4>0</vt:i4>
      </vt:variant>
      <vt:variant>
        <vt:i4>5</vt:i4>
      </vt:variant>
      <vt:variant>
        <vt:lpwstr/>
      </vt:variant>
      <vt:variant>
        <vt:lpwstr>_Toc333844399</vt:lpwstr>
      </vt:variant>
      <vt:variant>
        <vt:i4>1114167</vt:i4>
      </vt:variant>
      <vt:variant>
        <vt:i4>110</vt:i4>
      </vt:variant>
      <vt:variant>
        <vt:i4>0</vt:i4>
      </vt:variant>
      <vt:variant>
        <vt:i4>5</vt:i4>
      </vt:variant>
      <vt:variant>
        <vt:lpwstr/>
      </vt:variant>
      <vt:variant>
        <vt:lpwstr>_Toc333844398</vt:lpwstr>
      </vt:variant>
      <vt:variant>
        <vt:i4>1114167</vt:i4>
      </vt:variant>
      <vt:variant>
        <vt:i4>104</vt:i4>
      </vt:variant>
      <vt:variant>
        <vt:i4>0</vt:i4>
      </vt:variant>
      <vt:variant>
        <vt:i4>5</vt:i4>
      </vt:variant>
      <vt:variant>
        <vt:lpwstr/>
      </vt:variant>
      <vt:variant>
        <vt:lpwstr>_Toc333844397</vt:lpwstr>
      </vt:variant>
      <vt:variant>
        <vt:i4>1114167</vt:i4>
      </vt:variant>
      <vt:variant>
        <vt:i4>98</vt:i4>
      </vt:variant>
      <vt:variant>
        <vt:i4>0</vt:i4>
      </vt:variant>
      <vt:variant>
        <vt:i4>5</vt:i4>
      </vt:variant>
      <vt:variant>
        <vt:lpwstr/>
      </vt:variant>
      <vt:variant>
        <vt:lpwstr>_Toc333844396</vt:lpwstr>
      </vt:variant>
      <vt:variant>
        <vt:i4>1114167</vt:i4>
      </vt:variant>
      <vt:variant>
        <vt:i4>92</vt:i4>
      </vt:variant>
      <vt:variant>
        <vt:i4>0</vt:i4>
      </vt:variant>
      <vt:variant>
        <vt:i4>5</vt:i4>
      </vt:variant>
      <vt:variant>
        <vt:lpwstr/>
      </vt:variant>
      <vt:variant>
        <vt:lpwstr>_Toc333844395</vt:lpwstr>
      </vt:variant>
      <vt:variant>
        <vt:i4>1114167</vt:i4>
      </vt:variant>
      <vt:variant>
        <vt:i4>86</vt:i4>
      </vt:variant>
      <vt:variant>
        <vt:i4>0</vt:i4>
      </vt:variant>
      <vt:variant>
        <vt:i4>5</vt:i4>
      </vt:variant>
      <vt:variant>
        <vt:lpwstr/>
      </vt:variant>
      <vt:variant>
        <vt:lpwstr>_Toc333844394</vt:lpwstr>
      </vt:variant>
      <vt:variant>
        <vt:i4>1114167</vt:i4>
      </vt:variant>
      <vt:variant>
        <vt:i4>80</vt:i4>
      </vt:variant>
      <vt:variant>
        <vt:i4>0</vt:i4>
      </vt:variant>
      <vt:variant>
        <vt:i4>5</vt:i4>
      </vt:variant>
      <vt:variant>
        <vt:lpwstr/>
      </vt:variant>
      <vt:variant>
        <vt:lpwstr>_Toc333844393</vt:lpwstr>
      </vt:variant>
      <vt:variant>
        <vt:i4>1114167</vt:i4>
      </vt:variant>
      <vt:variant>
        <vt:i4>74</vt:i4>
      </vt:variant>
      <vt:variant>
        <vt:i4>0</vt:i4>
      </vt:variant>
      <vt:variant>
        <vt:i4>5</vt:i4>
      </vt:variant>
      <vt:variant>
        <vt:lpwstr/>
      </vt:variant>
      <vt:variant>
        <vt:lpwstr>_Toc333844392</vt:lpwstr>
      </vt:variant>
      <vt:variant>
        <vt:i4>1114167</vt:i4>
      </vt:variant>
      <vt:variant>
        <vt:i4>68</vt:i4>
      </vt:variant>
      <vt:variant>
        <vt:i4>0</vt:i4>
      </vt:variant>
      <vt:variant>
        <vt:i4>5</vt:i4>
      </vt:variant>
      <vt:variant>
        <vt:lpwstr/>
      </vt:variant>
      <vt:variant>
        <vt:lpwstr>_Toc333844391</vt:lpwstr>
      </vt:variant>
      <vt:variant>
        <vt:i4>1114167</vt:i4>
      </vt:variant>
      <vt:variant>
        <vt:i4>62</vt:i4>
      </vt:variant>
      <vt:variant>
        <vt:i4>0</vt:i4>
      </vt:variant>
      <vt:variant>
        <vt:i4>5</vt:i4>
      </vt:variant>
      <vt:variant>
        <vt:lpwstr/>
      </vt:variant>
      <vt:variant>
        <vt:lpwstr>_Toc333844390</vt:lpwstr>
      </vt:variant>
      <vt:variant>
        <vt:i4>1048631</vt:i4>
      </vt:variant>
      <vt:variant>
        <vt:i4>56</vt:i4>
      </vt:variant>
      <vt:variant>
        <vt:i4>0</vt:i4>
      </vt:variant>
      <vt:variant>
        <vt:i4>5</vt:i4>
      </vt:variant>
      <vt:variant>
        <vt:lpwstr/>
      </vt:variant>
      <vt:variant>
        <vt:lpwstr>_Toc333844389</vt:lpwstr>
      </vt:variant>
      <vt:variant>
        <vt:i4>1048631</vt:i4>
      </vt:variant>
      <vt:variant>
        <vt:i4>50</vt:i4>
      </vt:variant>
      <vt:variant>
        <vt:i4>0</vt:i4>
      </vt:variant>
      <vt:variant>
        <vt:i4>5</vt:i4>
      </vt:variant>
      <vt:variant>
        <vt:lpwstr/>
      </vt:variant>
      <vt:variant>
        <vt:lpwstr>_Toc333844388</vt:lpwstr>
      </vt:variant>
      <vt:variant>
        <vt:i4>1048631</vt:i4>
      </vt:variant>
      <vt:variant>
        <vt:i4>44</vt:i4>
      </vt:variant>
      <vt:variant>
        <vt:i4>0</vt:i4>
      </vt:variant>
      <vt:variant>
        <vt:i4>5</vt:i4>
      </vt:variant>
      <vt:variant>
        <vt:lpwstr/>
      </vt:variant>
      <vt:variant>
        <vt:lpwstr>_Toc333844387</vt:lpwstr>
      </vt:variant>
      <vt:variant>
        <vt:i4>1048631</vt:i4>
      </vt:variant>
      <vt:variant>
        <vt:i4>38</vt:i4>
      </vt:variant>
      <vt:variant>
        <vt:i4>0</vt:i4>
      </vt:variant>
      <vt:variant>
        <vt:i4>5</vt:i4>
      </vt:variant>
      <vt:variant>
        <vt:lpwstr/>
      </vt:variant>
      <vt:variant>
        <vt:lpwstr>_Toc333844386</vt:lpwstr>
      </vt:variant>
      <vt:variant>
        <vt:i4>1048631</vt:i4>
      </vt:variant>
      <vt:variant>
        <vt:i4>32</vt:i4>
      </vt:variant>
      <vt:variant>
        <vt:i4>0</vt:i4>
      </vt:variant>
      <vt:variant>
        <vt:i4>5</vt:i4>
      </vt:variant>
      <vt:variant>
        <vt:lpwstr/>
      </vt:variant>
      <vt:variant>
        <vt:lpwstr>_Toc333844385</vt:lpwstr>
      </vt:variant>
      <vt:variant>
        <vt:i4>1048631</vt:i4>
      </vt:variant>
      <vt:variant>
        <vt:i4>26</vt:i4>
      </vt:variant>
      <vt:variant>
        <vt:i4>0</vt:i4>
      </vt:variant>
      <vt:variant>
        <vt:i4>5</vt:i4>
      </vt:variant>
      <vt:variant>
        <vt:lpwstr/>
      </vt:variant>
      <vt:variant>
        <vt:lpwstr>_Toc333844384</vt:lpwstr>
      </vt:variant>
      <vt:variant>
        <vt:i4>1048631</vt:i4>
      </vt:variant>
      <vt:variant>
        <vt:i4>20</vt:i4>
      </vt:variant>
      <vt:variant>
        <vt:i4>0</vt:i4>
      </vt:variant>
      <vt:variant>
        <vt:i4>5</vt:i4>
      </vt:variant>
      <vt:variant>
        <vt:lpwstr/>
      </vt:variant>
      <vt:variant>
        <vt:lpwstr>_Toc333844383</vt:lpwstr>
      </vt:variant>
      <vt:variant>
        <vt:i4>1048631</vt:i4>
      </vt:variant>
      <vt:variant>
        <vt:i4>14</vt:i4>
      </vt:variant>
      <vt:variant>
        <vt:i4>0</vt:i4>
      </vt:variant>
      <vt:variant>
        <vt:i4>5</vt:i4>
      </vt:variant>
      <vt:variant>
        <vt:lpwstr/>
      </vt:variant>
      <vt:variant>
        <vt:lpwstr>_Toc333844382</vt:lpwstr>
      </vt:variant>
      <vt:variant>
        <vt:i4>1048631</vt:i4>
      </vt:variant>
      <vt:variant>
        <vt:i4>8</vt:i4>
      </vt:variant>
      <vt:variant>
        <vt:i4>0</vt:i4>
      </vt:variant>
      <vt:variant>
        <vt:i4>5</vt:i4>
      </vt:variant>
      <vt:variant>
        <vt:lpwstr/>
      </vt:variant>
      <vt:variant>
        <vt:lpwstr>_Toc333844381</vt:lpwstr>
      </vt:variant>
      <vt:variant>
        <vt:i4>1048631</vt:i4>
      </vt:variant>
      <vt:variant>
        <vt:i4>2</vt:i4>
      </vt:variant>
      <vt:variant>
        <vt:i4>0</vt:i4>
      </vt:variant>
      <vt:variant>
        <vt:i4>5</vt:i4>
      </vt:variant>
      <vt:variant>
        <vt:lpwstr/>
      </vt:variant>
      <vt:variant>
        <vt:lpwstr>_Toc333844380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Mornington Harbour Assessment</dc:title>
  <dc:subject>Environment Effects</dc:subject>
  <dc:creator>Geoff Ralphs</dc:creator>
  <cp:keywords>EES, Mornington, Harbour, Assessment</cp:keywords>
  <cp:lastModifiedBy>Sophia Koulbanis</cp:lastModifiedBy>
  <cp:revision>2</cp:revision>
  <cp:lastPrinted>2013-05-22T00:33:00Z</cp:lastPrinted>
  <dcterms:created xsi:type="dcterms:W3CDTF">2016-12-20T03:54:00Z</dcterms:created>
  <dcterms:modified xsi:type="dcterms:W3CDTF">2016-12-20T03:54:00Z</dcterms:modified>
</cp:coreProperties>
</file>