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64D75" w14:textId="77777777" w:rsidR="0097543D" w:rsidRDefault="0097543D" w:rsidP="00CE37CD">
      <w:pPr>
        <w:pStyle w:val="Heading2"/>
      </w:pPr>
      <w:bookmarkStart w:id="0" w:name="_GoBack"/>
      <w:bookmarkEnd w:id="0"/>
    </w:p>
    <w:p w14:paraId="65C67245" w14:textId="42074ED9" w:rsidR="00FD06DB" w:rsidRPr="00260F86" w:rsidRDefault="00F41D19" w:rsidP="00260F86">
      <w:pPr>
        <w:jc w:val="right"/>
        <w:rPr>
          <w:b/>
        </w:rPr>
      </w:pPr>
      <w:r>
        <w:rPr>
          <w:b/>
        </w:rPr>
        <w:t>April</w:t>
      </w:r>
      <w:r w:rsidR="00444C9B" w:rsidRPr="00260F86">
        <w:rPr>
          <w:b/>
        </w:rPr>
        <w:t xml:space="preserve"> 2019</w:t>
      </w:r>
    </w:p>
    <w:p w14:paraId="091AA912" w14:textId="7CF8EE21" w:rsidR="00444C9B" w:rsidRDefault="00444C9B" w:rsidP="00CE37CD"/>
    <w:p w14:paraId="74D46C3C" w14:textId="14492A91" w:rsidR="00D50F13" w:rsidRDefault="00D50F13" w:rsidP="00CE37CD"/>
    <w:p w14:paraId="55F2BE63" w14:textId="77777777" w:rsidR="00D50F13" w:rsidRPr="00444C9B" w:rsidRDefault="00D50F13" w:rsidP="00CE37CD"/>
    <w:p w14:paraId="5ED4CF82" w14:textId="77777777" w:rsidR="00FD06DB" w:rsidRDefault="00FD06DB" w:rsidP="00CE37CD">
      <w:pPr>
        <w:pStyle w:val="Heading2"/>
      </w:pPr>
      <w:r>
        <w:t>Introduction</w:t>
      </w:r>
    </w:p>
    <w:p w14:paraId="2529A25E" w14:textId="6050DF7C" w:rsidR="00FD06DB" w:rsidRDefault="00FD06DB" w:rsidP="0051421B">
      <w:pPr>
        <w:pStyle w:val="PPVBody"/>
      </w:pPr>
      <w:r>
        <w:t xml:space="preserve">An expert witness has specialised knowledge </w:t>
      </w:r>
      <w:r w:rsidR="00D7125B">
        <w:t>from</w:t>
      </w:r>
      <w:r>
        <w:t xml:space="preserve"> training, study or experience.  A Panel may rely on </w:t>
      </w:r>
      <w:r w:rsidR="0016293D">
        <w:t xml:space="preserve">that specialised knowledge </w:t>
      </w:r>
      <w:r>
        <w:t>to form an opinion about a</w:t>
      </w:r>
      <w:r w:rsidR="0012117C">
        <w:t xml:space="preserve">n issue </w:t>
      </w:r>
      <w:r>
        <w:t xml:space="preserve">that is </w:t>
      </w:r>
      <w:r w:rsidR="006F5916">
        <w:t>relevant</w:t>
      </w:r>
      <w:r>
        <w:t xml:space="preserve"> to the</w:t>
      </w:r>
      <w:r w:rsidR="0012117C">
        <w:t xml:space="preserve"> </w:t>
      </w:r>
      <w:r w:rsidR="0069163C">
        <w:t>Hearing</w:t>
      </w:r>
      <w:r>
        <w:t xml:space="preserve">.  </w:t>
      </w:r>
      <w:r w:rsidR="00CC7B07">
        <w:t xml:space="preserve">Generally more weight will be given to expert evidence </w:t>
      </w:r>
      <w:r w:rsidR="00642E1D">
        <w:t>that is independent.</w:t>
      </w:r>
    </w:p>
    <w:p w14:paraId="4946B874" w14:textId="77777777" w:rsidR="00FD06DB" w:rsidRDefault="00FD06DB" w:rsidP="00260F86">
      <w:pPr>
        <w:pStyle w:val="PPVBody"/>
      </w:pPr>
      <w:r>
        <w:t>This Guid</w:t>
      </w:r>
      <w:r w:rsidR="00DD5DF8">
        <w:t>e</w:t>
      </w:r>
      <w:r>
        <w:t xml:space="preserve"> applies to:</w:t>
      </w:r>
    </w:p>
    <w:p w14:paraId="391F1ED8" w14:textId="199A7B41" w:rsidR="00F2207A" w:rsidRDefault="003E2AC4" w:rsidP="00434B53">
      <w:pPr>
        <w:pStyle w:val="PPVBullet1"/>
      </w:pPr>
      <w:r>
        <w:t>i</w:t>
      </w:r>
      <w:r w:rsidR="005C34D6">
        <w:t xml:space="preserve">nstructing </w:t>
      </w:r>
      <w:r w:rsidR="00434B53">
        <w:t xml:space="preserve">an </w:t>
      </w:r>
      <w:r w:rsidR="00FD06DB">
        <w:t xml:space="preserve">expert witness </w:t>
      </w:r>
      <w:r w:rsidR="00434B53">
        <w:t>preparing</w:t>
      </w:r>
      <w:r w:rsidR="00FD06DB">
        <w:t xml:space="preserve"> </w:t>
      </w:r>
      <w:r w:rsidR="0069163C">
        <w:t xml:space="preserve">expert </w:t>
      </w:r>
      <w:r w:rsidR="00E205C4">
        <w:t>evidence</w:t>
      </w:r>
    </w:p>
    <w:p w14:paraId="79EF231A" w14:textId="229A9A60" w:rsidR="00434B53" w:rsidRDefault="004C3753" w:rsidP="00F2207A">
      <w:pPr>
        <w:pStyle w:val="PPVBullet1"/>
        <w:jc w:val="left"/>
      </w:pPr>
      <w:r>
        <w:t>the preparation of the expert’s evidence</w:t>
      </w:r>
    </w:p>
    <w:p w14:paraId="0CA3F079" w14:textId="567732F8" w:rsidR="004C3753" w:rsidRDefault="004C3753" w:rsidP="00F2207A">
      <w:pPr>
        <w:pStyle w:val="PPVBullet1"/>
        <w:jc w:val="left"/>
      </w:pPr>
      <w:r>
        <w:t xml:space="preserve">the presentation </w:t>
      </w:r>
      <w:r w:rsidR="00E205C4">
        <w:t>of the evidence at the Hearing</w:t>
      </w:r>
    </w:p>
    <w:p w14:paraId="2FC49AB9" w14:textId="26EC189B" w:rsidR="00815D66" w:rsidRDefault="0040582C" w:rsidP="00F2207A">
      <w:pPr>
        <w:pStyle w:val="PPVBullet1"/>
        <w:jc w:val="left"/>
      </w:pPr>
      <w:r>
        <w:t>questioning (‘</w:t>
      </w:r>
      <w:r w:rsidR="00815D66">
        <w:t>cross examination</w:t>
      </w:r>
      <w:r>
        <w:t>’)</w:t>
      </w:r>
      <w:r w:rsidR="00815D66">
        <w:t xml:space="preserve"> of an expert witness.</w:t>
      </w:r>
    </w:p>
    <w:p w14:paraId="557F250D" w14:textId="6D779D15" w:rsidR="004F19C3" w:rsidRDefault="004F19C3" w:rsidP="0051421B">
      <w:pPr>
        <w:pStyle w:val="PPVBody"/>
      </w:pPr>
      <w:r>
        <w:t xml:space="preserve">The Guide explains </w:t>
      </w:r>
      <w:r w:rsidR="00D7125B">
        <w:t>what happens when</w:t>
      </w:r>
      <w:r>
        <w:t xml:space="preserve"> an expert witness is to be called at a Hearing.  A Panel may </w:t>
      </w:r>
      <w:r w:rsidR="00D7125B">
        <w:t xml:space="preserve">make specific Directions that </w:t>
      </w:r>
      <w:r>
        <w:t>vary this Guide.</w:t>
      </w:r>
    </w:p>
    <w:p w14:paraId="09BD57DD" w14:textId="5DA6C725" w:rsidR="00FD06DB" w:rsidRDefault="00FD06DB" w:rsidP="0051421B">
      <w:pPr>
        <w:pStyle w:val="PPVBody"/>
      </w:pPr>
      <w:r>
        <w:t xml:space="preserve">Parties </w:t>
      </w:r>
      <w:r w:rsidR="003E2AC4">
        <w:t xml:space="preserve">calling an expert witness </w:t>
      </w:r>
      <w:r>
        <w:t xml:space="preserve">must </w:t>
      </w:r>
      <w:r w:rsidR="004547DC">
        <w:t xml:space="preserve">make sure that </w:t>
      </w:r>
      <w:r w:rsidR="003E2AC4">
        <w:t xml:space="preserve">the expert is </w:t>
      </w:r>
      <w:r w:rsidR="003777C5">
        <w:t>made aware of this guide</w:t>
      </w:r>
      <w:r w:rsidR="003E2AC4">
        <w:t xml:space="preserve"> when they are retained</w:t>
      </w:r>
      <w:r>
        <w:t>.</w:t>
      </w:r>
    </w:p>
    <w:p w14:paraId="3FE08197" w14:textId="12389478" w:rsidR="00764FE4" w:rsidRPr="0097543D" w:rsidRDefault="00764FE4" w:rsidP="00CE37CD">
      <w:pPr>
        <w:pStyle w:val="Heading2"/>
        <w:rPr>
          <w:caps/>
        </w:rPr>
      </w:pPr>
      <w:r w:rsidRPr="0097543D">
        <w:t>Expert</w:t>
      </w:r>
      <w:r w:rsidR="00FD06DB">
        <w:t xml:space="preserve"> witness</w:t>
      </w:r>
      <w:r w:rsidRPr="0097543D">
        <w:t xml:space="preserve">' </w:t>
      </w:r>
      <w:r w:rsidR="0097543D">
        <w:t>d</w:t>
      </w:r>
      <w:r w:rsidRPr="0097543D">
        <w:t>uty to the Panel</w:t>
      </w:r>
    </w:p>
    <w:p w14:paraId="22D86290" w14:textId="77777777" w:rsidR="00DD5DF8" w:rsidRDefault="00764FE4" w:rsidP="0051421B">
      <w:pPr>
        <w:pStyle w:val="PPVBody"/>
      </w:pPr>
      <w:r w:rsidRPr="00CE37CD">
        <w:t>An expert witness</w:t>
      </w:r>
      <w:r w:rsidR="00DD5DF8">
        <w:t>:</w:t>
      </w:r>
    </w:p>
    <w:p w14:paraId="6249E695" w14:textId="2E85EAD0" w:rsidR="00DD5DF8" w:rsidRDefault="00764FE4" w:rsidP="0051421B">
      <w:pPr>
        <w:pStyle w:val="PPVBullet1"/>
      </w:pPr>
      <w:r w:rsidRPr="00CE37CD">
        <w:t xml:space="preserve">has a paramount duty to the </w:t>
      </w:r>
      <w:proofErr w:type="gramStart"/>
      <w:r w:rsidRPr="00CE37CD">
        <w:t>Panel</w:t>
      </w:r>
      <w:proofErr w:type="gramEnd"/>
    </w:p>
    <w:p w14:paraId="481FCBC7" w14:textId="77777777" w:rsidR="00DD5DF8" w:rsidRDefault="00764FE4" w:rsidP="0051421B">
      <w:pPr>
        <w:pStyle w:val="PPVBullet1"/>
      </w:pPr>
      <w:r w:rsidRPr="00CE37CD">
        <w:t xml:space="preserve">has an overriding duty to assist the Panel on matters relevant to the expert's </w:t>
      </w:r>
      <w:proofErr w:type="gramStart"/>
      <w:r w:rsidRPr="00CE37CD">
        <w:t>expertise</w:t>
      </w:r>
      <w:proofErr w:type="gramEnd"/>
    </w:p>
    <w:p w14:paraId="06D96F7B" w14:textId="3E34F873" w:rsidR="00764FE4" w:rsidRDefault="00764FE4" w:rsidP="0051421B">
      <w:pPr>
        <w:pStyle w:val="PPVBullet1"/>
      </w:pPr>
      <w:r w:rsidRPr="00CE37CD">
        <w:t xml:space="preserve">is not an advocate for a </w:t>
      </w:r>
      <w:proofErr w:type="gramStart"/>
      <w:r w:rsidRPr="00CE37CD">
        <w:t>party</w:t>
      </w:r>
      <w:proofErr w:type="gramEnd"/>
    </w:p>
    <w:p w14:paraId="4EF3C23A" w14:textId="6232C376" w:rsidR="00434B53" w:rsidRPr="00CE37CD" w:rsidRDefault="00434B53" w:rsidP="008C51F3">
      <w:pPr>
        <w:pStyle w:val="PPVBullet1"/>
      </w:pPr>
      <w:r>
        <w:t xml:space="preserve">must not withhold material matters known to the witness even if </w:t>
      </w:r>
      <w:r w:rsidR="003E2AC4">
        <w:t xml:space="preserve">it </w:t>
      </w:r>
      <w:r>
        <w:t xml:space="preserve">may be unfavourable to a </w:t>
      </w:r>
      <w:proofErr w:type="gramStart"/>
      <w:r>
        <w:t>particular party</w:t>
      </w:r>
      <w:proofErr w:type="gramEnd"/>
      <w:r w:rsidR="008C51F3">
        <w:t>.</w:t>
      </w:r>
      <w:r>
        <w:t xml:space="preserve"> </w:t>
      </w:r>
    </w:p>
    <w:p w14:paraId="786F0F06" w14:textId="3C769A5E" w:rsidR="00764FE4" w:rsidRPr="0097543D" w:rsidRDefault="00DF51E7" w:rsidP="00CE37CD">
      <w:pPr>
        <w:pStyle w:val="Heading2"/>
        <w:rPr>
          <w:caps/>
        </w:rPr>
      </w:pPr>
      <w:r>
        <w:t xml:space="preserve">The </w:t>
      </w:r>
      <w:r w:rsidR="0097543D">
        <w:t>e</w:t>
      </w:r>
      <w:r w:rsidR="00764FE4" w:rsidRPr="0097543D">
        <w:t>xpert</w:t>
      </w:r>
      <w:r w:rsidR="00FD06DB">
        <w:t xml:space="preserve"> witness</w:t>
      </w:r>
      <w:r w:rsidR="00764FE4" w:rsidRPr="0097543D">
        <w:t xml:space="preserve"> </w:t>
      </w:r>
      <w:r w:rsidR="00361CC6">
        <w:t>statement</w:t>
      </w:r>
    </w:p>
    <w:p w14:paraId="57A03EDB" w14:textId="3E7A8FF1" w:rsidR="00FD06DB" w:rsidRPr="00CE37CD" w:rsidRDefault="00FD06DB" w:rsidP="00260F86">
      <w:pPr>
        <w:pStyle w:val="PPVBody"/>
      </w:pPr>
      <w:r>
        <w:t xml:space="preserve">An expert witness </w:t>
      </w:r>
      <w:r w:rsidR="00BD74E8">
        <w:t xml:space="preserve">preparing </w:t>
      </w:r>
      <w:r>
        <w:t xml:space="preserve">a written </w:t>
      </w:r>
      <w:r w:rsidR="00361CC6">
        <w:t>statement</w:t>
      </w:r>
      <w:r>
        <w:t xml:space="preserve"> </w:t>
      </w:r>
      <w:r w:rsidR="00DF4BCF">
        <w:t xml:space="preserve">for </w:t>
      </w:r>
      <w:r w:rsidR="003E2AC4">
        <w:t>a</w:t>
      </w:r>
      <w:r w:rsidR="00DF4BCF">
        <w:t xml:space="preserve"> Hearing </w:t>
      </w:r>
      <w:r w:rsidR="00A37378">
        <w:t xml:space="preserve">must do so </w:t>
      </w:r>
      <w:r>
        <w:t>in accordance with this Guid</w:t>
      </w:r>
      <w:r w:rsidR="00EF214C">
        <w:t>e</w:t>
      </w:r>
      <w:r w:rsidR="003E2AC4">
        <w:t xml:space="preserve">.  The statement </w:t>
      </w:r>
      <w:r w:rsidRPr="00764FE4">
        <w:t>must include:</w:t>
      </w:r>
    </w:p>
    <w:p w14:paraId="39984421" w14:textId="5CE9D2FC" w:rsidR="00FD06DB" w:rsidRPr="00CE37CD" w:rsidRDefault="001B1326" w:rsidP="00260F86">
      <w:pPr>
        <w:pStyle w:val="PPVBullet1"/>
      </w:pPr>
      <w:r>
        <w:t>the expert’s</w:t>
      </w:r>
      <w:r w:rsidR="00FD06DB" w:rsidRPr="00CE37CD">
        <w:t xml:space="preserve"> name and address</w:t>
      </w:r>
    </w:p>
    <w:p w14:paraId="217A8766" w14:textId="7EF0EFB5" w:rsidR="00FD06DB" w:rsidRPr="00CE37CD" w:rsidRDefault="003E2AC4" w:rsidP="00F2207A">
      <w:pPr>
        <w:pStyle w:val="PPVBullet1"/>
      </w:pPr>
      <w:r>
        <w:t xml:space="preserve">the expert’s </w:t>
      </w:r>
      <w:r w:rsidR="00FD06DB" w:rsidRPr="00CE37CD">
        <w:t>qualifications, experience and area of expertise</w:t>
      </w:r>
    </w:p>
    <w:p w14:paraId="74A90C9F" w14:textId="5D53DCE7" w:rsidR="00FD06DB" w:rsidRPr="00CE37CD" w:rsidRDefault="003E2AC4" w:rsidP="00260F86">
      <w:pPr>
        <w:pStyle w:val="PPVBullet1"/>
      </w:pPr>
      <w:r>
        <w:t xml:space="preserve">details of </w:t>
      </w:r>
      <w:r w:rsidR="00FD06DB" w:rsidRPr="00CE37CD">
        <w:t xml:space="preserve">any other significant contributors to the </w:t>
      </w:r>
      <w:r w:rsidR="00ED520F">
        <w:t>statement</w:t>
      </w:r>
      <w:r w:rsidR="00ED520F" w:rsidRPr="00CE37CD">
        <w:t xml:space="preserve"> </w:t>
      </w:r>
      <w:r>
        <w:t xml:space="preserve">(if there are any), </w:t>
      </w:r>
      <w:r w:rsidR="00A84E8F">
        <w:t xml:space="preserve">and </w:t>
      </w:r>
      <w:r w:rsidR="00FD06DB" w:rsidRPr="00CE37CD">
        <w:t>their expertise</w:t>
      </w:r>
    </w:p>
    <w:p w14:paraId="14563549" w14:textId="726D9E8C" w:rsidR="00FD06DB" w:rsidRPr="00CE37CD" w:rsidRDefault="00FD06DB" w:rsidP="00260F86">
      <w:pPr>
        <w:pStyle w:val="PPVBullet1"/>
      </w:pPr>
      <w:r w:rsidRPr="00CE37CD">
        <w:t xml:space="preserve">all instructions that define the scope of the </w:t>
      </w:r>
      <w:r w:rsidR="00361CC6">
        <w:t>statement</w:t>
      </w:r>
      <w:r w:rsidRPr="00CE37CD">
        <w:t xml:space="preserve"> (original and supplementary and whether in writing or </w:t>
      </w:r>
      <w:r w:rsidR="003E2AC4">
        <w:t>verbal</w:t>
      </w:r>
      <w:r w:rsidRPr="00CE37CD">
        <w:t>)</w:t>
      </w:r>
    </w:p>
    <w:p w14:paraId="4A46FF5F" w14:textId="7268536C" w:rsidR="00FD06DB" w:rsidRPr="00CE37CD" w:rsidRDefault="003E2AC4" w:rsidP="00260F86">
      <w:pPr>
        <w:pStyle w:val="PPVBullet1"/>
      </w:pPr>
      <w:r>
        <w:t xml:space="preserve">details </w:t>
      </w:r>
      <w:r w:rsidR="00A84E8F">
        <w:t xml:space="preserve">and qualifications </w:t>
      </w:r>
      <w:r w:rsidR="00FD06DB" w:rsidRPr="00CE37CD">
        <w:t xml:space="preserve">of </w:t>
      </w:r>
      <w:r w:rsidR="00A84E8F">
        <w:t>any</w:t>
      </w:r>
      <w:r w:rsidR="00FD06DB" w:rsidRPr="00CE37CD">
        <w:t xml:space="preserve"> person who carried out any tests or experiments upon which the expert has relied</w:t>
      </w:r>
      <w:r w:rsidR="00ED520F">
        <w:t xml:space="preserve"> in preparing the statement</w:t>
      </w:r>
      <w:r w:rsidR="00FD06DB" w:rsidRPr="00CE37CD">
        <w:t>.</w:t>
      </w:r>
    </w:p>
    <w:p w14:paraId="19EFA088" w14:textId="77777777" w:rsidR="00ED520F" w:rsidRPr="00764FE4" w:rsidRDefault="00ED520F" w:rsidP="00A41C53">
      <w:pPr>
        <w:pStyle w:val="PPVBody"/>
      </w:pPr>
      <w:r>
        <w:t>All</w:t>
      </w:r>
      <w:r w:rsidRPr="00764FE4">
        <w:t xml:space="preserve"> expert</w:t>
      </w:r>
      <w:r>
        <w:t>s</w:t>
      </w:r>
      <w:r w:rsidRPr="00764FE4">
        <w:t xml:space="preserve"> must declare</w:t>
      </w:r>
      <w:r>
        <w:t xml:space="preserve"> in their statements</w:t>
      </w:r>
      <w:r w:rsidRPr="00764FE4">
        <w:t>:</w:t>
      </w:r>
    </w:p>
    <w:p w14:paraId="18EE3C14" w14:textId="77777777" w:rsidR="00ED520F" w:rsidRPr="00A41C53" w:rsidRDefault="00ED520F" w:rsidP="00A41C53">
      <w:pPr>
        <w:pStyle w:val="PPVBody"/>
        <w:ind w:left="720"/>
        <w:rPr>
          <w:i/>
        </w:rPr>
      </w:pPr>
      <w:r w:rsidRPr="00A41C53">
        <w:rPr>
          <w:i/>
        </w:rPr>
        <w:t>‘I have made all the inquiries that I believe are desirable and appropriate and no matters of significance which I regard as relevant have to my knowledge been withheld from the Panel.’</w:t>
      </w:r>
    </w:p>
    <w:p w14:paraId="20BFAECA" w14:textId="592827EA" w:rsidR="00FD06DB" w:rsidRPr="00764FE4" w:rsidRDefault="00ED520F" w:rsidP="00260F86">
      <w:pPr>
        <w:pStyle w:val="PPVBody"/>
      </w:pPr>
      <w:r>
        <w:rPr>
          <w:u w:val="single"/>
        </w:rPr>
        <w:lastRenderedPageBreak/>
        <w:t xml:space="preserve">Sometimes, an expert witness may have </w:t>
      </w:r>
      <w:r w:rsidR="003F0C4A">
        <w:rPr>
          <w:u w:val="single"/>
        </w:rPr>
        <w:t xml:space="preserve">prepared an </w:t>
      </w:r>
      <w:r>
        <w:rPr>
          <w:u w:val="single"/>
        </w:rPr>
        <w:t xml:space="preserve">earlier </w:t>
      </w:r>
      <w:r w:rsidR="003F0C4A">
        <w:rPr>
          <w:u w:val="single"/>
        </w:rPr>
        <w:t xml:space="preserve">report </w:t>
      </w:r>
      <w:r w:rsidR="003E2AC4">
        <w:rPr>
          <w:u w:val="single"/>
        </w:rPr>
        <w:t xml:space="preserve">or advice </w:t>
      </w:r>
      <w:r w:rsidR="00FD06DB" w:rsidRPr="00F2207A">
        <w:rPr>
          <w:u w:val="single"/>
        </w:rPr>
        <w:t>that inform</w:t>
      </w:r>
      <w:r w:rsidR="003E2AC4">
        <w:rPr>
          <w:u w:val="single"/>
        </w:rPr>
        <w:t xml:space="preserve">ed the </w:t>
      </w:r>
      <w:r w:rsidR="00715C76" w:rsidRPr="00F2207A">
        <w:rPr>
          <w:u w:val="single"/>
        </w:rPr>
        <w:t>Planning Scheme Amendment</w:t>
      </w:r>
      <w:r w:rsidR="00FD06DB" w:rsidRPr="00F2207A">
        <w:rPr>
          <w:u w:val="single"/>
        </w:rPr>
        <w:t xml:space="preserve"> or </w:t>
      </w:r>
      <w:r w:rsidR="00FD06DB" w:rsidRPr="00ED520F">
        <w:rPr>
          <w:u w:val="single"/>
        </w:rPr>
        <w:t>proposal</w:t>
      </w:r>
      <w:r w:rsidR="001B6FC1" w:rsidRPr="006F20A4">
        <w:rPr>
          <w:u w:val="single"/>
        </w:rPr>
        <w:t xml:space="preserve"> </w:t>
      </w:r>
      <w:r w:rsidRPr="006F20A4">
        <w:rPr>
          <w:u w:val="single"/>
        </w:rPr>
        <w:t>under consideration by the Panel</w:t>
      </w:r>
      <w:r>
        <w:t xml:space="preserve">.  In these circumstances, the expert </w:t>
      </w:r>
      <w:r w:rsidR="00FD06DB" w:rsidRPr="00764FE4">
        <w:t>should not provide a revised version of that report.</w:t>
      </w:r>
      <w:r w:rsidR="00BE2581">
        <w:t xml:space="preserve"> </w:t>
      </w:r>
      <w:r w:rsidR="00FD06DB" w:rsidRPr="00764FE4">
        <w:t xml:space="preserve"> </w:t>
      </w:r>
      <w:r w:rsidR="00A84E8F">
        <w:t>Instead, t</w:t>
      </w:r>
      <w:r w:rsidR="00FD06DB" w:rsidRPr="00764FE4">
        <w:t>he expert</w:t>
      </w:r>
      <w:r w:rsidR="003E2AC4">
        <w:t>’s witness statement</w:t>
      </w:r>
      <w:r w:rsidR="00FD06DB" w:rsidRPr="00764FE4">
        <w:t xml:space="preserve"> should include:</w:t>
      </w:r>
    </w:p>
    <w:p w14:paraId="060C222B" w14:textId="5C7EC144" w:rsidR="00ED520F" w:rsidRPr="00764FE4" w:rsidRDefault="00FD06DB" w:rsidP="00260F86">
      <w:pPr>
        <w:pStyle w:val="PPVBullet1"/>
      </w:pPr>
      <w:r w:rsidRPr="00764FE4">
        <w:t>a</w:t>
      </w:r>
      <w:r w:rsidR="003E2AC4">
        <w:t xml:space="preserve"> clear </w:t>
      </w:r>
      <w:r w:rsidRPr="00764FE4">
        <w:t xml:space="preserve">reference to the </w:t>
      </w:r>
      <w:r w:rsidR="003E2AC4">
        <w:t xml:space="preserve">earlier </w:t>
      </w:r>
      <w:r w:rsidRPr="00764FE4">
        <w:t>report</w:t>
      </w:r>
      <w:r w:rsidR="00A84E8F">
        <w:t>(s)</w:t>
      </w:r>
    </w:p>
    <w:p w14:paraId="679233F4" w14:textId="7EBA9E83" w:rsidR="00FD06DB" w:rsidRPr="00764FE4" w:rsidRDefault="003E2AC4" w:rsidP="00260F86">
      <w:pPr>
        <w:pStyle w:val="PPVBullet1"/>
      </w:pPr>
      <w:r>
        <w:t xml:space="preserve">details of </w:t>
      </w:r>
      <w:r w:rsidR="00FD06DB" w:rsidRPr="00764FE4">
        <w:t xml:space="preserve">the </w:t>
      </w:r>
      <w:r w:rsidR="00ED520F">
        <w:t xml:space="preserve">expert’s </w:t>
      </w:r>
      <w:r w:rsidR="00FD06DB" w:rsidRPr="00764FE4">
        <w:t xml:space="preserve">role in preparing or overseeing the </w:t>
      </w:r>
      <w:r>
        <w:t xml:space="preserve">earlier </w:t>
      </w:r>
      <w:r w:rsidR="00FD06DB" w:rsidRPr="00764FE4">
        <w:t>report(s)</w:t>
      </w:r>
    </w:p>
    <w:p w14:paraId="6EDFFDC4" w14:textId="58601248" w:rsidR="00FD06DB" w:rsidRPr="00764FE4" w:rsidRDefault="003E2AC4" w:rsidP="00260F86">
      <w:pPr>
        <w:pStyle w:val="PPVBullet1"/>
      </w:pPr>
      <w:r>
        <w:t xml:space="preserve">confirmation </w:t>
      </w:r>
      <w:r w:rsidR="00FD06DB" w:rsidRPr="00764FE4">
        <w:t xml:space="preserve">that the expert adopts the </w:t>
      </w:r>
      <w:r>
        <w:t xml:space="preserve">earlier </w:t>
      </w:r>
      <w:r w:rsidR="00FD06DB" w:rsidRPr="00764FE4">
        <w:t>report</w:t>
      </w:r>
      <w:r>
        <w:t>(s)</w:t>
      </w:r>
      <w:r w:rsidR="00FD06DB" w:rsidRPr="00764FE4">
        <w:t xml:space="preserve"> and identifying:</w:t>
      </w:r>
    </w:p>
    <w:p w14:paraId="62A8B5F9" w14:textId="77777777" w:rsidR="00ED520F" w:rsidRPr="00764FE4" w:rsidRDefault="00ED520F" w:rsidP="00ED520F">
      <w:pPr>
        <w:pStyle w:val="PPVBullet2"/>
      </w:pPr>
      <w:r w:rsidRPr="00764FE4">
        <w:t xml:space="preserve">any key assumptions made in preparing the </w:t>
      </w:r>
      <w:r>
        <w:t xml:space="preserve">earlier </w:t>
      </w:r>
      <w:r w:rsidRPr="00764FE4">
        <w:t>report</w:t>
      </w:r>
      <w:r>
        <w:t>(s)</w:t>
      </w:r>
    </w:p>
    <w:p w14:paraId="22173826" w14:textId="42A46C63" w:rsidR="00FD06DB" w:rsidRPr="00764FE4" w:rsidRDefault="00FD06DB" w:rsidP="00702B45">
      <w:pPr>
        <w:pStyle w:val="PPVBullet2"/>
      </w:pPr>
      <w:r w:rsidRPr="00764FE4">
        <w:t>any departure from finding</w:t>
      </w:r>
      <w:r w:rsidR="00E1291B">
        <w:t>s</w:t>
      </w:r>
      <w:r w:rsidRPr="00764FE4">
        <w:t xml:space="preserve"> or opinion expressed in the </w:t>
      </w:r>
      <w:r w:rsidR="003E2AC4">
        <w:t xml:space="preserve">earlier </w:t>
      </w:r>
      <w:r w:rsidRPr="00764FE4">
        <w:t>report</w:t>
      </w:r>
      <w:r w:rsidR="003E2AC4">
        <w:t>(s)</w:t>
      </w:r>
      <w:r w:rsidR="00ED520F">
        <w:t>, and why</w:t>
      </w:r>
    </w:p>
    <w:p w14:paraId="6FD1CBAA" w14:textId="77777777" w:rsidR="00FD06DB" w:rsidRPr="00764FE4" w:rsidRDefault="00FD06DB" w:rsidP="00702B45">
      <w:pPr>
        <w:pStyle w:val="PPVBullet2"/>
      </w:pPr>
      <w:r w:rsidRPr="00764FE4">
        <w:t>any questions falling outside the expert's expertise</w:t>
      </w:r>
    </w:p>
    <w:p w14:paraId="4FC7BD90" w14:textId="1C6A3D8C" w:rsidR="00BE2956" w:rsidRDefault="00FD06DB" w:rsidP="00702B45">
      <w:pPr>
        <w:pStyle w:val="PPVBullet2"/>
      </w:pPr>
      <w:r w:rsidRPr="00764FE4">
        <w:t xml:space="preserve">whether the </w:t>
      </w:r>
      <w:r w:rsidR="003E2AC4">
        <w:t xml:space="preserve">earlier </w:t>
      </w:r>
      <w:r w:rsidRPr="00764FE4">
        <w:t>report is incomplete or inaccurate in any respect</w:t>
      </w:r>
    </w:p>
    <w:p w14:paraId="3CC014AE" w14:textId="4257B415" w:rsidR="00FD06DB" w:rsidRPr="00764FE4" w:rsidRDefault="00ED520F" w:rsidP="00F2207A">
      <w:pPr>
        <w:pStyle w:val="PPVBullet1"/>
      </w:pPr>
      <w:r>
        <w:t>details of</w:t>
      </w:r>
      <w:r w:rsidR="0053510A">
        <w:t xml:space="preserve"> any changed </w:t>
      </w:r>
      <w:r w:rsidR="00BE2956">
        <w:t xml:space="preserve">circumstances </w:t>
      </w:r>
      <w:r w:rsidR="0053510A">
        <w:t xml:space="preserve">or assumptions </w:t>
      </w:r>
      <w:r>
        <w:t xml:space="preserve">since the earlier report(s) were prepared, </w:t>
      </w:r>
      <w:r w:rsidR="0053510A">
        <w:t>and whether th</w:t>
      </w:r>
      <w:r w:rsidR="000019E6">
        <w:t>ese</w:t>
      </w:r>
      <w:r w:rsidR="0053510A">
        <w:t xml:space="preserve"> </w:t>
      </w:r>
      <w:r w:rsidR="00BE2956">
        <w:t xml:space="preserve">affect the opinions expressed in the </w:t>
      </w:r>
      <w:r>
        <w:t xml:space="preserve">earlier </w:t>
      </w:r>
      <w:r w:rsidR="00BE2956">
        <w:t>report</w:t>
      </w:r>
      <w:r>
        <w:t>(s)</w:t>
      </w:r>
      <w:r w:rsidR="00BE2956">
        <w:t>.</w:t>
      </w:r>
    </w:p>
    <w:p w14:paraId="2FE6291C" w14:textId="1C1DF45C" w:rsidR="00FD06DB" w:rsidRPr="00764FE4" w:rsidRDefault="00ED520F" w:rsidP="006F5916">
      <w:pPr>
        <w:pStyle w:val="PPVBody"/>
      </w:pPr>
      <w:r>
        <w:rPr>
          <w:u w:val="single"/>
        </w:rPr>
        <w:t xml:space="preserve">Where the expert was not involved in the preparation of earlier reports or advice that </w:t>
      </w:r>
      <w:r w:rsidR="000019E6">
        <w:rPr>
          <w:u w:val="single"/>
        </w:rPr>
        <w:t>inform</w:t>
      </w:r>
      <w:r>
        <w:rPr>
          <w:u w:val="single"/>
        </w:rPr>
        <w:t>ed</w:t>
      </w:r>
      <w:r w:rsidR="000019E6">
        <w:rPr>
          <w:u w:val="single"/>
        </w:rPr>
        <w:t xml:space="preserve"> </w:t>
      </w:r>
      <w:r>
        <w:rPr>
          <w:u w:val="single"/>
        </w:rPr>
        <w:t xml:space="preserve">the </w:t>
      </w:r>
      <w:r w:rsidR="00715C76" w:rsidRPr="00F2207A">
        <w:rPr>
          <w:u w:val="single"/>
        </w:rPr>
        <w:t xml:space="preserve">Planning Scheme Amendment </w:t>
      </w:r>
      <w:r w:rsidR="00FD06DB" w:rsidRPr="00F2207A">
        <w:rPr>
          <w:u w:val="single"/>
        </w:rPr>
        <w:t>or proposal</w:t>
      </w:r>
      <w:r w:rsidR="00FD06DB" w:rsidRPr="00764FE4">
        <w:t xml:space="preserve">, </w:t>
      </w:r>
      <w:r>
        <w:t xml:space="preserve">the expert’s statement </w:t>
      </w:r>
      <w:r w:rsidR="00FD06DB" w:rsidRPr="00764FE4">
        <w:t>should include:</w:t>
      </w:r>
    </w:p>
    <w:p w14:paraId="2BC3DF1B" w14:textId="720C6A20" w:rsidR="00FD06DB" w:rsidRPr="00764FE4" w:rsidRDefault="00413DEE" w:rsidP="006F5916">
      <w:pPr>
        <w:pStyle w:val="PPVBullet1"/>
      </w:pPr>
      <w:proofErr w:type="gramStart"/>
      <w:r w:rsidRPr="00764FE4">
        <w:t>the facts</w:t>
      </w:r>
      <w:r>
        <w:t>,</w:t>
      </w:r>
      <w:proofErr w:type="gramEnd"/>
      <w:r w:rsidR="00FD06DB" w:rsidRPr="00764FE4">
        <w:t xml:space="preserve"> matters and assumptions on which the </w:t>
      </w:r>
      <w:r w:rsidR="00ED520F">
        <w:t xml:space="preserve">expert </w:t>
      </w:r>
      <w:r w:rsidR="00431476">
        <w:t>relies</w:t>
      </w:r>
      <w:r w:rsidR="00ED520F" w:rsidRPr="00ED520F">
        <w:t xml:space="preserve"> </w:t>
      </w:r>
      <w:r w:rsidR="00ED520F">
        <w:t>in preparing the statement</w:t>
      </w:r>
    </w:p>
    <w:p w14:paraId="1452D0AC" w14:textId="546A23C0" w:rsidR="00FD06DB" w:rsidRPr="00764FE4" w:rsidRDefault="00FD06DB" w:rsidP="006F5916">
      <w:pPr>
        <w:pStyle w:val="PPVBullet1"/>
      </w:pPr>
      <w:r w:rsidRPr="00764FE4">
        <w:t xml:space="preserve">reference to documents and materials the expert has </w:t>
      </w:r>
      <w:r w:rsidR="00431476">
        <w:t>used</w:t>
      </w:r>
      <w:r w:rsidRPr="00764FE4">
        <w:t xml:space="preserve"> in preparing </w:t>
      </w:r>
      <w:r w:rsidR="00431476">
        <w:t xml:space="preserve">the </w:t>
      </w:r>
      <w:r w:rsidR="00ED520F">
        <w:t>statement</w:t>
      </w:r>
    </w:p>
    <w:p w14:paraId="481C235C" w14:textId="06EA6AE6" w:rsidR="00FD06DB" w:rsidRPr="00764FE4" w:rsidRDefault="00FD06DB" w:rsidP="006F5916">
      <w:pPr>
        <w:pStyle w:val="PPVBullet1"/>
      </w:pPr>
      <w:r w:rsidRPr="00764FE4">
        <w:t xml:space="preserve">a summary of </w:t>
      </w:r>
      <w:r w:rsidR="00ED520F">
        <w:t xml:space="preserve">the expert’s </w:t>
      </w:r>
      <w:r w:rsidR="00431476">
        <w:t>opinion(s)</w:t>
      </w:r>
      <w:r w:rsidR="00ED520F">
        <w:t>,</w:t>
      </w:r>
      <w:r w:rsidR="00431476">
        <w:t xml:space="preserve"> including provisional opinions</w:t>
      </w:r>
      <w:r w:rsidR="00ED520F">
        <w:t>.</w:t>
      </w:r>
    </w:p>
    <w:p w14:paraId="355E35B9" w14:textId="6CC7EF6A" w:rsidR="00764FE4" w:rsidRPr="0097543D" w:rsidRDefault="00764FE4" w:rsidP="00CE37CD">
      <w:pPr>
        <w:pStyle w:val="Heading2"/>
        <w:rPr>
          <w:caps/>
        </w:rPr>
      </w:pPr>
      <w:r w:rsidRPr="0097543D">
        <w:t xml:space="preserve">Where the expert </w:t>
      </w:r>
      <w:r w:rsidR="003A1777">
        <w:t xml:space="preserve">materially </w:t>
      </w:r>
      <w:r w:rsidRPr="0097543D">
        <w:t xml:space="preserve">changes </w:t>
      </w:r>
      <w:r w:rsidR="001428B4">
        <w:t>their</w:t>
      </w:r>
      <w:r w:rsidRPr="0097543D">
        <w:t xml:space="preserve"> opinion</w:t>
      </w:r>
    </w:p>
    <w:p w14:paraId="7A4149DC" w14:textId="4F1542A0" w:rsidR="00764FE4" w:rsidRPr="00764FE4" w:rsidRDefault="00764FE4" w:rsidP="006F5916">
      <w:pPr>
        <w:pStyle w:val="PPVBody"/>
      </w:pPr>
      <w:r w:rsidRPr="00764FE4">
        <w:t xml:space="preserve">An expert witness who changes </w:t>
      </w:r>
      <w:r w:rsidR="008B3671">
        <w:t>their</w:t>
      </w:r>
      <w:r w:rsidR="008B3671" w:rsidRPr="00764FE4">
        <w:t xml:space="preserve"> </w:t>
      </w:r>
      <w:r w:rsidRPr="00764FE4">
        <w:t xml:space="preserve">opinion on a material matter </w:t>
      </w:r>
      <w:r w:rsidR="008B3671">
        <w:t xml:space="preserve">after the circulation of evidence </w:t>
      </w:r>
      <w:r w:rsidRPr="00764FE4">
        <w:t xml:space="preserve">must communicate that change in writing to </w:t>
      </w:r>
      <w:r w:rsidR="003846A8">
        <w:t xml:space="preserve">the Panel and </w:t>
      </w:r>
      <w:r w:rsidR="007A2CA0">
        <w:t>all parties to the Hearing</w:t>
      </w:r>
      <w:r w:rsidR="003846A8">
        <w:t xml:space="preserve"> and explain why their opinion has changed</w:t>
      </w:r>
      <w:r w:rsidRPr="00764FE4">
        <w:t xml:space="preserve">. </w:t>
      </w:r>
    </w:p>
    <w:p w14:paraId="35BB801F" w14:textId="201C9CC0" w:rsidR="00E31DFA" w:rsidRPr="0097543D" w:rsidRDefault="00E31DFA" w:rsidP="00E31DFA">
      <w:pPr>
        <w:pStyle w:val="Heading2"/>
        <w:rPr>
          <w:caps/>
        </w:rPr>
      </w:pPr>
      <w:r w:rsidRPr="0097543D">
        <w:t>Privacy</w:t>
      </w:r>
    </w:p>
    <w:p w14:paraId="68779246" w14:textId="7FFFE284" w:rsidR="008E2EB1" w:rsidRDefault="00E31DFA" w:rsidP="008E2EB1">
      <w:pPr>
        <w:pStyle w:val="PPVBody"/>
      </w:pPr>
      <w:r>
        <w:t xml:space="preserve">Expert </w:t>
      </w:r>
      <w:r w:rsidRPr="00764FE4">
        <w:t>witness</w:t>
      </w:r>
      <w:r>
        <w:t xml:space="preserve"> </w:t>
      </w:r>
      <w:r w:rsidRPr="00764FE4">
        <w:t xml:space="preserve">reports are usually </w:t>
      </w:r>
      <w:r>
        <w:t>published</w:t>
      </w:r>
      <w:r w:rsidRPr="00764FE4">
        <w:t xml:space="preserve"> on </w:t>
      </w:r>
      <w:r w:rsidR="00292EF3">
        <w:t>a website</w:t>
      </w:r>
      <w:r w:rsidRPr="00764FE4">
        <w:t>.</w:t>
      </w:r>
      <w:r>
        <w:t xml:space="preserve">  They are also available to all parties to a proceeding.</w:t>
      </w:r>
      <w:r w:rsidR="008E2EB1" w:rsidRPr="008E2EB1">
        <w:t xml:space="preserve"> </w:t>
      </w:r>
      <w:r w:rsidR="008E2EB1">
        <w:t xml:space="preserve"> A</w:t>
      </w:r>
      <w:r w:rsidR="008E2EB1" w:rsidRPr="00764FE4">
        <w:t xml:space="preserve">n expert </w:t>
      </w:r>
      <w:r w:rsidR="008E2EB1">
        <w:t xml:space="preserve">witness statement </w:t>
      </w:r>
      <w:r w:rsidR="008E2EB1" w:rsidRPr="00764FE4">
        <w:t>should not refer</w:t>
      </w:r>
      <w:r w:rsidR="008E2EB1">
        <w:t xml:space="preserve"> to</w:t>
      </w:r>
      <w:r w:rsidR="008E2EB1" w:rsidRPr="00764FE4">
        <w:t xml:space="preserve"> submitter</w:t>
      </w:r>
      <w:r w:rsidR="008E2EB1">
        <w:t>s</w:t>
      </w:r>
      <w:r w:rsidR="008E2EB1" w:rsidRPr="00764FE4">
        <w:t xml:space="preserve"> by name</w:t>
      </w:r>
      <w:r w:rsidR="008E2EB1">
        <w:t xml:space="preserve">.  </w:t>
      </w:r>
      <w:r w:rsidR="005C027E">
        <w:t>Where</w:t>
      </w:r>
      <w:r w:rsidR="005C027E" w:rsidRPr="00764FE4">
        <w:t xml:space="preserve"> necessary, </w:t>
      </w:r>
      <w:r w:rsidR="005C027E">
        <w:t xml:space="preserve">submitters should be referenced </w:t>
      </w:r>
      <w:r w:rsidR="005C027E" w:rsidRPr="00764FE4">
        <w:t>by submission number.</w:t>
      </w:r>
    </w:p>
    <w:p w14:paraId="274DD67F" w14:textId="2FFEF1BA" w:rsidR="00E31DFA" w:rsidRPr="00764FE4" w:rsidRDefault="005C173D" w:rsidP="00E31DFA">
      <w:pPr>
        <w:pStyle w:val="PPVBody"/>
      </w:pPr>
      <w:r>
        <w:t>E</w:t>
      </w:r>
      <w:r w:rsidR="00E31DFA" w:rsidRPr="00764FE4">
        <w:t>xpert witness</w:t>
      </w:r>
      <w:r>
        <w:t>es should inform themselves of their</w:t>
      </w:r>
      <w:r w:rsidR="00E31DFA" w:rsidRPr="00764FE4">
        <w:t xml:space="preserve"> obligations under the </w:t>
      </w:r>
      <w:r w:rsidR="003907F9">
        <w:rPr>
          <w:i/>
        </w:rPr>
        <w:t>Privacy and Data Protection Act 2014</w:t>
      </w:r>
      <w:r w:rsidR="00110622">
        <w:rPr>
          <w:i/>
        </w:rPr>
        <w:t xml:space="preserve">. </w:t>
      </w:r>
      <w:r w:rsidR="00110622">
        <w:t xml:space="preserve">  P</w:t>
      </w:r>
      <w:r w:rsidR="00E31DFA" w:rsidRPr="00764FE4">
        <w:t>ersonal information contained in submissions</w:t>
      </w:r>
      <w:r w:rsidR="00110622">
        <w:t xml:space="preserve"> should be used in accordance with the principles in the Act.</w:t>
      </w:r>
    </w:p>
    <w:p w14:paraId="2E310C87" w14:textId="77777777" w:rsidR="00E31DFA" w:rsidRPr="00F2207A" w:rsidRDefault="00E31DFA" w:rsidP="00B95C40">
      <w:pPr>
        <w:pStyle w:val="PPVBody"/>
      </w:pPr>
      <w:r w:rsidRPr="00764FE4">
        <w:t xml:space="preserve">For more information on Privacy refer to the separate </w:t>
      </w:r>
      <w:r w:rsidRPr="00764FE4">
        <w:rPr>
          <w:b/>
        </w:rPr>
        <w:t xml:space="preserve">Guide to Privacy at Planning Panels Victoria.  </w:t>
      </w:r>
    </w:p>
    <w:p w14:paraId="2ABA6B30" w14:textId="471D4DC9" w:rsidR="00764FE4" w:rsidRPr="0097543D" w:rsidRDefault="0097543D" w:rsidP="00CE37CD">
      <w:pPr>
        <w:pStyle w:val="Heading2"/>
        <w:rPr>
          <w:caps/>
        </w:rPr>
      </w:pPr>
      <w:r>
        <w:t xml:space="preserve">Form of </w:t>
      </w:r>
      <w:r w:rsidR="00DF4BCF">
        <w:t>statement</w:t>
      </w:r>
    </w:p>
    <w:p w14:paraId="4CAEE99A" w14:textId="5EF534AA" w:rsidR="00FD06DB" w:rsidRDefault="00FD06DB" w:rsidP="006F5916">
      <w:pPr>
        <w:pStyle w:val="PPVBody"/>
      </w:pPr>
      <w:r>
        <w:t xml:space="preserve">Expert witness </w:t>
      </w:r>
      <w:r w:rsidR="00DF4BCF">
        <w:t>statements</w:t>
      </w:r>
      <w:r>
        <w:t xml:space="preserve"> must be provided in the following form</w:t>
      </w:r>
      <w:r w:rsidR="00D07FD4">
        <w:t>.</w:t>
      </w:r>
    </w:p>
    <w:p w14:paraId="6D4498A0" w14:textId="0B4BA5C0" w:rsidR="00444C9B" w:rsidRPr="006F5916" w:rsidRDefault="00444C9B" w:rsidP="006F5916">
      <w:pPr>
        <w:pStyle w:val="PPVBody"/>
        <w:rPr>
          <w:b/>
        </w:rPr>
      </w:pPr>
      <w:r w:rsidRPr="006F5916">
        <w:rPr>
          <w:b/>
        </w:rPr>
        <w:t xml:space="preserve">All </w:t>
      </w:r>
      <w:r w:rsidR="00D07FD4">
        <w:rPr>
          <w:b/>
        </w:rPr>
        <w:t>copies</w:t>
      </w:r>
    </w:p>
    <w:p w14:paraId="7BA0309A" w14:textId="747177CF" w:rsidR="00FD06DB" w:rsidRDefault="00D07FD4" w:rsidP="006F5916">
      <w:pPr>
        <w:pStyle w:val="PPVBody"/>
      </w:pPr>
      <w:r>
        <w:t>W</w:t>
      </w:r>
      <w:r w:rsidR="00444C9B" w:rsidRPr="00444C9B">
        <w:t xml:space="preserve">itness </w:t>
      </w:r>
      <w:r w:rsidR="00DF4BCF">
        <w:t>statements</w:t>
      </w:r>
      <w:r w:rsidR="00444C9B" w:rsidRPr="00444C9B">
        <w:t xml:space="preserve"> and any supporting information </w:t>
      </w:r>
      <w:r w:rsidR="00FD06DB">
        <w:t>must:</w:t>
      </w:r>
    </w:p>
    <w:p w14:paraId="4B757529" w14:textId="77777777" w:rsidR="00FD06DB" w:rsidRDefault="00FD06DB" w:rsidP="006F5916">
      <w:pPr>
        <w:pStyle w:val="PPVBullet1"/>
      </w:pPr>
      <w:r>
        <w:t>be prepared at A4 page size, unless otherwise directed</w:t>
      </w:r>
    </w:p>
    <w:p w14:paraId="741C916A" w14:textId="77777777" w:rsidR="00FD06DB" w:rsidRDefault="00F44988" w:rsidP="006F5916">
      <w:pPr>
        <w:pStyle w:val="PPVBullet1"/>
      </w:pPr>
      <w:r>
        <w:t>use a</w:t>
      </w:r>
      <w:r w:rsidR="00FD06DB">
        <w:t xml:space="preserve"> </w:t>
      </w:r>
      <w:r w:rsidR="00F2207A">
        <w:t xml:space="preserve">black, </w:t>
      </w:r>
      <w:r w:rsidR="00FD06DB">
        <w:t>12</w:t>
      </w:r>
      <w:r>
        <w:t xml:space="preserve"> point</w:t>
      </w:r>
      <w:r w:rsidR="00FD06DB">
        <w:t xml:space="preserve"> font</w:t>
      </w:r>
      <w:r>
        <w:t xml:space="preserve"> (</w:t>
      </w:r>
      <w:r w:rsidR="00FD06DB">
        <w:t>Arial</w:t>
      </w:r>
      <w:r>
        <w:t xml:space="preserve"> or</w:t>
      </w:r>
      <w:r w:rsidR="00FD06DB">
        <w:t xml:space="preserve"> Calibri </w:t>
      </w:r>
      <w:r>
        <w:t>preferred)</w:t>
      </w:r>
    </w:p>
    <w:p w14:paraId="07038274" w14:textId="77777777" w:rsidR="00FD06DB" w:rsidRPr="00A87C32" w:rsidRDefault="00FD06DB" w:rsidP="006F5916">
      <w:pPr>
        <w:pStyle w:val="PPVBullet1"/>
      </w:pPr>
      <w:r>
        <w:t xml:space="preserve">have numbered paragraphs and </w:t>
      </w:r>
      <w:r w:rsidRPr="00A87C32">
        <w:t>page</w:t>
      </w:r>
      <w:r w:rsidR="00F44988">
        <w:t>s</w:t>
      </w:r>
      <w:r w:rsidRPr="00A87C32">
        <w:t>.</w:t>
      </w:r>
    </w:p>
    <w:p w14:paraId="2CB041D5" w14:textId="77777777" w:rsidR="00FD06DB" w:rsidRDefault="00FD06DB" w:rsidP="006F5916">
      <w:pPr>
        <w:pStyle w:val="PPVBody"/>
      </w:pPr>
      <w:r>
        <w:t>Maps, images or plans must be at a high-</w:t>
      </w:r>
      <w:r w:rsidR="006539B6">
        <w:t xml:space="preserve">definition </w:t>
      </w:r>
      <w:r>
        <w:t>resolution</w:t>
      </w:r>
      <w:r w:rsidR="006539B6">
        <w:t xml:space="preserve"> of at least </w:t>
      </w:r>
      <w:r w:rsidR="00F44988">
        <w:t>6</w:t>
      </w:r>
      <w:r w:rsidR="006539B6">
        <w:t>00 pixels per inch.</w:t>
      </w:r>
    </w:p>
    <w:p w14:paraId="0F3FC2C5" w14:textId="77777777" w:rsidR="005E4508" w:rsidRDefault="005E4508" w:rsidP="00702B45">
      <w:pPr>
        <w:pStyle w:val="PPVBody"/>
        <w:rPr>
          <w:b/>
        </w:rPr>
      </w:pPr>
    </w:p>
    <w:p w14:paraId="07D3D6C8" w14:textId="77777777" w:rsidR="005E4508" w:rsidRDefault="005E4508" w:rsidP="00702B45">
      <w:pPr>
        <w:pStyle w:val="PPVBody"/>
        <w:rPr>
          <w:b/>
        </w:rPr>
      </w:pPr>
    </w:p>
    <w:p w14:paraId="00DA49DF" w14:textId="1C1FB79E" w:rsidR="00FD06DB" w:rsidRPr="00702B45" w:rsidRDefault="00444C9B" w:rsidP="00702B45">
      <w:pPr>
        <w:pStyle w:val="PPVBody"/>
        <w:rPr>
          <w:b/>
        </w:rPr>
      </w:pPr>
      <w:r w:rsidRPr="00702B45">
        <w:rPr>
          <w:b/>
        </w:rPr>
        <w:lastRenderedPageBreak/>
        <w:t xml:space="preserve">Electronic </w:t>
      </w:r>
      <w:r w:rsidR="00D07FD4">
        <w:rPr>
          <w:b/>
        </w:rPr>
        <w:t>cop</w:t>
      </w:r>
      <w:r w:rsidR="008E2EB1">
        <w:rPr>
          <w:b/>
        </w:rPr>
        <w:t>ies</w:t>
      </w:r>
    </w:p>
    <w:p w14:paraId="51509A0C" w14:textId="343BFF35" w:rsidR="00FD06DB" w:rsidRPr="00764FE4" w:rsidRDefault="00FD06DB" w:rsidP="00702B45">
      <w:pPr>
        <w:pStyle w:val="PPVBody"/>
      </w:pPr>
      <w:r w:rsidRPr="00764FE4">
        <w:t>A</w:t>
      </w:r>
      <w:r>
        <w:t>n</w:t>
      </w:r>
      <w:r w:rsidRPr="00764FE4">
        <w:t xml:space="preserve"> </w:t>
      </w:r>
      <w:r>
        <w:t xml:space="preserve">electronic </w:t>
      </w:r>
      <w:r w:rsidR="00444C9B">
        <w:t>version of a document</w:t>
      </w:r>
      <w:r>
        <w:t xml:space="preserve"> must be</w:t>
      </w:r>
      <w:r w:rsidR="00C51912">
        <w:t xml:space="preserve"> </w:t>
      </w:r>
      <w:r w:rsidR="00D07FD4">
        <w:t xml:space="preserve">less than 10MB in size and </w:t>
      </w:r>
      <w:r w:rsidR="00C51912">
        <w:t>provided to</w:t>
      </w:r>
      <w:r w:rsidRPr="00764FE4">
        <w:t>:</w:t>
      </w:r>
    </w:p>
    <w:p w14:paraId="1C329461" w14:textId="7979B2D3" w:rsidR="00FD06DB" w:rsidRDefault="00FD06DB" w:rsidP="00AC5D4B">
      <w:pPr>
        <w:pStyle w:val="PPVBullet1"/>
      </w:pPr>
      <w:r>
        <w:t>parties on the distribution list in accordance with the Panel’s Direction</w:t>
      </w:r>
    </w:p>
    <w:p w14:paraId="5B732042" w14:textId="215C83DE" w:rsidR="00FD06DB" w:rsidRPr="00764FE4" w:rsidRDefault="00C51912" w:rsidP="00AC5D4B">
      <w:pPr>
        <w:pStyle w:val="PPVBullet1"/>
      </w:pPr>
      <w:r>
        <w:t xml:space="preserve">the Panel in </w:t>
      </w:r>
      <w:r w:rsidR="00FD06DB" w:rsidRPr="00764FE4">
        <w:t>unlocked</w:t>
      </w:r>
      <w:r w:rsidR="00F44988">
        <w:t xml:space="preserve"> </w:t>
      </w:r>
      <w:r w:rsidR="00FD06DB" w:rsidRPr="00764FE4">
        <w:t>‘pdf’ or Microsoft Word</w:t>
      </w:r>
      <w:r w:rsidR="008E2EB1">
        <w:t xml:space="preserve"> format</w:t>
      </w:r>
    </w:p>
    <w:p w14:paraId="6AA967B4" w14:textId="660D78A9" w:rsidR="00FD06DB" w:rsidRDefault="00FD06DB" w:rsidP="00AC5D4B">
      <w:pPr>
        <w:pStyle w:val="PPVBullet1"/>
      </w:pPr>
      <w:r w:rsidRPr="00764FE4">
        <w:t xml:space="preserve">the Planning Authority </w:t>
      </w:r>
      <w:r w:rsidR="008E2EB1">
        <w:t xml:space="preserve">in a format </w:t>
      </w:r>
      <w:r w:rsidRPr="00764FE4">
        <w:t xml:space="preserve">suitable for uploading </w:t>
      </w:r>
      <w:r w:rsidR="001428B4">
        <w:t>to</w:t>
      </w:r>
      <w:r w:rsidRPr="00764FE4">
        <w:t xml:space="preserve"> its website</w:t>
      </w:r>
      <w:r w:rsidR="00D07FD4">
        <w:t>.</w:t>
      </w:r>
    </w:p>
    <w:p w14:paraId="7FFC5B86" w14:textId="64E37AD7" w:rsidR="00444C9B" w:rsidRPr="00702B45" w:rsidRDefault="002B4C02" w:rsidP="00702B45">
      <w:pPr>
        <w:pStyle w:val="PPVBody"/>
        <w:rPr>
          <w:b/>
        </w:rPr>
      </w:pPr>
      <w:r>
        <w:rPr>
          <w:b/>
        </w:rPr>
        <w:t>Paper</w:t>
      </w:r>
      <w:r w:rsidR="00444C9B" w:rsidRPr="00702B45">
        <w:rPr>
          <w:b/>
        </w:rPr>
        <w:t xml:space="preserve"> cop</w:t>
      </w:r>
      <w:r w:rsidR="008E2EB1">
        <w:rPr>
          <w:b/>
        </w:rPr>
        <w:t>ies</w:t>
      </w:r>
    </w:p>
    <w:p w14:paraId="0F501C8B" w14:textId="63A4547B" w:rsidR="00FD06DB" w:rsidRPr="00764FE4" w:rsidRDefault="002B4C02" w:rsidP="00702B45">
      <w:pPr>
        <w:pStyle w:val="PPVBody"/>
      </w:pPr>
      <w:r>
        <w:t>Paper</w:t>
      </w:r>
      <w:r w:rsidR="001263BC">
        <w:t xml:space="preserve"> copies of evidence are generally not required. </w:t>
      </w:r>
      <w:r>
        <w:t xml:space="preserve"> </w:t>
      </w:r>
      <w:r w:rsidR="00444C9B">
        <w:t>Where the Panel directs</w:t>
      </w:r>
      <w:r w:rsidR="006539B6">
        <w:t xml:space="preserve"> a </w:t>
      </w:r>
      <w:r>
        <w:t>paper</w:t>
      </w:r>
      <w:r w:rsidR="00444C9B">
        <w:t xml:space="preserve"> co</w:t>
      </w:r>
      <w:r w:rsidR="006539B6">
        <w:t>py</w:t>
      </w:r>
      <w:r w:rsidR="00444C9B">
        <w:t xml:space="preserve">, </w:t>
      </w:r>
      <w:r w:rsidR="006539B6">
        <w:t>each document</w:t>
      </w:r>
      <w:r w:rsidR="00FD06DB" w:rsidRPr="00764FE4">
        <w:t xml:space="preserve"> </w:t>
      </w:r>
      <w:r w:rsidR="00FD06DB">
        <w:t>must</w:t>
      </w:r>
      <w:r w:rsidR="00FD06DB" w:rsidRPr="00764FE4">
        <w:t xml:space="preserve"> be:</w:t>
      </w:r>
    </w:p>
    <w:p w14:paraId="0F63B387" w14:textId="77777777" w:rsidR="00FD06DB" w:rsidRPr="00764FE4" w:rsidRDefault="00444C9B" w:rsidP="00AC5D4B">
      <w:pPr>
        <w:pStyle w:val="PPVBullet1"/>
      </w:pPr>
      <w:r>
        <w:t>t</w:t>
      </w:r>
      <w:r w:rsidR="00FD06DB" w:rsidRPr="00764FE4">
        <w:t>wo-hole punched</w:t>
      </w:r>
    </w:p>
    <w:p w14:paraId="7EEAE9E7" w14:textId="77777777" w:rsidR="00FD06DB" w:rsidRDefault="00444C9B" w:rsidP="00AC5D4B">
      <w:pPr>
        <w:pStyle w:val="PPVBullet1"/>
      </w:pPr>
      <w:r>
        <w:t>s</w:t>
      </w:r>
      <w:r w:rsidR="00FD06DB" w:rsidRPr="00764FE4">
        <w:t>tapled, not bound</w:t>
      </w:r>
    </w:p>
    <w:p w14:paraId="151C3509" w14:textId="77777777" w:rsidR="00444C9B" w:rsidRPr="00764FE4" w:rsidRDefault="00444C9B" w:rsidP="00AC5D4B">
      <w:pPr>
        <w:pStyle w:val="PPVBullet1"/>
      </w:pPr>
      <w:r>
        <w:t>printed on both sides of each page</w:t>
      </w:r>
      <w:r w:rsidR="006539B6">
        <w:t>.</w:t>
      </w:r>
    </w:p>
    <w:p w14:paraId="762B6652" w14:textId="21252F6E" w:rsidR="00FD06DB" w:rsidRDefault="00FD06DB" w:rsidP="00702B45">
      <w:pPr>
        <w:pStyle w:val="PPVBody"/>
      </w:pPr>
      <w:r>
        <w:t xml:space="preserve">Maps, images or plans may be printed at A3 and be folded within the report so </w:t>
      </w:r>
      <w:r w:rsidR="00D07FD4">
        <w:t xml:space="preserve">they </w:t>
      </w:r>
      <w:r>
        <w:t xml:space="preserve">can be read without being </w:t>
      </w:r>
      <w:r w:rsidR="00D07FD4">
        <w:t>removed</w:t>
      </w:r>
      <w:r w:rsidR="00444C9B">
        <w:t>.</w:t>
      </w:r>
    </w:p>
    <w:p w14:paraId="1CF34721" w14:textId="77777777" w:rsidR="00FD06DB" w:rsidRPr="0097543D" w:rsidRDefault="00FD06DB" w:rsidP="00CE37CD">
      <w:pPr>
        <w:pStyle w:val="Heading2"/>
        <w:rPr>
          <w:caps/>
        </w:rPr>
      </w:pPr>
      <w:r w:rsidRPr="0097543D">
        <w:t xml:space="preserve">Circulation of </w:t>
      </w:r>
      <w:r>
        <w:t>e</w:t>
      </w:r>
      <w:r w:rsidRPr="0097543D">
        <w:t xml:space="preserve">xpert </w:t>
      </w:r>
      <w:r>
        <w:t>r</w:t>
      </w:r>
      <w:r w:rsidRPr="0097543D">
        <w:t>eports</w:t>
      </w:r>
    </w:p>
    <w:p w14:paraId="3BFC7AA8" w14:textId="08BF968C" w:rsidR="00F44988" w:rsidRPr="00764FE4" w:rsidRDefault="00D07FD4" w:rsidP="00F44988">
      <w:pPr>
        <w:pStyle w:val="PPVBody"/>
      </w:pPr>
      <w:r>
        <w:t>P</w:t>
      </w:r>
      <w:r w:rsidR="003907F9">
        <w:t>art</w:t>
      </w:r>
      <w:r w:rsidR="0064397E">
        <w:t>ies</w:t>
      </w:r>
      <w:r w:rsidR="003907F9">
        <w:t xml:space="preserve"> must confirm a</w:t>
      </w:r>
      <w:r w:rsidR="00F44988" w:rsidRPr="00764FE4">
        <w:t>t the Directions Hearing</w:t>
      </w:r>
      <w:r w:rsidR="0064397E">
        <w:t xml:space="preserve"> </w:t>
      </w:r>
      <w:r w:rsidR="00F44988">
        <w:t>any</w:t>
      </w:r>
      <w:r w:rsidR="00F44988" w:rsidRPr="00764FE4">
        <w:t xml:space="preserve"> evidence they will be calling at the Public Hearing.</w:t>
      </w:r>
    </w:p>
    <w:p w14:paraId="5FFA4550" w14:textId="68CECB58" w:rsidR="00FD06DB" w:rsidRPr="00764FE4" w:rsidRDefault="00F44988" w:rsidP="00702B45">
      <w:pPr>
        <w:pStyle w:val="PPVBody"/>
      </w:pPr>
      <w:r>
        <w:t>E</w:t>
      </w:r>
      <w:r w:rsidR="00FD06DB" w:rsidRPr="00764FE4">
        <w:t xml:space="preserve">xpert reports must be </w:t>
      </w:r>
      <w:r w:rsidR="0046222E">
        <w:t>circulated</w:t>
      </w:r>
      <w:r w:rsidR="0046222E" w:rsidRPr="00764FE4">
        <w:t xml:space="preserve"> </w:t>
      </w:r>
      <w:r w:rsidR="00FD06DB" w:rsidRPr="00764FE4">
        <w:t xml:space="preserve">five working days </w:t>
      </w:r>
      <w:r>
        <w:t>before</w:t>
      </w:r>
      <w:r w:rsidR="00FD06DB" w:rsidRPr="00764FE4">
        <w:t xml:space="preserve"> the Hearing</w:t>
      </w:r>
      <w:r>
        <w:t xml:space="preserve"> </w:t>
      </w:r>
      <w:r w:rsidR="0046222E">
        <w:t>starts</w:t>
      </w:r>
      <w:r w:rsidR="00FD06DB" w:rsidRPr="00764FE4">
        <w:t xml:space="preserve"> or </w:t>
      </w:r>
      <w:r w:rsidR="0046222E">
        <w:t>as</w:t>
      </w:r>
      <w:r w:rsidR="001428B4">
        <w:t xml:space="preserve"> </w:t>
      </w:r>
      <w:r w:rsidR="00FD06DB" w:rsidRPr="00764FE4">
        <w:t xml:space="preserve">directed by the Panel.  </w:t>
      </w:r>
    </w:p>
    <w:p w14:paraId="66DD0272" w14:textId="605C647B" w:rsidR="00FF50E5" w:rsidRDefault="00BF365B" w:rsidP="00702B45">
      <w:pPr>
        <w:pStyle w:val="PPVBody"/>
      </w:pPr>
      <w:r>
        <w:t>People not on the evidence circulation list can</w:t>
      </w:r>
      <w:r w:rsidR="00FD06DB" w:rsidRPr="00764FE4">
        <w:t xml:space="preserve"> obtain electronic </w:t>
      </w:r>
      <w:r>
        <w:t>copies</w:t>
      </w:r>
      <w:r w:rsidRPr="00764FE4">
        <w:t xml:space="preserve"> </w:t>
      </w:r>
      <w:r w:rsidR="00FD06DB" w:rsidRPr="00764FE4">
        <w:t xml:space="preserve">by contacting the Panel Co-ordinator </w:t>
      </w:r>
      <w:r w:rsidR="00FD06DB">
        <w:t>on 8392 5115</w:t>
      </w:r>
      <w:r w:rsidR="00FD06DB" w:rsidRPr="00764FE4">
        <w:t>.</w:t>
      </w:r>
    </w:p>
    <w:p w14:paraId="45FFCF80" w14:textId="77777777" w:rsidR="001A5867" w:rsidRDefault="001A5867" w:rsidP="001A5867">
      <w:pPr>
        <w:pStyle w:val="Heading2"/>
      </w:pPr>
      <w:r>
        <w:t>Directions relating to expert witnesses</w:t>
      </w:r>
    </w:p>
    <w:p w14:paraId="01C839D8" w14:textId="77777777" w:rsidR="001A5867" w:rsidRDefault="001A5867" w:rsidP="001A5867">
      <w:pPr>
        <w:pStyle w:val="PPVBody"/>
      </w:pPr>
      <w:r>
        <w:t xml:space="preserve">The Panel may direct that expert witnesses address certain matters in their evidence, to enable all parties to gain a clear understanding of the basis of evidence to be presented.  Examples include a response to specific questions asked by the Panel, or to explain the methodology, assumptions and inputs that contributed to the expert’s assessment. </w:t>
      </w:r>
    </w:p>
    <w:p w14:paraId="47B3C8DF" w14:textId="7DA410F5" w:rsidR="00AC5D4B" w:rsidRPr="0097543D" w:rsidRDefault="00BF365B" w:rsidP="00AC5D4B">
      <w:pPr>
        <w:pStyle w:val="Heading2"/>
        <w:rPr>
          <w:caps/>
        </w:rPr>
      </w:pPr>
      <w:r>
        <w:t>Expert meeting prior to the Hearing</w:t>
      </w:r>
    </w:p>
    <w:p w14:paraId="572DFDB5" w14:textId="6DDFF716" w:rsidR="00F0205C" w:rsidRDefault="00F0205C" w:rsidP="00F0205C">
      <w:pPr>
        <w:pStyle w:val="PPVBody"/>
      </w:pPr>
      <w:r>
        <w:t xml:space="preserve">The Panel may direct that expert witnesses in the same technical area meet before the Hearing and prepare a statement of agreed opinions and facts.  </w:t>
      </w:r>
    </w:p>
    <w:p w14:paraId="59B8A8D5" w14:textId="20A3BD2E" w:rsidR="00815D66" w:rsidRDefault="00F0205C" w:rsidP="00787631">
      <w:pPr>
        <w:pStyle w:val="PPVBody"/>
      </w:pPr>
      <w:r>
        <w:t xml:space="preserve">The expert meeting </w:t>
      </w:r>
      <w:r w:rsidR="00ED7AA6">
        <w:t xml:space="preserve">is for </w:t>
      </w:r>
      <w:r w:rsidR="00832640">
        <w:t>technical experts to discuss the issues without instructors</w:t>
      </w:r>
      <w:r w:rsidR="008E2EB1">
        <w:t>,</w:t>
      </w:r>
      <w:r w:rsidR="00832640">
        <w:t xml:space="preserve"> t</w:t>
      </w:r>
      <w:r>
        <w:t xml:space="preserve">o </w:t>
      </w:r>
      <w:r w:rsidR="008E2EB1">
        <w:t xml:space="preserve">identify (and if possible </w:t>
      </w:r>
      <w:r>
        <w:t>reduce</w:t>
      </w:r>
      <w:r w:rsidR="008E2EB1">
        <w:t>)</w:t>
      </w:r>
      <w:r>
        <w:t xml:space="preserve"> areas of disagreement in the Hearing</w:t>
      </w:r>
      <w:r w:rsidR="008E2EB1">
        <w:t xml:space="preserve">.  This </w:t>
      </w:r>
      <w:r>
        <w:t>ensure</w:t>
      </w:r>
      <w:r w:rsidR="008E2EB1">
        <w:t>s</w:t>
      </w:r>
      <w:r>
        <w:t xml:space="preserve"> a more efficient and effective process.</w:t>
      </w:r>
      <w:r w:rsidR="00787631">
        <w:t xml:space="preserve">  </w:t>
      </w:r>
      <w:r w:rsidR="000D51E3">
        <w:t>The Panel will provide specific directions for an expert meeting</w:t>
      </w:r>
      <w:r w:rsidR="008E2EB1">
        <w:t xml:space="preserve"> where required</w:t>
      </w:r>
      <w:r w:rsidR="000D51E3">
        <w:t>.</w:t>
      </w:r>
    </w:p>
    <w:p w14:paraId="4A06466A" w14:textId="429252C1" w:rsidR="00815D66" w:rsidRDefault="000D51E3" w:rsidP="00CE37CD">
      <w:pPr>
        <w:pStyle w:val="Heading2"/>
      </w:pPr>
      <w:r>
        <w:t>E</w:t>
      </w:r>
      <w:r w:rsidR="00815D66">
        <w:t>vidence at the Hearing</w:t>
      </w:r>
    </w:p>
    <w:p w14:paraId="7FCB8E17" w14:textId="0AF28F85" w:rsidR="00E2315D" w:rsidRDefault="00C30C89" w:rsidP="00815D66">
      <w:pPr>
        <w:pStyle w:val="PPVBody"/>
      </w:pPr>
      <w:r>
        <w:t xml:space="preserve">Experts should identify any errors in their statement at the Hearing </w:t>
      </w:r>
      <w:r w:rsidR="008E2EB1">
        <w:t>at the start of</w:t>
      </w:r>
      <w:r>
        <w:t xml:space="preserve"> giving evidence.  </w:t>
      </w:r>
      <w:r w:rsidR="00560D57">
        <w:t>W</w:t>
      </w:r>
      <w:r w:rsidR="00815D66" w:rsidRPr="00A470A7">
        <w:t xml:space="preserve">itnesses </w:t>
      </w:r>
      <w:r w:rsidR="00560D57">
        <w:t>should</w:t>
      </w:r>
      <w:r w:rsidR="00815D66" w:rsidRPr="00A470A7">
        <w:t xml:space="preserve"> summarise key </w:t>
      </w:r>
      <w:r w:rsidR="00560D57">
        <w:t>opinions in their</w:t>
      </w:r>
      <w:r w:rsidR="00815D66">
        <w:t xml:space="preserve"> evidence</w:t>
      </w:r>
      <w:r w:rsidR="00E2315D">
        <w:t xml:space="preserve"> in no more than 30 minutes.</w:t>
      </w:r>
    </w:p>
    <w:p w14:paraId="468D5A88" w14:textId="2ACE82F9" w:rsidR="00815D66" w:rsidRPr="00815D66" w:rsidRDefault="008E2EB1" w:rsidP="00815D66">
      <w:pPr>
        <w:pStyle w:val="PPVBody"/>
      </w:pPr>
      <w:r>
        <w:t xml:space="preserve">Experts can prepare a </w:t>
      </w:r>
      <w:r w:rsidR="00DF08F2">
        <w:t>s</w:t>
      </w:r>
      <w:r w:rsidR="00815D66" w:rsidRPr="00A470A7">
        <w:t>ummary statement</w:t>
      </w:r>
      <w:r w:rsidR="00DF08F2">
        <w:t xml:space="preserve"> or presentation </w:t>
      </w:r>
      <w:r>
        <w:t xml:space="preserve">for the Hearing, </w:t>
      </w:r>
      <w:r w:rsidR="004534F4">
        <w:t xml:space="preserve">but </w:t>
      </w:r>
      <w:r>
        <w:t xml:space="preserve">this </w:t>
      </w:r>
      <w:r w:rsidR="004534F4" w:rsidRPr="00A239D4">
        <w:rPr>
          <w:u w:val="single"/>
        </w:rPr>
        <w:t>must</w:t>
      </w:r>
      <w:r w:rsidR="004534F4">
        <w:t xml:space="preserve"> be drawn from the circulated evidence</w:t>
      </w:r>
      <w:r w:rsidR="00815D66">
        <w:t xml:space="preserve">.  </w:t>
      </w:r>
      <w:r w:rsidR="00A752EB">
        <w:t>Responses to other expert reports that constitute new material must be clearly identified.</w:t>
      </w:r>
    </w:p>
    <w:p w14:paraId="42076D47" w14:textId="16F7E4EC" w:rsidR="00815D66" w:rsidRDefault="00815D66" w:rsidP="00CE37CD">
      <w:pPr>
        <w:pStyle w:val="Heading2"/>
      </w:pPr>
      <w:r>
        <w:lastRenderedPageBreak/>
        <w:t>Cross examination</w:t>
      </w:r>
    </w:p>
    <w:p w14:paraId="6D2E12FB" w14:textId="2F449109" w:rsidR="00815D66" w:rsidRPr="002C3EB7" w:rsidRDefault="00815D66" w:rsidP="00815D66">
      <w:pPr>
        <w:pStyle w:val="PPVBody"/>
      </w:pPr>
      <w:r>
        <w:t>An e</w:t>
      </w:r>
      <w:r w:rsidRPr="002E584F">
        <w:t xml:space="preserve">xpert witness may be </w:t>
      </w:r>
      <w:r w:rsidR="00C71229">
        <w:t xml:space="preserve">questioned </w:t>
      </w:r>
      <w:r w:rsidRPr="002E584F">
        <w:t xml:space="preserve">by </w:t>
      </w:r>
      <w:r w:rsidR="00E3288F">
        <w:t>parties</w:t>
      </w:r>
      <w:r w:rsidR="00C71229">
        <w:t>,</w:t>
      </w:r>
      <w:r w:rsidR="00E3288F">
        <w:t xml:space="preserve"> </w:t>
      </w:r>
      <w:r w:rsidRPr="002E584F">
        <w:t>advocates</w:t>
      </w:r>
      <w:r w:rsidR="00C71229">
        <w:t xml:space="preserve"> and the Panel</w:t>
      </w:r>
      <w:r w:rsidRPr="002E584F">
        <w:t>.  Questions put to expert witnesses must be relevant, directed to matters of fact or professional opinion, and must genuine</w:t>
      </w:r>
      <w:r w:rsidR="008E2EB1">
        <w:t>ly</w:t>
      </w:r>
      <w:r w:rsidRPr="002E584F">
        <w:t xml:space="preserve"> assist</w:t>
      </w:r>
      <w:r w:rsidR="008E2EB1">
        <w:t xml:space="preserve"> </w:t>
      </w:r>
      <w:r w:rsidRPr="002E584F">
        <w:t xml:space="preserve">the Panel in understanding the issues. </w:t>
      </w:r>
      <w:r>
        <w:t xml:space="preserve"> </w:t>
      </w:r>
      <w:r w:rsidR="00C71229">
        <w:t xml:space="preserve">To </w:t>
      </w:r>
      <w:r w:rsidRPr="00CE54BD">
        <w:t xml:space="preserve">ask questions of a witness, </w:t>
      </w:r>
      <w:r w:rsidR="0089122E">
        <w:t>a party</w:t>
      </w:r>
      <w:r w:rsidRPr="00CE54BD">
        <w:t xml:space="preserve"> must be present for the whole of the evidence</w:t>
      </w:r>
      <w:r w:rsidR="007E7388">
        <w:t xml:space="preserve"> summary</w:t>
      </w:r>
      <w:r w:rsidR="002A04CC">
        <w:t xml:space="preserve"> and </w:t>
      </w:r>
      <w:r w:rsidR="00C71229">
        <w:t>questioning</w:t>
      </w:r>
      <w:r w:rsidR="0089122E">
        <w:t xml:space="preserve"> </w:t>
      </w:r>
      <w:r w:rsidRPr="00CE54BD">
        <w:t>of th</w:t>
      </w:r>
      <w:r w:rsidR="00C71229">
        <w:t>e</w:t>
      </w:r>
      <w:r w:rsidRPr="00CE54BD">
        <w:t xml:space="preserve"> witness.</w:t>
      </w:r>
    </w:p>
    <w:p w14:paraId="58F0E482" w14:textId="34D292C5" w:rsidR="00815D66" w:rsidRPr="00815D66" w:rsidRDefault="002A04CC" w:rsidP="00815D66">
      <w:pPr>
        <w:pStyle w:val="PPVBody"/>
      </w:pPr>
      <w:r>
        <w:t xml:space="preserve">The Panel </w:t>
      </w:r>
      <w:r w:rsidR="008E2EB1">
        <w:t xml:space="preserve">may </w:t>
      </w:r>
      <w:r>
        <w:t xml:space="preserve">regulate </w:t>
      </w:r>
      <w:r w:rsidR="00815D66">
        <w:t>cross-examination</w:t>
      </w:r>
      <w:r w:rsidR="0089122E">
        <w:t xml:space="preserve"> </w:t>
      </w:r>
      <w:r w:rsidR="008E2EB1">
        <w:t xml:space="preserve">to ensure </w:t>
      </w:r>
      <w:r w:rsidR="00B92CC7">
        <w:t xml:space="preserve">an efficient hearing and </w:t>
      </w:r>
      <w:r w:rsidR="008E2EB1">
        <w:t xml:space="preserve">that the cross examination remains </w:t>
      </w:r>
      <w:r w:rsidR="00B92CC7">
        <w:t>relevan</w:t>
      </w:r>
      <w:r w:rsidR="008E2EB1">
        <w:t>t</w:t>
      </w:r>
      <w:r w:rsidR="00B92CC7">
        <w:t xml:space="preserve"> to the </w:t>
      </w:r>
      <w:r w:rsidR="00524428">
        <w:t>issues</w:t>
      </w:r>
      <w:r w:rsidR="00815D66">
        <w:t xml:space="preserve">. </w:t>
      </w:r>
      <w:r w:rsidR="008E2EB1">
        <w:t xml:space="preserve"> </w:t>
      </w:r>
      <w:r w:rsidR="00815D66">
        <w:t xml:space="preserve">The Panel </w:t>
      </w:r>
      <w:r w:rsidR="008E2EB1">
        <w:t xml:space="preserve">may </w:t>
      </w:r>
      <w:r w:rsidR="00815D66" w:rsidRPr="002C3EB7">
        <w:t xml:space="preserve">limit cross-examination </w:t>
      </w:r>
      <w:r w:rsidR="008E2EB1">
        <w:t xml:space="preserve">that </w:t>
      </w:r>
      <w:r w:rsidR="00815D66" w:rsidRPr="002C3EB7">
        <w:t xml:space="preserve">is not of benefit </w:t>
      </w:r>
      <w:r w:rsidR="00A62FD3">
        <w:t>to the Panel</w:t>
      </w:r>
      <w:r w:rsidR="00815D66" w:rsidRPr="002C3EB7">
        <w:t xml:space="preserve">. </w:t>
      </w:r>
    </w:p>
    <w:p w14:paraId="40DDA97B" w14:textId="090007AC" w:rsidR="00FF50E5" w:rsidRDefault="00FF50E5" w:rsidP="00CE37CD">
      <w:pPr>
        <w:pStyle w:val="Heading2"/>
      </w:pPr>
      <w:r>
        <w:t xml:space="preserve">Consequences of </w:t>
      </w:r>
      <w:r w:rsidR="002427EF">
        <w:t xml:space="preserve">not complying with </w:t>
      </w:r>
      <w:r w:rsidR="008E2EB1">
        <w:t xml:space="preserve">a </w:t>
      </w:r>
      <w:r w:rsidR="002427EF">
        <w:t>Direction</w:t>
      </w:r>
    </w:p>
    <w:p w14:paraId="12BBACB4" w14:textId="77777777" w:rsidR="00FF50E5" w:rsidRDefault="00FF50E5" w:rsidP="00FF50E5">
      <w:pPr>
        <w:pStyle w:val="PPVBody"/>
        <w:rPr>
          <w:i/>
        </w:rPr>
      </w:pPr>
      <w:r>
        <w:t xml:space="preserve">The Panel has a broad range of powers to control Hearings under Division 2, Part 8 of the </w:t>
      </w:r>
      <w:r w:rsidRPr="003A56C2">
        <w:rPr>
          <w:i/>
        </w:rPr>
        <w:t>Planning and Environment Act 1987</w:t>
      </w:r>
      <w:r>
        <w:rPr>
          <w:i/>
        </w:rPr>
        <w:t xml:space="preserve">.  </w:t>
      </w:r>
    </w:p>
    <w:p w14:paraId="44DD20C6" w14:textId="7EE6A8A0" w:rsidR="00FF50E5" w:rsidRDefault="004F19C3" w:rsidP="00F2207A">
      <w:pPr>
        <w:pStyle w:val="PPVBody"/>
      </w:pPr>
      <w:r>
        <w:t>It is important to comply with Directions</w:t>
      </w:r>
      <w:r w:rsidR="002427EF">
        <w:t>.  The</w:t>
      </w:r>
      <w:r>
        <w:t xml:space="preserve"> </w:t>
      </w:r>
      <w:r w:rsidR="00FF50E5">
        <w:t xml:space="preserve">consequences of a failure to comply </w:t>
      </w:r>
      <w:r>
        <w:t>may be significant</w:t>
      </w:r>
      <w:r w:rsidR="00F559DD">
        <w:t>.</w:t>
      </w:r>
      <w:r w:rsidR="00BC2386">
        <w:t xml:space="preserve"> </w:t>
      </w:r>
      <w:r w:rsidR="00F559DD">
        <w:t xml:space="preserve"> For example, a Panel may refuse to </w:t>
      </w:r>
      <w:r>
        <w:t>allow an expert to present evidence at the Hearing</w:t>
      </w:r>
      <w:r w:rsidR="00FF50E5">
        <w:t xml:space="preserve">. </w:t>
      </w:r>
    </w:p>
    <w:p w14:paraId="595FDBFF" w14:textId="6FF2072A" w:rsidR="006E5756" w:rsidRDefault="006E5756" w:rsidP="006E5756">
      <w:pPr>
        <w:pStyle w:val="Heading2"/>
      </w:pPr>
      <w:r>
        <w:t>Other witnesses</w:t>
      </w:r>
    </w:p>
    <w:p w14:paraId="2AD8C7F7" w14:textId="1EC24FE1" w:rsidR="006E5756" w:rsidRPr="00935B24" w:rsidRDefault="006E5756" w:rsidP="006E5756">
      <w:pPr>
        <w:pStyle w:val="PPVBody"/>
      </w:pPr>
      <w:r w:rsidRPr="00935B24">
        <w:t xml:space="preserve">A range of </w:t>
      </w:r>
      <w:r w:rsidR="002B6217">
        <w:t xml:space="preserve">other </w:t>
      </w:r>
      <w:r w:rsidR="00D50238">
        <w:t>people with specialist expertise appear at Panels including:</w:t>
      </w:r>
    </w:p>
    <w:p w14:paraId="69A78D82" w14:textId="3538FA0F" w:rsidR="006E5756" w:rsidRDefault="006E5756" w:rsidP="006E5756">
      <w:pPr>
        <w:pStyle w:val="PPVBullet1"/>
      </w:pPr>
      <w:r>
        <w:t>technical staff from agencies or Councils, who might make submissions in place of giving evidence</w:t>
      </w:r>
    </w:p>
    <w:p w14:paraId="5BECA764" w14:textId="2AF0CC28" w:rsidR="006E5756" w:rsidRDefault="006E5756" w:rsidP="006E5756">
      <w:pPr>
        <w:pStyle w:val="PPVBullet1"/>
      </w:pPr>
      <w:r>
        <w:t>lay witnesses who</w:t>
      </w:r>
      <w:r w:rsidR="0007449D">
        <w:t xml:space="preserve"> may have </w:t>
      </w:r>
      <w:r w:rsidR="00A7058B">
        <w:t>specialist knowledge</w:t>
      </w:r>
      <w:r w:rsidR="00D934EF">
        <w:t>.  Past examples have included business owners, farmers and boat skippers.</w:t>
      </w:r>
    </w:p>
    <w:p w14:paraId="6A98937A" w14:textId="4CDA4FFA" w:rsidR="006E5756" w:rsidRDefault="0007449D" w:rsidP="00F2207A">
      <w:pPr>
        <w:pStyle w:val="PPVBody"/>
      </w:pPr>
      <w:r>
        <w:t xml:space="preserve">These witnesses are generally not subject to cross </w:t>
      </w:r>
      <w:r w:rsidR="00A7058B">
        <w:t>examination</w:t>
      </w:r>
      <w:r w:rsidR="00D934EF">
        <w:t xml:space="preserve"> but may be asked questions by the Panel</w:t>
      </w:r>
      <w:r w:rsidR="00D511A6">
        <w:t xml:space="preserve"> or by other parties through the </w:t>
      </w:r>
      <w:r w:rsidR="00121A3D">
        <w:t>Chair.</w:t>
      </w:r>
    </w:p>
    <w:p w14:paraId="723F2C49" w14:textId="77777777" w:rsidR="00764FE4" w:rsidRPr="0097543D" w:rsidRDefault="0097543D" w:rsidP="00CE37CD">
      <w:pPr>
        <w:pStyle w:val="Heading2"/>
        <w:rPr>
          <w:caps/>
        </w:rPr>
      </w:pPr>
      <w:r>
        <w:t>Further i</w:t>
      </w:r>
      <w:r w:rsidR="00764FE4" w:rsidRPr="0097543D">
        <w:t xml:space="preserve">nformation </w:t>
      </w:r>
    </w:p>
    <w:p w14:paraId="7C92DCFC" w14:textId="2C969A81" w:rsidR="00764FE4" w:rsidRPr="00764FE4" w:rsidRDefault="00764FE4" w:rsidP="00CE37CD">
      <w:r w:rsidRPr="00764FE4">
        <w:t xml:space="preserve">Further information about Planning Panels Victoria can be found </w:t>
      </w:r>
      <w:r w:rsidR="00B80E67">
        <w:t>at</w:t>
      </w:r>
      <w:r w:rsidRPr="00764FE4">
        <w:t>:</w:t>
      </w:r>
    </w:p>
    <w:p w14:paraId="385938E6" w14:textId="3B2DE9E9" w:rsidR="006E5756" w:rsidRDefault="004E5F81" w:rsidP="00702B45">
      <w:pPr>
        <w:pStyle w:val="PPVBody"/>
      </w:pPr>
      <w:hyperlink r:id="rId14" w:history="1">
        <w:r w:rsidR="005576DB" w:rsidRPr="005576DB">
          <w:rPr>
            <w:rStyle w:val="Hyperlink"/>
            <w:rFonts w:ascii="Calibri" w:hAnsi="Calibri"/>
            <w:szCs w:val="24"/>
          </w:rPr>
          <w:t>https://www.planning.vic.gov.au/panels-and-committees/panels-and-committees</w:t>
        </w:r>
      </w:hyperlink>
    </w:p>
    <w:p w14:paraId="667DB070" w14:textId="77777777" w:rsidR="006E5756" w:rsidRDefault="006E5756" w:rsidP="00702B45">
      <w:pPr>
        <w:pStyle w:val="PPVBody"/>
      </w:pPr>
    </w:p>
    <w:sectPr w:rsidR="006E5756" w:rsidSect="004809ED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790" w:right="1134" w:bottom="1560" w:left="1134" w:header="720" w:footer="248" w:gutter="0"/>
      <w:cols w:space="709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DEA10" w14:textId="77777777" w:rsidR="00A0535F" w:rsidRDefault="00A0535F" w:rsidP="00CE37CD">
      <w:r>
        <w:separator/>
      </w:r>
    </w:p>
    <w:p w14:paraId="05F9190B" w14:textId="77777777" w:rsidR="00A0535F" w:rsidRDefault="00A0535F" w:rsidP="00CE37CD"/>
    <w:p w14:paraId="40427B6F" w14:textId="77777777" w:rsidR="00A0535F" w:rsidRDefault="00A0535F" w:rsidP="00CE37CD"/>
  </w:endnote>
  <w:endnote w:type="continuationSeparator" w:id="0">
    <w:p w14:paraId="24692DF7" w14:textId="77777777" w:rsidR="00A0535F" w:rsidRDefault="00A0535F" w:rsidP="00CE37CD">
      <w:r>
        <w:continuationSeparator/>
      </w:r>
    </w:p>
    <w:p w14:paraId="72151F0A" w14:textId="77777777" w:rsidR="00A0535F" w:rsidRDefault="00A0535F" w:rsidP="00CE37CD"/>
    <w:p w14:paraId="2F54B952" w14:textId="77777777" w:rsidR="00A0535F" w:rsidRDefault="00A0535F" w:rsidP="00CE37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N-Regular">
    <w:altName w:val="Lucida Sans Typewriter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E79FE" w14:textId="77777777" w:rsidR="00BC2386" w:rsidRPr="00A81B83" w:rsidRDefault="00BC2386" w:rsidP="00A81B83">
    <w:pPr>
      <w:rPr>
        <w:sz w:val="18"/>
        <w:szCs w:val="18"/>
      </w:rPr>
    </w:pPr>
    <w:r w:rsidRPr="00A81B83">
      <w:rPr>
        <w:sz w:val="18"/>
        <w:szCs w:val="18"/>
      </w:rPr>
      <w:t xml:space="preserve">Page </w:t>
    </w:r>
    <w:r w:rsidRPr="00A81B83">
      <w:rPr>
        <w:sz w:val="18"/>
        <w:szCs w:val="18"/>
      </w:rPr>
      <w:fldChar w:fldCharType="begin"/>
    </w:r>
    <w:r w:rsidRPr="00A81B83">
      <w:rPr>
        <w:sz w:val="18"/>
        <w:szCs w:val="18"/>
      </w:rPr>
      <w:instrText xml:space="preserve"> PAGE   \* MERGEFORMAT </w:instrText>
    </w:r>
    <w:r w:rsidRPr="00A81B83">
      <w:rPr>
        <w:sz w:val="18"/>
        <w:szCs w:val="18"/>
      </w:rPr>
      <w:fldChar w:fldCharType="separate"/>
    </w:r>
    <w:r w:rsidRPr="00A81B83">
      <w:rPr>
        <w:noProof/>
        <w:sz w:val="18"/>
        <w:szCs w:val="18"/>
      </w:rPr>
      <w:t>3</w:t>
    </w:r>
    <w:r w:rsidRPr="00A81B83">
      <w:rPr>
        <w:sz w:val="18"/>
        <w:szCs w:val="18"/>
      </w:rPr>
      <w:fldChar w:fldCharType="end"/>
    </w:r>
  </w:p>
  <w:p w14:paraId="431ADAEB" w14:textId="77777777" w:rsidR="00BC2386" w:rsidRDefault="00BC2386" w:rsidP="00CE37CD"/>
  <w:p w14:paraId="784D3472" w14:textId="77777777" w:rsidR="00BC2386" w:rsidRDefault="00BC2386" w:rsidP="00CE37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395FB" w14:textId="77777777" w:rsidR="00BC2386" w:rsidRPr="004809ED" w:rsidRDefault="00BC2386" w:rsidP="00CE37CD">
    <w:pPr>
      <w:pStyle w:val="Footer"/>
      <w:rPr>
        <w:szCs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35B7357D" wp14:editId="508BC11E">
          <wp:simplePos x="0" y="0"/>
          <wp:positionH relativeFrom="column">
            <wp:posOffset>4472305</wp:posOffset>
          </wp:positionH>
          <wp:positionV relativeFrom="paragraph">
            <wp:posOffset>-667238</wp:posOffset>
          </wp:positionV>
          <wp:extent cx="1670541" cy="5715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PV Logo New Medi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541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BCE13" w14:textId="77777777" w:rsidR="00A0535F" w:rsidRDefault="00A0535F" w:rsidP="00CE37CD">
      <w:r>
        <w:separator/>
      </w:r>
    </w:p>
    <w:p w14:paraId="21ED6B72" w14:textId="77777777" w:rsidR="00A0535F" w:rsidRDefault="00A0535F" w:rsidP="00CE37CD"/>
    <w:p w14:paraId="2C3FC543" w14:textId="77777777" w:rsidR="00A0535F" w:rsidRDefault="00A0535F" w:rsidP="00CE37CD"/>
  </w:footnote>
  <w:footnote w:type="continuationSeparator" w:id="0">
    <w:p w14:paraId="25B0D808" w14:textId="77777777" w:rsidR="00A0535F" w:rsidRDefault="00A0535F" w:rsidP="00CE37CD">
      <w:r>
        <w:continuationSeparator/>
      </w:r>
    </w:p>
    <w:p w14:paraId="0C5C728B" w14:textId="77777777" w:rsidR="00A0535F" w:rsidRDefault="00A0535F" w:rsidP="00CE37CD"/>
    <w:p w14:paraId="51A2E47C" w14:textId="77777777" w:rsidR="00A0535F" w:rsidRDefault="00A0535F" w:rsidP="00CE37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D0F0E" w14:textId="768486D5" w:rsidR="00BC2386" w:rsidRPr="00892D4F" w:rsidRDefault="00BC2386" w:rsidP="00CE37CD">
    <w:pPr>
      <w:pStyle w:val="Header"/>
    </w:pPr>
    <w:r>
      <w:t xml:space="preserve">Planning Panels Victoria </w:t>
    </w:r>
    <w:r w:rsidRPr="00892D4F">
      <w:sym w:font="Symbol" w:char="007C"/>
    </w:r>
    <w:r w:rsidRPr="00892D4F">
      <w:t xml:space="preserve"> </w:t>
    </w:r>
    <w:r w:rsidR="008304AC">
      <w:t>Expert witnesses</w:t>
    </w:r>
  </w:p>
  <w:p w14:paraId="3D675A50" w14:textId="77777777" w:rsidR="00BC2386" w:rsidRDefault="00BC2386" w:rsidP="00CE37CD">
    <w:pPr>
      <w:pStyle w:val="Header"/>
    </w:pPr>
  </w:p>
  <w:p w14:paraId="41007AD1" w14:textId="77777777" w:rsidR="00BC2386" w:rsidRDefault="00BC2386" w:rsidP="00CE37CD"/>
  <w:p w14:paraId="4A746FE7" w14:textId="77777777" w:rsidR="00BC2386" w:rsidRDefault="00BC2386" w:rsidP="00CE37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7B3E3" w14:textId="2BEF5839" w:rsidR="00BC2386" w:rsidRPr="00260F86" w:rsidRDefault="004E5F81" w:rsidP="00A53787">
    <w:pPr>
      <w:pStyle w:val="PPVBody"/>
      <w:jc w:val="right"/>
      <w:rPr>
        <w:b/>
        <w:color w:val="FFFFFF" w:themeColor="background1"/>
        <w:sz w:val="32"/>
        <w:szCs w:val="32"/>
      </w:rPr>
    </w:pPr>
    <w:r>
      <w:rPr>
        <w:b/>
        <w:noProof/>
        <w:color w:val="FFFFFF" w:themeColor="background1"/>
        <w:sz w:val="32"/>
        <w:szCs w:val="32"/>
      </w:rPr>
      <w:pict w14:anchorId="44A0F5C8">
        <v:shape id="TriangleBottom" o:spid="_x0000_s2056" style="position:absolute;left:0;text-align:left;margin-left:56.7pt;margin-top:89.95pt;width:68.05pt;height:70.85pt;z-index:-25164902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coordsize="1339,1415" path="m,l669,1415,1339,,,xe" fillcolor="#99e0dd" stroked="f">
          <v:path arrowok="t" o:connecttype="custom" o:connectlocs="0,0;431677,900000;864000,0;0,0" o:connectangles="0,0,0,0"/>
          <w10:wrap anchorx="page" anchory="page"/>
        </v:shape>
      </w:pict>
    </w:r>
    <w:r>
      <w:rPr>
        <w:b/>
        <w:noProof/>
        <w:color w:val="FFFFFF" w:themeColor="background1"/>
        <w:sz w:val="32"/>
        <w:szCs w:val="32"/>
      </w:rPr>
      <w:pict w14:anchorId="6E01D3A5">
        <v:shape id="TriangleRight" o:spid="_x0000_s2055" style="position:absolute;left:0;text-align:left;margin-left:56.7pt;margin-top:19.1pt;width:68.05pt;height:70.85pt;z-index:-25165004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coordsize="1339,1419" path="m1339,1419l669,,,1419r1339,xe" fillcolor="#201547" stroked="f">
          <v:path arrowok="t" o:connecttype="custom" o:connectlocs="864000,900000;431677,0;0,900000;864000,900000" o:connectangles="0,0,0,0"/>
          <w10:wrap anchorx="page" anchory="page"/>
        </v:shape>
      </w:pict>
    </w:r>
    <w:r>
      <w:rPr>
        <w:b/>
        <w:noProof/>
        <w:color w:val="FFFFFF" w:themeColor="background1"/>
        <w:sz w:val="32"/>
        <w:szCs w:val="32"/>
      </w:rPr>
      <w:pict w14:anchorId="5721408C">
        <v:shape id="TriangleLeft" o:spid="_x0000_s2054" style="position:absolute;left:0;text-align:left;margin-left:22.7pt;margin-top:19.1pt;width:68.05pt;height:70.85pt;z-index:-25165107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coordsize="1334,1419" path="m,l665,1419,1334,,,xe" fillcolor="#797391" stroked="f">
          <v:path arrowok="t" o:connecttype="custom" o:connectlocs="0,0;430705,900000;864000,0;0,0" o:connectangles="0,0,0,0"/>
          <w10:wrap anchorx="page" anchory="page"/>
        </v:shape>
      </w:pict>
    </w:r>
    <w:r>
      <w:rPr>
        <w:b/>
        <w:noProof/>
        <w:color w:val="FFFFFF" w:themeColor="background1"/>
        <w:sz w:val="32"/>
        <w:szCs w:val="32"/>
      </w:rPr>
      <w:pict w14:anchorId="31B6325F">
        <v:rect id="Rectangle" o:spid="_x0000_s2053" style="position:absolute;left:0;text-align:left;margin-left:22.7pt;margin-top:19.1pt;width:552.75pt;height:70.85pt;z-index:-25165209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fillcolor="#00b2a9" stroked="f">
          <w10:wrap anchorx="page" anchory="page"/>
        </v:rect>
      </w:pict>
    </w:r>
    <w:r w:rsidR="00BC2386" w:rsidRPr="00260F86">
      <w:rPr>
        <w:b/>
        <w:color w:val="FFFFFF" w:themeColor="background1"/>
        <w:sz w:val="32"/>
        <w:szCs w:val="32"/>
      </w:rPr>
      <w:t xml:space="preserve">Expert </w:t>
    </w:r>
    <w:r w:rsidR="004B45DA">
      <w:rPr>
        <w:b/>
        <w:color w:val="FFFFFF" w:themeColor="background1"/>
        <w:sz w:val="32"/>
        <w:szCs w:val="32"/>
      </w:rPr>
      <w:t>Witnesses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26BD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3C74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B4EB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2886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7A2B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3267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5678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326C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2E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40A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37A4D"/>
    <w:multiLevelType w:val="hybridMultilevel"/>
    <w:tmpl w:val="37342B9C"/>
    <w:lvl w:ilvl="0" w:tplc="EA88FEC4">
      <w:start w:val="1"/>
      <w:numFmt w:val="bullet"/>
      <w:pStyle w:val="FormtextBullet"/>
      <w:lvlText w:val=""/>
      <w:lvlJc w:val="left"/>
      <w:pPr>
        <w:tabs>
          <w:tab w:val="num" w:pos="363"/>
        </w:tabs>
        <w:ind w:left="0" w:firstLine="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25B95CD9"/>
    <w:multiLevelType w:val="hybridMultilevel"/>
    <w:tmpl w:val="8CA64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D73A6"/>
    <w:multiLevelType w:val="hybridMultilevel"/>
    <w:tmpl w:val="81F2C7C0"/>
    <w:lvl w:ilvl="0" w:tplc="06F8D63E">
      <w:start w:val="3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352B0267"/>
    <w:multiLevelType w:val="hybridMultilevel"/>
    <w:tmpl w:val="915849C4"/>
    <w:lvl w:ilvl="0" w:tplc="0C0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4" w15:restartNumberingAfterBreak="0">
    <w:nsid w:val="3F7F24BA"/>
    <w:multiLevelType w:val="hybridMultilevel"/>
    <w:tmpl w:val="49FE2D2A"/>
    <w:lvl w:ilvl="0" w:tplc="E61AF81A">
      <w:numFmt w:val="bullet"/>
      <w:lvlText w:val="•"/>
      <w:lvlJc w:val="left"/>
      <w:pPr>
        <w:ind w:left="1437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9DE1E47"/>
    <w:multiLevelType w:val="hybridMultilevel"/>
    <w:tmpl w:val="FD8A5518"/>
    <w:lvl w:ilvl="0" w:tplc="0C1CCC3A">
      <w:start w:val="1"/>
      <w:numFmt w:val="bullet"/>
      <w:pStyle w:val="Checkbox"/>
      <w:lvlText w:val="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E4667"/>
    <w:multiLevelType w:val="hybridMultilevel"/>
    <w:tmpl w:val="656EC654"/>
    <w:lvl w:ilvl="0" w:tplc="E818689C">
      <w:start w:val="1"/>
      <w:numFmt w:val="bullet"/>
      <w:pStyle w:val="Normalnumbul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2D125804">
      <w:start w:val="3"/>
      <w:numFmt w:val="bullet"/>
      <w:pStyle w:val="PPVBullet2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3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67E75F0F"/>
    <w:multiLevelType w:val="hybridMultilevel"/>
    <w:tmpl w:val="54A810C0"/>
    <w:lvl w:ilvl="0" w:tplc="EE36471E">
      <w:start w:val="1"/>
      <w:numFmt w:val="bullet"/>
      <w:pStyle w:val="Bullet1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F6A83"/>
    <w:multiLevelType w:val="hybridMultilevel"/>
    <w:tmpl w:val="AE1AB970"/>
    <w:lvl w:ilvl="0" w:tplc="929A92E4">
      <w:start w:val="1"/>
      <w:numFmt w:val="bullet"/>
      <w:pStyle w:val="Bullettscheck"/>
      <w:lvlText w:val=""/>
      <w:lvlJc w:val="left"/>
      <w:pPr>
        <w:tabs>
          <w:tab w:val="num" w:pos="927"/>
        </w:tabs>
        <w:ind w:left="927" w:hanging="360"/>
      </w:pPr>
      <w:rPr>
        <w:rFonts w:ascii="ZapfDingbats" w:hAnsi="ZapfDingbat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B60FD"/>
    <w:multiLevelType w:val="hybridMultilevel"/>
    <w:tmpl w:val="0F0CBA28"/>
    <w:lvl w:ilvl="0" w:tplc="410E46DE">
      <w:start w:val="1"/>
      <w:numFmt w:val="bullet"/>
      <w:pStyle w:val="Bulletts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45E81"/>
    <w:multiLevelType w:val="hybridMultilevel"/>
    <w:tmpl w:val="9F226C56"/>
    <w:lvl w:ilvl="0" w:tplc="E61AF81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17"/>
  </w:num>
  <w:num w:numId="9">
    <w:abstractNumId w:val="17"/>
  </w:num>
  <w:num w:numId="10">
    <w:abstractNumId w:val="17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3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8"/>
  </w:num>
  <w:num w:numId="30">
    <w:abstractNumId w:val="18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8"/>
  </w:num>
  <w:num w:numId="40">
    <w:abstractNumId w:val="15"/>
  </w:num>
  <w:num w:numId="41">
    <w:abstractNumId w:val="15"/>
  </w:num>
  <w:num w:numId="42">
    <w:abstractNumId w:val="18"/>
  </w:num>
  <w:num w:numId="43">
    <w:abstractNumId w:val="15"/>
  </w:num>
  <w:num w:numId="44">
    <w:abstractNumId w:val="16"/>
  </w:num>
  <w:num w:numId="45">
    <w:abstractNumId w:val="19"/>
  </w:num>
  <w:num w:numId="46">
    <w:abstractNumId w:val="12"/>
  </w:num>
  <w:num w:numId="47">
    <w:abstractNumId w:val="11"/>
  </w:num>
  <w:num w:numId="48">
    <w:abstractNumId w:val="20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C7E"/>
    <w:rsid w:val="000006B1"/>
    <w:rsid w:val="000019E6"/>
    <w:rsid w:val="00005004"/>
    <w:rsid w:val="000224E3"/>
    <w:rsid w:val="00047678"/>
    <w:rsid w:val="00056BDA"/>
    <w:rsid w:val="00063DFA"/>
    <w:rsid w:val="0007449D"/>
    <w:rsid w:val="00076C0D"/>
    <w:rsid w:val="0008055E"/>
    <w:rsid w:val="0008157E"/>
    <w:rsid w:val="00082677"/>
    <w:rsid w:val="00097D8F"/>
    <w:rsid w:val="000A1C36"/>
    <w:rsid w:val="000B0A27"/>
    <w:rsid w:val="000B1A5E"/>
    <w:rsid w:val="000B3EEC"/>
    <w:rsid w:val="000C251E"/>
    <w:rsid w:val="000C6D91"/>
    <w:rsid w:val="000D3599"/>
    <w:rsid w:val="000D51E3"/>
    <w:rsid w:val="000D6859"/>
    <w:rsid w:val="000E3A38"/>
    <w:rsid w:val="000E5065"/>
    <w:rsid w:val="000F4A31"/>
    <w:rsid w:val="00106DB7"/>
    <w:rsid w:val="00110622"/>
    <w:rsid w:val="00110E81"/>
    <w:rsid w:val="001179E1"/>
    <w:rsid w:val="0012117C"/>
    <w:rsid w:val="00121A3D"/>
    <w:rsid w:val="001263BC"/>
    <w:rsid w:val="00135D00"/>
    <w:rsid w:val="001368DF"/>
    <w:rsid w:val="001428B4"/>
    <w:rsid w:val="00147F27"/>
    <w:rsid w:val="001500F6"/>
    <w:rsid w:val="0015122E"/>
    <w:rsid w:val="00153A95"/>
    <w:rsid w:val="0016293D"/>
    <w:rsid w:val="001664D2"/>
    <w:rsid w:val="001676CE"/>
    <w:rsid w:val="00175510"/>
    <w:rsid w:val="00183F7E"/>
    <w:rsid w:val="00197B0C"/>
    <w:rsid w:val="001A0221"/>
    <w:rsid w:val="001A12E9"/>
    <w:rsid w:val="001A5867"/>
    <w:rsid w:val="001B1326"/>
    <w:rsid w:val="001B50FF"/>
    <w:rsid w:val="001B6FC1"/>
    <w:rsid w:val="001C0872"/>
    <w:rsid w:val="001C0ACF"/>
    <w:rsid w:val="001C61BF"/>
    <w:rsid w:val="001C6DE8"/>
    <w:rsid w:val="001C79AA"/>
    <w:rsid w:val="001D2947"/>
    <w:rsid w:val="001D5DE0"/>
    <w:rsid w:val="001E0146"/>
    <w:rsid w:val="001E35D1"/>
    <w:rsid w:val="001F225B"/>
    <w:rsid w:val="00205162"/>
    <w:rsid w:val="002155DA"/>
    <w:rsid w:val="00216739"/>
    <w:rsid w:val="0022274D"/>
    <w:rsid w:val="002340FC"/>
    <w:rsid w:val="002412A5"/>
    <w:rsid w:val="002427EF"/>
    <w:rsid w:val="0026080D"/>
    <w:rsid w:val="00260F86"/>
    <w:rsid w:val="00271625"/>
    <w:rsid w:val="0028200F"/>
    <w:rsid w:val="00291DD5"/>
    <w:rsid w:val="00292EF3"/>
    <w:rsid w:val="002A04CC"/>
    <w:rsid w:val="002A586C"/>
    <w:rsid w:val="002B125B"/>
    <w:rsid w:val="002B4C02"/>
    <w:rsid w:val="002B6217"/>
    <w:rsid w:val="002C4086"/>
    <w:rsid w:val="002C4C86"/>
    <w:rsid w:val="002C54B7"/>
    <w:rsid w:val="002D7BB3"/>
    <w:rsid w:val="002E0549"/>
    <w:rsid w:val="002E7BE4"/>
    <w:rsid w:val="002E7F78"/>
    <w:rsid w:val="00305DF4"/>
    <w:rsid w:val="003125D7"/>
    <w:rsid w:val="00316AAD"/>
    <w:rsid w:val="003173F7"/>
    <w:rsid w:val="00317F4D"/>
    <w:rsid w:val="003227CE"/>
    <w:rsid w:val="0032566F"/>
    <w:rsid w:val="0033182D"/>
    <w:rsid w:val="00340A90"/>
    <w:rsid w:val="003546BF"/>
    <w:rsid w:val="00361CC6"/>
    <w:rsid w:val="003740BA"/>
    <w:rsid w:val="003770B6"/>
    <w:rsid w:val="003777C5"/>
    <w:rsid w:val="00382F2A"/>
    <w:rsid w:val="003846A8"/>
    <w:rsid w:val="003907F9"/>
    <w:rsid w:val="003926C2"/>
    <w:rsid w:val="00392DC2"/>
    <w:rsid w:val="003972F3"/>
    <w:rsid w:val="003A1777"/>
    <w:rsid w:val="003A1A87"/>
    <w:rsid w:val="003A56C2"/>
    <w:rsid w:val="003B0FCE"/>
    <w:rsid w:val="003B27FC"/>
    <w:rsid w:val="003B29A6"/>
    <w:rsid w:val="003B2CAE"/>
    <w:rsid w:val="003C71E2"/>
    <w:rsid w:val="003D1DA5"/>
    <w:rsid w:val="003D33B0"/>
    <w:rsid w:val="003D5603"/>
    <w:rsid w:val="003D5FA4"/>
    <w:rsid w:val="003E2AC4"/>
    <w:rsid w:val="003E47BD"/>
    <w:rsid w:val="003E72FE"/>
    <w:rsid w:val="003E7CD0"/>
    <w:rsid w:val="003F0C4A"/>
    <w:rsid w:val="003F45D7"/>
    <w:rsid w:val="003F619E"/>
    <w:rsid w:val="003F74CE"/>
    <w:rsid w:val="0040150B"/>
    <w:rsid w:val="0040582C"/>
    <w:rsid w:val="00407517"/>
    <w:rsid w:val="00413DEE"/>
    <w:rsid w:val="004160D6"/>
    <w:rsid w:val="00416443"/>
    <w:rsid w:val="0041648A"/>
    <w:rsid w:val="00431476"/>
    <w:rsid w:val="00431595"/>
    <w:rsid w:val="00433879"/>
    <w:rsid w:val="00434B53"/>
    <w:rsid w:val="00435A1A"/>
    <w:rsid w:val="00437D21"/>
    <w:rsid w:val="004421EF"/>
    <w:rsid w:val="004428F9"/>
    <w:rsid w:val="00444C9B"/>
    <w:rsid w:val="0044534A"/>
    <w:rsid w:val="0044701C"/>
    <w:rsid w:val="004534F4"/>
    <w:rsid w:val="004547DC"/>
    <w:rsid w:val="00457DAD"/>
    <w:rsid w:val="0046222E"/>
    <w:rsid w:val="004628D3"/>
    <w:rsid w:val="004641FC"/>
    <w:rsid w:val="00465DE7"/>
    <w:rsid w:val="004733FF"/>
    <w:rsid w:val="00474FE9"/>
    <w:rsid w:val="004770E2"/>
    <w:rsid w:val="00480714"/>
    <w:rsid w:val="004809ED"/>
    <w:rsid w:val="00480D5A"/>
    <w:rsid w:val="00481DC8"/>
    <w:rsid w:val="00496BBF"/>
    <w:rsid w:val="004B0487"/>
    <w:rsid w:val="004B193A"/>
    <w:rsid w:val="004B45DA"/>
    <w:rsid w:val="004C3753"/>
    <w:rsid w:val="004C55AC"/>
    <w:rsid w:val="004C7B8C"/>
    <w:rsid w:val="004E0EF1"/>
    <w:rsid w:val="004E5F81"/>
    <w:rsid w:val="004F10E1"/>
    <w:rsid w:val="004F19C3"/>
    <w:rsid w:val="004F4FC9"/>
    <w:rsid w:val="0050446D"/>
    <w:rsid w:val="00504BC2"/>
    <w:rsid w:val="00514103"/>
    <w:rsid w:val="0051421B"/>
    <w:rsid w:val="00524428"/>
    <w:rsid w:val="005254FD"/>
    <w:rsid w:val="00531A26"/>
    <w:rsid w:val="0053510A"/>
    <w:rsid w:val="00535497"/>
    <w:rsid w:val="00537E10"/>
    <w:rsid w:val="00541427"/>
    <w:rsid w:val="005414C6"/>
    <w:rsid w:val="00542426"/>
    <w:rsid w:val="00545A8E"/>
    <w:rsid w:val="00551551"/>
    <w:rsid w:val="0055232F"/>
    <w:rsid w:val="005576DB"/>
    <w:rsid w:val="00560D57"/>
    <w:rsid w:val="00567023"/>
    <w:rsid w:val="00572096"/>
    <w:rsid w:val="005762A4"/>
    <w:rsid w:val="00577882"/>
    <w:rsid w:val="00583476"/>
    <w:rsid w:val="0059771B"/>
    <w:rsid w:val="005C027E"/>
    <w:rsid w:val="005C141F"/>
    <w:rsid w:val="005C173D"/>
    <w:rsid w:val="005C34D6"/>
    <w:rsid w:val="005C39E3"/>
    <w:rsid w:val="005D4807"/>
    <w:rsid w:val="005E4508"/>
    <w:rsid w:val="005E4E6A"/>
    <w:rsid w:val="005E58CD"/>
    <w:rsid w:val="005F2A59"/>
    <w:rsid w:val="005F72AA"/>
    <w:rsid w:val="00603588"/>
    <w:rsid w:val="00610207"/>
    <w:rsid w:val="00610343"/>
    <w:rsid w:val="0061207E"/>
    <w:rsid w:val="00620F8F"/>
    <w:rsid w:val="006325E2"/>
    <w:rsid w:val="00642E1D"/>
    <w:rsid w:val="0064397E"/>
    <w:rsid w:val="00653292"/>
    <w:rsid w:val="006539B6"/>
    <w:rsid w:val="006545A2"/>
    <w:rsid w:val="00661C4C"/>
    <w:rsid w:val="00672ACA"/>
    <w:rsid w:val="00682458"/>
    <w:rsid w:val="00684C63"/>
    <w:rsid w:val="006853F9"/>
    <w:rsid w:val="0069163C"/>
    <w:rsid w:val="0069611E"/>
    <w:rsid w:val="00696548"/>
    <w:rsid w:val="00697A70"/>
    <w:rsid w:val="006A1114"/>
    <w:rsid w:val="006A5512"/>
    <w:rsid w:val="006B3AE0"/>
    <w:rsid w:val="006B3AFB"/>
    <w:rsid w:val="006B5992"/>
    <w:rsid w:val="006B7F23"/>
    <w:rsid w:val="006C6349"/>
    <w:rsid w:val="006E5756"/>
    <w:rsid w:val="006E6728"/>
    <w:rsid w:val="006F20A4"/>
    <w:rsid w:val="006F5916"/>
    <w:rsid w:val="00702B45"/>
    <w:rsid w:val="007053D9"/>
    <w:rsid w:val="007139CB"/>
    <w:rsid w:val="007145FE"/>
    <w:rsid w:val="00715C76"/>
    <w:rsid w:val="00716112"/>
    <w:rsid w:val="00717740"/>
    <w:rsid w:val="00717E2E"/>
    <w:rsid w:val="00717E39"/>
    <w:rsid w:val="00722E36"/>
    <w:rsid w:val="00735CA5"/>
    <w:rsid w:val="0074259E"/>
    <w:rsid w:val="00743014"/>
    <w:rsid w:val="00744FE4"/>
    <w:rsid w:val="00750282"/>
    <w:rsid w:val="00754C58"/>
    <w:rsid w:val="00764FE4"/>
    <w:rsid w:val="0077173D"/>
    <w:rsid w:val="00777056"/>
    <w:rsid w:val="00787631"/>
    <w:rsid w:val="0079342D"/>
    <w:rsid w:val="007A251D"/>
    <w:rsid w:val="007A2CA0"/>
    <w:rsid w:val="007A64D6"/>
    <w:rsid w:val="007B0502"/>
    <w:rsid w:val="007C4658"/>
    <w:rsid w:val="007C49AD"/>
    <w:rsid w:val="007E3F5C"/>
    <w:rsid w:val="007E4197"/>
    <w:rsid w:val="007E68B2"/>
    <w:rsid w:val="007E7388"/>
    <w:rsid w:val="007F1645"/>
    <w:rsid w:val="007F6F2C"/>
    <w:rsid w:val="008041EE"/>
    <w:rsid w:val="00807906"/>
    <w:rsid w:val="00814C3A"/>
    <w:rsid w:val="00815D66"/>
    <w:rsid w:val="008304AC"/>
    <w:rsid w:val="00832640"/>
    <w:rsid w:val="008337A4"/>
    <w:rsid w:val="00837466"/>
    <w:rsid w:val="00843C50"/>
    <w:rsid w:val="00850714"/>
    <w:rsid w:val="00864C7E"/>
    <w:rsid w:val="00875E45"/>
    <w:rsid w:val="008802C2"/>
    <w:rsid w:val="00884F3F"/>
    <w:rsid w:val="00887BCD"/>
    <w:rsid w:val="008911F9"/>
    <w:rsid w:val="0089122E"/>
    <w:rsid w:val="008931D6"/>
    <w:rsid w:val="00895494"/>
    <w:rsid w:val="00896FC3"/>
    <w:rsid w:val="008A766A"/>
    <w:rsid w:val="008B3671"/>
    <w:rsid w:val="008B3CF9"/>
    <w:rsid w:val="008B428D"/>
    <w:rsid w:val="008B6716"/>
    <w:rsid w:val="008C51F3"/>
    <w:rsid w:val="008C592D"/>
    <w:rsid w:val="008E0B5A"/>
    <w:rsid w:val="008E1956"/>
    <w:rsid w:val="008E1CED"/>
    <w:rsid w:val="008E2EB1"/>
    <w:rsid w:val="008E37FF"/>
    <w:rsid w:val="008F1DB6"/>
    <w:rsid w:val="008F3C7A"/>
    <w:rsid w:val="008F51F5"/>
    <w:rsid w:val="008F69CD"/>
    <w:rsid w:val="008F6F01"/>
    <w:rsid w:val="00900135"/>
    <w:rsid w:val="00904D1C"/>
    <w:rsid w:val="009102BD"/>
    <w:rsid w:val="00926681"/>
    <w:rsid w:val="009342F8"/>
    <w:rsid w:val="00935B24"/>
    <w:rsid w:val="00941237"/>
    <w:rsid w:val="00944661"/>
    <w:rsid w:val="009453D1"/>
    <w:rsid w:val="009475BC"/>
    <w:rsid w:val="00953C5C"/>
    <w:rsid w:val="0096119A"/>
    <w:rsid w:val="00974413"/>
    <w:rsid w:val="0097543D"/>
    <w:rsid w:val="00976409"/>
    <w:rsid w:val="00977AA9"/>
    <w:rsid w:val="009800BC"/>
    <w:rsid w:val="0098374D"/>
    <w:rsid w:val="00990B7B"/>
    <w:rsid w:val="009919C4"/>
    <w:rsid w:val="00991D0B"/>
    <w:rsid w:val="0099302F"/>
    <w:rsid w:val="009B5C2C"/>
    <w:rsid w:val="009B7561"/>
    <w:rsid w:val="009C5A23"/>
    <w:rsid w:val="009D1683"/>
    <w:rsid w:val="009D3BF7"/>
    <w:rsid w:val="009D69F4"/>
    <w:rsid w:val="009E2FFA"/>
    <w:rsid w:val="009F05DF"/>
    <w:rsid w:val="00A0535F"/>
    <w:rsid w:val="00A06ED3"/>
    <w:rsid w:val="00A130BD"/>
    <w:rsid w:val="00A239D4"/>
    <w:rsid w:val="00A32EE9"/>
    <w:rsid w:val="00A344C9"/>
    <w:rsid w:val="00A37378"/>
    <w:rsid w:val="00A41773"/>
    <w:rsid w:val="00A41C53"/>
    <w:rsid w:val="00A47907"/>
    <w:rsid w:val="00A53787"/>
    <w:rsid w:val="00A5799A"/>
    <w:rsid w:val="00A62FD3"/>
    <w:rsid w:val="00A67751"/>
    <w:rsid w:val="00A7058B"/>
    <w:rsid w:val="00A7107E"/>
    <w:rsid w:val="00A752EB"/>
    <w:rsid w:val="00A81B83"/>
    <w:rsid w:val="00A81BD5"/>
    <w:rsid w:val="00A84925"/>
    <w:rsid w:val="00A84E8F"/>
    <w:rsid w:val="00A905E5"/>
    <w:rsid w:val="00A91DBE"/>
    <w:rsid w:val="00A94BBD"/>
    <w:rsid w:val="00A97D35"/>
    <w:rsid w:val="00AA1DD0"/>
    <w:rsid w:val="00AA32DF"/>
    <w:rsid w:val="00AB36D4"/>
    <w:rsid w:val="00AB4A17"/>
    <w:rsid w:val="00AC0217"/>
    <w:rsid w:val="00AC1BCD"/>
    <w:rsid w:val="00AC47B4"/>
    <w:rsid w:val="00AC5D4B"/>
    <w:rsid w:val="00AC74CB"/>
    <w:rsid w:val="00AD4503"/>
    <w:rsid w:val="00AD7514"/>
    <w:rsid w:val="00AE32F5"/>
    <w:rsid w:val="00B06C17"/>
    <w:rsid w:val="00B10152"/>
    <w:rsid w:val="00B1479D"/>
    <w:rsid w:val="00B259BA"/>
    <w:rsid w:val="00B262AD"/>
    <w:rsid w:val="00B37E22"/>
    <w:rsid w:val="00B41BEC"/>
    <w:rsid w:val="00B4364D"/>
    <w:rsid w:val="00B5035A"/>
    <w:rsid w:val="00B571CF"/>
    <w:rsid w:val="00B605A3"/>
    <w:rsid w:val="00B72228"/>
    <w:rsid w:val="00B73915"/>
    <w:rsid w:val="00B80E67"/>
    <w:rsid w:val="00B848E6"/>
    <w:rsid w:val="00B921FD"/>
    <w:rsid w:val="00B92CC7"/>
    <w:rsid w:val="00B94E57"/>
    <w:rsid w:val="00B95C40"/>
    <w:rsid w:val="00B9653C"/>
    <w:rsid w:val="00BA432D"/>
    <w:rsid w:val="00BB10C9"/>
    <w:rsid w:val="00BC139F"/>
    <w:rsid w:val="00BC2386"/>
    <w:rsid w:val="00BC3945"/>
    <w:rsid w:val="00BC5F4B"/>
    <w:rsid w:val="00BD74E8"/>
    <w:rsid w:val="00BD7C51"/>
    <w:rsid w:val="00BE2581"/>
    <w:rsid w:val="00BE2956"/>
    <w:rsid w:val="00BE5CFD"/>
    <w:rsid w:val="00BF1FA3"/>
    <w:rsid w:val="00BF365B"/>
    <w:rsid w:val="00BF4725"/>
    <w:rsid w:val="00C00151"/>
    <w:rsid w:val="00C0718E"/>
    <w:rsid w:val="00C07C72"/>
    <w:rsid w:val="00C1052A"/>
    <w:rsid w:val="00C156AF"/>
    <w:rsid w:val="00C2019D"/>
    <w:rsid w:val="00C2083B"/>
    <w:rsid w:val="00C21CED"/>
    <w:rsid w:val="00C22959"/>
    <w:rsid w:val="00C26B4D"/>
    <w:rsid w:val="00C30C89"/>
    <w:rsid w:val="00C34427"/>
    <w:rsid w:val="00C417E5"/>
    <w:rsid w:val="00C45D5D"/>
    <w:rsid w:val="00C471C7"/>
    <w:rsid w:val="00C472B3"/>
    <w:rsid w:val="00C47DD6"/>
    <w:rsid w:val="00C51912"/>
    <w:rsid w:val="00C6399E"/>
    <w:rsid w:val="00C64758"/>
    <w:rsid w:val="00C71229"/>
    <w:rsid w:val="00C7657C"/>
    <w:rsid w:val="00C81549"/>
    <w:rsid w:val="00CB2BFC"/>
    <w:rsid w:val="00CC3490"/>
    <w:rsid w:val="00CC7B07"/>
    <w:rsid w:val="00CE2E80"/>
    <w:rsid w:val="00CE37CD"/>
    <w:rsid w:val="00CF2A6A"/>
    <w:rsid w:val="00CF2A80"/>
    <w:rsid w:val="00CF58BC"/>
    <w:rsid w:val="00D002C0"/>
    <w:rsid w:val="00D00F9F"/>
    <w:rsid w:val="00D012A5"/>
    <w:rsid w:val="00D019F9"/>
    <w:rsid w:val="00D04C7E"/>
    <w:rsid w:val="00D07FD4"/>
    <w:rsid w:val="00D16353"/>
    <w:rsid w:val="00D17354"/>
    <w:rsid w:val="00D216E3"/>
    <w:rsid w:val="00D22D10"/>
    <w:rsid w:val="00D30186"/>
    <w:rsid w:val="00D36D28"/>
    <w:rsid w:val="00D370B4"/>
    <w:rsid w:val="00D4284C"/>
    <w:rsid w:val="00D451BC"/>
    <w:rsid w:val="00D50238"/>
    <w:rsid w:val="00D502D4"/>
    <w:rsid w:val="00D50F13"/>
    <w:rsid w:val="00D511A6"/>
    <w:rsid w:val="00D60B81"/>
    <w:rsid w:val="00D629CC"/>
    <w:rsid w:val="00D62DDD"/>
    <w:rsid w:val="00D702D2"/>
    <w:rsid w:val="00D7097B"/>
    <w:rsid w:val="00D7125B"/>
    <w:rsid w:val="00D754C4"/>
    <w:rsid w:val="00D75C55"/>
    <w:rsid w:val="00D87BAB"/>
    <w:rsid w:val="00D934EF"/>
    <w:rsid w:val="00D93D17"/>
    <w:rsid w:val="00D9505D"/>
    <w:rsid w:val="00D97DF7"/>
    <w:rsid w:val="00DB1204"/>
    <w:rsid w:val="00DB7EC0"/>
    <w:rsid w:val="00DC3BBA"/>
    <w:rsid w:val="00DD0E47"/>
    <w:rsid w:val="00DD13E4"/>
    <w:rsid w:val="00DD5DF8"/>
    <w:rsid w:val="00DE5989"/>
    <w:rsid w:val="00DF08F2"/>
    <w:rsid w:val="00DF2A6A"/>
    <w:rsid w:val="00DF4BCF"/>
    <w:rsid w:val="00DF51E7"/>
    <w:rsid w:val="00DF7329"/>
    <w:rsid w:val="00DF7533"/>
    <w:rsid w:val="00E00A30"/>
    <w:rsid w:val="00E032D7"/>
    <w:rsid w:val="00E0647B"/>
    <w:rsid w:val="00E0767C"/>
    <w:rsid w:val="00E1291B"/>
    <w:rsid w:val="00E144FB"/>
    <w:rsid w:val="00E205C4"/>
    <w:rsid w:val="00E2315D"/>
    <w:rsid w:val="00E27E49"/>
    <w:rsid w:val="00E31DFA"/>
    <w:rsid w:val="00E3288F"/>
    <w:rsid w:val="00E361AD"/>
    <w:rsid w:val="00E41E95"/>
    <w:rsid w:val="00E51736"/>
    <w:rsid w:val="00E62B23"/>
    <w:rsid w:val="00E63A66"/>
    <w:rsid w:val="00E64526"/>
    <w:rsid w:val="00E67871"/>
    <w:rsid w:val="00E90ADB"/>
    <w:rsid w:val="00E93781"/>
    <w:rsid w:val="00E95BDE"/>
    <w:rsid w:val="00EA6C1B"/>
    <w:rsid w:val="00EB2907"/>
    <w:rsid w:val="00EC3022"/>
    <w:rsid w:val="00ED20C5"/>
    <w:rsid w:val="00ED520F"/>
    <w:rsid w:val="00ED6D2E"/>
    <w:rsid w:val="00ED740F"/>
    <w:rsid w:val="00ED7AA6"/>
    <w:rsid w:val="00EE0CF8"/>
    <w:rsid w:val="00EE155C"/>
    <w:rsid w:val="00EE48B8"/>
    <w:rsid w:val="00EE4D78"/>
    <w:rsid w:val="00EE5CF1"/>
    <w:rsid w:val="00EF214C"/>
    <w:rsid w:val="00EF42C4"/>
    <w:rsid w:val="00EF5FE7"/>
    <w:rsid w:val="00F0205C"/>
    <w:rsid w:val="00F10715"/>
    <w:rsid w:val="00F11E12"/>
    <w:rsid w:val="00F1289B"/>
    <w:rsid w:val="00F15F6D"/>
    <w:rsid w:val="00F2207A"/>
    <w:rsid w:val="00F22801"/>
    <w:rsid w:val="00F2423E"/>
    <w:rsid w:val="00F3236D"/>
    <w:rsid w:val="00F36FAD"/>
    <w:rsid w:val="00F41D19"/>
    <w:rsid w:val="00F42F47"/>
    <w:rsid w:val="00F44988"/>
    <w:rsid w:val="00F44CB5"/>
    <w:rsid w:val="00F559DD"/>
    <w:rsid w:val="00F56C5A"/>
    <w:rsid w:val="00F67688"/>
    <w:rsid w:val="00F7434C"/>
    <w:rsid w:val="00F7780D"/>
    <w:rsid w:val="00F825D3"/>
    <w:rsid w:val="00F85F86"/>
    <w:rsid w:val="00F93B67"/>
    <w:rsid w:val="00F970B1"/>
    <w:rsid w:val="00F971AD"/>
    <w:rsid w:val="00FA72FA"/>
    <w:rsid w:val="00FB1F30"/>
    <w:rsid w:val="00FC7857"/>
    <w:rsid w:val="00FD06DB"/>
    <w:rsid w:val="00FD1C9B"/>
    <w:rsid w:val="00FD3909"/>
    <w:rsid w:val="00FD6613"/>
    <w:rsid w:val="00FD6CE8"/>
    <w:rsid w:val="00FD71FE"/>
    <w:rsid w:val="00FD7E63"/>
    <w:rsid w:val="00FE7A99"/>
    <w:rsid w:val="00FF3ADA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53DAA4BF"/>
  <w15:docId w15:val="{D2073FC1-1B77-44A0-80CD-036F2CFB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37CD"/>
    <w:pPr>
      <w:spacing w:after="120"/>
    </w:pPr>
    <w:rPr>
      <w:rFonts w:ascii="Calibri" w:hAnsi="Calibri"/>
      <w:sz w:val="22"/>
      <w:szCs w:val="24"/>
    </w:rPr>
  </w:style>
  <w:style w:type="paragraph" w:styleId="Heading2">
    <w:name w:val="heading 2"/>
    <w:basedOn w:val="Normal"/>
    <w:next w:val="Normal"/>
    <w:link w:val="Heading2Char"/>
    <w:qFormat/>
    <w:rsid w:val="00717740"/>
    <w:pPr>
      <w:keepNext/>
      <w:spacing w:before="240"/>
      <w:ind w:left="709" w:hanging="709"/>
      <w:outlineLvl w:val="1"/>
    </w:pPr>
    <w:rPr>
      <w:rFonts w:asciiTheme="minorHAnsi" w:hAnsiTheme="minorHAnsi" w:cstheme="minorHAnsi"/>
      <w:b/>
      <w:noProof/>
      <w:snapToGrid w:val="0"/>
      <w:color w:val="00B2A9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848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extBullet">
    <w:name w:val="Form text Bullet"/>
    <w:basedOn w:val="Formtext"/>
    <w:rsid w:val="006853F9"/>
    <w:pPr>
      <w:numPr>
        <w:numId w:val="15"/>
      </w:numPr>
      <w:spacing w:before="80"/>
    </w:pPr>
  </w:style>
  <w:style w:type="paragraph" w:styleId="Title">
    <w:name w:val="Title"/>
    <w:basedOn w:val="Normal"/>
    <w:qFormat/>
    <w:rsid w:val="007C465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ormtextTable">
    <w:name w:val="Form text Table"/>
    <w:basedOn w:val="Formtext"/>
    <w:rsid w:val="00F93B67"/>
    <w:pPr>
      <w:spacing w:before="0"/>
    </w:pPr>
  </w:style>
  <w:style w:type="paragraph" w:customStyle="1" w:styleId="Bullet1">
    <w:name w:val="Bullet 1"/>
    <w:basedOn w:val="Normal"/>
    <w:rsid w:val="00864C7E"/>
    <w:pPr>
      <w:numPr>
        <w:numId w:val="1"/>
      </w:num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DIN-Regular" w:hAnsi="DIN-Regular" w:cs="DIN-Regular"/>
      <w:color w:val="000000"/>
      <w:sz w:val="20"/>
      <w:szCs w:val="20"/>
      <w:lang w:val="en-GB"/>
    </w:rPr>
  </w:style>
  <w:style w:type="paragraph" w:customStyle="1" w:styleId="BodyText1">
    <w:name w:val="Body Text1"/>
    <w:basedOn w:val="Normal"/>
    <w:rsid w:val="00864C7E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DIN-Regular" w:hAnsi="DIN-Regular" w:cs="DIN-Regular"/>
      <w:color w:val="000000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713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B921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21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21FD"/>
  </w:style>
  <w:style w:type="paragraph" w:customStyle="1" w:styleId="Formtext">
    <w:name w:val="Form text"/>
    <w:basedOn w:val="BodyText1"/>
    <w:rsid w:val="00F93B67"/>
    <w:pPr>
      <w:spacing w:before="240" w:after="0" w:line="240" w:lineRule="auto"/>
    </w:pPr>
    <w:rPr>
      <w:rFonts w:ascii="Arial Narrow" w:hAnsi="Arial Narrow" w:cs="Arial"/>
      <w:color w:val="auto"/>
    </w:rPr>
  </w:style>
  <w:style w:type="paragraph" w:styleId="Header">
    <w:name w:val="header"/>
    <w:basedOn w:val="Normal"/>
    <w:link w:val="HeaderChar"/>
    <w:rsid w:val="00496B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96BBF"/>
    <w:pPr>
      <w:tabs>
        <w:tab w:val="center" w:pos="4153"/>
        <w:tab w:val="right" w:pos="8306"/>
      </w:tabs>
    </w:pPr>
  </w:style>
  <w:style w:type="paragraph" w:styleId="CommentSubject">
    <w:name w:val="annotation subject"/>
    <w:basedOn w:val="CommentText"/>
    <w:next w:val="CommentText"/>
    <w:link w:val="CommentSubjectChar"/>
    <w:rsid w:val="00B92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21FD"/>
    <w:rPr>
      <w:b/>
      <w:bCs/>
    </w:rPr>
  </w:style>
  <w:style w:type="paragraph" w:styleId="BalloonText">
    <w:name w:val="Balloon Text"/>
    <w:basedOn w:val="Normal"/>
    <w:link w:val="BalloonTextChar"/>
    <w:rsid w:val="00B92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21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30186"/>
    <w:rPr>
      <w:color w:val="132F8A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F7329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17740"/>
    <w:rPr>
      <w:rFonts w:asciiTheme="minorHAnsi" w:hAnsiTheme="minorHAnsi" w:cstheme="minorHAnsi"/>
      <w:b/>
      <w:noProof/>
      <w:snapToGrid w:val="0"/>
      <w:color w:val="00B2A9"/>
      <w:sz w:val="28"/>
      <w:szCs w:val="28"/>
    </w:rPr>
  </w:style>
  <w:style w:type="paragraph" w:customStyle="1" w:styleId="Normalnum">
    <w:name w:val="Normal (num)"/>
    <w:basedOn w:val="Normal"/>
    <w:rsid w:val="005C39E3"/>
    <w:pPr>
      <w:spacing w:before="120"/>
      <w:ind w:left="709" w:hanging="709"/>
      <w:jc w:val="both"/>
    </w:pPr>
    <w:rPr>
      <w:rFonts w:ascii="Palatino Linotype" w:hAnsi="Palatino Linotype"/>
      <w:sz w:val="21"/>
      <w:szCs w:val="21"/>
    </w:rPr>
  </w:style>
  <w:style w:type="paragraph" w:customStyle="1" w:styleId="Bullettscheck">
    <w:name w:val="Bulletts (check)"/>
    <w:basedOn w:val="Normal"/>
    <w:rsid w:val="005C39E3"/>
    <w:pPr>
      <w:numPr>
        <w:numId w:val="29"/>
      </w:numPr>
    </w:pPr>
    <w:rPr>
      <w:rFonts w:ascii="Palatino Linotype" w:hAnsi="Palatino Linotype"/>
      <w:sz w:val="21"/>
      <w:szCs w:val="21"/>
    </w:rPr>
  </w:style>
  <w:style w:type="paragraph" w:customStyle="1" w:styleId="Checkbox">
    <w:name w:val="Checkbox"/>
    <w:basedOn w:val="Heading3"/>
    <w:rsid w:val="00B848E6"/>
    <w:pPr>
      <w:keepLines w:val="0"/>
      <w:numPr>
        <w:numId w:val="31"/>
      </w:numPr>
      <w:tabs>
        <w:tab w:val="left" w:pos="851"/>
      </w:tabs>
      <w:spacing w:before="240"/>
    </w:pPr>
    <w:rPr>
      <w:rFonts w:ascii="Arial" w:eastAsia="Times New Roman" w:hAnsi="Arial" w:cs="Times New Roman"/>
      <w:bCs w:val="0"/>
      <w:color w:val="auto"/>
    </w:rPr>
  </w:style>
  <w:style w:type="character" w:customStyle="1" w:styleId="Heading3Char">
    <w:name w:val="Heading 3 Char"/>
    <w:basedOn w:val="DefaultParagraphFont"/>
    <w:link w:val="Heading3"/>
    <w:semiHidden/>
    <w:rsid w:val="00B848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Normalnumbul">
    <w:name w:val="Normal (num bul)"/>
    <w:basedOn w:val="Normal"/>
    <w:link w:val="NormalnumbulChar"/>
    <w:rsid w:val="00183F7E"/>
    <w:pPr>
      <w:numPr>
        <w:numId w:val="44"/>
      </w:numPr>
      <w:tabs>
        <w:tab w:val="num" w:pos="1620"/>
      </w:tabs>
      <w:spacing w:line="260" w:lineRule="atLeast"/>
      <w:ind w:left="1620"/>
      <w:jc w:val="both"/>
    </w:pPr>
    <w:rPr>
      <w:rFonts w:ascii="Palatino Linotype" w:hAnsi="Palatino Linotype"/>
      <w:sz w:val="21"/>
      <w:szCs w:val="21"/>
    </w:rPr>
  </w:style>
  <w:style w:type="paragraph" w:customStyle="1" w:styleId="Bulletts">
    <w:name w:val="Bulletts"/>
    <w:basedOn w:val="Normal"/>
    <w:rsid w:val="00183F7E"/>
    <w:pPr>
      <w:numPr>
        <w:numId w:val="45"/>
      </w:numPr>
      <w:jc w:val="both"/>
    </w:pPr>
    <w:rPr>
      <w:rFonts w:ascii="Palatino Linotype" w:hAnsi="Palatino Linotype"/>
      <w:sz w:val="21"/>
      <w:szCs w:val="21"/>
    </w:rPr>
  </w:style>
  <w:style w:type="character" w:customStyle="1" w:styleId="HeaderChar">
    <w:name w:val="Header Char"/>
    <w:basedOn w:val="DefaultParagraphFont"/>
    <w:link w:val="Header"/>
    <w:rsid w:val="004809ED"/>
    <w:rPr>
      <w:sz w:val="24"/>
      <w:szCs w:val="24"/>
    </w:rPr>
  </w:style>
  <w:style w:type="character" w:styleId="FollowedHyperlink">
    <w:name w:val="FollowedHyperlink"/>
    <w:basedOn w:val="DefaultParagraphFont"/>
    <w:rsid w:val="004809ED"/>
    <w:rPr>
      <w:color w:val="800080" w:themeColor="followedHyperlink"/>
      <w:u w:val="single"/>
    </w:rPr>
  </w:style>
  <w:style w:type="paragraph" w:customStyle="1" w:styleId="Normalnum2">
    <w:name w:val="Normal (num2)"/>
    <w:basedOn w:val="Normal"/>
    <w:rsid w:val="00764FE4"/>
    <w:pPr>
      <w:ind w:left="1260" w:hanging="540"/>
      <w:jc w:val="both"/>
    </w:pPr>
    <w:rPr>
      <w:rFonts w:ascii="Palatino Linotype" w:hAnsi="Palatino Linotype"/>
      <w:sz w:val="21"/>
      <w:szCs w:val="21"/>
    </w:rPr>
  </w:style>
  <w:style w:type="paragraph" w:customStyle="1" w:styleId="PPVHeader">
    <w:name w:val="PPV Header"/>
    <w:basedOn w:val="Normal"/>
    <w:link w:val="PPVHeaderChar"/>
    <w:qFormat/>
    <w:rsid w:val="00F825D3"/>
    <w:pPr>
      <w:jc w:val="both"/>
    </w:pPr>
    <w:rPr>
      <w:rFonts w:asciiTheme="minorHAnsi" w:hAnsiTheme="minorHAnsi" w:cstheme="minorHAnsi"/>
      <w:b/>
      <w:noProof/>
      <w:sz w:val="48"/>
      <w:szCs w:val="48"/>
    </w:rPr>
  </w:style>
  <w:style w:type="character" w:customStyle="1" w:styleId="PPVHeaderChar">
    <w:name w:val="PPV Header Char"/>
    <w:basedOn w:val="DefaultParagraphFont"/>
    <w:link w:val="PPVHeader"/>
    <w:rsid w:val="00F825D3"/>
    <w:rPr>
      <w:rFonts w:asciiTheme="minorHAnsi" w:hAnsiTheme="minorHAnsi" w:cstheme="minorHAnsi"/>
      <w:b/>
      <w:noProof/>
      <w:sz w:val="48"/>
      <w:szCs w:val="48"/>
    </w:rPr>
  </w:style>
  <w:style w:type="paragraph" w:styleId="ListParagraph">
    <w:name w:val="List Paragraph"/>
    <w:basedOn w:val="Normal"/>
    <w:uiPriority w:val="34"/>
    <w:qFormat/>
    <w:rsid w:val="00FD06DB"/>
    <w:pPr>
      <w:ind w:left="720"/>
      <w:contextualSpacing/>
    </w:pPr>
  </w:style>
  <w:style w:type="paragraph" w:customStyle="1" w:styleId="PPVBullet1">
    <w:name w:val="PPV Bullet 1"/>
    <w:basedOn w:val="Normalnumbul"/>
    <w:link w:val="PPVBullet1Char"/>
    <w:qFormat/>
    <w:rsid w:val="00260F86"/>
    <w:pPr>
      <w:tabs>
        <w:tab w:val="clear" w:pos="1620"/>
        <w:tab w:val="num" w:pos="709"/>
      </w:tabs>
      <w:spacing w:after="0" w:line="240" w:lineRule="auto"/>
      <w:ind w:left="709" w:hanging="284"/>
    </w:pPr>
    <w:rPr>
      <w:rFonts w:ascii="Calibri" w:hAnsi="Calibri" w:cs="Calibri"/>
      <w:sz w:val="22"/>
      <w:szCs w:val="22"/>
    </w:rPr>
  </w:style>
  <w:style w:type="paragraph" w:customStyle="1" w:styleId="PPVBody">
    <w:name w:val="PPV Body"/>
    <w:basedOn w:val="Normalnum"/>
    <w:qFormat/>
    <w:rsid w:val="00260F86"/>
    <w:pPr>
      <w:spacing w:after="0"/>
      <w:ind w:left="0" w:firstLine="0"/>
      <w:jc w:val="left"/>
    </w:pPr>
    <w:rPr>
      <w:rFonts w:asciiTheme="minorHAnsi" w:hAnsiTheme="minorHAnsi" w:cstheme="minorHAnsi"/>
      <w:sz w:val="22"/>
      <w:szCs w:val="22"/>
    </w:rPr>
  </w:style>
  <w:style w:type="character" w:customStyle="1" w:styleId="NormalnumbulChar">
    <w:name w:val="Normal (num bul) Char"/>
    <w:basedOn w:val="DefaultParagraphFont"/>
    <w:link w:val="Normalnumbul"/>
    <w:rsid w:val="00CE37CD"/>
    <w:rPr>
      <w:rFonts w:ascii="Palatino Linotype" w:hAnsi="Palatino Linotype"/>
      <w:sz w:val="21"/>
      <w:szCs w:val="21"/>
    </w:rPr>
  </w:style>
  <w:style w:type="character" w:customStyle="1" w:styleId="PPVBullet1Char">
    <w:name w:val="PPV Bullet 1 Char"/>
    <w:basedOn w:val="NormalnumbulChar"/>
    <w:link w:val="PPVBullet1"/>
    <w:rsid w:val="00260F86"/>
    <w:rPr>
      <w:rFonts w:ascii="Calibri" w:hAnsi="Calibri" w:cs="Calibri"/>
      <w:sz w:val="22"/>
      <w:szCs w:val="22"/>
    </w:rPr>
  </w:style>
  <w:style w:type="paragraph" w:customStyle="1" w:styleId="PPVBullet2">
    <w:name w:val="PPV Bullet 2"/>
    <w:basedOn w:val="PPVBullet1"/>
    <w:qFormat/>
    <w:rsid w:val="00702B45"/>
    <w:pPr>
      <w:numPr>
        <w:ilvl w:val="2"/>
      </w:numPr>
      <w:tabs>
        <w:tab w:val="num" w:pos="709"/>
      </w:tabs>
      <w:ind w:hanging="229"/>
    </w:pPr>
  </w:style>
  <w:style w:type="paragraph" w:styleId="Revision">
    <w:name w:val="Revision"/>
    <w:hidden/>
    <w:uiPriority w:val="99"/>
    <w:semiHidden/>
    <w:rsid w:val="00434B53"/>
    <w:rPr>
      <w:rFonts w:ascii="Calibri" w:hAnsi="Calibri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57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planning.vic.gov.au/panels-and-committees/panels-and-committe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Planning Panels Victoria</TermName>
          <TermId xmlns="http://schemas.microsoft.com/office/infopath/2007/PartnerControls">f7f930e6-b45f-4a5f-abe4-9daa2ee2cc0f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 xsi:nil="true"/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Planning</TermName>
          <TermId xmlns="http://schemas.microsoft.com/office/infopath/2007/PartnerControls">a27341dd-7be7-4882-a552-a667d667e276</TermId>
        </TermInfo>
      </Terms>
    </ic50d0a05a8e4d9791dac67f8a1e716c>
    <a25c4e3633654d669cbaa09ae6b70789 xmlns="9fd47c19-1c4a-4d7d-b342-c10cef269344">
      <Terms xmlns="http://schemas.microsoft.com/office/infopath/2007/PartnerControls"/>
    </a25c4e3633654d669cbaa09ae6b70789>
    <_dlc_DocId xmlns="a5f32de4-e402-4188-b034-e71ca7d22e54">DOCID356-1577715548-2784</_dlc_DocId>
    <_dlc_DocIdUrl xmlns="a5f32de4-e402-4188-b034-e71ca7d22e54">
      <Url>https://delwpvicgovau.sharepoint.com/sites/ecm_356/_layouts/15/DocIdRedir.aspx?ID=DOCID356-1577715548-2784</Url>
      <Description>DOCID356-1577715548-2784</Description>
    </_dlc_DocIdUrl>
  </documentManagement>
</p:properties>
</file>

<file path=customXml/item3.xml><?xml version="1.0" encoding="utf-8"?>
<?mso-contentType ?>
<SharedContentType xmlns="Microsoft.SharePoint.Taxonomy.ContentTypeSync" SourceId="797aeec6-0273-40f2-ab3e-beee73212332" ContentTypeId="0x0101002517F445A0F35E449C98AAD631F2B038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EPI Document" ma:contentTypeID="0x0101002517F445A0F35E449C98AAD631F2B038002B78E8BD3C188646BE1E9AD006045B0E" ma:contentTypeVersion="13" ma:contentTypeDescription="" ma:contentTypeScope="" ma:versionID="9883d3108e70f249b8fd1051580433cd">
  <xsd:schema xmlns:xsd="http://www.w3.org/2001/XMLSchema" xmlns:xs="http://www.w3.org/2001/XMLSchema" xmlns:p="http://schemas.microsoft.com/office/2006/metadata/properties" xmlns:ns1="a5f32de4-e402-4188-b034-e71ca7d22e54" xmlns:ns2="http://schemas.microsoft.com/sharepoint/v3" xmlns:ns3="9fd47c19-1c4a-4d7d-b342-c10cef269344" targetNamespace="http://schemas.microsoft.com/office/2006/metadata/properties" ma:root="true" ma:fieldsID="ee5373668775a7d37fe7cb92061a8b7c" ns1:_="" ns2:_="" ns3:_="">
    <xsd:import namespace="a5f32de4-e402-4188-b034-e71ca7d22e54"/>
    <xsd:import namespace="http://schemas.microsoft.com/sharepoint/v3"/>
    <xsd:import namespace="9fd47c19-1c4a-4d7d-b342-c10cef269344"/>
    <xsd:element name="properties">
      <xsd:complexType>
        <xsd:sequence>
          <xsd:element name="documentManagement">
            <xsd:complexType>
              <xsd:all>
                <xsd:element ref="ns1:_dlc_DocIdUrl" minOccurs="0"/>
                <xsd:element ref="ns1:_dlc_DocId" minOccurs="0"/>
                <xsd:element ref="ns2:RoutingRuleDescription" minOccurs="0"/>
                <xsd:element ref="ns2:Language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1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4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3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4;#All|8270565e-a836-42c0-aa61-1ac7b0ff14aa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c52be32a-4fb3-4be5-9f80-936ecbd5e83f}" ma:internalName="TaxCatchAll" ma:showField="CatchAllData" ma:web="c42f9c80-6326-4d3e-8624-f1221488f0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c52be32a-4fb3-4be5-9f80-936ecbd5e83f}" ma:internalName="TaxCatchAllLabel" ma:readOnly="true" ma:showField="CatchAllDataLabel" ma:web="c42f9c80-6326-4d3e-8624-f1221488f0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6;#Planning|a27341dd-7be7-4882-a552-a667d667e276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5;#Planning Panels Victoria|f7f930e6-b45f-4a5f-abe4-9daa2ee2cc0f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D7D55-1C05-4A2E-BE90-64B65DC24F3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C901FC9-3A6D-4C54-A660-D2E54D5A23E7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fd47c19-1c4a-4d7d-b342-c10cef269344"/>
    <ds:schemaRef ds:uri="http://purl.org/dc/elements/1.1/"/>
    <ds:schemaRef ds:uri="http://schemas.microsoft.com/office/2006/metadata/properties"/>
    <ds:schemaRef ds:uri="http://schemas.microsoft.com/sharepoint/v3"/>
    <ds:schemaRef ds:uri="a5f32de4-e402-4188-b034-e71ca7d22e5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F543B10-34A3-4DD5-A844-38CD95B32B2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1B41F9E-3DA2-44D4-99F2-8F8803A0040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646F20-18DE-48F6-AA33-4C81A5D9706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B3B2FC4-A455-4365-8D24-352D2B8C0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http://schemas.microsoft.com/sharepoint/v3"/>
    <ds:schemaRef ds:uri="9fd47c19-1c4a-4d7d-b342-c10cef269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136FCB83-282D-40B3-9059-90FC4192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SPSR guidelines for managing submissions</vt:lpstr>
    </vt:vector>
  </TitlesOfParts>
  <Company>DSEDPI</Company>
  <LinksUpToDate>false</LinksUpToDate>
  <CharactersWithSpaces>8534</CharactersWithSpaces>
  <SharedDoc>false</SharedDoc>
  <HLinks>
    <vt:vector size="18" baseType="variant">
      <vt:variant>
        <vt:i4>7405601</vt:i4>
      </vt:variant>
      <vt:variant>
        <vt:i4>18</vt:i4>
      </vt:variant>
      <vt:variant>
        <vt:i4>0</vt:i4>
      </vt:variant>
      <vt:variant>
        <vt:i4>5</vt:i4>
      </vt:variant>
      <vt:variant>
        <vt:lpwstr>http://www.dpcd.vic.gov.au/</vt:lpwstr>
      </vt:variant>
      <vt:variant>
        <vt:lpwstr/>
      </vt:variant>
      <vt:variant>
        <vt:i4>7405601</vt:i4>
      </vt:variant>
      <vt:variant>
        <vt:i4>13</vt:i4>
      </vt:variant>
      <vt:variant>
        <vt:i4>0</vt:i4>
      </vt:variant>
      <vt:variant>
        <vt:i4>5</vt:i4>
      </vt:variant>
      <vt:variant>
        <vt:lpwstr>http://www.dpcd.vic.gov.au/</vt:lpwstr>
      </vt:variant>
      <vt:variant>
        <vt:lpwstr/>
      </vt:variant>
      <vt:variant>
        <vt:i4>7340037</vt:i4>
      </vt:variant>
      <vt:variant>
        <vt:i4>4</vt:i4>
      </vt:variant>
      <vt:variant>
        <vt:i4>0</vt:i4>
      </vt:variant>
      <vt:variant>
        <vt:i4>5</vt:i4>
      </vt:variant>
      <vt:variant>
        <vt:lpwstr>mailto:planning.panels@dpcd.vic.gov.au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SPSR guidelines for managing submissions</dc:title>
  <dc:creator>Colleen Dooley</dc:creator>
  <cp:lastModifiedBy>Greta E Grivas (DELWP)</cp:lastModifiedBy>
  <cp:revision>2</cp:revision>
  <cp:lastPrinted>2016-12-22T06:02:00Z</cp:lastPrinted>
  <dcterms:created xsi:type="dcterms:W3CDTF">2019-05-01T22:57:00Z</dcterms:created>
  <dcterms:modified xsi:type="dcterms:W3CDTF">2019-05-01T22:57:00Z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0x0101002517F445A0F35E449C98AAD631F2B038002B78E8BD3C188646BE1E9AD006045B0E</vt:lpwstr>
  </property>
  <property fmtid="{D5CDD505-2E9C-101B-9397-08002B2CF9AE}" pid="3" name="_dlc_DocIdItemGuid">
    <vt:lpwstr>efac6ac1-73da-4e84-a6d2-2806211ed3ec</vt:lpwstr>
  </property>
  <property fmtid="{D5CDD505-2E9C-101B-9397-08002B2CF9AE}" pid="4" name="Section">
    <vt:lpwstr>7;#All|8270565e-a836-42c0-aa61-1ac7b0ff14aa</vt:lpwstr>
  </property>
  <property fmtid="{D5CDD505-2E9C-101B-9397-08002B2CF9AE}" pid="5" name="Order">
    <vt:r8>278400</vt:r8>
  </property>
  <property fmtid="{D5CDD505-2E9C-101B-9397-08002B2CF9AE}" pid="6" name="Agency">
    <vt:lpwstr>1;#Department of Environment, Land, Water and Planning|607a3f87-1228-4cd9-82a5-076aa8776274</vt:lpwstr>
  </property>
  <property fmtid="{D5CDD505-2E9C-101B-9397-08002B2CF9AE}" pid="7" name="Sub-Section">
    <vt:lpwstr/>
  </property>
  <property fmtid="{D5CDD505-2E9C-101B-9397-08002B2CF9AE}" pid="8" name="Branch">
    <vt:lpwstr>4;#All|8270565e-a836-42c0-aa61-1ac7b0ff14aa</vt:lpwstr>
  </property>
  <property fmtid="{D5CDD505-2E9C-101B-9397-08002B2CF9AE}" pid="9" name="Reference Type">
    <vt:lpwstr/>
  </property>
  <property fmtid="{D5CDD505-2E9C-101B-9397-08002B2CF9AE}" pid="10" name="Division">
    <vt:lpwstr>5;#Planning Panels Victoria|f7f930e6-b45f-4a5f-abe4-9daa2ee2cc0f</vt:lpwstr>
  </property>
  <property fmtid="{D5CDD505-2E9C-101B-9397-08002B2CF9AE}" pid="11" name="Location Type">
    <vt:lpwstr/>
  </property>
  <property fmtid="{D5CDD505-2E9C-101B-9397-08002B2CF9AE}" pid="12" name="Group1">
    <vt:lpwstr>6;#Planning|a27341dd-7be7-4882-a552-a667d667e276</vt:lpwstr>
  </property>
  <property fmtid="{D5CDD505-2E9C-101B-9397-08002B2CF9AE}" pid="13" name="Dissemination Limiting Marker">
    <vt:lpwstr>2;#FOUO|955eb6fc-b35a-4808-8aa5-31e514fa3f26</vt:lpwstr>
  </property>
  <property fmtid="{D5CDD505-2E9C-101B-9397-08002B2CF9AE}" pid="14" name="Security Classification">
    <vt:lpwstr>3;#Unclassified|7fa379f4-4aba-4692-ab80-7d39d3a23cf4</vt:lpwstr>
  </property>
</Properties>
</file>