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919" w:rsidRPr="00D041E1" w:rsidRDefault="00801919" w:rsidP="00E31DDA">
      <w:pPr>
        <w:spacing w:afterLines="113" w:after="271" w:line="240" w:lineRule="atLeast"/>
        <w:rPr>
          <w:rFonts w:cs="Tahoma"/>
          <w:lang w:eastAsia="en-AU"/>
        </w:rPr>
        <w:sectPr w:rsidR="00801919" w:rsidRPr="00D041E1" w:rsidSect="00664E33">
          <w:headerReference w:type="default" r:id="rId9"/>
          <w:footerReference w:type="default" r:id="rId10"/>
          <w:headerReference w:type="first" r:id="rId11"/>
          <w:footerReference w:type="first" r:id="rId12"/>
          <w:pgSz w:w="11906" w:h="16838"/>
          <w:pgMar w:top="1440" w:right="665" w:bottom="1440" w:left="686" w:header="708" w:footer="0" w:gutter="0"/>
          <w:cols w:space="708"/>
          <w:titlePg/>
          <w:docGrid w:linePitch="360"/>
        </w:sectPr>
      </w:pPr>
    </w:p>
    <w:p w:rsidR="004859DA" w:rsidRPr="00D041E1" w:rsidRDefault="00493A1E" w:rsidP="00E31DDA">
      <w:pPr>
        <w:spacing w:afterLines="113" w:after="271" w:line="240" w:lineRule="atLeast"/>
        <w:ind w:left="4962" w:hanging="1"/>
        <w:rPr>
          <w:rFonts w:cs="Tahoma"/>
          <w:color w:val="228591"/>
          <w:sz w:val="40"/>
        </w:rPr>
      </w:pPr>
      <w:r>
        <w:rPr>
          <w:b/>
          <w:noProof/>
          <w:lang w:eastAsia="en-AU"/>
        </w:rPr>
        <w:lastRenderedPageBreak/>
        <w:pict>
          <v:shapetype id="_x0000_t202" coordsize="21600,21600" o:spt="202" path="m,l,21600r21600,l21600,xe">
            <v:stroke joinstyle="miter"/>
            <v:path gradientshapeok="t" o:connecttype="rect"/>
          </v:shapetype>
          <v:shape id="_x0000_s1088" type="#_x0000_t202" style="position:absolute;left:0;text-align:left;margin-left:-6.2pt;margin-top:2.9pt;width:214.5pt;height:349.15pt;z-index:3;mso-wrap-distance-right:28.35pt" strokecolor="#228591" strokeweight="2pt">
            <v:textbox style="mso-next-textbox:#_x0000_s1088" inset="1.5mm,,0">
              <w:txbxContent>
                <w:p w:rsidR="00BE5A8F" w:rsidRPr="00E31DDA" w:rsidRDefault="00BE5A8F" w:rsidP="00440A12">
                  <w:pPr>
                    <w:spacing w:before="85" w:after="170" w:line="300" w:lineRule="atLeast"/>
                    <w:rPr>
                      <w:rStyle w:val="A1"/>
                      <w:rFonts w:cs="Tahoma"/>
                      <w:b w:val="0"/>
                      <w:color w:val="228591"/>
                      <w:sz w:val="24"/>
                    </w:rPr>
                  </w:pPr>
                  <w:r w:rsidRPr="00E31DDA">
                    <w:rPr>
                      <w:rStyle w:val="A1"/>
                      <w:rFonts w:cs="Tahoma"/>
                      <w:b w:val="0"/>
                      <w:color w:val="228591"/>
                      <w:sz w:val="24"/>
                    </w:rPr>
                    <w:t xml:space="preserve">Welcome to Issue </w:t>
                  </w:r>
                  <w:r w:rsidR="00591B53">
                    <w:rPr>
                      <w:rStyle w:val="A1"/>
                      <w:rFonts w:cs="Tahoma"/>
                      <w:b w:val="0"/>
                      <w:color w:val="228591"/>
                      <w:sz w:val="24"/>
                    </w:rPr>
                    <w:t>70</w:t>
                  </w:r>
                  <w:r w:rsidRPr="00E31DDA">
                    <w:rPr>
                      <w:rStyle w:val="A1"/>
                      <w:rFonts w:cs="Tahoma"/>
                      <w:b w:val="0"/>
                      <w:color w:val="228591"/>
                      <w:sz w:val="24"/>
                    </w:rPr>
                    <w:t xml:space="preserve"> of </w:t>
                  </w:r>
                  <w:r w:rsidRPr="00DE215A">
                    <w:rPr>
                      <w:rStyle w:val="A1"/>
                      <w:rFonts w:cs="Tahoma"/>
                      <w:b w:val="0"/>
                      <w:i/>
                      <w:color w:val="228591"/>
                      <w:sz w:val="24"/>
                    </w:rPr>
                    <w:t>Research Matters</w:t>
                  </w:r>
                  <w:r w:rsidRPr="00E31DDA">
                    <w:rPr>
                      <w:rStyle w:val="A1"/>
                      <w:rFonts w:cs="Tahoma"/>
                      <w:b w:val="0"/>
                      <w:color w:val="228591"/>
                      <w:sz w:val="24"/>
                    </w:rPr>
                    <w:t>, the Department of Environment, Land, Water &amp; Planning’s quarterly planning research bulletin, featuring DELWP research and analysis, news about recently released data, and research from other sources.</w:t>
                  </w:r>
                  <w:r w:rsidR="00440A12">
                    <w:rPr>
                      <w:rStyle w:val="A1"/>
                      <w:rFonts w:cs="Tahoma"/>
                      <w:b w:val="0"/>
                      <w:color w:val="228591"/>
                      <w:sz w:val="24"/>
                    </w:rPr>
                    <w:t xml:space="preserve"> </w:t>
                  </w:r>
                  <w:r w:rsidRPr="00E31DDA">
                    <w:rPr>
                      <w:rStyle w:val="A1"/>
                      <w:rFonts w:cs="Tahoma"/>
                      <w:b w:val="0"/>
                      <w:color w:val="228591"/>
                      <w:sz w:val="24"/>
                    </w:rPr>
                    <w:t>If you have any questions or comments, you can contact us at:</w:t>
                  </w:r>
                </w:p>
                <w:p w:rsidR="00BE5A8F" w:rsidRPr="006578DE" w:rsidRDefault="00BE5A8F" w:rsidP="00440A12">
                  <w:pPr>
                    <w:spacing w:before="85" w:after="170" w:line="300" w:lineRule="atLeast"/>
                    <w:rPr>
                      <w:rStyle w:val="A1"/>
                      <w:rFonts w:cs="Tahoma"/>
                      <w:b w:val="0"/>
                      <w:color w:val="228591"/>
                      <w:sz w:val="20"/>
                      <w:u w:val="single"/>
                    </w:rPr>
                  </w:pPr>
                  <w:r w:rsidRPr="006578DE">
                    <w:rPr>
                      <w:rStyle w:val="A1"/>
                      <w:rFonts w:cs="Tahoma"/>
                      <w:b w:val="0"/>
                      <w:color w:val="228591"/>
                      <w:sz w:val="20"/>
                      <w:u w:val="single"/>
                    </w:rPr>
                    <w:t>spatialanalysis.research@dtpli.vic.gov.au</w:t>
                  </w:r>
                </w:p>
                <w:p w:rsidR="00BE5A8F" w:rsidRPr="00D041E1" w:rsidRDefault="00BE5A8F" w:rsidP="00801919">
                  <w:pPr>
                    <w:spacing w:after="0" w:line="240" w:lineRule="auto"/>
                    <w:rPr>
                      <w:rStyle w:val="A1"/>
                      <w:rFonts w:cs="Tahoma"/>
                      <w:color w:val="auto"/>
                    </w:rPr>
                  </w:pPr>
                </w:p>
                <w:p w:rsidR="00BE5A8F" w:rsidRPr="00D041E1" w:rsidRDefault="00133868" w:rsidP="006578DE">
                  <w:pPr>
                    <w:spacing w:after="0" w:line="360" w:lineRule="auto"/>
                    <w:rPr>
                      <w:rStyle w:val="A1"/>
                      <w:rFonts w:cs="Tahoma"/>
                      <w:color w:val="228591"/>
                      <w:sz w:val="28"/>
                    </w:rPr>
                  </w:pPr>
                  <w:r>
                    <w:rPr>
                      <w:rStyle w:val="A1"/>
                      <w:rFonts w:cs="Tahoma"/>
                      <w:color w:val="228591"/>
                      <w:sz w:val="28"/>
                    </w:rPr>
                    <w:t>Contents</w:t>
                  </w:r>
                </w:p>
                <w:p w:rsidR="00BE5A8F" w:rsidRPr="00D041E1" w:rsidRDefault="00BE5A8F" w:rsidP="006578DE">
                  <w:pPr>
                    <w:tabs>
                      <w:tab w:val="left" w:pos="284"/>
                    </w:tabs>
                    <w:spacing w:after="0" w:line="240" w:lineRule="auto"/>
                    <w:rPr>
                      <w:rFonts w:cs="Tahoma"/>
                    </w:rPr>
                  </w:pPr>
                  <w:r w:rsidRPr="00D041E1">
                    <w:rPr>
                      <w:rFonts w:cs="Tahoma"/>
                      <w:b/>
                      <w:color w:val="228591"/>
                      <w:sz w:val="28"/>
                    </w:rPr>
                    <w:t>1</w:t>
                  </w:r>
                  <w:r w:rsidR="006578DE">
                    <w:rPr>
                      <w:rFonts w:cs="Tahoma"/>
                      <w:b/>
                      <w:color w:val="228591"/>
                      <w:sz w:val="28"/>
                    </w:rPr>
                    <w:tab/>
                  </w:r>
                  <w:r w:rsidR="00133868">
                    <w:rPr>
                      <w:rFonts w:cs="Tahoma"/>
                    </w:rPr>
                    <w:t>In this issue …</w:t>
                  </w:r>
                </w:p>
                <w:p w:rsidR="00BE5A8F" w:rsidRPr="00D041E1" w:rsidRDefault="00BE5A8F" w:rsidP="006578DE">
                  <w:pPr>
                    <w:tabs>
                      <w:tab w:val="left" w:pos="284"/>
                    </w:tabs>
                    <w:spacing w:after="0" w:line="240" w:lineRule="auto"/>
                    <w:rPr>
                      <w:rFonts w:cs="Tahoma"/>
                    </w:rPr>
                  </w:pPr>
                </w:p>
                <w:p w:rsidR="00BE5A8F" w:rsidRPr="00D041E1" w:rsidRDefault="00BE5A8F" w:rsidP="006578DE">
                  <w:pPr>
                    <w:tabs>
                      <w:tab w:val="left" w:pos="284"/>
                    </w:tabs>
                    <w:spacing w:after="0" w:line="240" w:lineRule="auto"/>
                    <w:ind w:left="284" w:hanging="284"/>
                    <w:rPr>
                      <w:rFonts w:cs="Tahoma"/>
                      <w:bCs/>
                    </w:rPr>
                  </w:pPr>
                  <w:r w:rsidRPr="00D041E1">
                    <w:rPr>
                      <w:rFonts w:cs="Tahoma"/>
                      <w:b/>
                      <w:color w:val="228591"/>
                      <w:sz w:val="28"/>
                    </w:rPr>
                    <w:t>2</w:t>
                  </w:r>
                  <w:r w:rsidR="006578DE">
                    <w:rPr>
                      <w:rFonts w:cs="Tahoma"/>
                      <w:b/>
                      <w:color w:val="228591"/>
                      <w:sz w:val="28"/>
                    </w:rPr>
                    <w:tab/>
                  </w:r>
                  <w:r w:rsidRPr="00D041E1">
                    <w:rPr>
                      <w:rFonts w:cs="Tahoma"/>
                      <w:bCs/>
                    </w:rPr>
                    <w:t xml:space="preserve">Victoria’s residential boom continues </w:t>
                  </w:r>
                  <w:r w:rsidR="00836CBE">
                    <w:rPr>
                      <w:rFonts w:cs="Tahoma"/>
                      <w:bCs/>
                    </w:rPr>
                    <w:t xml:space="preserve">with unprecedented numbers of </w:t>
                  </w:r>
                  <w:r w:rsidRPr="00D041E1">
                    <w:rPr>
                      <w:rFonts w:cs="Tahoma"/>
                      <w:bCs/>
                    </w:rPr>
                    <w:t>town house and apartment</w:t>
                  </w:r>
                  <w:r w:rsidR="00836CBE">
                    <w:rPr>
                      <w:rFonts w:cs="Tahoma"/>
                      <w:bCs/>
                    </w:rPr>
                    <w:t xml:space="preserve"> development</w:t>
                  </w:r>
                  <w:r w:rsidRPr="00D041E1">
                    <w:rPr>
                      <w:rFonts w:cs="Tahoma"/>
                      <w:bCs/>
                    </w:rPr>
                    <w:t>s</w:t>
                  </w:r>
                </w:p>
                <w:p w:rsidR="00BE5A8F" w:rsidRPr="00D041E1" w:rsidRDefault="00BE5A8F" w:rsidP="006578DE">
                  <w:pPr>
                    <w:tabs>
                      <w:tab w:val="left" w:pos="284"/>
                    </w:tabs>
                    <w:spacing w:after="0" w:line="240" w:lineRule="auto"/>
                    <w:rPr>
                      <w:rFonts w:cs="Tahoma"/>
                    </w:rPr>
                  </w:pPr>
                </w:p>
                <w:p w:rsidR="00BE5A8F" w:rsidRPr="00D041E1" w:rsidRDefault="00F508A5" w:rsidP="006578DE">
                  <w:pPr>
                    <w:tabs>
                      <w:tab w:val="left" w:pos="284"/>
                    </w:tabs>
                    <w:spacing w:after="0" w:line="240" w:lineRule="auto"/>
                    <w:ind w:left="284" w:hanging="284"/>
                    <w:rPr>
                      <w:rFonts w:cs="Tahoma"/>
                      <w:bCs/>
                    </w:rPr>
                  </w:pPr>
                  <w:r>
                    <w:rPr>
                      <w:rFonts w:cs="Tahoma"/>
                      <w:b/>
                      <w:color w:val="228591"/>
                      <w:sz w:val="28"/>
                    </w:rPr>
                    <w:t>3</w:t>
                  </w:r>
                  <w:r w:rsidR="006578DE">
                    <w:rPr>
                      <w:rFonts w:cs="Tahoma"/>
                      <w:b/>
                      <w:color w:val="228591"/>
                      <w:sz w:val="28"/>
                    </w:rPr>
                    <w:tab/>
                  </w:r>
                  <w:r w:rsidRPr="00D041E1">
                    <w:rPr>
                      <w:rFonts w:cs="Tahoma"/>
                    </w:rPr>
                    <w:t>The role of planning in economic development – a case study of the Laverton North industrial area</w:t>
                  </w:r>
                </w:p>
              </w:txbxContent>
            </v:textbox>
            <w10:wrap type="square"/>
          </v:shape>
        </w:pict>
      </w:r>
      <w:r w:rsidR="00133868">
        <w:rPr>
          <w:rFonts w:cs="Tahoma"/>
          <w:bCs/>
          <w:color w:val="228591"/>
          <w:sz w:val="40"/>
        </w:rPr>
        <w:t>In this issue …</w:t>
      </w:r>
    </w:p>
    <w:p w:rsidR="00F508A5" w:rsidRDefault="006413E7" w:rsidP="00E31DDA">
      <w:pPr>
        <w:spacing w:afterLines="113" w:after="271" w:line="240" w:lineRule="atLeast"/>
        <w:ind w:left="4321" w:hanging="1"/>
        <w:rPr>
          <w:rFonts w:cs="Tahoma"/>
        </w:rPr>
      </w:pPr>
      <w:r w:rsidRPr="00D041E1">
        <w:rPr>
          <w:rFonts w:cs="Tahoma"/>
        </w:rPr>
        <w:t xml:space="preserve">This issue </w:t>
      </w:r>
      <w:r w:rsidR="00133868">
        <w:rPr>
          <w:rFonts w:cs="Tahoma"/>
        </w:rPr>
        <w:t xml:space="preserve">of </w:t>
      </w:r>
      <w:r w:rsidR="00133868" w:rsidRPr="00DE215A">
        <w:rPr>
          <w:rFonts w:cs="Tahoma"/>
          <w:i/>
        </w:rPr>
        <w:t>Research Matters</w:t>
      </w:r>
      <w:r w:rsidR="00133868">
        <w:rPr>
          <w:rFonts w:cs="Tahoma"/>
        </w:rPr>
        <w:t xml:space="preserve"> contains articles on housing</w:t>
      </w:r>
      <w:r w:rsidR="00F508A5">
        <w:rPr>
          <w:rFonts w:cs="Tahoma"/>
        </w:rPr>
        <w:t xml:space="preserve"> and industrial development</w:t>
      </w:r>
      <w:r w:rsidR="00133868">
        <w:rPr>
          <w:rFonts w:cs="Tahoma"/>
        </w:rPr>
        <w:t xml:space="preserve">. </w:t>
      </w:r>
    </w:p>
    <w:p w:rsidR="00751F9F" w:rsidRDefault="00751F9F" w:rsidP="00E31DDA">
      <w:pPr>
        <w:spacing w:afterLines="113" w:after="271" w:line="240" w:lineRule="atLeast"/>
        <w:ind w:left="4321" w:hanging="1"/>
        <w:rPr>
          <w:rFonts w:cs="Tahoma"/>
        </w:rPr>
      </w:pPr>
      <w:r w:rsidRPr="00D041E1">
        <w:rPr>
          <w:rFonts w:cs="Tahoma"/>
        </w:rPr>
        <w:t xml:space="preserve">On the housing front, Melbourne’s </w:t>
      </w:r>
      <w:r w:rsidR="00614972" w:rsidRPr="00D041E1">
        <w:rPr>
          <w:rFonts w:cs="Tahoma"/>
        </w:rPr>
        <w:t xml:space="preserve">construction </w:t>
      </w:r>
      <w:r w:rsidRPr="00D041E1">
        <w:rPr>
          <w:rFonts w:cs="Tahoma"/>
        </w:rPr>
        <w:t xml:space="preserve">boom shows little sign of slowing. What has changed, however, is the type of housing being built with a rapid increase in </w:t>
      </w:r>
      <w:r w:rsidR="00614972" w:rsidRPr="00D041E1">
        <w:rPr>
          <w:rFonts w:cs="Tahoma"/>
        </w:rPr>
        <w:t xml:space="preserve">the </w:t>
      </w:r>
      <w:r w:rsidRPr="00D041E1">
        <w:rPr>
          <w:rFonts w:cs="Tahoma"/>
        </w:rPr>
        <w:t>numbers of townhouses and apartments</w:t>
      </w:r>
      <w:r w:rsidR="00D66A28" w:rsidRPr="00D041E1">
        <w:rPr>
          <w:rFonts w:cs="Tahoma"/>
        </w:rPr>
        <w:t xml:space="preserve"> being developed.</w:t>
      </w:r>
    </w:p>
    <w:p w:rsidR="00F508A5" w:rsidRPr="00D041E1" w:rsidRDefault="00F508A5" w:rsidP="00F508A5">
      <w:pPr>
        <w:spacing w:afterLines="113" w:after="271" w:line="240" w:lineRule="atLeast"/>
        <w:ind w:left="4321" w:hanging="1"/>
        <w:rPr>
          <w:rFonts w:cs="Tahoma"/>
        </w:rPr>
      </w:pPr>
      <w:r w:rsidRPr="00D041E1">
        <w:rPr>
          <w:rFonts w:cs="Tahoma"/>
        </w:rPr>
        <w:t xml:space="preserve">For readers interested in </w:t>
      </w:r>
      <w:r w:rsidR="00CF63D2">
        <w:rPr>
          <w:rFonts w:cs="Tahoma"/>
        </w:rPr>
        <w:t xml:space="preserve">the relationship of </w:t>
      </w:r>
      <w:r w:rsidRPr="00D041E1">
        <w:rPr>
          <w:rFonts w:cs="Tahoma"/>
        </w:rPr>
        <w:t>urban</w:t>
      </w:r>
      <w:r w:rsidR="00CF63D2">
        <w:rPr>
          <w:rFonts w:cs="Tahoma"/>
        </w:rPr>
        <w:t xml:space="preserve"> planning to economic </w:t>
      </w:r>
      <w:r w:rsidRPr="00D041E1">
        <w:rPr>
          <w:rFonts w:cs="Tahoma"/>
        </w:rPr>
        <w:t xml:space="preserve">development, this issue’s case study report on Laverton North </w:t>
      </w:r>
      <w:r w:rsidR="00CF63D2">
        <w:rPr>
          <w:rFonts w:cs="Tahoma"/>
        </w:rPr>
        <w:t xml:space="preserve">provides an important insight into the way in which long term planning can facilitate economic growth. </w:t>
      </w:r>
    </w:p>
    <w:p w:rsidR="00213CCD" w:rsidRDefault="00751F9F" w:rsidP="00952C25">
      <w:pPr>
        <w:spacing w:afterLines="113" w:after="271" w:line="240" w:lineRule="atLeast"/>
        <w:ind w:left="4321" w:hanging="1"/>
        <w:rPr>
          <w:rFonts w:cs="Tahoma"/>
        </w:rPr>
      </w:pPr>
      <w:r w:rsidRPr="00D041E1">
        <w:rPr>
          <w:rFonts w:cs="Tahoma"/>
        </w:rPr>
        <w:t xml:space="preserve">Since </w:t>
      </w:r>
      <w:r w:rsidR="007B63AD" w:rsidRPr="00D041E1">
        <w:rPr>
          <w:rFonts w:cs="Tahoma"/>
        </w:rPr>
        <w:t>the</w:t>
      </w:r>
      <w:r w:rsidRPr="00D041E1">
        <w:rPr>
          <w:rFonts w:cs="Tahoma"/>
        </w:rPr>
        <w:t xml:space="preserve"> last edition of </w:t>
      </w:r>
      <w:r w:rsidRPr="00D041E1">
        <w:rPr>
          <w:rFonts w:cs="Tahoma"/>
          <w:i/>
        </w:rPr>
        <w:t>Research Matters</w:t>
      </w:r>
      <w:r w:rsidRPr="00D041E1">
        <w:rPr>
          <w:rFonts w:cs="Tahoma"/>
        </w:rPr>
        <w:t xml:space="preserve">, the </w:t>
      </w:r>
      <w:r w:rsidR="007B63AD" w:rsidRPr="00D041E1">
        <w:rPr>
          <w:rFonts w:cs="Tahoma"/>
        </w:rPr>
        <w:t>b</w:t>
      </w:r>
      <w:r w:rsidRPr="00D041E1">
        <w:rPr>
          <w:rFonts w:cs="Tahoma"/>
        </w:rPr>
        <w:t xml:space="preserve">ranch has released the 2014 Urban Development Program (UDP) report. The UDP for metropolitan Melbourne's residential market provides an annual report on the pipeline of supply of </w:t>
      </w:r>
      <w:proofErr w:type="spellStart"/>
      <w:r w:rsidRPr="00D041E1">
        <w:rPr>
          <w:rFonts w:cs="Tahoma"/>
        </w:rPr>
        <w:t>broadhectare</w:t>
      </w:r>
      <w:proofErr w:type="spellEnd"/>
      <w:r w:rsidRPr="00D041E1">
        <w:rPr>
          <w:rFonts w:cs="Tahoma"/>
        </w:rPr>
        <w:t xml:space="preserve"> residential land and residential redevelopment projects in established areas. </w:t>
      </w:r>
      <w:r w:rsidR="007B63AD" w:rsidRPr="00D041E1">
        <w:rPr>
          <w:rFonts w:cs="Tahoma"/>
        </w:rPr>
        <w:t>V</w:t>
      </w:r>
      <w:r w:rsidRPr="00D041E1">
        <w:rPr>
          <w:rFonts w:cs="Tahoma"/>
        </w:rPr>
        <w:t>iew it online at:</w:t>
      </w:r>
      <w:r w:rsidR="00CA6E54">
        <w:rPr>
          <w:rFonts w:cs="Tahoma"/>
        </w:rPr>
        <w:t xml:space="preserve"> </w:t>
      </w:r>
      <w:hyperlink r:id="rId13" w:history="1">
        <w:r w:rsidR="00CA6E54" w:rsidRPr="00CD2A49">
          <w:rPr>
            <w:rStyle w:val="Hyperlink"/>
            <w:rFonts w:cs="Tahoma"/>
          </w:rPr>
          <w:t>http://www.dtpli.vic.gov.au/planning/plans-and-policies/urban-development-program</w:t>
        </w:r>
      </w:hyperlink>
      <w:r w:rsidR="00CA6E54">
        <w:rPr>
          <w:rFonts w:cs="Tahoma"/>
        </w:rPr>
        <w:t xml:space="preserve"> </w:t>
      </w:r>
      <w:r w:rsidR="00493A1E">
        <w:rPr>
          <w:noProof/>
          <w:lang w:eastAsia="en-AU"/>
        </w:rPr>
        <w:pict>
          <v:rect id="_x0000_s1110" style="position:absolute;left:0;text-align:left;margin-left:262.3pt;margin-top:216.25pt;width:29.1pt;height:18pt;z-index:2;mso-position-horizontal-relative:text;mso-position-vertical-relative:text" stroked="f"/>
        </w:pict>
      </w:r>
      <w:r w:rsidR="00CA6E54">
        <w:rPr>
          <w:rFonts w:cs="Tahoma"/>
        </w:rPr>
        <w:t xml:space="preserve"> </w:t>
      </w:r>
    </w:p>
    <w:p w:rsidR="00213CCD" w:rsidRPr="00213CCD" w:rsidRDefault="00213CCD" w:rsidP="00213CCD">
      <w:pPr>
        <w:rPr>
          <w:rFonts w:cs="Tahoma"/>
        </w:rPr>
      </w:pPr>
    </w:p>
    <w:p w:rsidR="00213CCD" w:rsidRDefault="00213CCD" w:rsidP="00213CCD">
      <w:pPr>
        <w:tabs>
          <w:tab w:val="left" w:pos="1938"/>
        </w:tabs>
        <w:rPr>
          <w:rFonts w:cs="Tahoma"/>
        </w:rPr>
      </w:pPr>
    </w:p>
    <w:p w:rsidR="00664E33" w:rsidRPr="00213CCD" w:rsidRDefault="00664E33" w:rsidP="00213CCD">
      <w:pPr>
        <w:rPr>
          <w:rFonts w:cs="Tahoma"/>
        </w:rPr>
        <w:sectPr w:rsidR="00664E33" w:rsidRPr="00213CCD" w:rsidSect="007C2A14">
          <w:type w:val="continuous"/>
          <w:pgSz w:w="11906" w:h="16838"/>
          <w:pgMar w:top="1440" w:right="851" w:bottom="1440" w:left="709" w:header="709" w:footer="0" w:gutter="0"/>
          <w:cols w:space="1693"/>
          <w:titlePg/>
          <w:docGrid w:linePitch="360"/>
        </w:sectPr>
      </w:pPr>
    </w:p>
    <w:p w:rsidR="002F28B4" w:rsidRDefault="002F28B4" w:rsidP="00E31DDA">
      <w:pPr>
        <w:spacing w:afterLines="113" w:after="271" w:line="240" w:lineRule="atLeast"/>
        <w:rPr>
          <w:rFonts w:cs="Tahoma"/>
          <w:b/>
          <w:bCs/>
          <w:color w:val="E36C0A"/>
        </w:rPr>
        <w:sectPr w:rsidR="002F28B4" w:rsidSect="00952C25">
          <w:headerReference w:type="default" r:id="rId14"/>
          <w:headerReference w:type="first" r:id="rId15"/>
          <w:type w:val="continuous"/>
          <w:pgSz w:w="11906" w:h="16838"/>
          <w:pgMar w:top="1440" w:right="873" w:bottom="1276" w:left="873" w:header="709" w:footer="0" w:gutter="0"/>
          <w:cols w:num="2" w:space="708"/>
          <w:titlePg/>
          <w:docGrid w:linePitch="360"/>
        </w:sectPr>
      </w:pPr>
    </w:p>
    <w:p w:rsidR="002F28B4" w:rsidRPr="002F28B4" w:rsidRDefault="00922D5A" w:rsidP="00E31DDA">
      <w:pPr>
        <w:spacing w:afterLines="113" w:after="271" w:line="240" w:lineRule="atLeast"/>
        <w:rPr>
          <w:rFonts w:cs="Tahoma"/>
          <w:bCs/>
          <w:color w:val="228591"/>
          <w:sz w:val="40"/>
        </w:rPr>
        <w:sectPr w:rsidR="002F28B4" w:rsidRPr="002F28B4" w:rsidSect="002F28B4">
          <w:headerReference w:type="first" r:id="rId16"/>
          <w:footerReference w:type="first" r:id="rId17"/>
          <w:pgSz w:w="11906" w:h="16838"/>
          <w:pgMar w:top="1440" w:right="873" w:bottom="1276" w:left="873" w:header="709" w:footer="0" w:gutter="0"/>
          <w:cols w:space="708"/>
          <w:titlePg/>
          <w:docGrid w:linePitch="360"/>
        </w:sectPr>
      </w:pPr>
      <w:r w:rsidRPr="002F28B4">
        <w:rPr>
          <w:rFonts w:cs="Tahoma"/>
          <w:bCs/>
          <w:color w:val="228591"/>
          <w:sz w:val="40"/>
        </w:rPr>
        <w:lastRenderedPageBreak/>
        <w:t>Melbourne</w:t>
      </w:r>
      <w:r w:rsidR="00455165" w:rsidRPr="002F28B4">
        <w:rPr>
          <w:rFonts w:cs="Tahoma"/>
          <w:bCs/>
          <w:color w:val="228591"/>
          <w:sz w:val="40"/>
        </w:rPr>
        <w:t xml:space="preserve">’s residential boom continues </w:t>
      </w:r>
      <w:r w:rsidR="00EC5A89" w:rsidRPr="002F28B4">
        <w:rPr>
          <w:rFonts w:cs="Tahoma"/>
          <w:bCs/>
          <w:color w:val="228591"/>
          <w:sz w:val="40"/>
        </w:rPr>
        <w:t xml:space="preserve">with unprecedented </w:t>
      </w:r>
      <w:r w:rsidRPr="002F28B4">
        <w:rPr>
          <w:rFonts w:cs="Tahoma"/>
          <w:bCs/>
          <w:color w:val="228591"/>
          <w:sz w:val="40"/>
        </w:rPr>
        <w:t xml:space="preserve">numbers of </w:t>
      </w:r>
      <w:r w:rsidR="00455165" w:rsidRPr="002F28B4">
        <w:rPr>
          <w:rFonts w:cs="Tahoma"/>
          <w:bCs/>
          <w:color w:val="228591"/>
          <w:sz w:val="40"/>
        </w:rPr>
        <w:t>town house and apartment</w:t>
      </w:r>
      <w:r w:rsidR="00EC5A89" w:rsidRPr="002F28B4">
        <w:rPr>
          <w:rFonts w:cs="Tahoma"/>
          <w:bCs/>
          <w:color w:val="228591"/>
          <w:sz w:val="40"/>
        </w:rPr>
        <w:t xml:space="preserve"> developments</w:t>
      </w:r>
    </w:p>
    <w:p w:rsidR="000A1E93" w:rsidRPr="002F28B4" w:rsidRDefault="000A1E93" w:rsidP="00E31DDA">
      <w:pPr>
        <w:spacing w:afterLines="113" w:after="271" w:line="240" w:lineRule="atLeast"/>
        <w:rPr>
          <w:rFonts w:cs="Tahoma"/>
          <w:b/>
          <w:color w:val="228591"/>
          <w:sz w:val="28"/>
        </w:rPr>
      </w:pPr>
      <w:r w:rsidRPr="002F28B4">
        <w:rPr>
          <w:rFonts w:cs="Tahoma"/>
          <w:b/>
          <w:color w:val="228591"/>
          <w:sz w:val="28"/>
        </w:rPr>
        <w:lastRenderedPageBreak/>
        <w:t>Melbourne’s housing boom</w:t>
      </w:r>
    </w:p>
    <w:p w:rsidR="00DF2815" w:rsidRPr="00D041E1" w:rsidRDefault="00DF2815" w:rsidP="00E31DDA">
      <w:pPr>
        <w:spacing w:afterLines="113" w:after="271" w:line="240" w:lineRule="atLeast"/>
        <w:rPr>
          <w:rFonts w:cs="Tahoma"/>
        </w:rPr>
      </w:pPr>
      <w:r w:rsidRPr="00D041E1">
        <w:rPr>
          <w:rFonts w:cs="Tahoma"/>
        </w:rPr>
        <w:t>Within the last decade</w:t>
      </w:r>
      <w:r w:rsidR="000A1E93" w:rsidRPr="00D041E1">
        <w:rPr>
          <w:rFonts w:cs="Tahoma"/>
        </w:rPr>
        <w:t>,</w:t>
      </w:r>
      <w:r w:rsidRPr="00D041E1">
        <w:rPr>
          <w:rFonts w:cs="Tahoma"/>
        </w:rPr>
        <w:t xml:space="preserve"> Melbourne has experienced a residential building boom and an unprecedented shift in the types of dwellings being built. This shift has happened quickly and shows no sign of slowing. </w:t>
      </w:r>
    </w:p>
    <w:p w:rsidR="002F28B4" w:rsidRDefault="00DF2815" w:rsidP="00E31DDA">
      <w:pPr>
        <w:spacing w:afterLines="113" w:after="271" w:line="240" w:lineRule="atLeast"/>
        <w:rPr>
          <w:rFonts w:cs="Tahoma"/>
        </w:rPr>
        <w:sectPr w:rsidR="002F28B4" w:rsidSect="002F28B4">
          <w:type w:val="continuous"/>
          <w:pgSz w:w="11906" w:h="16838"/>
          <w:pgMar w:top="1440" w:right="873" w:bottom="1276" w:left="873" w:header="709" w:footer="0" w:gutter="0"/>
          <w:cols w:num="2" w:space="708"/>
          <w:titlePg/>
          <w:docGrid w:linePitch="360"/>
        </w:sectPr>
      </w:pPr>
      <w:r w:rsidRPr="00D041E1">
        <w:rPr>
          <w:rFonts w:cs="Tahoma"/>
        </w:rPr>
        <w:t>Until about 2007</w:t>
      </w:r>
      <w:r w:rsidR="000A1E93" w:rsidRPr="00D041E1">
        <w:rPr>
          <w:rFonts w:cs="Tahoma"/>
        </w:rPr>
        <w:t>,</w:t>
      </w:r>
      <w:r w:rsidRPr="00D041E1">
        <w:rPr>
          <w:rFonts w:cs="Tahoma"/>
        </w:rPr>
        <w:t xml:space="preserve"> Melbourne’s residential construction industry was fairly predictable</w:t>
      </w:r>
      <w:r w:rsidR="00B93EA9" w:rsidRPr="00D041E1">
        <w:rPr>
          <w:rFonts w:cs="Tahoma"/>
        </w:rPr>
        <w:t xml:space="preserve">. </w:t>
      </w:r>
      <w:r w:rsidR="00B93EA9" w:rsidRPr="00D041E1">
        <w:rPr>
          <w:rFonts w:cs="Tahoma"/>
        </w:rPr>
        <w:lastRenderedPageBreak/>
        <w:t>D</w:t>
      </w:r>
      <w:r w:rsidRPr="00D041E1">
        <w:rPr>
          <w:rFonts w:cs="Tahoma"/>
        </w:rPr>
        <w:t xml:space="preserve">etached houses in growth areas and largely on remnant </w:t>
      </w:r>
      <w:proofErr w:type="spellStart"/>
      <w:r w:rsidRPr="00D041E1">
        <w:rPr>
          <w:rFonts w:cs="Tahoma"/>
        </w:rPr>
        <w:t>broadhectare</w:t>
      </w:r>
      <w:proofErr w:type="spellEnd"/>
      <w:r w:rsidRPr="00D041E1">
        <w:rPr>
          <w:rFonts w:cs="Tahoma"/>
        </w:rPr>
        <w:t xml:space="preserve"> lots in outer suburbs made up about two thirds of </w:t>
      </w:r>
      <w:r w:rsidR="00A24FD6" w:rsidRPr="00D041E1">
        <w:rPr>
          <w:rFonts w:cs="Tahoma"/>
        </w:rPr>
        <w:t>about</w:t>
      </w:r>
      <w:r w:rsidRPr="00D041E1">
        <w:rPr>
          <w:rFonts w:cs="Tahoma"/>
        </w:rPr>
        <w:t xml:space="preserve"> 30,000 dwelling</w:t>
      </w:r>
      <w:r w:rsidR="00A24FD6" w:rsidRPr="00D041E1">
        <w:rPr>
          <w:rFonts w:cs="Tahoma"/>
        </w:rPr>
        <w:t>s</w:t>
      </w:r>
      <w:r w:rsidRPr="00D041E1">
        <w:rPr>
          <w:rFonts w:cs="Tahoma"/>
        </w:rPr>
        <w:t xml:space="preserve"> approv</w:t>
      </w:r>
      <w:r w:rsidR="00A24FD6" w:rsidRPr="00D041E1">
        <w:rPr>
          <w:rFonts w:cs="Tahoma"/>
        </w:rPr>
        <w:t>ed</w:t>
      </w:r>
      <w:r w:rsidRPr="00D041E1">
        <w:rPr>
          <w:rFonts w:cs="Tahoma"/>
        </w:rPr>
        <w:t xml:space="preserve"> each year</w:t>
      </w:r>
      <w:r w:rsidR="00B93EA9" w:rsidRPr="00D041E1">
        <w:rPr>
          <w:rFonts w:cs="Tahoma"/>
        </w:rPr>
        <w:t>. T</w:t>
      </w:r>
      <w:r w:rsidRPr="00D041E1">
        <w:rPr>
          <w:rFonts w:cs="Tahoma"/>
        </w:rPr>
        <w:t>here was a smaller steady supply of small blocks of flats and townhouses in the middle and outer suburbs</w:t>
      </w:r>
      <w:r w:rsidR="00B93EA9" w:rsidRPr="00D041E1">
        <w:rPr>
          <w:rFonts w:cs="Tahoma"/>
        </w:rPr>
        <w:t>,</w:t>
      </w:r>
      <w:r w:rsidRPr="00D041E1">
        <w:rPr>
          <w:rFonts w:cs="Tahoma"/>
        </w:rPr>
        <w:t xml:space="preserve"> and a similar volume of supply – although a more volatile one – of high rise apartments, almost entirely confined to the CBD, Docklands and Southbank (</w:t>
      </w:r>
      <w:r w:rsidR="000A1E93" w:rsidRPr="00D041E1">
        <w:rPr>
          <w:rFonts w:cs="Tahoma"/>
        </w:rPr>
        <w:t>f</w:t>
      </w:r>
      <w:r w:rsidRPr="00D041E1">
        <w:rPr>
          <w:rFonts w:cs="Tahoma"/>
        </w:rPr>
        <w:t>igure 1)</w:t>
      </w:r>
      <w:r w:rsidR="000A1E93" w:rsidRPr="00D041E1">
        <w:rPr>
          <w:rFonts w:cs="Tahoma"/>
        </w:rPr>
        <w:t>.</w:t>
      </w:r>
    </w:p>
    <w:p w:rsidR="008C436C" w:rsidRDefault="008C436C" w:rsidP="008C436C">
      <w:pPr>
        <w:spacing w:after="0" w:line="240" w:lineRule="auto"/>
        <w:rPr>
          <w:rFonts w:cs="Tahoma"/>
          <w:i/>
        </w:rPr>
      </w:pPr>
    </w:p>
    <w:p w:rsidR="00DF2815" w:rsidRPr="00D041E1" w:rsidRDefault="00DF2815" w:rsidP="008C436C">
      <w:pPr>
        <w:spacing w:afterLines="113" w:after="271" w:line="240" w:lineRule="auto"/>
        <w:rPr>
          <w:rFonts w:cs="Tahoma"/>
          <w:i/>
        </w:rPr>
      </w:pPr>
      <w:r w:rsidRPr="00D041E1">
        <w:rPr>
          <w:rFonts w:cs="Tahoma"/>
          <w:i/>
        </w:rPr>
        <w:t>Figure 1: Annual number of building approvals by selected dwelling type and location, Melbourne 2001-2007</w:t>
      </w:r>
    </w:p>
    <w:p w:rsidR="00DF2815" w:rsidRPr="00D041E1" w:rsidRDefault="00493A1E" w:rsidP="00E31DDA">
      <w:pPr>
        <w:spacing w:afterLines="113" w:after="271" w:line="240" w:lineRule="atLeast"/>
        <w:rPr>
          <w:rFonts w:cs="Tahoma"/>
        </w:rPr>
      </w:pPr>
      <w:r>
        <w:rPr>
          <w:rFonts w:cs="Tahoma"/>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1.75pt;height:236.75pt;visibility:visible;mso-wrap-style:square">
            <v:imagedata r:id="rId18" o:title=""/>
          </v:shape>
        </w:pict>
      </w:r>
    </w:p>
    <w:p w:rsidR="002F28B4" w:rsidRDefault="00DF2815" w:rsidP="00E31DDA">
      <w:pPr>
        <w:spacing w:afterLines="113" w:after="271" w:line="240" w:lineRule="atLeast"/>
        <w:rPr>
          <w:rFonts w:cs="Tahoma"/>
          <w:i/>
        </w:rPr>
        <w:sectPr w:rsidR="002F28B4" w:rsidSect="002F28B4">
          <w:type w:val="continuous"/>
          <w:pgSz w:w="11906" w:h="16838"/>
          <w:pgMar w:top="1440" w:right="873" w:bottom="1276" w:left="873" w:header="709" w:footer="0" w:gutter="0"/>
          <w:cols w:space="708"/>
          <w:titlePg/>
          <w:docGrid w:linePitch="360"/>
        </w:sectPr>
      </w:pPr>
      <w:r w:rsidRPr="00D041E1">
        <w:rPr>
          <w:rFonts w:cs="Tahoma"/>
          <w:i/>
        </w:rPr>
        <w:t>Source: ABS Building Approvals, cat. no. 8731.0</w:t>
      </w:r>
    </w:p>
    <w:p w:rsidR="000A1E93" w:rsidRPr="002F28B4" w:rsidRDefault="000A1E93" w:rsidP="00E31DDA">
      <w:pPr>
        <w:spacing w:afterLines="113" w:after="271" w:line="240" w:lineRule="atLeast"/>
        <w:rPr>
          <w:rFonts w:cs="Tahoma"/>
          <w:b/>
          <w:color w:val="228591"/>
          <w:sz w:val="28"/>
        </w:rPr>
      </w:pPr>
      <w:r w:rsidRPr="002F28B4">
        <w:rPr>
          <w:rFonts w:cs="Tahoma"/>
          <w:b/>
          <w:color w:val="228591"/>
          <w:sz w:val="28"/>
        </w:rPr>
        <w:lastRenderedPageBreak/>
        <w:t xml:space="preserve">Residential development </w:t>
      </w:r>
      <w:r w:rsidR="00BD2D74">
        <w:rPr>
          <w:rFonts w:cs="Tahoma"/>
          <w:b/>
          <w:color w:val="228591"/>
          <w:sz w:val="28"/>
        </w:rPr>
        <w:t>after</w:t>
      </w:r>
      <w:r w:rsidR="00BD2D74" w:rsidRPr="002F28B4">
        <w:rPr>
          <w:rFonts w:cs="Tahoma"/>
          <w:b/>
          <w:color w:val="228591"/>
          <w:sz w:val="28"/>
        </w:rPr>
        <w:t xml:space="preserve"> </w:t>
      </w:r>
      <w:r w:rsidRPr="002F28B4">
        <w:rPr>
          <w:rFonts w:cs="Tahoma"/>
          <w:b/>
          <w:color w:val="228591"/>
          <w:sz w:val="28"/>
        </w:rPr>
        <w:t>2008</w:t>
      </w:r>
    </w:p>
    <w:p w:rsidR="00DF2815" w:rsidRPr="00D041E1" w:rsidRDefault="00DF2815" w:rsidP="00E31DDA">
      <w:pPr>
        <w:spacing w:afterLines="113" w:after="271" w:line="240" w:lineRule="atLeast"/>
        <w:rPr>
          <w:rFonts w:cs="Tahoma"/>
        </w:rPr>
      </w:pPr>
      <w:r w:rsidRPr="00D041E1">
        <w:rPr>
          <w:rFonts w:cs="Tahoma"/>
        </w:rPr>
        <w:t>In 2008</w:t>
      </w:r>
      <w:r w:rsidR="00DB6D4F" w:rsidRPr="00D041E1">
        <w:rPr>
          <w:rFonts w:cs="Tahoma"/>
        </w:rPr>
        <w:t>,</w:t>
      </w:r>
      <w:r w:rsidRPr="00D041E1">
        <w:rPr>
          <w:rFonts w:cs="Tahoma"/>
        </w:rPr>
        <w:t xml:space="preserve"> approvals start</w:t>
      </w:r>
      <w:r w:rsidR="00DB6D4F" w:rsidRPr="00D041E1">
        <w:rPr>
          <w:rFonts w:cs="Tahoma"/>
        </w:rPr>
        <w:t>ed</w:t>
      </w:r>
      <w:r w:rsidRPr="00D041E1">
        <w:rPr>
          <w:rFonts w:cs="Tahoma"/>
        </w:rPr>
        <w:t xml:space="preserve"> increasing and </w:t>
      </w:r>
      <w:r w:rsidR="002A762E" w:rsidRPr="00D041E1">
        <w:rPr>
          <w:rFonts w:cs="Tahoma"/>
        </w:rPr>
        <w:t>accelerated</w:t>
      </w:r>
      <w:r w:rsidRPr="00D041E1">
        <w:rPr>
          <w:rFonts w:cs="Tahoma"/>
        </w:rPr>
        <w:t xml:space="preserve"> </w:t>
      </w:r>
      <w:r w:rsidR="002A762E" w:rsidRPr="00D041E1">
        <w:rPr>
          <w:rFonts w:cs="Tahoma"/>
        </w:rPr>
        <w:t>t</w:t>
      </w:r>
      <w:r w:rsidRPr="00D041E1">
        <w:rPr>
          <w:rFonts w:cs="Tahoma"/>
        </w:rPr>
        <w:t>o reach a record high of 45,000 approvals in 2010.</w:t>
      </w:r>
      <w:r w:rsidR="006057CA">
        <w:rPr>
          <w:rFonts w:cs="Tahoma"/>
        </w:rPr>
        <w:t xml:space="preserve"> </w:t>
      </w:r>
      <w:r w:rsidR="005D24B5">
        <w:rPr>
          <w:rFonts w:cs="Tahoma"/>
        </w:rPr>
        <w:t xml:space="preserve">This was driven by a boom in growth area supply and </w:t>
      </w:r>
      <w:r w:rsidRPr="00D041E1">
        <w:rPr>
          <w:rFonts w:cs="Tahoma"/>
        </w:rPr>
        <w:t xml:space="preserve">growth in the number of apartments </w:t>
      </w:r>
      <w:r w:rsidR="006057CA">
        <w:rPr>
          <w:rFonts w:cs="Tahoma"/>
        </w:rPr>
        <w:t>(</w:t>
      </w:r>
      <w:r w:rsidRPr="00D041E1">
        <w:rPr>
          <w:rFonts w:cs="Tahoma"/>
        </w:rPr>
        <w:t>largely high</w:t>
      </w:r>
      <w:r w:rsidR="00922D5A" w:rsidRPr="00D041E1">
        <w:rPr>
          <w:rFonts w:cs="Tahoma"/>
        </w:rPr>
        <w:t>-</w:t>
      </w:r>
      <w:r w:rsidRPr="00D041E1">
        <w:rPr>
          <w:rFonts w:cs="Tahoma"/>
        </w:rPr>
        <w:t>rise, high density</w:t>
      </w:r>
      <w:r w:rsidR="006057CA">
        <w:rPr>
          <w:rFonts w:cs="Tahoma"/>
        </w:rPr>
        <w:t>)</w:t>
      </w:r>
      <w:r w:rsidRPr="00D041E1">
        <w:rPr>
          <w:rFonts w:cs="Tahoma"/>
        </w:rPr>
        <w:t xml:space="preserve"> </w:t>
      </w:r>
      <w:r w:rsidR="005D24B5">
        <w:rPr>
          <w:rFonts w:cs="Tahoma"/>
        </w:rPr>
        <w:t xml:space="preserve">being approved </w:t>
      </w:r>
      <w:r w:rsidRPr="00D041E1">
        <w:rPr>
          <w:rFonts w:cs="Tahoma"/>
        </w:rPr>
        <w:t xml:space="preserve">in the central city. </w:t>
      </w:r>
    </w:p>
    <w:p w:rsidR="00AB355D" w:rsidRPr="00D041E1" w:rsidRDefault="005D24B5" w:rsidP="00E31DDA">
      <w:pPr>
        <w:spacing w:afterLines="113" w:after="271" w:line="240" w:lineRule="atLeast"/>
        <w:rPr>
          <w:rFonts w:cs="Tahoma"/>
        </w:rPr>
      </w:pPr>
      <w:r>
        <w:rPr>
          <w:rFonts w:cs="Tahoma"/>
        </w:rPr>
        <w:t xml:space="preserve">Since 2010 </w:t>
      </w:r>
      <w:r w:rsidR="002C7E9A">
        <w:rPr>
          <w:rFonts w:cs="Tahoma"/>
        </w:rPr>
        <w:t xml:space="preserve">apartment development has spread beyond the central city to increasing numbers of middle ring suburbs. </w:t>
      </w:r>
      <w:r w:rsidR="006057CA">
        <w:rPr>
          <w:rFonts w:cs="Tahoma"/>
        </w:rPr>
        <w:t xml:space="preserve">The year </w:t>
      </w:r>
      <w:r w:rsidR="002C7E9A">
        <w:rPr>
          <w:rFonts w:cs="Tahoma"/>
        </w:rPr>
        <w:t xml:space="preserve">2014 saw a new approvals record which </w:t>
      </w:r>
      <w:r w:rsidR="00DF2815" w:rsidRPr="00D041E1">
        <w:rPr>
          <w:rFonts w:cs="Tahoma"/>
        </w:rPr>
        <w:t xml:space="preserve">was almost entirely due to </w:t>
      </w:r>
      <w:r>
        <w:rPr>
          <w:rFonts w:cs="Tahoma"/>
        </w:rPr>
        <w:lastRenderedPageBreak/>
        <w:t xml:space="preserve">the approval of </w:t>
      </w:r>
      <w:r w:rsidR="00F96E36">
        <w:rPr>
          <w:rFonts w:cs="Tahoma"/>
        </w:rPr>
        <w:t>m</w:t>
      </w:r>
      <w:r w:rsidR="006057CA">
        <w:rPr>
          <w:rFonts w:cs="Tahoma"/>
        </w:rPr>
        <w:t>e</w:t>
      </w:r>
      <w:r w:rsidR="00F96E36">
        <w:rPr>
          <w:rFonts w:cs="Tahoma"/>
        </w:rPr>
        <w:t>d</w:t>
      </w:r>
      <w:r w:rsidR="006057CA">
        <w:rPr>
          <w:rFonts w:cs="Tahoma"/>
        </w:rPr>
        <w:t>ium-</w:t>
      </w:r>
      <w:r w:rsidR="00F96E36">
        <w:rPr>
          <w:rFonts w:cs="Tahoma"/>
        </w:rPr>
        <w:t xml:space="preserve"> to high</w:t>
      </w:r>
      <w:r w:rsidR="006057CA">
        <w:rPr>
          <w:rFonts w:cs="Tahoma"/>
        </w:rPr>
        <w:t>-</w:t>
      </w:r>
      <w:r w:rsidR="00F96E36">
        <w:rPr>
          <w:rFonts w:cs="Tahoma"/>
        </w:rPr>
        <w:t xml:space="preserve">rise </w:t>
      </w:r>
      <w:r w:rsidR="00DF2815" w:rsidRPr="00D041E1">
        <w:rPr>
          <w:rFonts w:cs="Tahoma"/>
        </w:rPr>
        <w:t>apartments in inner and middle suburbs</w:t>
      </w:r>
      <w:r w:rsidR="00AB355D" w:rsidRPr="00D041E1">
        <w:rPr>
          <w:rFonts w:cs="Tahoma"/>
        </w:rPr>
        <w:t xml:space="preserve"> </w:t>
      </w:r>
      <w:r w:rsidR="00DF2815" w:rsidRPr="00D041E1">
        <w:rPr>
          <w:rFonts w:cs="Tahoma"/>
        </w:rPr>
        <w:t>and</w:t>
      </w:r>
      <w:r w:rsidR="00AB355D" w:rsidRPr="00D041E1">
        <w:rPr>
          <w:rFonts w:cs="Tahoma"/>
        </w:rPr>
        <w:t>,</w:t>
      </w:r>
      <w:r w:rsidR="00DF2815" w:rsidRPr="00D041E1">
        <w:rPr>
          <w:rFonts w:cs="Tahoma"/>
        </w:rPr>
        <w:t xml:space="preserve"> to a lesser extent</w:t>
      </w:r>
      <w:r w:rsidR="00AB355D" w:rsidRPr="00D041E1">
        <w:rPr>
          <w:rFonts w:cs="Tahoma"/>
        </w:rPr>
        <w:t>,</w:t>
      </w:r>
      <w:r w:rsidR="00DF2815" w:rsidRPr="00D041E1">
        <w:rPr>
          <w:rFonts w:cs="Tahoma"/>
        </w:rPr>
        <w:t xml:space="preserve"> an increase in the number of small blocks of flats and townhouses in the middle and outer suburbs. </w:t>
      </w:r>
    </w:p>
    <w:p w:rsidR="00F96E36" w:rsidRDefault="00DF2815" w:rsidP="00E31DDA">
      <w:pPr>
        <w:spacing w:afterLines="113" w:after="271" w:line="240" w:lineRule="atLeast"/>
        <w:rPr>
          <w:rFonts w:cs="Tahoma"/>
        </w:rPr>
      </w:pPr>
      <w:r w:rsidRPr="00D041E1">
        <w:rPr>
          <w:rFonts w:cs="Tahoma"/>
        </w:rPr>
        <w:t>In 2014</w:t>
      </w:r>
      <w:r w:rsidR="00AB355D" w:rsidRPr="00D041E1">
        <w:rPr>
          <w:rFonts w:cs="Tahoma"/>
        </w:rPr>
        <w:t>,</w:t>
      </w:r>
      <w:r w:rsidRPr="00D041E1">
        <w:rPr>
          <w:rFonts w:cs="Tahoma"/>
        </w:rPr>
        <w:t xml:space="preserve"> the number of dwellings approved in small infill developments was more than double the average of the early 2000s and made up 20 per cent of all approvals (</w:t>
      </w:r>
      <w:r w:rsidR="000A1E93" w:rsidRPr="00D041E1">
        <w:rPr>
          <w:rFonts w:cs="Tahoma"/>
        </w:rPr>
        <w:t>f</w:t>
      </w:r>
      <w:r w:rsidRPr="00D041E1">
        <w:rPr>
          <w:rFonts w:cs="Tahoma"/>
        </w:rPr>
        <w:t>igure 2).</w:t>
      </w:r>
      <w:r w:rsidR="002C7E9A">
        <w:rPr>
          <w:rFonts w:cs="Tahoma"/>
        </w:rPr>
        <w:t xml:space="preserve"> </w:t>
      </w:r>
    </w:p>
    <w:p w:rsidR="002F28B4" w:rsidRDefault="00F96E36" w:rsidP="00E31DDA">
      <w:pPr>
        <w:spacing w:afterLines="113" w:after="271" w:line="240" w:lineRule="atLeast"/>
        <w:rPr>
          <w:rFonts w:cs="Tahoma"/>
        </w:rPr>
        <w:sectPr w:rsidR="002F28B4" w:rsidSect="002F28B4">
          <w:type w:val="continuous"/>
          <w:pgSz w:w="11906" w:h="16838"/>
          <w:pgMar w:top="1440" w:right="873" w:bottom="1276" w:left="873" w:header="709" w:footer="0" w:gutter="0"/>
          <w:cols w:num="2" w:space="708"/>
          <w:titlePg/>
          <w:docGrid w:linePitch="360"/>
        </w:sectPr>
      </w:pPr>
      <w:r>
        <w:rPr>
          <w:rFonts w:cs="Tahoma"/>
        </w:rPr>
        <w:t>S</w:t>
      </w:r>
      <w:r w:rsidR="002C7E9A">
        <w:rPr>
          <w:rFonts w:cs="Tahoma"/>
        </w:rPr>
        <w:t>ince 2010 growth</w:t>
      </w:r>
      <w:r w:rsidR="006057CA">
        <w:rPr>
          <w:rFonts w:cs="Tahoma"/>
        </w:rPr>
        <w:t>-</w:t>
      </w:r>
      <w:r w:rsidR="002C7E9A">
        <w:rPr>
          <w:rFonts w:cs="Tahoma"/>
        </w:rPr>
        <w:t xml:space="preserve">area approvals have slowed </w:t>
      </w:r>
      <w:r>
        <w:rPr>
          <w:rFonts w:cs="Tahoma"/>
        </w:rPr>
        <w:t xml:space="preserve">but still make up a substantial proportion of Melbourne’s new housing. </w:t>
      </w:r>
    </w:p>
    <w:p w:rsidR="00DF2815" w:rsidRPr="00D041E1" w:rsidRDefault="00DF2815" w:rsidP="008C436C">
      <w:pPr>
        <w:spacing w:afterLines="113" w:after="271" w:line="240" w:lineRule="auto"/>
        <w:rPr>
          <w:rFonts w:cs="Tahoma"/>
          <w:i/>
        </w:rPr>
      </w:pPr>
      <w:r w:rsidRPr="00D041E1">
        <w:rPr>
          <w:rFonts w:cs="Tahoma"/>
          <w:i/>
        </w:rPr>
        <w:lastRenderedPageBreak/>
        <w:t>Figure 2: Annual number of building approvals by selected dwelling type and location, Melbourne 2001-2014</w:t>
      </w:r>
    </w:p>
    <w:p w:rsidR="00DF2815" w:rsidRPr="00D041E1" w:rsidRDefault="00493A1E" w:rsidP="00E31DDA">
      <w:pPr>
        <w:spacing w:afterLines="113" w:after="271" w:line="240" w:lineRule="atLeast"/>
        <w:rPr>
          <w:rFonts w:cs="Tahoma"/>
        </w:rPr>
      </w:pPr>
      <w:r>
        <w:rPr>
          <w:rFonts w:cs="Tahoma"/>
          <w:noProof/>
          <w:lang w:eastAsia="en-AU"/>
        </w:rPr>
        <w:pict>
          <v:shape id="_x0000_i1027" type="#_x0000_t75" style="width:448.85pt;height:247.15pt;visibility:visible;mso-wrap-style:square">
            <v:imagedata r:id="rId19" o:title=""/>
          </v:shape>
        </w:pict>
      </w:r>
    </w:p>
    <w:p w:rsidR="002F28B4" w:rsidRDefault="00DF2815" w:rsidP="00E31DDA">
      <w:pPr>
        <w:spacing w:afterLines="113" w:after="271" w:line="240" w:lineRule="atLeast"/>
        <w:rPr>
          <w:rFonts w:cs="Tahoma"/>
          <w:i/>
        </w:rPr>
        <w:sectPr w:rsidR="002F28B4" w:rsidSect="002F28B4">
          <w:type w:val="continuous"/>
          <w:pgSz w:w="11906" w:h="16838"/>
          <w:pgMar w:top="1440" w:right="873" w:bottom="1276" w:left="873" w:header="709" w:footer="0" w:gutter="0"/>
          <w:cols w:space="708"/>
          <w:titlePg/>
          <w:docGrid w:linePitch="360"/>
        </w:sectPr>
      </w:pPr>
      <w:r w:rsidRPr="00D041E1">
        <w:rPr>
          <w:rFonts w:cs="Tahoma"/>
          <w:i/>
        </w:rPr>
        <w:t>Source: ABS Building Approvals, cat. No. 8731.0</w:t>
      </w:r>
    </w:p>
    <w:p w:rsidR="00751F9F" w:rsidRPr="00CC0704" w:rsidRDefault="00751F9F" w:rsidP="00E31DDA">
      <w:pPr>
        <w:spacing w:afterLines="113" w:after="271" w:line="240" w:lineRule="atLeast"/>
        <w:rPr>
          <w:rFonts w:cs="Tahoma"/>
          <w:bCs/>
          <w:color w:val="228591"/>
        </w:rPr>
        <w:sectPr w:rsidR="00751F9F" w:rsidRPr="00CC0704" w:rsidSect="002F28B4">
          <w:type w:val="continuous"/>
          <w:pgSz w:w="11906" w:h="16838"/>
          <w:pgMar w:top="1440" w:right="873" w:bottom="1276" w:left="873" w:header="709" w:footer="0" w:gutter="0"/>
          <w:cols w:space="708"/>
          <w:titlePg/>
          <w:docGrid w:linePitch="360"/>
        </w:sectPr>
      </w:pPr>
      <w:r w:rsidRPr="00CC0704">
        <w:rPr>
          <w:rFonts w:cs="Tahoma"/>
          <w:bCs/>
          <w:color w:val="228591"/>
          <w:sz w:val="40"/>
        </w:rPr>
        <w:lastRenderedPageBreak/>
        <w:t>The role of planning in economic development</w:t>
      </w:r>
      <w:r w:rsidR="003A38F8" w:rsidRPr="00CC0704">
        <w:rPr>
          <w:rFonts w:cs="Tahoma"/>
          <w:bCs/>
          <w:color w:val="228591"/>
          <w:sz w:val="40"/>
        </w:rPr>
        <w:t>:</w:t>
      </w:r>
      <w:r w:rsidRPr="00CC0704">
        <w:rPr>
          <w:rFonts w:cs="Tahoma"/>
          <w:bCs/>
          <w:color w:val="228591"/>
          <w:sz w:val="40"/>
        </w:rPr>
        <w:t xml:space="preserve"> </w:t>
      </w:r>
      <w:r w:rsidR="002544C7" w:rsidRPr="00CC0704">
        <w:rPr>
          <w:rFonts w:cs="Tahoma"/>
          <w:bCs/>
          <w:color w:val="228591"/>
          <w:sz w:val="40"/>
        </w:rPr>
        <w:br/>
      </w:r>
      <w:r w:rsidRPr="00CC0704">
        <w:rPr>
          <w:rFonts w:cs="Tahoma"/>
          <w:bCs/>
          <w:color w:val="228591"/>
          <w:sz w:val="40"/>
        </w:rPr>
        <w:t>a case study of the Laverton North industrial area</w:t>
      </w:r>
    </w:p>
    <w:p w:rsidR="00751F9F" w:rsidRPr="00F41D29" w:rsidRDefault="00751F9F" w:rsidP="00E31DDA">
      <w:pPr>
        <w:spacing w:afterLines="113" w:after="271" w:line="240" w:lineRule="atLeast"/>
        <w:rPr>
          <w:rFonts w:cs="Tahoma"/>
          <w:b/>
          <w:noProof/>
          <w:color w:val="228591"/>
          <w:sz w:val="28"/>
        </w:rPr>
      </w:pPr>
      <w:r w:rsidRPr="00F41D29">
        <w:rPr>
          <w:rFonts w:cs="Tahoma"/>
          <w:b/>
          <w:noProof/>
          <w:color w:val="228591"/>
          <w:sz w:val="28"/>
        </w:rPr>
        <w:lastRenderedPageBreak/>
        <w:t>Introduction</w:t>
      </w:r>
    </w:p>
    <w:p w:rsidR="003A38F8" w:rsidRPr="00D041E1" w:rsidRDefault="00751F9F" w:rsidP="00E31DDA">
      <w:pPr>
        <w:spacing w:afterLines="113" w:after="271" w:line="240" w:lineRule="auto"/>
        <w:rPr>
          <w:rFonts w:cs="Tahoma"/>
          <w:noProof/>
        </w:rPr>
      </w:pPr>
      <w:r w:rsidRPr="00D041E1">
        <w:rPr>
          <w:rFonts w:cs="Tahoma"/>
          <w:noProof/>
        </w:rPr>
        <w:t>This article presents a time</w:t>
      </w:r>
      <w:r w:rsidR="006057CA">
        <w:rPr>
          <w:rFonts w:cs="Tahoma"/>
          <w:noProof/>
        </w:rPr>
        <w:t>-</w:t>
      </w:r>
      <w:r w:rsidRPr="00D041E1">
        <w:rPr>
          <w:rFonts w:cs="Tahoma"/>
          <w:noProof/>
        </w:rPr>
        <w:t>series analysis of industrial land consumption in Laverton North</w:t>
      </w:r>
      <w:r w:rsidR="006057CA">
        <w:rPr>
          <w:rFonts w:cs="Tahoma"/>
          <w:noProof/>
        </w:rPr>
        <w:t>,</w:t>
      </w:r>
      <w:r w:rsidRPr="00D041E1">
        <w:rPr>
          <w:rFonts w:cs="Tahoma"/>
          <w:noProof/>
        </w:rPr>
        <w:t xml:space="preserve"> from the early 1990s to today</w:t>
      </w:r>
      <w:r w:rsidR="006057CA">
        <w:rPr>
          <w:rFonts w:cs="Tahoma"/>
          <w:noProof/>
        </w:rPr>
        <w:t>,</w:t>
      </w:r>
      <w:r w:rsidRPr="00D041E1">
        <w:rPr>
          <w:rFonts w:cs="Tahoma"/>
          <w:noProof/>
        </w:rPr>
        <w:t xml:space="preserve"> </w:t>
      </w:r>
      <w:r w:rsidR="00AD557F" w:rsidRPr="00D041E1">
        <w:rPr>
          <w:rFonts w:cs="Tahoma"/>
          <w:noProof/>
        </w:rPr>
        <w:t>to illustrate</w:t>
      </w:r>
      <w:r w:rsidR="00A651C9">
        <w:rPr>
          <w:rFonts w:cs="Tahoma"/>
          <w:noProof/>
        </w:rPr>
        <w:t xml:space="preserve"> the impact of</w:t>
      </w:r>
      <w:r w:rsidR="00AD557F" w:rsidRPr="00D041E1">
        <w:rPr>
          <w:rFonts w:cs="Tahoma"/>
          <w:noProof/>
        </w:rPr>
        <w:t xml:space="preserve"> </w:t>
      </w:r>
      <w:r w:rsidR="00A651C9">
        <w:rPr>
          <w:rFonts w:cs="Tahoma"/>
          <w:noProof/>
        </w:rPr>
        <w:t xml:space="preserve">long term </w:t>
      </w:r>
      <w:r w:rsidRPr="00D041E1">
        <w:rPr>
          <w:rFonts w:cs="Tahoma"/>
          <w:noProof/>
        </w:rPr>
        <w:t>planning</w:t>
      </w:r>
      <w:r w:rsidR="00A651C9">
        <w:rPr>
          <w:rFonts w:cs="Tahoma"/>
          <w:noProof/>
        </w:rPr>
        <w:t xml:space="preserve"> and investment on </w:t>
      </w:r>
      <w:r w:rsidRPr="00D041E1">
        <w:rPr>
          <w:rFonts w:cs="Tahoma"/>
          <w:noProof/>
        </w:rPr>
        <w:t>economic development.</w:t>
      </w:r>
      <w:r w:rsidR="000A1E93" w:rsidRPr="00D041E1">
        <w:rPr>
          <w:rFonts w:cs="Tahoma"/>
          <w:noProof/>
        </w:rPr>
        <w:t xml:space="preserve"> </w:t>
      </w:r>
    </w:p>
    <w:p w:rsidR="00A651C9" w:rsidRDefault="00A651C9" w:rsidP="00CA6E54">
      <w:pPr>
        <w:spacing w:afterLines="113" w:after="271" w:line="240" w:lineRule="auto"/>
        <w:rPr>
          <w:rFonts w:cs="Tahoma"/>
          <w:bCs/>
          <w:noProof/>
        </w:rPr>
      </w:pPr>
      <w:r>
        <w:rPr>
          <w:rFonts w:cs="Tahoma"/>
          <w:noProof/>
        </w:rPr>
        <w:t>O</w:t>
      </w:r>
      <w:r w:rsidR="00AD557F" w:rsidRPr="00D041E1">
        <w:rPr>
          <w:rFonts w:cs="Tahoma"/>
          <w:noProof/>
        </w:rPr>
        <w:t>ver the past 25 years</w:t>
      </w:r>
      <w:r w:rsidR="003D71F7">
        <w:rPr>
          <w:rFonts w:cs="Tahoma"/>
          <w:noProof/>
        </w:rPr>
        <w:t>,</w:t>
      </w:r>
      <w:r w:rsidR="00AD557F" w:rsidRPr="00D041E1">
        <w:rPr>
          <w:rFonts w:cs="Tahoma"/>
          <w:noProof/>
        </w:rPr>
        <w:t xml:space="preserve"> </w:t>
      </w:r>
      <w:r w:rsidR="00CA6E54">
        <w:rPr>
          <w:rFonts w:cs="Tahoma"/>
          <w:noProof/>
        </w:rPr>
        <w:t xml:space="preserve">strategic planning </w:t>
      </w:r>
      <w:r>
        <w:rPr>
          <w:rFonts w:cs="Tahoma"/>
          <w:noProof/>
        </w:rPr>
        <w:t xml:space="preserve">has provided the </w:t>
      </w:r>
      <w:r w:rsidR="00751F9F" w:rsidRPr="00D041E1">
        <w:rPr>
          <w:rFonts w:cs="Tahoma"/>
          <w:bCs/>
          <w:noProof/>
        </w:rPr>
        <w:t xml:space="preserve">preconditions for </w:t>
      </w:r>
      <w:r>
        <w:rPr>
          <w:rFonts w:cs="Tahoma"/>
          <w:bCs/>
          <w:noProof/>
        </w:rPr>
        <w:t xml:space="preserve">Laverton North to realise economic benefits from infrastructure investment and changes in market conditions. </w:t>
      </w:r>
    </w:p>
    <w:p w:rsidR="00751F9F" w:rsidRPr="00D041E1" w:rsidRDefault="00A651C9" w:rsidP="00CA6E54">
      <w:pPr>
        <w:spacing w:afterLines="113" w:after="271" w:line="240" w:lineRule="auto"/>
        <w:rPr>
          <w:rFonts w:cs="Tahoma"/>
          <w:noProof/>
        </w:rPr>
      </w:pPr>
      <w:r>
        <w:rPr>
          <w:rFonts w:cs="Tahoma"/>
          <w:bCs/>
          <w:noProof/>
        </w:rPr>
        <w:t xml:space="preserve">Planning has seeded </w:t>
      </w:r>
      <w:r w:rsidR="00751F9F" w:rsidRPr="00D041E1">
        <w:rPr>
          <w:rFonts w:cs="Tahoma"/>
          <w:bCs/>
          <w:noProof/>
        </w:rPr>
        <w:t>development</w:t>
      </w:r>
      <w:r w:rsidR="00751F9F" w:rsidRPr="00D041E1">
        <w:rPr>
          <w:rFonts w:cs="Tahoma"/>
          <w:noProof/>
        </w:rPr>
        <w:t xml:space="preserve"> </w:t>
      </w:r>
      <w:r w:rsidR="00C42A5B" w:rsidRPr="00D041E1">
        <w:rPr>
          <w:rFonts w:cs="Tahoma"/>
          <w:noProof/>
        </w:rPr>
        <w:t>through</w:t>
      </w:r>
      <w:r w:rsidR="00751F9F" w:rsidRPr="00D041E1">
        <w:rPr>
          <w:rFonts w:cs="Tahoma"/>
          <w:noProof/>
        </w:rPr>
        <w:t xml:space="preserve"> the zoning of suitable (relatively flat</w:t>
      </w:r>
      <w:r w:rsidR="00CA6E54">
        <w:rPr>
          <w:rFonts w:cs="Tahoma"/>
          <w:noProof/>
        </w:rPr>
        <w:t>)</w:t>
      </w:r>
      <w:r w:rsidR="00751F9F" w:rsidRPr="00D041E1">
        <w:rPr>
          <w:rFonts w:cs="Tahoma"/>
          <w:noProof/>
        </w:rPr>
        <w:t xml:space="preserve"> land</w:t>
      </w:r>
      <w:r w:rsidR="000A1E93" w:rsidRPr="00D041E1">
        <w:rPr>
          <w:rFonts w:cs="Tahoma"/>
          <w:noProof/>
        </w:rPr>
        <w:t xml:space="preserve"> and </w:t>
      </w:r>
      <w:r>
        <w:rPr>
          <w:rFonts w:cs="Tahoma"/>
          <w:noProof/>
        </w:rPr>
        <w:t xml:space="preserve">by providing </w:t>
      </w:r>
      <w:r w:rsidR="00751F9F" w:rsidRPr="00D041E1">
        <w:rPr>
          <w:rFonts w:cs="Tahoma"/>
          <w:bCs/>
          <w:noProof/>
        </w:rPr>
        <w:t>market certainty</w:t>
      </w:r>
      <w:r w:rsidR="00751F9F" w:rsidRPr="00D041E1">
        <w:rPr>
          <w:rFonts w:cs="Tahoma"/>
          <w:noProof/>
        </w:rPr>
        <w:t xml:space="preserve"> </w:t>
      </w:r>
      <w:r w:rsidR="00C42A5B" w:rsidRPr="00D041E1">
        <w:rPr>
          <w:rFonts w:cs="Tahoma"/>
          <w:noProof/>
        </w:rPr>
        <w:t xml:space="preserve">through </w:t>
      </w:r>
      <w:r w:rsidR="00751F9F" w:rsidRPr="00D041E1">
        <w:rPr>
          <w:rFonts w:cs="Tahoma"/>
          <w:noProof/>
        </w:rPr>
        <w:t>long</w:t>
      </w:r>
      <w:r w:rsidR="00C42A5B" w:rsidRPr="00D041E1">
        <w:rPr>
          <w:rFonts w:cs="Tahoma"/>
          <w:noProof/>
        </w:rPr>
        <w:t>-</w:t>
      </w:r>
      <w:r w:rsidR="00751F9F" w:rsidRPr="00D041E1">
        <w:rPr>
          <w:rFonts w:cs="Tahoma"/>
          <w:noProof/>
        </w:rPr>
        <w:t xml:space="preserve">term strategic plans </w:t>
      </w:r>
      <w:r w:rsidR="00C42A5B" w:rsidRPr="00D041E1">
        <w:rPr>
          <w:rFonts w:cs="Tahoma"/>
          <w:noProof/>
        </w:rPr>
        <w:t>(including</w:t>
      </w:r>
      <w:r w:rsidR="00751F9F" w:rsidRPr="00D041E1">
        <w:rPr>
          <w:rFonts w:cs="Tahoma"/>
          <w:noProof/>
        </w:rPr>
        <w:t xml:space="preserve"> plans for </w:t>
      </w:r>
      <w:r w:rsidR="00887EF5" w:rsidRPr="00D041E1">
        <w:rPr>
          <w:rFonts w:cs="Tahoma"/>
          <w:noProof/>
        </w:rPr>
        <w:t xml:space="preserve">future </w:t>
      </w:r>
      <w:r w:rsidR="00751F9F" w:rsidRPr="00D041E1">
        <w:rPr>
          <w:rFonts w:cs="Tahoma"/>
          <w:noProof/>
        </w:rPr>
        <w:t>road connections</w:t>
      </w:r>
      <w:r w:rsidR="000A1E93" w:rsidRPr="00D041E1">
        <w:rPr>
          <w:rFonts w:cs="Tahoma"/>
          <w:noProof/>
        </w:rPr>
        <w:t>)</w:t>
      </w:r>
      <w:r w:rsidR="00751F9F" w:rsidRPr="00D041E1">
        <w:rPr>
          <w:rFonts w:cs="Tahoma"/>
          <w:noProof/>
        </w:rPr>
        <w:t>.</w:t>
      </w:r>
    </w:p>
    <w:p w:rsidR="00751F9F" w:rsidRPr="00D041E1" w:rsidRDefault="00720ACA" w:rsidP="00E31DDA">
      <w:pPr>
        <w:spacing w:afterLines="113" w:after="271" w:line="240" w:lineRule="atLeast"/>
        <w:rPr>
          <w:rFonts w:cs="Tahoma"/>
          <w:noProof/>
        </w:rPr>
      </w:pPr>
      <w:r w:rsidRPr="00720ACA">
        <w:rPr>
          <w:rFonts w:cs="Tahoma"/>
          <w:noProof/>
        </w:rPr>
        <w:t>Long-term certainty and major Government investment in the Wester</w:t>
      </w:r>
      <w:r>
        <w:rPr>
          <w:rFonts w:cs="Tahoma"/>
          <w:noProof/>
        </w:rPr>
        <w:t>n</w:t>
      </w:r>
      <w:r w:rsidRPr="00720ACA">
        <w:rPr>
          <w:rFonts w:cs="Tahoma"/>
          <w:noProof/>
        </w:rPr>
        <w:t xml:space="preserve"> Ring Road</w:t>
      </w:r>
      <w:r>
        <w:rPr>
          <w:rFonts w:cs="Tahoma"/>
          <w:noProof/>
        </w:rPr>
        <w:t>,</w:t>
      </w:r>
      <w:r w:rsidRPr="00720ACA">
        <w:rPr>
          <w:rFonts w:cs="Tahoma"/>
          <w:noProof/>
        </w:rPr>
        <w:t xml:space="preserve"> coupled with changes in market conditions</w:t>
      </w:r>
      <w:r>
        <w:rPr>
          <w:rFonts w:cs="Tahoma"/>
          <w:noProof/>
        </w:rPr>
        <w:t>,</w:t>
      </w:r>
      <w:r w:rsidRPr="00720ACA">
        <w:rPr>
          <w:rFonts w:cs="Tahoma"/>
          <w:noProof/>
        </w:rPr>
        <w:t xml:space="preserve"> unlocked the potential of Laverton North for development.</w:t>
      </w:r>
    </w:p>
    <w:p w:rsidR="00751F9F" w:rsidRPr="003D71F7" w:rsidRDefault="00A651C9" w:rsidP="00E31DDA">
      <w:pPr>
        <w:spacing w:afterLines="113" w:after="271" w:line="240" w:lineRule="atLeast"/>
        <w:rPr>
          <w:rFonts w:cs="Tahoma"/>
          <w:i/>
          <w:noProof/>
        </w:rPr>
      </w:pPr>
      <w:r>
        <w:rPr>
          <w:rFonts w:cs="Tahoma"/>
          <w:noProof/>
        </w:rPr>
        <w:lastRenderedPageBreak/>
        <w:t>Key market changes include</w:t>
      </w:r>
      <w:r w:rsidR="00751F9F" w:rsidRPr="00D041E1">
        <w:rPr>
          <w:rFonts w:cs="Tahoma"/>
          <w:noProof/>
        </w:rPr>
        <w:t>:</w:t>
      </w:r>
    </w:p>
    <w:p w:rsidR="00751F9F" w:rsidRPr="00F41D29" w:rsidRDefault="00A651C9" w:rsidP="00E31DDA">
      <w:pPr>
        <w:numPr>
          <w:ilvl w:val="0"/>
          <w:numId w:val="20"/>
        </w:numPr>
        <w:spacing w:afterLines="113" w:after="271" w:line="240" w:lineRule="atLeast"/>
        <w:ind w:left="360"/>
        <w:rPr>
          <w:rFonts w:cs="Tahoma"/>
          <w:noProof/>
        </w:rPr>
      </w:pPr>
      <w:r w:rsidRPr="003D71F7">
        <w:rPr>
          <w:rFonts w:cs="Tahoma"/>
          <w:i/>
          <w:noProof/>
        </w:rPr>
        <w:t xml:space="preserve">Changes to the logistics industry: </w:t>
      </w:r>
      <w:r w:rsidR="00597F83" w:rsidRPr="00F41D29">
        <w:rPr>
          <w:rFonts w:cs="Tahoma"/>
          <w:noProof/>
        </w:rPr>
        <w:t xml:space="preserve">As the size of logistics enterprises </w:t>
      </w:r>
      <w:r>
        <w:rPr>
          <w:rFonts w:cs="Tahoma"/>
          <w:noProof/>
        </w:rPr>
        <w:t xml:space="preserve">has </w:t>
      </w:r>
      <w:r w:rsidR="00597F83" w:rsidRPr="00F41D29">
        <w:rPr>
          <w:rFonts w:cs="Tahoma"/>
          <w:noProof/>
        </w:rPr>
        <w:t xml:space="preserve">increased, </w:t>
      </w:r>
      <w:r w:rsidR="00597F83" w:rsidRPr="00F41D29">
        <w:rPr>
          <w:rFonts w:cs="Tahoma"/>
          <w:bCs/>
          <w:noProof/>
        </w:rPr>
        <w:t xml:space="preserve"> d</w:t>
      </w:r>
      <w:r w:rsidR="00751F9F" w:rsidRPr="00F41D29">
        <w:rPr>
          <w:rFonts w:cs="Tahoma"/>
          <w:bCs/>
          <w:noProof/>
        </w:rPr>
        <w:t>emand for large</w:t>
      </w:r>
      <w:r w:rsidR="00436C98">
        <w:rPr>
          <w:rFonts w:cs="Tahoma"/>
          <w:bCs/>
          <w:noProof/>
        </w:rPr>
        <w:t>r</w:t>
      </w:r>
      <w:r w:rsidR="00751F9F" w:rsidRPr="00F41D29">
        <w:rPr>
          <w:rFonts w:cs="Tahoma"/>
          <w:bCs/>
          <w:noProof/>
        </w:rPr>
        <w:t xml:space="preserve"> pieces of land</w:t>
      </w:r>
      <w:r w:rsidR="00597F83" w:rsidRPr="00F41D29">
        <w:rPr>
          <w:rFonts w:cs="Tahoma"/>
          <w:bCs/>
          <w:noProof/>
        </w:rPr>
        <w:t xml:space="preserve"> </w:t>
      </w:r>
      <w:r w:rsidR="00436C98">
        <w:rPr>
          <w:rFonts w:cs="Tahoma"/>
          <w:bCs/>
          <w:noProof/>
        </w:rPr>
        <w:t xml:space="preserve">has grown. </w:t>
      </w:r>
      <w:r w:rsidR="00436C98">
        <w:rPr>
          <w:rFonts w:cs="Tahoma"/>
          <w:noProof/>
        </w:rPr>
        <w:t xml:space="preserve"> </w:t>
      </w:r>
      <w:r w:rsidR="00597F83" w:rsidRPr="00F41D29">
        <w:rPr>
          <w:rFonts w:cs="Tahoma"/>
          <w:bCs/>
          <w:noProof/>
        </w:rPr>
        <w:t>Access to gateways and markets</w:t>
      </w:r>
      <w:r w:rsidR="00597F83" w:rsidRPr="00F41D29">
        <w:rPr>
          <w:rFonts w:cs="Tahoma"/>
          <w:noProof/>
        </w:rPr>
        <w:t xml:space="preserve"> </w:t>
      </w:r>
      <w:r w:rsidR="00436C98">
        <w:rPr>
          <w:rFonts w:cs="Tahoma"/>
          <w:noProof/>
        </w:rPr>
        <w:t xml:space="preserve">also </w:t>
      </w:r>
      <w:r w:rsidR="00597F83" w:rsidRPr="00F41D29">
        <w:rPr>
          <w:rFonts w:cs="Tahoma"/>
          <w:noProof/>
        </w:rPr>
        <w:t>became more important for many industr</w:t>
      </w:r>
      <w:r w:rsidR="002D779B" w:rsidRPr="00F41D29">
        <w:rPr>
          <w:rFonts w:cs="Tahoma"/>
          <w:noProof/>
        </w:rPr>
        <w:t>i</w:t>
      </w:r>
      <w:r w:rsidR="00597F83" w:rsidRPr="00F41D29">
        <w:rPr>
          <w:rFonts w:cs="Tahoma"/>
          <w:noProof/>
        </w:rPr>
        <w:t xml:space="preserve">al enterprises. This included access to </w:t>
      </w:r>
      <w:r w:rsidR="00751F9F" w:rsidRPr="00F41D29">
        <w:rPr>
          <w:rFonts w:cs="Tahoma"/>
          <w:noProof/>
        </w:rPr>
        <w:t xml:space="preserve">the Port of Melbourne (the largest container port in Australia) </w:t>
      </w:r>
      <w:r w:rsidR="00597F83" w:rsidRPr="00F41D29">
        <w:rPr>
          <w:rFonts w:cs="Tahoma"/>
          <w:noProof/>
        </w:rPr>
        <w:t xml:space="preserve">and to </w:t>
      </w:r>
      <w:r w:rsidR="00751F9F" w:rsidRPr="00F41D29">
        <w:rPr>
          <w:rFonts w:cs="Tahoma"/>
          <w:noProof/>
        </w:rPr>
        <w:t>interstate road network</w:t>
      </w:r>
      <w:r w:rsidR="002D779B" w:rsidRPr="00F41D29">
        <w:rPr>
          <w:rFonts w:cs="Tahoma"/>
          <w:noProof/>
        </w:rPr>
        <w:t>s</w:t>
      </w:r>
      <w:r w:rsidR="00597F83" w:rsidRPr="00F41D29">
        <w:rPr>
          <w:rFonts w:cs="Tahoma"/>
          <w:noProof/>
        </w:rPr>
        <w:t>. Such access</w:t>
      </w:r>
      <w:r w:rsidR="00751F9F" w:rsidRPr="00F41D29">
        <w:rPr>
          <w:rFonts w:cs="Tahoma"/>
          <w:noProof/>
        </w:rPr>
        <w:t xml:space="preserve"> </w:t>
      </w:r>
      <w:r w:rsidR="00436C98">
        <w:rPr>
          <w:rFonts w:cs="Tahoma"/>
          <w:noProof/>
        </w:rPr>
        <w:t xml:space="preserve">has </w:t>
      </w:r>
      <w:r w:rsidR="00751F9F" w:rsidRPr="00F41D29">
        <w:rPr>
          <w:rFonts w:cs="Tahoma"/>
          <w:noProof/>
        </w:rPr>
        <w:t xml:space="preserve">enabled a number of </w:t>
      </w:r>
      <w:r w:rsidR="002D779B" w:rsidRPr="00F41D29">
        <w:rPr>
          <w:rFonts w:cs="Tahoma"/>
          <w:noProof/>
        </w:rPr>
        <w:t>companies</w:t>
      </w:r>
      <w:r w:rsidR="00751F9F" w:rsidRPr="00F41D29">
        <w:rPr>
          <w:rFonts w:cs="Tahoma"/>
          <w:noProof/>
        </w:rPr>
        <w:t xml:space="preserve"> to develop national distribution systems </w:t>
      </w:r>
      <w:r w:rsidR="00597F83" w:rsidRPr="00F41D29">
        <w:rPr>
          <w:rFonts w:cs="Tahoma"/>
          <w:noProof/>
        </w:rPr>
        <w:t xml:space="preserve">from </w:t>
      </w:r>
      <w:r w:rsidR="00751F9F" w:rsidRPr="00F41D29">
        <w:rPr>
          <w:rFonts w:cs="Tahoma"/>
          <w:noProof/>
        </w:rPr>
        <w:t xml:space="preserve">Melbourne’s west. </w:t>
      </w:r>
    </w:p>
    <w:p w:rsidR="00751F9F" w:rsidRPr="00D041E1" w:rsidRDefault="00751F9F" w:rsidP="00E31DDA">
      <w:pPr>
        <w:numPr>
          <w:ilvl w:val="0"/>
          <w:numId w:val="20"/>
        </w:numPr>
        <w:spacing w:afterLines="113" w:after="271" w:line="240" w:lineRule="atLeast"/>
        <w:ind w:left="360"/>
        <w:rPr>
          <w:rFonts w:cs="Tahoma"/>
          <w:noProof/>
        </w:rPr>
      </w:pPr>
      <w:r w:rsidRPr="003D71F7">
        <w:rPr>
          <w:rFonts w:cs="Tahoma"/>
          <w:bCs/>
          <w:i/>
          <w:noProof/>
        </w:rPr>
        <w:t>The rise of Real Estate Investment Trusts (REITs)</w:t>
      </w:r>
      <w:r w:rsidR="003D71F7" w:rsidRPr="003D71F7">
        <w:rPr>
          <w:rFonts w:cs="Tahoma"/>
          <w:bCs/>
          <w:i/>
          <w:noProof/>
        </w:rPr>
        <w:t>:</w:t>
      </w:r>
      <w:r w:rsidR="00436C98">
        <w:rPr>
          <w:rFonts w:cs="Tahoma"/>
          <w:bCs/>
          <w:noProof/>
        </w:rPr>
        <w:t xml:space="preserve"> </w:t>
      </w:r>
      <w:r w:rsidR="003D71F7">
        <w:rPr>
          <w:rFonts w:cs="Tahoma"/>
          <w:bCs/>
          <w:noProof/>
        </w:rPr>
        <w:t xml:space="preserve">REITs have </w:t>
      </w:r>
      <w:r w:rsidR="00597F83" w:rsidRPr="00D041E1">
        <w:rPr>
          <w:rFonts w:cs="Tahoma"/>
          <w:bCs/>
          <w:noProof/>
        </w:rPr>
        <w:t xml:space="preserve">allowed </w:t>
      </w:r>
      <w:r w:rsidRPr="00D041E1">
        <w:rPr>
          <w:rFonts w:cs="Tahoma"/>
          <w:noProof/>
        </w:rPr>
        <w:t xml:space="preserve">industrial land users </w:t>
      </w:r>
      <w:r w:rsidR="00597F83" w:rsidRPr="00D041E1">
        <w:rPr>
          <w:rFonts w:cs="Tahoma"/>
          <w:noProof/>
        </w:rPr>
        <w:t xml:space="preserve">to use </w:t>
      </w:r>
      <w:r w:rsidRPr="00D041E1">
        <w:rPr>
          <w:rFonts w:cs="Tahoma"/>
          <w:noProof/>
        </w:rPr>
        <w:t>purpose</w:t>
      </w:r>
      <w:r w:rsidR="00597F83" w:rsidRPr="00D041E1">
        <w:rPr>
          <w:rFonts w:cs="Tahoma"/>
          <w:noProof/>
        </w:rPr>
        <w:t>-</w:t>
      </w:r>
      <w:r w:rsidRPr="00D041E1">
        <w:rPr>
          <w:rFonts w:cs="Tahoma"/>
          <w:noProof/>
        </w:rPr>
        <w:t>built facilities without the need to purchase property</w:t>
      </w:r>
      <w:r w:rsidR="00597F83" w:rsidRPr="00D041E1">
        <w:rPr>
          <w:rFonts w:cs="Tahoma"/>
          <w:noProof/>
        </w:rPr>
        <w:t xml:space="preserve">. This </w:t>
      </w:r>
      <w:r w:rsidR="00436C98">
        <w:rPr>
          <w:rFonts w:cs="Tahoma"/>
          <w:noProof/>
        </w:rPr>
        <w:t xml:space="preserve">has </w:t>
      </w:r>
      <w:r w:rsidR="00597F83" w:rsidRPr="00D041E1">
        <w:rPr>
          <w:rFonts w:cs="Tahoma"/>
          <w:noProof/>
        </w:rPr>
        <w:t xml:space="preserve">provided greater flexibility </w:t>
      </w:r>
      <w:r w:rsidR="00720ACA">
        <w:rPr>
          <w:rFonts w:cs="Tahoma"/>
          <w:noProof/>
        </w:rPr>
        <w:t xml:space="preserve">for firms by </w:t>
      </w:r>
      <w:r w:rsidRPr="00D041E1">
        <w:rPr>
          <w:rFonts w:cs="Tahoma"/>
          <w:noProof/>
        </w:rPr>
        <w:t>not being locked into a particular site and free</w:t>
      </w:r>
      <w:r w:rsidR="00597F83" w:rsidRPr="00D041E1">
        <w:rPr>
          <w:rFonts w:cs="Tahoma"/>
          <w:noProof/>
        </w:rPr>
        <w:t>ing</w:t>
      </w:r>
      <w:r w:rsidRPr="00D041E1">
        <w:rPr>
          <w:rFonts w:cs="Tahoma"/>
          <w:noProof/>
        </w:rPr>
        <w:t xml:space="preserve"> up capital or funds</w:t>
      </w:r>
      <w:r w:rsidR="00597F83" w:rsidRPr="00D041E1">
        <w:rPr>
          <w:rFonts w:cs="Tahoma"/>
          <w:noProof/>
        </w:rPr>
        <w:t xml:space="preserve"> that would otherwise have been used to buy property</w:t>
      </w:r>
      <w:r w:rsidRPr="00D041E1">
        <w:rPr>
          <w:rFonts w:cs="Tahoma"/>
          <w:noProof/>
        </w:rPr>
        <w:t>.</w:t>
      </w:r>
    </w:p>
    <w:p w:rsidR="00334483" w:rsidRDefault="00751F9F" w:rsidP="00334483">
      <w:pPr>
        <w:spacing w:afterLines="113" w:after="271" w:line="240" w:lineRule="atLeast"/>
        <w:ind w:right="-188"/>
        <w:rPr>
          <w:rFonts w:cs="Tahoma"/>
          <w:noProof/>
        </w:rPr>
      </w:pPr>
      <w:r w:rsidRPr="00D041E1">
        <w:rPr>
          <w:rFonts w:cs="Tahoma"/>
          <w:noProof/>
        </w:rPr>
        <w:t xml:space="preserve"> </w:t>
      </w:r>
    </w:p>
    <w:p w:rsidR="00334483" w:rsidRDefault="00334483" w:rsidP="00334483">
      <w:pPr>
        <w:spacing w:after="0" w:line="240" w:lineRule="auto"/>
        <w:ind w:right="-188"/>
        <w:rPr>
          <w:rFonts w:cs="Tahoma"/>
          <w:i/>
          <w:noProof/>
        </w:rPr>
      </w:pPr>
      <w:r w:rsidRPr="00D041E1">
        <w:rPr>
          <w:rFonts w:cs="Tahoma"/>
          <w:i/>
          <w:noProof/>
        </w:rPr>
        <w:lastRenderedPageBreak/>
        <w:t>Figure 1: Laverton North Industrial area 1989-90</w:t>
      </w:r>
      <w:r w:rsidRPr="00D041E1">
        <w:rPr>
          <w:rFonts w:cs="Tahoma"/>
          <w:i/>
          <w:noProof/>
        </w:rPr>
        <w:tab/>
      </w:r>
    </w:p>
    <w:p w:rsidR="00334483" w:rsidRPr="00334483" w:rsidRDefault="00334483" w:rsidP="00334483">
      <w:pPr>
        <w:spacing w:after="0" w:line="240" w:lineRule="auto"/>
        <w:ind w:right="-188"/>
        <w:rPr>
          <w:rFonts w:cs="Tahoma"/>
          <w:noProof/>
          <w:sz w:val="2"/>
        </w:rPr>
      </w:pPr>
    </w:p>
    <w:p w:rsidR="00334483" w:rsidRPr="00334483" w:rsidRDefault="00493A1E" w:rsidP="00334483">
      <w:pPr>
        <w:spacing w:after="0" w:line="240" w:lineRule="auto"/>
        <w:ind w:right="-188"/>
        <w:rPr>
          <w:sz w:val="18"/>
        </w:rPr>
      </w:pPr>
      <w:r>
        <w:rPr>
          <w:noProof/>
        </w:rPr>
        <w:pict>
          <v:shape id="Content Placeholder 6" o:spid="_x0000_s1173" type="#_x0000_t75" alt="Laverton North 1989-90 V2.jpg" style="position:absolute;margin-left:.8pt;margin-top:0;width:226.4pt;height:200.1pt;z-index:4;visibility:visible;mso-wrap-style:square;mso-position-horizontal-relative:margin;mso-position-vertical-relative:text;mso-width-relative:page;mso-height-relative:page">
            <v:imagedata r:id="rId20" o:title="Laverton North 1989-90 V2"/>
            <w10:wrap type="topAndBottom" anchorx="margin"/>
          </v:shape>
        </w:pict>
      </w:r>
      <w:r w:rsidR="00334483" w:rsidRPr="00334483">
        <w:rPr>
          <w:rFonts w:cs="Tahoma"/>
          <w:i/>
          <w:noProof/>
          <w:sz w:val="18"/>
        </w:rPr>
        <w:t>Source: Urban Development Program</w:t>
      </w:r>
    </w:p>
    <w:p w:rsidR="00334483" w:rsidRPr="00FE77BA" w:rsidRDefault="00334483" w:rsidP="00334483">
      <w:pPr>
        <w:spacing w:after="0" w:line="240" w:lineRule="auto"/>
        <w:rPr>
          <w:rFonts w:cs="Tahoma"/>
          <w:i/>
          <w:noProof/>
          <w:sz w:val="8"/>
        </w:rPr>
      </w:pPr>
    </w:p>
    <w:p w:rsidR="00334483" w:rsidRDefault="00334483" w:rsidP="00334483">
      <w:pPr>
        <w:spacing w:after="0" w:line="240" w:lineRule="auto"/>
        <w:rPr>
          <w:rFonts w:cs="Tahoma"/>
          <w:i/>
          <w:noProof/>
        </w:rPr>
      </w:pPr>
      <w:r w:rsidRPr="00D041E1">
        <w:rPr>
          <w:rFonts w:cs="Tahoma"/>
          <w:i/>
          <w:noProof/>
        </w:rPr>
        <w:t>Figure 2: Laverton North Industrial area 1994-95</w:t>
      </w:r>
    </w:p>
    <w:p w:rsidR="00334483" w:rsidRPr="00334483" w:rsidRDefault="00493A1E" w:rsidP="00334483">
      <w:pPr>
        <w:spacing w:after="0" w:line="240" w:lineRule="auto"/>
        <w:rPr>
          <w:rFonts w:cs="Tahoma"/>
          <w:i/>
          <w:noProof/>
        </w:rPr>
      </w:pPr>
      <w:r>
        <w:rPr>
          <w:rFonts w:cs="Tahoma"/>
          <w:i/>
          <w:noProof/>
        </w:rPr>
        <w:pict w14:anchorId="5693CC36">
          <v:shape id="_x0000_i1028" type="#_x0000_t75" style="width:227.05pt;height:199.8pt;mso-left-percent:-10001;mso-top-percent:-10001;mso-position-horizontal:absolute;mso-position-horizontal-relative:char;mso-position-vertical:absolute;mso-position-vertical-relative:line;mso-left-percent:-10001;mso-top-percent:-10001">
            <v:imagedata r:id="rId21" o:title=""/>
          </v:shape>
        </w:pict>
      </w:r>
    </w:p>
    <w:p w:rsidR="00F41D29" w:rsidRPr="00334483" w:rsidRDefault="00F41D29" w:rsidP="00334483">
      <w:pPr>
        <w:spacing w:after="0" w:line="240" w:lineRule="auto"/>
        <w:rPr>
          <w:rFonts w:cs="Tahoma"/>
          <w:i/>
          <w:noProof/>
          <w:sz w:val="18"/>
        </w:rPr>
      </w:pPr>
      <w:r w:rsidRPr="00334483">
        <w:rPr>
          <w:rFonts w:cs="Tahoma"/>
          <w:i/>
          <w:noProof/>
          <w:sz w:val="18"/>
        </w:rPr>
        <w:t>Source: Urban Development Program</w:t>
      </w:r>
    </w:p>
    <w:p w:rsidR="00334483" w:rsidRPr="00FE77BA" w:rsidRDefault="00334483" w:rsidP="00FE77BA">
      <w:pPr>
        <w:spacing w:after="0" w:line="240" w:lineRule="auto"/>
        <w:rPr>
          <w:rFonts w:cs="Tahoma"/>
          <w:i/>
          <w:noProof/>
          <w:sz w:val="8"/>
        </w:rPr>
      </w:pPr>
    </w:p>
    <w:p w:rsidR="00334483" w:rsidRDefault="00334483" w:rsidP="00334483">
      <w:pPr>
        <w:spacing w:after="0" w:line="240" w:lineRule="auto"/>
        <w:ind w:right="-187"/>
        <w:rPr>
          <w:rFonts w:cs="Tahoma"/>
          <w:i/>
          <w:noProof/>
        </w:rPr>
      </w:pPr>
      <w:r w:rsidRPr="00D041E1">
        <w:rPr>
          <w:rFonts w:cs="Tahoma"/>
          <w:i/>
          <w:noProof/>
        </w:rPr>
        <w:t>Figure 3: Laverton North Industrial area 1999-2000</w:t>
      </w:r>
    </w:p>
    <w:p w:rsidR="00334483" w:rsidRPr="00334483" w:rsidRDefault="00334483" w:rsidP="00334483">
      <w:pPr>
        <w:spacing w:after="0" w:line="240" w:lineRule="auto"/>
        <w:ind w:right="-187"/>
        <w:rPr>
          <w:rFonts w:cs="Tahoma"/>
          <w:i/>
          <w:noProof/>
          <w:sz w:val="4"/>
        </w:rPr>
      </w:pPr>
    </w:p>
    <w:p w:rsidR="00FE77BA" w:rsidRDefault="00493A1E" w:rsidP="00334483">
      <w:pPr>
        <w:spacing w:after="0" w:line="240" w:lineRule="auto"/>
      </w:pPr>
      <w:r>
        <w:pict>
          <v:shape id="Content Placeholder 6" o:spid="_x0000_i1029" type="#_x0000_t75" alt="Laverton North 1999-00 V2.jpg" style="width:226.4pt;height:197.85pt;visibility:visible;mso-wrap-style:square">
            <v:imagedata r:id="rId22" o:title="Laverton North 1999-00 V2"/>
          </v:shape>
        </w:pict>
      </w:r>
    </w:p>
    <w:p w:rsidR="00F41D29" w:rsidRPr="00F41D29" w:rsidRDefault="00334483" w:rsidP="00836CBE">
      <w:pPr>
        <w:spacing w:after="120" w:line="360" w:lineRule="auto"/>
        <w:rPr>
          <w:rFonts w:cs="Tahoma"/>
          <w:b/>
          <w:noProof/>
          <w:color w:val="228591"/>
          <w:sz w:val="28"/>
        </w:rPr>
      </w:pPr>
      <w:r w:rsidRPr="00334483">
        <w:rPr>
          <w:rFonts w:cs="Tahoma"/>
          <w:i/>
          <w:noProof/>
          <w:sz w:val="18"/>
        </w:rPr>
        <w:t>Source: Urban Development Program</w:t>
      </w:r>
      <w:r w:rsidR="00FE77BA">
        <w:rPr>
          <w:rFonts w:cs="Tahoma"/>
          <w:i/>
          <w:noProof/>
          <w:sz w:val="18"/>
        </w:rPr>
        <w:br w:type="column"/>
      </w:r>
      <w:r w:rsidR="00F41D29" w:rsidRPr="00F41D29">
        <w:rPr>
          <w:rFonts w:cs="Tahoma"/>
          <w:b/>
          <w:noProof/>
          <w:color w:val="228591"/>
          <w:sz w:val="28"/>
        </w:rPr>
        <w:lastRenderedPageBreak/>
        <w:t>Laverton North before the Ring Road</w:t>
      </w:r>
    </w:p>
    <w:p w:rsidR="008C436C" w:rsidRDefault="00F41D29" w:rsidP="00900059">
      <w:pPr>
        <w:spacing w:afterLines="100" w:after="240" w:line="240" w:lineRule="atLeast"/>
        <w:rPr>
          <w:rFonts w:cs="Tahoma"/>
          <w:noProof/>
        </w:rPr>
      </w:pPr>
      <w:r w:rsidRPr="00D041E1">
        <w:rPr>
          <w:rFonts w:cs="Tahoma"/>
          <w:noProof/>
        </w:rPr>
        <w:t>Figures 1 and 2 show Laverton North in the early and mid-1990s, before the construction of the Western Ring Road.</w:t>
      </w:r>
      <w:r w:rsidR="003D71F7">
        <w:rPr>
          <w:rFonts w:cs="Tahoma"/>
          <w:noProof/>
        </w:rPr>
        <w:t xml:space="preserve"> </w:t>
      </w:r>
      <w:r w:rsidR="00751F9F" w:rsidRPr="00D041E1">
        <w:rPr>
          <w:rFonts w:cs="Tahoma"/>
          <w:noProof/>
        </w:rPr>
        <w:t xml:space="preserve">Much of this land had been zoned industrial several decades earlier in the 1954 Metropolitan Melbourne Plan. </w:t>
      </w:r>
    </w:p>
    <w:p w:rsidR="00751F9F" w:rsidRDefault="00751F9F" w:rsidP="00E31DDA">
      <w:pPr>
        <w:spacing w:afterLines="113" w:after="271" w:line="240" w:lineRule="atLeast"/>
        <w:rPr>
          <w:rFonts w:cs="Tahoma"/>
          <w:noProof/>
        </w:rPr>
      </w:pPr>
      <w:r w:rsidRPr="00D041E1">
        <w:rPr>
          <w:rFonts w:cs="Tahoma"/>
          <w:noProof/>
        </w:rPr>
        <w:t>The Western Ring Road was included in transport plans from the late 1960s. Prior to the construction of the Western Ring Road</w:t>
      </w:r>
      <w:r w:rsidR="001F7C16" w:rsidRPr="00D041E1">
        <w:rPr>
          <w:rFonts w:cs="Tahoma"/>
          <w:noProof/>
        </w:rPr>
        <w:t>,</w:t>
      </w:r>
      <w:r w:rsidRPr="00D041E1">
        <w:rPr>
          <w:rFonts w:cs="Tahoma"/>
          <w:noProof/>
        </w:rPr>
        <w:t xml:space="preserve"> approximately 20</w:t>
      </w:r>
      <w:r w:rsidR="001F7C16" w:rsidRPr="00D041E1">
        <w:rPr>
          <w:rFonts w:cs="Tahoma"/>
          <w:noProof/>
        </w:rPr>
        <w:t xml:space="preserve">-30 </w:t>
      </w:r>
      <w:r w:rsidR="00C23C68" w:rsidRPr="00D041E1">
        <w:rPr>
          <w:rFonts w:cs="Tahoma"/>
          <w:noProof/>
        </w:rPr>
        <w:t xml:space="preserve">additional </w:t>
      </w:r>
      <w:r w:rsidR="001F7C16" w:rsidRPr="00D041E1">
        <w:rPr>
          <w:rFonts w:cs="Tahoma"/>
          <w:noProof/>
        </w:rPr>
        <w:t>hectares o</w:t>
      </w:r>
      <w:r w:rsidRPr="00D041E1">
        <w:rPr>
          <w:rFonts w:cs="Tahoma"/>
          <w:noProof/>
        </w:rPr>
        <w:t xml:space="preserve">f industrial land was </w:t>
      </w:r>
      <w:r w:rsidR="001F7C16" w:rsidRPr="00D041E1">
        <w:rPr>
          <w:rFonts w:cs="Tahoma"/>
          <w:noProof/>
        </w:rPr>
        <w:t>use</w:t>
      </w:r>
      <w:r w:rsidRPr="00D041E1">
        <w:rPr>
          <w:rFonts w:cs="Tahoma"/>
          <w:noProof/>
        </w:rPr>
        <w:t>d per year.</w:t>
      </w:r>
    </w:p>
    <w:p w:rsidR="00751F9F" w:rsidRPr="00F41D29" w:rsidRDefault="00751F9F" w:rsidP="00836CBE">
      <w:pPr>
        <w:spacing w:afterLines="50" w:after="120" w:line="360" w:lineRule="auto"/>
        <w:rPr>
          <w:rFonts w:cs="Tahoma"/>
          <w:b/>
          <w:noProof/>
          <w:color w:val="228591"/>
          <w:sz w:val="28"/>
        </w:rPr>
      </w:pPr>
      <w:r w:rsidRPr="00F41D29">
        <w:rPr>
          <w:rFonts w:cs="Tahoma"/>
          <w:b/>
          <w:noProof/>
          <w:color w:val="228591"/>
          <w:sz w:val="28"/>
        </w:rPr>
        <w:t>Laverton North after the Ring Road</w:t>
      </w:r>
    </w:p>
    <w:p w:rsidR="008C436C" w:rsidRDefault="00751F9F" w:rsidP="00900059">
      <w:pPr>
        <w:spacing w:afterLines="100" w:after="240" w:line="240" w:lineRule="auto"/>
        <w:ind w:right="-187"/>
        <w:rPr>
          <w:rFonts w:cs="Tahoma"/>
          <w:noProof/>
        </w:rPr>
      </w:pPr>
      <w:r w:rsidRPr="00D041E1">
        <w:rPr>
          <w:rFonts w:cs="Tahoma"/>
          <w:noProof/>
        </w:rPr>
        <w:t xml:space="preserve">Figures 3 and 4 show Laverton North in the late-1990s and mid-2000s </w:t>
      </w:r>
      <w:r w:rsidR="00DC2DA5" w:rsidRPr="00D041E1">
        <w:rPr>
          <w:rFonts w:cs="Tahoma"/>
          <w:noProof/>
        </w:rPr>
        <w:t>after</w:t>
      </w:r>
      <w:r w:rsidRPr="00D041E1">
        <w:rPr>
          <w:rFonts w:cs="Tahoma"/>
          <w:noProof/>
        </w:rPr>
        <w:t xml:space="preserve"> construction of the Western Ring Road. </w:t>
      </w:r>
      <w:r w:rsidR="00715399" w:rsidRPr="00D041E1">
        <w:rPr>
          <w:rFonts w:cs="Tahoma"/>
          <w:noProof/>
        </w:rPr>
        <w:t xml:space="preserve">Government investment in the Ring Road led to </w:t>
      </w:r>
      <w:r w:rsidR="002D7569" w:rsidRPr="00D041E1">
        <w:rPr>
          <w:rFonts w:cs="Tahoma"/>
          <w:noProof/>
        </w:rPr>
        <w:t xml:space="preserve">Laverton North’s </w:t>
      </w:r>
      <w:r w:rsidR="00715399" w:rsidRPr="00D041E1">
        <w:rPr>
          <w:rFonts w:cs="Tahoma"/>
          <w:noProof/>
        </w:rPr>
        <w:t>increased access</w:t>
      </w:r>
      <w:r w:rsidR="002D7569" w:rsidRPr="00D041E1">
        <w:rPr>
          <w:rFonts w:cs="Tahoma"/>
          <w:noProof/>
        </w:rPr>
        <w:t>ibility</w:t>
      </w:r>
      <w:r w:rsidR="00C23C68" w:rsidRPr="00D041E1">
        <w:rPr>
          <w:rFonts w:cs="Tahoma"/>
          <w:noProof/>
        </w:rPr>
        <w:t xml:space="preserve">, </w:t>
      </w:r>
      <w:r w:rsidR="00715399" w:rsidRPr="00D041E1">
        <w:rPr>
          <w:rFonts w:cs="Tahoma"/>
          <w:noProof/>
        </w:rPr>
        <w:t>unlock</w:t>
      </w:r>
      <w:r w:rsidR="00C23C68" w:rsidRPr="00D041E1">
        <w:rPr>
          <w:rFonts w:cs="Tahoma"/>
          <w:noProof/>
        </w:rPr>
        <w:t>ing</w:t>
      </w:r>
      <w:r w:rsidR="00715399" w:rsidRPr="00D041E1">
        <w:rPr>
          <w:rFonts w:cs="Tahoma"/>
          <w:noProof/>
        </w:rPr>
        <w:t xml:space="preserve"> the value of the area. Once the road was complete, </w:t>
      </w:r>
      <w:r w:rsidR="002D7569" w:rsidRPr="00D041E1">
        <w:rPr>
          <w:rFonts w:cs="Tahoma"/>
          <w:noProof/>
        </w:rPr>
        <w:t>land use</w:t>
      </w:r>
      <w:r w:rsidR="00715399" w:rsidRPr="00D041E1">
        <w:rPr>
          <w:rFonts w:cs="Tahoma"/>
          <w:noProof/>
        </w:rPr>
        <w:t xml:space="preserve"> levels </w:t>
      </w:r>
      <w:r w:rsidR="002D7569" w:rsidRPr="00D041E1">
        <w:rPr>
          <w:rFonts w:cs="Tahoma"/>
          <w:noProof/>
        </w:rPr>
        <w:t>increased</w:t>
      </w:r>
      <w:r w:rsidR="00715399" w:rsidRPr="00D041E1">
        <w:rPr>
          <w:rFonts w:cs="Tahoma"/>
          <w:noProof/>
        </w:rPr>
        <w:t xml:space="preserve"> to aro</w:t>
      </w:r>
      <w:r w:rsidR="002D7569" w:rsidRPr="00D041E1">
        <w:rPr>
          <w:rFonts w:cs="Tahoma"/>
          <w:noProof/>
        </w:rPr>
        <w:t>und</w:t>
      </w:r>
      <w:r w:rsidR="00715399" w:rsidRPr="00D041E1">
        <w:rPr>
          <w:rFonts w:cs="Tahoma"/>
          <w:noProof/>
        </w:rPr>
        <w:t xml:space="preserve"> 80</w:t>
      </w:r>
      <w:r w:rsidR="002D7569" w:rsidRPr="00D041E1">
        <w:rPr>
          <w:rFonts w:cs="Tahoma"/>
          <w:noProof/>
        </w:rPr>
        <w:t xml:space="preserve"> additional hectares per year </w:t>
      </w:r>
      <w:r w:rsidR="00715399" w:rsidRPr="00D041E1">
        <w:rPr>
          <w:rFonts w:cs="Tahoma"/>
          <w:noProof/>
        </w:rPr>
        <w:t xml:space="preserve">(about 20 MCGs worth of land </w:t>
      </w:r>
      <w:r w:rsidR="002D7569" w:rsidRPr="00D041E1">
        <w:rPr>
          <w:rFonts w:cs="Tahoma"/>
          <w:noProof/>
        </w:rPr>
        <w:t>each</w:t>
      </w:r>
      <w:r w:rsidR="00715399" w:rsidRPr="00D041E1">
        <w:rPr>
          <w:rFonts w:cs="Tahoma"/>
          <w:noProof/>
        </w:rPr>
        <w:t xml:space="preserve"> year). </w:t>
      </w:r>
    </w:p>
    <w:p w:rsidR="0000075F" w:rsidRDefault="00715399" w:rsidP="00900059">
      <w:pPr>
        <w:spacing w:afterLines="100" w:after="240" w:line="240" w:lineRule="atLeast"/>
        <w:ind w:right="-187"/>
        <w:rPr>
          <w:rFonts w:cs="Tahoma"/>
          <w:noProof/>
        </w:rPr>
      </w:pPr>
      <w:r w:rsidRPr="00D041E1">
        <w:rPr>
          <w:rFonts w:cs="Tahoma"/>
          <w:noProof/>
        </w:rPr>
        <w:t xml:space="preserve">During the early to mid-2000s, Laverton North continued to attract industrial users as the market started to mature. Aldi and Murray Goulburn opened large distribution centres that could not be accommodated in </w:t>
      </w:r>
      <w:r w:rsidR="00375CC5" w:rsidRPr="00D041E1">
        <w:rPr>
          <w:rFonts w:cs="Tahoma"/>
          <w:noProof/>
        </w:rPr>
        <w:t xml:space="preserve">other </w:t>
      </w:r>
      <w:r w:rsidRPr="00D041E1">
        <w:rPr>
          <w:rFonts w:cs="Tahoma"/>
          <w:noProof/>
        </w:rPr>
        <w:t>established areas</w:t>
      </w:r>
      <w:r w:rsidR="00CF6C92">
        <w:rPr>
          <w:rFonts w:cs="Tahoma"/>
          <w:noProof/>
        </w:rPr>
        <w:t>.</w:t>
      </w:r>
    </w:p>
    <w:p w:rsidR="00F41D29" w:rsidRDefault="00F41D29" w:rsidP="00E31DDA">
      <w:pPr>
        <w:spacing w:afterLines="113" w:after="271" w:line="240" w:lineRule="atLeast"/>
        <w:rPr>
          <w:rFonts w:cs="Tahoma"/>
          <w:noProof/>
        </w:rPr>
        <w:sectPr w:rsidR="00F41D29" w:rsidSect="00F41D29">
          <w:type w:val="continuous"/>
          <w:pgSz w:w="11906" w:h="16838"/>
          <w:pgMar w:top="1440" w:right="873" w:bottom="1276" w:left="873" w:header="709" w:footer="0" w:gutter="0"/>
          <w:cols w:num="2" w:space="708"/>
          <w:titlePg/>
          <w:docGrid w:linePitch="360"/>
        </w:sectPr>
      </w:pPr>
    </w:p>
    <w:p w:rsidR="00FE77BA" w:rsidRDefault="00FE77BA" w:rsidP="00FE77BA">
      <w:pPr>
        <w:spacing w:after="0" w:line="240" w:lineRule="auto"/>
        <w:ind w:right="-187"/>
        <w:rPr>
          <w:rFonts w:cs="Tahoma"/>
          <w:i/>
          <w:noProof/>
        </w:rPr>
      </w:pPr>
    </w:p>
    <w:p w:rsidR="00FE77BA" w:rsidRDefault="00FE77BA" w:rsidP="00FE77BA">
      <w:pPr>
        <w:spacing w:after="0" w:line="240" w:lineRule="auto"/>
        <w:ind w:right="-187"/>
        <w:rPr>
          <w:rFonts w:cs="Tahoma"/>
          <w:i/>
          <w:noProof/>
        </w:rPr>
      </w:pPr>
    </w:p>
    <w:p w:rsidR="00FE77BA" w:rsidRPr="00D041E1" w:rsidRDefault="00FE77BA" w:rsidP="00FE77BA">
      <w:pPr>
        <w:spacing w:after="0" w:line="240" w:lineRule="auto"/>
        <w:ind w:right="-187"/>
        <w:rPr>
          <w:rFonts w:cs="Tahoma"/>
          <w:noProof/>
        </w:rPr>
      </w:pPr>
      <w:r w:rsidRPr="00D041E1">
        <w:rPr>
          <w:rFonts w:cs="Tahoma"/>
          <w:i/>
          <w:noProof/>
        </w:rPr>
        <w:lastRenderedPageBreak/>
        <w:t>Figure 4: Laverton North Industrial area 2004-05</w:t>
      </w:r>
    </w:p>
    <w:p w:rsidR="00FE77BA" w:rsidRPr="00FE77BA" w:rsidRDefault="00FE77BA" w:rsidP="00FE77BA">
      <w:pPr>
        <w:spacing w:after="0" w:line="240" w:lineRule="auto"/>
        <w:rPr>
          <w:rFonts w:cs="Tahoma"/>
          <w:i/>
          <w:noProof/>
          <w:sz w:val="6"/>
        </w:rPr>
      </w:pPr>
    </w:p>
    <w:p w:rsidR="00FE77BA" w:rsidRDefault="00493A1E" w:rsidP="00FE77BA">
      <w:pPr>
        <w:spacing w:after="0" w:line="240" w:lineRule="auto"/>
        <w:rPr>
          <w:rFonts w:cs="Tahoma"/>
          <w:i/>
          <w:noProof/>
          <w:sz w:val="18"/>
        </w:rPr>
      </w:pPr>
      <w:r>
        <w:rPr>
          <w:rFonts w:cs="Tahoma"/>
          <w:i/>
          <w:noProof/>
          <w:sz w:val="18"/>
          <w:lang w:eastAsia="en-AU"/>
        </w:rPr>
        <w:pict>
          <v:shape id="_x0000_s1155" type="#_x0000_t75" alt="Laverton North 2004-05 V2.jpg" style="position:absolute;margin-left:.8pt;margin-top:2pt;width:226.75pt;height:197.55pt;z-index:7;visibility:visible;mso-wrap-style:square">
            <v:imagedata r:id="rId23" o:title="Laverton North 2004-05 V2"/>
            <v:path arrowok="t"/>
            <w10:wrap type="topAndBottom"/>
          </v:shape>
        </w:pict>
      </w:r>
      <w:r w:rsidR="00FE77BA" w:rsidRPr="00334483">
        <w:rPr>
          <w:rFonts w:cs="Tahoma"/>
          <w:i/>
          <w:noProof/>
          <w:sz w:val="18"/>
        </w:rPr>
        <w:t>Source: Urban Development Program</w:t>
      </w:r>
    </w:p>
    <w:p w:rsidR="00836CBE" w:rsidRPr="00836CBE" w:rsidRDefault="00836CBE" w:rsidP="00FE77BA">
      <w:pPr>
        <w:spacing w:after="0" w:line="240" w:lineRule="auto"/>
        <w:rPr>
          <w:rFonts w:cs="Tahoma"/>
          <w:i/>
          <w:noProof/>
          <w:sz w:val="12"/>
        </w:rPr>
      </w:pPr>
    </w:p>
    <w:p w:rsidR="00836CBE" w:rsidRDefault="00751F9F" w:rsidP="00836CBE">
      <w:pPr>
        <w:spacing w:after="0" w:line="240" w:lineRule="auto"/>
        <w:rPr>
          <w:rFonts w:cs="Tahoma"/>
          <w:i/>
          <w:noProof/>
        </w:rPr>
      </w:pPr>
      <w:r w:rsidRPr="00D041E1">
        <w:rPr>
          <w:rFonts w:cs="Tahoma"/>
          <w:i/>
          <w:noProof/>
        </w:rPr>
        <w:t>Figure 5: Laverton North Industrial area 2009-10</w:t>
      </w:r>
      <w:r w:rsidRPr="00D041E1">
        <w:rPr>
          <w:rFonts w:cs="Tahoma"/>
          <w:i/>
          <w:noProof/>
        </w:rPr>
        <w:tab/>
      </w:r>
    </w:p>
    <w:p w:rsidR="00836CBE" w:rsidRPr="00836CBE" w:rsidRDefault="00836CBE" w:rsidP="00836CBE">
      <w:pPr>
        <w:spacing w:after="0" w:line="240" w:lineRule="auto"/>
        <w:rPr>
          <w:rFonts w:cs="Tahoma"/>
          <w:i/>
          <w:noProof/>
          <w:sz w:val="4"/>
        </w:rPr>
      </w:pPr>
      <w:bookmarkStart w:id="0" w:name="_GoBack"/>
    </w:p>
    <w:bookmarkEnd w:id="0"/>
    <w:p w:rsidR="00836CBE" w:rsidRDefault="00493A1E" w:rsidP="00836CBE">
      <w:pPr>
        <w:spacing w:after="0" w:line="240" w:lineRule="auto"/>
        <w:rPr>
          <w:rFonts w:cs="Tahoma"/>
          <w:i/>
          <w:noProof/>
          <w:sz w:val="18"/>
        </w:rPr>
      </w:pPr>
      <w:r>
        <w:rPr>
          <w:rFonts w:cs="Tahoma"/>
          <w:noProof/>
          <w:sz w:val="8"/>
          <w:lang w:eastAsia="en-AU"/>
        </w:rPr>
        <w:pict>
          <v:shape id="_x0000_s1157" type="#_x0000_t75" alt="Laverton North 2009-10 V2.jpg" style="position:absolute;margin-left:.8pt;margin-top:.8pt;width:226.75pt;height:201.15pt;z-index:5;visibility:visible;mso-wrap-style:square">
            <v:imagedata r:id="rId24" o:title="Laverton North 2009-10 V2"/>
            <v:path arrowok="t"/>
            <w10:wrap type="topAndBottom"/>
          </v:shape>
        </w:pict>
      </w:r>
      <w:r w:rsidR="00836CBE" w:rsidRPr="00334483">
        <w:rPr>
          <w:rFonts w:cs="Tahoma"/>
          <w:i/>
          <w:noProof/>
          <w:sz w:val="18"/>
        </w:rPr>
        <w:t>Source: Urban Development Program</w:t>
      </w:r>
    </w:p>
    <w:p w:rsidR="00836CBE" w:rsidRPr="00836CBE" w:rsidRDefault="00836CBE" w:rsidP="00836CBE">
      <w:pPr>
        <w:spacing w:after="0" w:line="240" w:lineRule="auto"/>
        <w:rPr>
          <w:rFonts w:cs="Tahoma"/>
          <w:i/>
          <w:noProof/>
          <w:sz w:val="16"/>
        </w:rPr>
      </w:pPr>
    </w:p>
    <w:p w:rsidR="00751F9F" w:rsidRPr="00D041E1" w:rsidRDefault="00751F9F" w:rsidP="00836CBE">
      <w:pPr>
        <w:spacing w:after="0" w:line="240" w:lineRule="auto"/>
        <w:rPr>
          <w:rFonts w:cs="Tahoma"/>
          <w:noProof/>
        </w:rPr>
      </w:pPr>
      <w:r w:rsidRPr="00D041E1">
        <w:rPr>
          <w:rFonts w:cs="Tahoma"/>
          <w:i/>
          <w:noProof/>
        </w:rPr>
        <w:t xml:space="preserve">Figure </w:t>
      </w:r>
      <w:r w:rsidR="00DC2DA5" w:rsidRPr="00D041E1">
        <w:rPr>
          <w:rFonts w:cs="Tahoma"/>
          <w:i/>
          <w:noProof/>
        </w:rPr>
        <w:t>6</w:t>
      </w:r>
      <w:r w:rsidRPr="00D041E1">
        <w:rPr>
          <w:rFonts w:cs="Tahoma"/>
          <w:i/>
          <w:noProof/>
        </w:rPr>
        <w:t>: Laverton North Industrial area 2013-14</w:t>
      </w:r>
    </w:p>
    <w:p w:rsidR="00836CBE" w:rsidRPr="00836CBE" w:rsidRDefault="00836CBE" w:rsidP="00836CBE">
      <w:pPr>
        <w:spacing w:after="0" w:line="240" w:lineRule="auto"/>
        <w:rPr>
          <w:rFonts w:cs="Tahoma"/>
          <w:i/>
          <w:noProof/>
          <w:sz w:val="8"/>
        </w:rPr>
      </w:pPr>
    </w:p>
    <w:p w:rsidR="008C436C" w:rsidRDefault="00836CBE" w:rsidP="00836CBE">
      <w:pPr>
        <w:spacing w:after="0" w:line="240" w:lineRule="auto"/>
        <w:rPr>
          <w:rFonts w:cs="Tahoma"/>
          <w:i/>
          <w:noProof/>
        </w:rPr>
      </w:pPr>
      <w:r w:rsidRPr="00334483">
        <w:rPr>
          <w:rFonts w:cs="Tahoma"/>
          <w:i/>
          <w:noProof/>
          <w:sz w:val="18"/>
        </w:rPr>
        <w:t>Source: Urban Development Program</w:t>
      </w:r>
    </w:p>
    <w:p w:rsidR="00836CBE" w:rsidRPr="00F41D29" w:rsidRDefault="00FE77BA" w:rsidP="00836CBE">
      <w:pPr>
        <w:spacing w:afterLines="113" w:after="271" w:line="240" w:lineRule="auto"/>
        <w:rPr>
          <w:rFonts w:cs="Tahoma"/>
          <w:b/>
          <w:noProof/>
          <w:color w:val="228591"/>
          <w:sz w:val="28"/>
        </w:rPr>
      </w:pPr>
      <w:r>
        <w:rPr>
          <w:rFonts w:cs="Tahoma"/>
          <w:b/>
          <w:noProof/>
          <w:color w:val="228591"/>
          <w:sz w:val="28"/>
        </w:rPr>
        <w:br w:type="column"/>
      </w:r>
      <w:r w:rsidR="00836CBE" w:rsidRPr="00F41D29">
        <w:rPr>
          <w:rFonts w:cs="Tahoma"/>
          <w:b/>
          <w:noProof/>
          <w:color w:val="228591"/>
          <w:sz w:val="28"/>
        </w:rPr>
        <w:lastRenderedPageBreak/>
        <w:t>Addition of the Deer Park Bypass</w:t>
      </w:r>
    </w:p>
    <w:p w:rsidR="00836CBE" w:rsidRDefault="00836CBE" w:rsidP="00836CBE">
      <w:pPr>
        <w:spacing w:afterLines="50" w:after="120" w:line="240" w:lineRule="auto"/>
        <w:rPr>
          <w:rFonts w:cs="Tahoma"/>
          <w:noProof/>
        </w:rPr>
      </w:pPr>
      <w:r w:rsidRPr="00D041E1">
        <w:rPr>
          <w:rFonts w:cs="Tahoma"/>
          <w:noProof/>
        </w:rPr>
        <w:t>Figure 5 shows Laverton North in 2004-5, after the Deer Park Bypass was constructed. This bypass created additional access and efficiencies to freight movement, resulting in additional consumption of industrial land in Laverton North. Consumption peaked at 100 hectares in 2008 just prior to the Global Financial Crisis</w:t>
      </w:r>
      <w:r>
        <w:rPr>
          <w:rFonts w:cs="Tahoma"/>
          <w:noProof/>
        </w:rPr>
        <w:t xml:space="preserve"> (GFC)</w:t>
      </w:r>
      <w:r w:rsidRPr="00D041E1">
        <w:rPr>
          <w:rFonts w:cs="Tahoma"/>
          <w:noProof/>
        </w:rPr>
        <w:t>. Since the GFC, land use rates declined markedly and have only recently recovered to the longer term average of 80 hectares per year (Figure 6).</w:t>
      </w:r>
    </w:p>
    <w:p w:rsidR="00751F9F" w:rsidRPr="00F41D29" w:rsidRDefault="00751F9F" w:rsidP="00836CBE">
      <w:pPr>
        <w:spacing w:afterLines="50" w:after="120" w:line="240" w:lineRule="auto"/>
        <w:rPr>
          <w:rFonts w:cs="Tahoma"/>
          <w:b/>
          <w:noProof/>
          <w:color w:val="228591"/>
          <w:sz w:val="28"/>
        </w:rPr>
      </w:pPr>
      <w:r w:rsidRPr="00F41D29">
        <w:rPr>
          <w:rFonts w:cs="Tahoma"/>
          <w:b/>
          <w:noProof/>
          <w:color w:val="228591"/>
          <w:sz w:val="28"/>
        </w:rPr>
        <w:t>Conclusion</w:t>
      </w:r>
    </w:p>
    <w:p w:rsidR="005915DB" w:rsidRPr="00D041E1" w:rsidRDefault="00715399" w:rsidP="00E31DDA">
      <w:pPr>
        <w:spacing w:afterLines="113" w:after="271" w:line="240" w:lineRule="atLeast"/>
        <w:rPr>
          <w:rFonts w:cs="Tahoma"/>
          <w:noProof/>
        </w:rPr>
      </w:pPr>
      <w:r w:rsidRPr="00D041E1">
        <w:rPr>
          <w:rFonts w:cs="Tahoma"/>
          <w:noProof/>
        </w:rPr>
        <w:t>T</w:t>
      </w:r>
      <w:r w:rsidR="00751F9F" w:rsidRPr="00D041E1">
        <w:rPr>
          <w:rFonts w:cs="Tahoma"/>
          <w:noProof/>
        </w:rPr>
        <w:t xml:space="preserve">he series of </w:t>
      </w:r>
      <w:r w:rsidRPr="00D041E1">
        <w:rPr>
          <w:rFonts w:cs="Tahoma"/>
          <w:noProof/>
        </w:rPr>
        <w:t>figures shown above</w:t>
      </w:r>
      <w:r w:rsidR="00751F9F" w:rsidRPr="00D041E1">
        <w:rPr>
          <w:rFonts w:cs="Tahoma"/>
          <w:noProof/>
        </w:rPr>
        <w:t xml:space="preserve"> highlight that the planning decision to zone the land </w:t>
      </w:r>
      <w:r w:rsidR="00592856" w:rsidRPr="00D041E1">
        <w:rPr>
          <w:rFonts w:cs="Tahoma"/>
          <w:noProof/>
        </w:rPr>
        <w:t xml:space="preserve">in Laverton North </w:t>
      </w:r>
      <w:r w:rsidR="00751F9F" w:rsidRPr="00D041E1">
        <w:rPr>
          <w:rFonts w:cs="Tahoma"/>
          <w:noProof/>
        </w:rPr>
        <w:t xml:space="preserve">was made many years before its actual development. This was followed by planning for the Western Ring Road in the late 1960s. </w:t>
      </w:r>
    </w:p>
    <w:p w:rsidR="00A25303" w:rsidRPr="00D041E1" w:rsidRDefault="00493A1E" w:rsidP="00334483">
      <w:pPr>
        <w:spacing w:afterLines="113" w:after="271" w:line="240" w:lineRule="atLeast"/>
        <w:rPr>
          <w:rFonts w:cs="Tahoma"/>
        </w:rPr>
      </w:pPr>
      <w:r>
        <w:rPr>
          <w:rFonts w:cs="Tahoma"/>
          <w:noProof/>
          <w:lang w:eastAsia="en-AU"/>
        </w:rPr>
        <w:pict>
          <v:shape id="_x0000_s1158" type="#_x0000_t75" alt="Laverton North 2013-14 V2.jpg" style="position:absolute;margin-left:-271.55pt;margin-top:218pt;width:226.75pt;height:198.05pt;z-index:6;visibility:visible;mso-wrap-style:square">
            <v:imagedata r:id="rId25" o:title="Laverton North 2013-14 V2"/>
            <v:path arrowok="t"/>
            <w10:wrap type="topAndBottom"/>
          </v:shape>
        </w:pict>
      </w:r>
      <w:r w:rsidR="00751F9F" w:rsidRPr="00D041E1">
        <w:rPr>
          <w:rFonts w:cs="Tahoma"/>
          <w:noProof/>
        </w:rPr>
        <w:t xml:space="preserve">Construction of the Western Ring </w:t>
      </w:r>
      <w:r w:rsidR="005915DB" w:rsidRPr="00D041E1">
        <w:rPr>
          <w:rFonts w:cs="Tahoma"/>
          <w:noProof/>
        </w:rPr>
        <w:t>R</w:t>
      </w:r>
      <w:r w:rsidR="00751F9F" w:rsidRPr="00D041E1">
        <w:rPr>
          <w:rFonts w:cs="Tahoma"/>
          <w:noProof/>
        </w:rPr>
        <w:t xml:space="preserve">oad unlocked the value of Laverton North for industrial users, particularly large logistics </w:t>
      </w:r>
      <w:r w:rsidR="005915DB" w:rsidRPr="00D041E1">
        <w:rPr>
          <w:rFonts w:cs="Tahoma"/>
          <w:noProof/>
        </w:rPr>
        <w:t>companies</w:t>
      </w:r>
      <w:r w:rsidR="00751F9F" w:rsidRPr="00D041E1">
        <w:rPr>
          <w:rFonts w:cs="Tahoma"/>
          <w:noProof/>
        </w:rPr>
        <w:t>. The market outcome showed how the market follows these planning and infrastructure investments</w:t>
      </w:r>
      <w:r w:rsidR="00FF7AFE" w:rsidRPr="00D041E1">
        <w:rPr>
          <w:rFonts w:cs="Tahoma"/>
          <w:noProof/>
        </w:rPr>
        <w:t>,</w:t>
      </w:r>
      <w:r w:rsidR="00751F9F" w:rsidRPr="00D041E1">
        <w:rPr>
          <w:rFonts w:cs="Tahoma"/>
          <w:noProof/>
        </w:rPr>
        <w:t xml:space="preserve"> establishing a significant location of economic activity.</w:t>
      </w:r>
    </w:p>
    <w:sectPr w:rsidR="00A25303" w:rsidRPr="00D041E1" w:rsidSect="0000075F">
      <w:type w:val="continuous"/>
      <w:pgSz w:w="11906" w:h="16838"/>
      <w:pgMar w:top="1440" w:right="873" w:bottom="1276" w:left="873" w:header="709" w:footer="0"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EE1" w:rsidRDefault="00904EE1" w:rsidP="00091CA7">
      <w:pPr>
        <w:spacing w:after="0" w:line="240" w:lineRule="auto"/>
      </w:pPr>
      <w:r>
        <w:separator/>
      </w:r>
    </w:p>
  </w:endnote>
  <w:endnote w:type="continuationSeparator" w:id="0">
    <w:p w:rsidR="00904EE1" w:rsidRDefault="00904EE1" w:rsidP="00091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DIN">
    <w:altName w:val="DIN"/>
    <w:panose1 w:val="00000000000000000000"/>
    <w:charset w:val="00"/>
    <w:family w:val="swiss"/>
    <w:notTrueType/>
    <w:pitch w:val="default"/>
    <w:sig w:usb0="00000003" w:usb1="00000000" w:usb2="00000000" w:usb3="00000000" w:csb0="00000001" w:csb1="00000000"/>
  </w:font>
  <w:font w:name="Museo Sans 300">
    <w:altName w:val="Museo Sans 300"/>
    <w:panose1 w:val="00000000000000000000"/>
    <w:charset w:val="00"/>
    <w:family w:val="swiss"/>
    <w:notTrueType/>
    <w:pitch w:val="default"/>
    <w:sig w:usb0="00000003" w:usb1="00000000" w:usb2="00000000" w:usb3="00000000" w:csb0="00000001" w:csb1="00000000"/>
  </w:font>
  <w:font w:name="Museo Sans 500">
    <w:altName w:val="Museo Sans 500"/>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75F" w:rsidRPr="0072604A" w:rsidRDefault="00493A1E" w:rsidP="00952C25">
    <w:pPr>
      <w:spacing w:after="0" w:line="240" w:lineRule="auto"/>
      <w:rPr>
        <w:rFonts w:cs="Calibri"/>
        <w:color w:val="636466"/>
        <w:sz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5" type="#_x0000_t75" alt="(DELWP) Insignia PMS541 Right Aligned" style="position:absolute;margin-left:380.1pt;margin-top:-15.85pt;width:134.4pt;height:30pt;z-index:2516556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DELWP) Insignia PMS541 Right Aligned"/>
        </v:shape>
      </w:pict>
    </w:r>
    <w:r w:rsidR="0000075F" w:rsidRPr="0072604A">
      <w:rPr>
        <w:rFonts w:cs="Calibri"/>
        <w:color w:val="636466"/>
        <w:sz w:val="26"/>
      </w:rPr>
      <w:t>www.delwp.vic.gov.au</w:t>
    </w:r>
  </w:p>
  <w:p w:rsidR="00BE5A8F" w:rsidRPr="00497A9E" w:rsidRDefault="00BE5A8F" w:rsidP="00952C25">
    <w:pPr>
      <w:pStyle w:val="Footer"/>
      <w:jc w:val="center"/>
      <w:rPr>
        <w:rFonts w:ascii="Tahoma" w:hAnsi="Tahoma" w:cs="Tahoma"/>
        <w:sz w:val="20"/>
      </w:rPr>
    </w:pPr>
    <w:r w:rsidRPr="00497A9E">
      <w:rPr>
        <w:rFonts w:ascii="Tahoma" w:hAnsi="Tahoma" w:cs="Tahoma"/>
        <w:sz w:val="20"/>
      </w:rPr>
      <w:fldChar w:fldCharType="begin"/>
    </w:r>
    <w:r w:rsidRPr="00497A9E">
      <w:rPr>
        <w:rFonts w:ascii="Tahoma" w:hAnsi="Tahoma" w:cs="Tahoma"/>
        <w:sz w:val="20"/>
      </w:rPr>
      <w:instrText xml:space="preserve"> PAGE   \* MERGEFORMAT </w:instrText>
    </w:r>
    <w:r w:rsidRPr="00497A9E">
      <w:rPr>
        <w:rFonts w:ascii="Tahoma" w:hAnsi="Tahoma" w:cs="Tahoma"/>
        <w:sz w:val="20"/>
      </w:rPr>
      <w:fldChar w:fldCharType="separate"/>
    </w:r>
    <w:r w:rsidR="00493A1E">
      <w:rPr>
        <w:rFonts w:ascii="Tahoma" w:hAnsi="Tahoma" w:cs="Tahoma"/>
        <w:noProof/>
        <w:sz w:val="20"/>
      </w:rPr>
      <w:t>5</w:t>
    </w:r>
    <w:r w:rsidRPr="00497A9E">
      <w:rPr>
        <w:rFonts w:ascii="Tahoma" w:hAnsi="Tahoma" w:cs="Tahoma"/>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CCD" w:rsidRPr="006578DE" w:rsidRDefault="00213CCD" w:rsidP="00213CCD">
    <w:pPr>
      <w:pBdr>
        <w:top w:val="dotted" w:sz="12" w:space="1" w:color="3BBEB4"/>
      </w:pBdr>
      <w:rPr>
        <w:rFonts w:ascii="Arial" w:hAnsi="Arial" w:cs="Arial"/>
        <w:sz w:val="6"/>
        <w:szCs w:val="8"/>
      </w:rPr>
    </w:pPr>
  </w:p>
  <w:tbl>
    <w:tblPr>
      <w:tblW w:w="10456" w:type="dxa"/>
      <w:tblLook w:val="01E0" w:firstRow="1" w:lastRow="1" w:firstColumn="1" w:lastColumn="1" w:noHBand="0" w:noVBand="0"/>
    </w:tblPr>
    <w:tblGrid>
      <w:gridCol w:w="5228"/>
      <w:gridCol w:w="5228"/>
    </w:tblGrid>
    <w:tr w:rsidR="00213CCD" w:rsidRPr="006578DE" w:rsidTr="0010318E">
      <w:trPr>
        <w:trHeight w:val="2241"/>
      </w:trPr>
      <w:tc>
        <w:tcPr>
          <w:tcW w:w="5228" w:type="dxa"/>
          <w:shd w:val="clear" w:color="auto" w:fill="auto"/>
        </w:tcPr>
        <w:p w:rsidR="00213CCD" w:rsidRPr="006578DE" w:rsidRDefault="00213CCD" w:rsidP="0010318E">
          <w:pPr>
            <w:pStyle w:val="ImprintText"/>
            <w:rPr>
              <w:sz w:val="14"/>
            </w:rPr>
          </w:pPr>
          <w:r w:rsidRPr="006578DE">
            <w:rPr>
              <w:sz w:val="14"/>
            </w:rPr>
            <w:t xml:space="preserve">© The State of Victoria Department of Environment, Land, Water and </w:t>
          </w:r>
          <w:r w:rsidRPr="006578DE">
            <w:rPr>
              <w:sz w:val="14"/>
            </w:rPr>
            <w:br/>
            <w:t>Planning 2015</w:t>
          </w:r>
        </w:p>
        <w:p w:rsidR="00213CCD" w:rsidRPr="006578DE" w:rsidRDefault="00493A1E" w:rsidP="0010318E">
          <w:pPr>
            <w:pStyle w:val="ImprintText"/>
            <w:rPr>
              <w:sz w:val="14"/>
            </w:rPr>
          </w:pPr>
          <w:r>
            <w:rPr>
              <w:noProof/>
              <w:sz w:val="14"/>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y" style="width:60.3pt;height:20.75pt;visibility:visible;mso-wrap-style:square">
                <v:imagedata r:id="rId1" o:title="by"/>
              </v:shape>
            </w:pict>
          </w:r>
        </w:p>
        <w:p w:rsidR="00213CCD" w:rsidRPr="006578DE" w:rsidRDefault="00213CCD" w:rsidP="0010318E">
          <w:pPr>
            <w:pStyle w:val="ImprintText"/>
            <w:rPr>
              <w:sz w:val="14"/>
            </w:rPr>
          </w:pPr>
          <w:r w:rsidRPr="006578DE">
            <w:rPr>
              <w:sz w:val="14"/>
            </w:rPr>
            <w:t xml:space="preserve">This work is licensed under a Creative Commons Attribution 3.0 Australia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logo. To view a copy of this licence, visit </w:t>
          </w:r>
          <w:hyperlink r:id="rId2" w:history="1">
            <w:r w:rsidRPr="006578DE">
              <w:rPr>
                <w:color w:val="0000FF"/>
                <w:sz w:val="14"/>
                <w:u w:val="single"/>
              </w:rPr>
              <w:t>http://creativecommons.org/licenses/by/3.0/au/deed.en</w:t>
            </w:r>
          </w:hyperlink>
        </w:p>
        <w:p w:rsidR="00213CCD" w:rsidRPr="006578DE" w:rsidRDefault="00213CCD" w:rsidP="0010318E">
          <w:pPr>
            <w:pStyle w:val="ImprintText"/>
            <w:rPr>
              <w:b/>
              <w:bCs/>
              <w:sz w:val="14"/>
            </w:rPr>
          </w:pPr>
          <w:r w:rsidRPr="006578DE">
            <w:rPr>
              <w:sz w:val="14"/>
            </w:rPr>
            <w:t>ISSN 1448-6881</w:t>
          </w:r>
        </w:p>
      </w:tc>
      <w:tc>
        <w:tcPr>
          <w:tcW w:w="5228" w:type="dxa"/>
          <w:shd w:val="clear" w:color="auto" w:fill="auto"/>
        </w:tcPr>
        <w:p w:rsidR="00213CCD" w:rsidRPr="006578DE" w:rsidRDefault="00213CCD" w:rsidP="0010318E">
          <w:pPr>
            <w:pStyle w:val="ImprintText"/>
            <w:rPr>
              <w:sz w:val="14"/>
            </w:rPr>
          </w:pPr>
          <w:r w:rsidRPr="006578DE">
            <w:rPr>
              <w:b/>
              <w:bCs/>
              <w:sz w:val="14"/>
            </w:rPr>
            <w:t>Accessibility</w:t>
          </w:r>
          <w:r w:rsidRPr="006578DE">
            <w:rPr>
              <w:sz w:val="14"/>
            </w:rPr>
            <w:br/>
            <w:t xml:space="preserve">If you would like to receive this publication in an alternative format, please telephone DELWP Customer Service Centre 136 186, email </w:t>
          </w:r>
          <w:hyperlink r:id="rId3" w:history="1">
            <w:r w:rsidRPr="006578DE">
              <w:rPr>
                <w:color w:val="0000FF"/>
                <w:sz w:val="14"/>
                <w:u w:val="single"/>
              </w:rPr>
              <w:t>customer.service@delwp.vic.gov.au</w:t>
            </w:r>
          </w:hyperlink>
          <w:r w:rsidRPr="006578DE">
            <w:rPr>
              <w:sz w:val="14"/>
            </w:rPr>
            <w:t xml:space="preserve">, via the National Relay Service on 133 677 </w:t>
          </w:r>
          <w:hyperlink r:id="rId4" w:history="1">
            <w:r w:rsidRPr="006578DE">
              <w:rPr>
                <w:color w:val="0000FF"/>
                <w:sz w:val="14"/>
                <w:u w:val="single"/>
              </w:rPr>
              <w:t>www.relayservice.com.au</w:t>
            </w:r>
          </w:hyperlink>
          <w:r w:rsidRPr="006578DE">
            <w:rPr>
              <w:sz w:val="14"/>
            </w:rPr>
            <w:t xml:space="preserve">. This document is also available on the internet at </w:t>
          </w:r>
          <w:hyperlink r:id="rId5" w:history="1">
            <w:r w:rsidRPr="006578DE">
              <w:rPr>
                <w:color w:val="0000FF"/>
                <w:sz w:val="14"/>
                <w:u w:val="single"/>
              </w:rPr>
              <w:t>www.delwp.vic.gov.au</w:t>
            </w:r>
          </w:hyperlink>
          <w:r w:rsidRPr="006578DE">
            <w:rPr>
              <w:sz w:val="14"/>
            </w:rPr>
            <w:br/>
          </w:r>
          <w:r w:rsidRPr="006578DE">
            <w:rPr>
              <w:b/>
              <w:bCs/>
              <w:sz w:val="14"/>
            </w:rPr>
            <w:br/>
            <w:t>Disclaimer</w:t>
          </w:r>
          <w:r w:rsidRPr="006578DE">
            <w:rPr>
              <w:sz w:val="14"/>
            </w:rPr>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r>
  </w:tbl>
  <w:p w:rsidR="00213CCD" w:rsidRDefault="00213CCD" w:rsidP="00952C25">
    <w:pPr>
      <w:spacing w:after="0" w:line="240" w:lineRule="auto"/>
      <w:rPr>
        <w:rFonts w:cs="Calibri"/>
        <w:color w:val="636466"/>
        <w:sz w:val="26"/>
      </w:rPr>
    </w:pPr>
  </w:p>
  <w:p w:rsidR="00952C25" w:rsidRPr="0072604A" w:rsidRDefault="00493A1E" w:rsidP="00952C25">
    <w:pPr>
      <w:spacing w:after="0" w:line="240" w:lineRule="auto"/>
      <w:rPr>
        <w:rFonts w:cs="Calibri"/>
        <w:color w:val="636466"/>
        <w:sz w:val="26"/>
      </w:rPr>
    </w:pPr>
    <w:r>
      <w:rPr>
        <w:noProof/>
      </w:rPr>
      <w:pict>
        <v:shape id="_x0000_s2059" type="#_x0000_t75" alt="(DELWP) Insignia PMS541 Right Aligned" style="position:absolute;margin-left:380.1pt;margin-top:-15.85pt;width:134.4pt;height:30pt;z-index:2516567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6" o:title="(DELWP) Insignia PMS541 Right Aligned"/>
        </v:shape>
      </w:pict>
    </w:r>
    <w:r w:rsidR="00952C25" w:rsidRPr="0072604A">
      <w:rPr>
        <w:rFonts w:cs="Calibri"/>
        <w:color w:val="636466"/>
        <w:sz w:val="26"/>
      </w:rPr>
      <w:t>www.delwp.vic.gov.au</w:t>
    </w:r>
  </w:p>
  <w:p w:rsidR="00952C25" w:rsidRDefault="00952C25">
    <w:pPr>
      <w:pStyle w:val="Footer"/>
      <w:jc w:val="center"/>
    </w:pPr>
    <w:r>
      <w:fldChar w:fldCharType="begin"/>
    </w:r>
    <w:r>
      <w:instrText xml:space="preserve"> PAGE   \* MERGEFORMAT </w:instrText>
    </w:r>
    <w:r>
      <w:fldChar w:fldCharType="separate"/>
    </w:r>
    <w:r w:rsidR="00493A1E">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C25" w:rsidRPr="0072604A" w:rsidRDefault="00493A1E" w:rsidP="00952C25">
    <w:pPr>
      <w:spacing w:after="0" w:line="240" w:lineRule="auto"/>
      <w:rPr>
        <w:rFonts w:cs="Calibri"/>
        <w:color w:val="636466"/>
        <w:sz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alt="(DELWP) Insignia PMS541 Right Aligned" style="position:absolute;margin-left:380.1pt;margin-top:-15.85pt;width:134.4pt;height:30pt;z-index:2516577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DELWP) Insignia PMS541 Right Aligned"/>
        </v:shape>
      </w:pict>
    </w:r>
    <w:r w:rsidR="00952C25" w:rsidRPr="0072604A">
      <w:rPr>
        <w:rFonts w:cs="Calibri"/>
        <w:color w:val="636466"/>
        <w:sz w:val="26"/>
      </w:rPr>
      <w:t>www.delwp.vic.gov.au</w:t>
    </w:r>
  </w:p>
  <w:p w:rsidR="00952C25" w:rsidRDefault="00952C25">
    <w:pPr>
      <w:pStyle w:val="Footer"/>
      <w:jc w:val="center"/>
    </w:pPr>
    <w:r>
      <w:fldChar w:fldCharType="begin"/>
    </w:r>
    <w:r>
      <w:instrText xml:space="preserve"> PAGE   \* MERGEFORMAT </w:instrText>
    </w:r>
    <w:r>
      <w:fldChar w:fldCharType="separate"/>
    </w:r>
    <w:r w:rsidR="00493A1E">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EE1" w:rsidRDefault="00904EE1" w:rsidP="00091CA7">
      <w:pPr>
        <w:spacing w:after="0" w:line="240" w:lineRule="auto"/>
      </w:pPr>
      <w:r>
        <w:separator/>
      </w:r>
    </w:p>
  </w:footnote>
  <w:footnote w:type="continuationSeparator" w:id="0">
    <w:p w:rsidR="00904EE1" w:rsidRDefault="00904EE1" w:rsidP="00091C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9747"/>
    </w:tblGrid>
    <w:tr w:rsidR="002F28B4" w:rsidRPr="00F83A6F" w:rsidTr="0060126B">
      <w:trPr>
        <w:trHeight w:val="1289"/>
      </w:trPr>
      <w:tc>
        <w:tcPr>
          <w:tcW w:w="9747" w:type="dxa"/>
          <w:shd w:val="clear" w:color="auto" w:fill="auto"/>
          <w:vAlign w:val="center"/>
        </w:tcPr>
        <w:p w:rsidR="002F28B4" w:rsidRDefault="00493A1E" w:rsidP="0060126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2050" type="#_x0000_t75" alt="Untitled-2" style="position:absolute;margin-left:-32.1pt;margin-top:.45pt;width:540.75pt;height:6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Untitled-2"/>
              </v:shape>
            </w:pict>
          </w:r>
        </w:p>
        <w:p w:rsidR="002F28B4" w:rsidRPr="00F83A6F" w:rsidRDefault="002F28B4" w:rsidP="0060126B">
          <w:pPr>
            <w:pStyle w:val="CertHDWhite"/>
            <w:tabs>
              <w:tab w:val="left" w:pos="7513"/>
            </w:tabs>
          </w:pPr>
          <w:r>
            <w:t>Title</w:t>
          </w:r>
        </w:p>
      </w:tc>
    </w:tr>
  </w:tbl>
  <w:p w:rsidR="002F28B4" w:rsidRDefault="002F28B4" w:rsidP="002F28B4">
    <w:pPr>
      <w:pStyle w:val="ImprintBreak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A73" w:rsidRPr="00653A73" w:rsidRDefault="00493A1E" w:rsidP="00653A73">
    <w:pPr>
      <w:pStyle w:val="Header"/>
      <w:spacing w:line="240" w:lineRule="auto"/>
      <w:rPr>
        <w:color w:val="FFFFFF"/>
        <w:sz w:val="5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2049" type="#_x0000_t75" alt="Untitled-1" style="position:absolute;margin-left:-3pt;margin-top:2.05pt;width:537.9pt;height:142.4pt;z-index:-2516577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30 0 -30 21486 21600 21486 21600 0 -30 0">
          <v:imagedata r:id="rId1" o:title="Untitled-1"/>
          <w10:wrap type="through"/>
        </v:shape>
      </w:pict>
    </w:r>
  </w:p>
  <w:p w:rsidR="00BE5A8F" w:rsidRPr="00653A73" w:rsidRDefault="00653A73" w:rsidP="00BE5A8F">
    <w:pPr>
      <w:pStyle w:val="Header"/>
      <w:rPr>
        <w:color w:val="FFFFFF"/>
        <w:sz w:val="56"/>
      </w:rPr>
    </w:pPr>
    <w:r w:rsidRPr="00653A73">
      <w:rPr>
        <w:color w:val="FFFFFF"/>
        <w:sz w:val="56"/>
      </w:rPr>
      <w:t xml:space="preserve">  Research Matters</w:t>
    </w:r>
  </w:p>
  <w:p w:rsidR="00653A73" w:rsidRPr="00653A73" w:rsidRDefault="00653A73" w:rsidP="00BE5A8F">
    <w:pPr>
      <w:pStyle w:val="Header"/>
      <w:rPr>
        <w:color w:val="FFFFFF"/>
        <w:sz w:val="32"/>
      </w:rPr>
    </w:pPr>
  </w:p>
  <w:p w:rsidR="00653A73" w:rsidRPr="00653A73" w:rsidRDefault="00653A73" w:rsidP="00653A73">
    <w:pPr>
      <w:pStyle w:val="Header"/>
      <w:tabs>
        <w:tab w:val="clear" w:pos="9026"/>
        <w:tab w:val="right" w:pos="8505"/>
      </w:tabs>
      <w:rPr>
        <w:color w:val="FFFFFF"/>
      </w:rPr>
    </w:pPr>
    <w:r w:rsidRPr="00653A73">
      <w:rPr>
        <w:color w:val="FFFFFF"/>
      </w:rPr>
      <w:t xml:space="preserve">      ISSUE </w:t>
    </w:r>
    <w:r w:rsidR="00F508A5">
      <w:rPr>
        <w:color w:val="FFFFFF"/>
      </w:rPr>
      <w:t>70</w:t>
    </w:r>
    <w:r w:rsidRPr="00653A73">
      <w:rPr>
        <w:color w:val="FFFFFF"/>
      </w:rPr>
      <w:t xml:space="preserve"> </w:t>
    </w:r>
    <w:r w:rsidR="00F508A5">
      <w:rPr>
        <w:color w:val="FFFFFF"/>
      </w:rPr>
      <w:t>JUNE</w:t>
    </w:r>
    <w:r w:rsidRPr="00653A73">
      <w:rPr>
        <w:color w:val="FFFFFF"/>
      </w:rPr>
      <w:t xml:space="preserve"> 2015</w:t>
    </w:r>
    <w:r w:rsidRPr="00653A73">
      <w:rPr>
        <w:color w:val="FFFFFF"/>
      </w:rPr>
      <w:tab/>
    </w:r>
    <w:r w:rsidRPr="00653A73">
      <w:rPr>
        <w:color w:val="FFFFFF"/>
      </w:rPr>
      <w:tab/>
    </w:r>
    <w:r w:rsidRPr="00653A73">
      <w:rPr>
        <w:color w:val="FFFFFF"/>
      </w:rPr>
      <w:tab/>
      <w:t>ISSN 1448-6881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A73" w:rsidRPr="00653A73" w:rsidRDefault="00653A73" w:rsidP="00952C25">
    <w:pPr>
      <w:pStyle w:val="Header"/>
      <w:tabs>
        <w:tab w:val="clear" w:pos="9026"/>
        <w:tab w:val="left" w:pos="5529"/>
        <w:tab w:val="right" w:pos="7797"/>
      </w:tabs>
      <w:rPr>
        <w:color w:val="228591"/>
      </w:rPr>
    </w:pPr>
    <w:r>
      <w:rPr>
        <w:color w:val="228591"/>
      </w:rPr>
      <w:t>RESEARCH MATTERS</w:t>
    </w:r>
    <w:r>
      <w:rPr>
        <w:color w:val="228591"/>
      </w:rPr>
      <w:tab/>
    </w:r>
    <w:r>
      <w:rPr>
        <w:color w:val="228591"/>
      </w:rPr>
      <w:tab/>
    </w:r>
    <w:r w:rsidR="00952C25">
      <w:rPr>
        <w:color w:val="228591"/>
      </w:rPr>
      <w:tab/>
    </w:r>
    <w:r>
      <w:rPr>
        <w:color w:val="228591"/>
      </w:rPr>
      <w:tab/>
    </w:r>
    <w:r w:rsidRPr="00653A73">
      <w:rPr>
        <w:color w:val="228591"/>
      </w:rPr>
      <w:t>ISSUE</w:t>
    </w:r>
    <w:r w:rsidR="00F508A5">
      <w:rPr>
        <w:color w:val="228591"/>
      </w:rPr>
      <w:t xml:space="preserve"> 70</w:t>
    </w:r>
    <w:r w:rsidRPr="00653A73">
      <w:rPr>
        <w:color w:val="228591"/>
      </w:rPr>
      <w:t xml:space="preserve"> </w:t>
    </w:r>
    <w:r w:rsidR="00F508A5">
      <w:rPr>
        <w:color w:val="228591"/>
      </w:rPr>
      <w:t xml:space="preserve">JUNE </w:t>
    </w:r>
    <w:r w:rsidRPr="00653A73">
      <w:rPr>
        <w:color w:val="228591"/>
      </w:rPr>
      <w:t>2015</w:t>
    </w:r>
  </w:p>
  <w:p w:rsidR="002F28B4" w:rsidRDefault="002F28B4" w:rsidP="002F28B4">
    <w:pPr>
      <w:pStyle w:val="ImprintBreak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C25" w:rsidRPr="00653A73" w:rsidRDefault="00952C25" w:rsidP="00952C25">
    <w:pPr>
      <w:pStyle w:val="Header"/>
      <w:tabs>
        <w:tab w:val="clear" w:pos="9026"/>
        <w:tab w:val="left" w:pos="5529"/>
        <w:tab w:val="right" w:pos="7797"/>
      </w:tabs>
      <w:rPr>
        <w:color w:val="228591"/>
      </w:rPr>
    </w:pPr>
    <w:r>
      <w:rPr>
        <w:color w:val="228591"/>
      </w:rPr>
      <w:t>RESEARCH MATTERS</w:t>
    </w:r>
    <w:r>
      <w:rPr>
        <w:color w:val="228591"/>
      </w:rPr>
      <w:tab/>
    </w:r>
    <w:r>
      <w:rPr>
        <w:color w:val="228591"/>
      </w:rPr>
      <w:tab/>
    </w:r>
    <w:r>
      <w:rPr>
        <w:color w:val="228591"/>
      </w:rPr>
      <w:tab/>
    </w:r>
    <w:r>
      <w:rPr>
        <w:color w:val="228591"/>
      </w:rPr>
      <w:tab/>
    </w:r>
    <w:r w:rsidRPr="00653A73">
      <w:rPr>
        <w:color w:val="228591"/>
      </w:rPr>
      <w:t>ISSUE 69 MARCH 2015</w:t>
    </w:r>
  </w:p>
  <w:p w:rsidR="00952C25" w:rsidRDefault="00952C25" w:rsidP="00952C25">
    <w:pPr>
      <w:pStyle w:val="ImprintBreak2"/>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8B4" w:rsidRDefault="00653A73" w:rsidP="00653A73">
    <w:pPr>
      <w:pStyle w:val="Header"/>
      <w:tabs>
        <w:tab w:val="clear" w:pos="9026"/>
        <w:tab w:val="right" w:pos="7797"/>
      </w:tabs>
    </w:pPr>
    <w:r>
      <w:rPr>
        <w:color w:val="228591"/>
      </w:rPr>
      <w:t>RESEARCH MATTERS</w:t>
    </w:r>
    <w:r>
      <w:rPr>
        <w:color w:val="228591"/>
      </w:rPr>
      <w:tab/>
    </w:r>
    <w:r>
      <w:rPr>
        <w:color w:val="228591"/>
      </w:rPr>
      <w:tab/>
    </w:r>
    <w:r>
      <w:rPr>
        <w:color w:val="228591"/>
      </w:rPr>
      <w:tab/>
    </w:r>
    <w:r w:rsidRPr="00653A73">
      <w:rPr>
        <w:color w:val="228591"/>
      </w:rPr>
      <w:t xml:space="preserve">ISSUE </w:t>
    </w:r>
    <w:r w:rsidR="00F508A5">
      <w:rPr>
        <w:color w:val="228591"/>
      </w:rPr>
      <w:t xml:space="preserve">70 JUNE </w:t>
    </w:r>
    <w:r w:rsidRPr="00653A73">
      <w:rPr>
        <w:color w:val="228591"/>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F82F08"/>
    <w:multiLevelType w:val="hybridMultilevel"/>
    <w:tmpl w:val="4B1701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AE73DBE"/>
    <w:multiLevelType w:val="hybridMultilevel"/>
    <w:tmpl w:val="BAEF96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192AA1"/>
    <w:multiLevelType w:val="hybridMultilevel"/>
    <w:tmpl w:val="942825F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0E0C17C8"/>
    <w:multiLevelType w:val="hybridMultilevel"/>
    <w:tmpl w:val="7CFE8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A60C82"/>
    <w:multiLevelType w:val="hybridMultilevel"/>
    <w:tmpl w:val="1C1822F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1EA72DCD"/>
    <w:multiLevelType w:val="hybridMultilevel"/>
    <w:tmpl w:val="80B2A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0D70244"/>
    <w:multiLevelType w:val="hybridMultilevel"/>
    <w:tmpl w:val="129C5E64"/>
    <w:lvl w:ilvl="0" w:tplc="78CCC3E4">
      <w:start w:val="1"/>
      <w:numFmt w:val="bullet"/>
      <w:lvlText w:val="•"/>
      <w:lvlJc w:val="left"/>
      <w:pPr>
        <w:tabs>
          <w:tab w:val="num" w:pos="720"/>
        </w:tabs>
        <w:ind w:left="720" w:hanging="360"/>
      </w:pPr>
      <w:rPr>
        <w:rFonts w:ascii="Arial" w:hAnsi="Arial" w:cs="Times New Roman" w:hint="default"/>
      </w:rPr>
    </w:lvl>
    <w:lvl w:ilvl="1" w:tplc="BB4E0EA8">
      <w:start w:val="1"/>
      <w:numFmt w:val="bullet"/>
      <w:lvlText w:val="•"/>
      <w:lvlJc w:val="left"/>
      <w:pPr>
        <w:tabs>
          <w:tab w:val="num" w:pos="1440"/>
        </w:tabs>
        <w:ind w:left="1440" w:hanging="360"/>
      </w:pPr>
      <w:rPr>
        <w:rFonts w:ascii="Arial" w:hAnsi="Arial" w:cs="Times New Roman" w:hint="default"/>
      </w:rPr>
    </w:lvl>
    <w:lvl w:ilvl="2" w:tplc="BB5E82D6">
      <w:start w:val="1"/>
      <w:numFmt w:val="bullet"/>
      <w:lvlText w:val="•"/>
      <w:lvlJc w:val="left"/>
      <w:pPr>
        <w:tabs>
          <w:tab w:val="num" w:pos="2160"/>
        </w:tabs>
        <w:ind w:left="2160" w:hanging="360"/>
      </w:pPr>
      <w:rPr>
        <w:rFonts w:ascii="Arial" w:hAnsi="Arial" w:cs="Times New Roman" w:hint="default"/>
      </w:rPr>
    </w:lvl>
    <w:lvl w:ilvl="3" w:tplc="B2E0BB7C">
      <w:start w:val="1"/>
      <w:numFmt w:val="bullet"/>
      <w:lvlText w:val="•"/>
      <w:lvlJc w:val="left"/>
      <w:pPr>
        <w:tabs>
          <w:tab w:val="num" w:pos="2880"/>
        </w:tabs>
        <w:ind w:left="2880" w:hanging="360"/>
      </w:pPr>
      <w:rPr>
        <w:rFonts w:ascii="Arial" w:hAnsi="Arial" w:cs="Times New Roman" w:hint="default"/>
      </w:rPr>
    </w:lvl>
    <w:lvl w:ilvl="4" w:tplc="050E25E0">
      <w:start w:val="1"/>
      <w:numFmt w:val="bullet"/>
      <w:lvlText w:val="•"/>
      <w:lvlJc w:val="left"/>
      <w:pPr>
        <w:tabs>
          <w:tab w:val="num" w:pos="3600"/>
        </w:tabs>
        <w:ind w:left="3600" w:hanging="360"/>
      </w:pPr>
      <w:rPr>
        <w:rFonts w:ascii="Arial" w:hAnsi="Arial" w:cs="Times New Roman" w:hint="default"/>
      </w:rPr>
    </w:lvl>
    <w:lvl w:ilvl="5" w:tplc="734CAE94">
      <w:start w:val="1"/>
      <w:numFmt w:val="bullet"/>
      <w:lvlText w:val="•"/>
      <w:lvlJc w:val="left"/>
      <w:pPr>
        <w:tabs>
          <w:tab w:val="num" w:pos="4320"/>
        </w:tabs>
        <w:ind w:left="4320" w:hanging="360"/>
      </w:pPr>
      <w:rPr>
        <w:rFonts w:ascii="Arial" w:hAnsi="Arial" w:cs="Times New Roman" w:hint="default"/>
      </w:rPr>
    </w:lvl>
    <w:lvl w:ilvl="6" w:tplc="D7CC245E">
      <w:start w:val="1"/>
      <w:numFmt w:val="bullet"/>
      <w:lvlText w:val="•"/>
      <w:lvlJc w:val="left"/>
      <w:pPr>
        <w:tabs>
          <w:tab w:val="num" w:pos="5040"/>
        </w:tabs>
        <w:ind w:left="5040" w:hanging="360"/>
      </w:pPr>
      <w:rPr>
        <w:rFonts w:ascii="Arial" w:hAnsi="Arial" w:cs="Times New Roman" w:hint="default"/>
      </w:rPr>
    </w:lvl>
    <w:lvl w:ilvl="7" w:tplc="A7C26CA6">
      <w:start w:val="1"/>
      <w:numFmt w:val="bullet"/>
      <w:lvlText w:val="•"/>
      <w:lvlJc w:val="left"/>
      <w:pPr>
        <w:tabs>
          <w:tab w:val="num" w:pos="5760"/>
        </w:tabs>
        <w:ind w:left="5760" w:hanging="360"/>
      </w:pPr>
      <w:rPr>
        <w:rFonts w:ascii="Arial" w:hAnsi="Arial" w:cs="Times New Roman" w:hint="default"/>
      </w:rPr>
    </w:lvl>
    <w:lvl w:ilvl="8" w:tplc="BA4810F8">
      <w:start w:val="1"/>
      <w:numFmt w:val="bullet"/>
      <w:lvlText w:val="•"/>
      <w:lvlJc w:val="left"/>
      <w:pPr>
        <w:tabs>
          <w:tab w:val="num" w:pos="6480"/>
        </w:tabs>
        <w:ind w:left="6480" w:hanging="360"/>
      </w:pPr>
      <w:rPr>
        <w:rFonts w:ascii="Arial" w:hAnsi="Arial" w:cs="Times New Roman" w:hint="default"/>
      </w:rPr>
    </w:lvl>
  </w:abstractNum>
  <w:abstractNum w:abstractNumId="7">
    <w:nsid w:val="2190EF03"/>
    <w:multiLevelType w:val="hybridMultilevel"/>
    <w:tmpl w:val="D7B1705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3A238DE"/>
    <w:multiLevelType w:val="hybridMultilevel"/>
    <w:tmpl w:val="F6CA6350"/>
    <w:lvl w:ilvl="0" w:tplc="6B88DBA6">
      <w:start w:val="9"/>
      <w:numFmt w:val="decimal"/>
      <w:lvlText w:val="%1."/>
      <w:lvlJc w:val="left"/>
      <w:pPr>
        <w:ind w:left="765" w:hanging="360"/>
      </w:pPr>
      <w:rPr>
        <w:rFonts w:hint="default"/>
      </w:r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9">
    <w:nsid w:val="2D9E2F41"/>
    <w:multiLevelType w:val="hybridMultilevel"/>
    <w:tmpl w:val="2B1668EA"/>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10">
    <w:nsid w:val="2F5A4B6F"/>
    <w:multiLevelType w:val="hybridMultilevel"/>
    <w:tmpl w:val="3D764C5C"/>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4AD7CEB"/>
    <w:multiLevelType w:val="hybridMultilevel"/>
    <w:tmpl w:val="0B2018E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nsid w:val="363A7B84"/>
    <w:multiLevelType w:val="hybridMultilevel"/>
    <w:tmpl w:val="DAF2F89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444B30A4"/>
    <w:multiLevelType w:val="hybridMultilevel"/>
    <w:tmpl w:val="900200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888737B"/>
    <w:multiLevelType w:val="hybridMultilevel"/>
    <w:tmpl w:val="7649F5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C534815"/>
    <w:multiLevelType w:val="hybridMultilevel"/>
    <w:tmpl w:val="1BF85DC0"/>
    <w:lvl w:ilvl="0" w:tplc="3FCA77F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nsid w:val="4F6A55DC"/>
    <w:multiLevelType w:val="hybridMultilevel"/>
    <w:tmpl w:val="2298A52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7">
    <w:nsid w:val="4FA402C9"/>
    <w:multiLevelType w:val="hybridMultilevel"/>
    <w:tmpl w:val="F17834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50F74D5E"/>
    <w:multiLevelType w:val="hybridMultilevel"/>
    <w:tmpl w:val="B91CE488"/>
    <w:lvl w:ilvl="0" w:tplc="DB10850E">
      <w:start w:val="1"/>
      <w:numFmt w:val="bullet"/>
      <w:lvlText w:val="•"/>
      <w:lvlJc w:val="left"/>
      <w:pPr>
        <w:tabs>
          <w:tab w:val="num" w:pos="720"/>
        </w:tabs>
        <w:ind w:left="720" w:hanging="360"/>
      </w:pPr>
      <w:rPr>
        <w:rFonts w:ascii="Arial" w:hAnsi="Arial" w:cs="Times New Roman" w:hint="default"/>
      </w:rPr>
    </w:lvl>
    <w:lvl w:ilvl="1" w:tplc="F46ED740">
      <w:start w:val="1"/>
      <w:numFmt w:val="bullet"/>
      <w:lvlText w:val="•"/>
      <w:lvlJc w:val="left"/>
      <w:pPr>
        <w:tabs>
          <w:tab w:val="num" w:pos="1440"/>
        </w:tabs>
        <w:ind w:left="1440" w:hanging="360"/>
      </w:pPr>
      <w:rPr>
        <w:rFonts w:ascii="Arial" w:hAnsi="Arial" w:cs="Times New Roman" w:hint="default"/>
      </w:rPr>
    </w:lvl>
    <w:lvl w:ilvl="2" w:tplc="4C04B374">
      <w:start w:val="1"/>
      <w:numFmt w:val="bullet"/>
      <w:lvlText w:val="•"/>
      <w:lvlJc w:val="left"/>
      <w:pPr>
        <w:tabs>
          <w:tab w:val="num" w:pos="2160"/>
        </w:tabs>
        <w:ind w:left="2160" w:hanging="360"/>
      </w:pPr>
      <w:rPr>
        <w:rFonts w:ascii="Arial" w:hAnsi="Arial" w:cs="Times New Roman" w:hint="default"/>
      </w:rPr>
    </w:lvl>
    <w:lvl w:ilvl="3" w:tplc="FD182480">
      <w:start w:val="1"/>
      <w:numFmt w:val="bullet"/>
      <w:lvlText w:val="•"/>
      <w:lvlJc w:val="left"/>
      <w:pPr>
        <w:tabs>
          <w:tab w:val="num" w:pos="2880"/>
        </w:tabs>
        <w:ind w:left="2880" w:hanging="360"/>
      </w:pPr>
      <w:rPr>
        <w:rFonts w:ascii="Arial" w:hAnsi="Arial" w:cs="Times New Roman" w:hint="default"/>
      </w:rPr>
    </w:lvl>
    <w:lvl w:ilvl="4" w:tplc="AB5443EC">
      <w:start w:val="1"/>
      <w:numFmt w:val="bullet"/>
      <w:lvlText w:val="•"/>
      <w:lvlJc w:val="left"/>
      <w:pPr>
        <w:tabs>
          <w:tab w:val="num" w:pos="3600"/>
        </w:tabs>
        <w:ind w:left="3600" w:hanging="360"/>
      </w:pPr>
      <w:rPr>
        <w:rFonts w:ascii="Arial" w:hAnsi="Arial" w:cs="Times New Roman" w:hint="default"/>
      </w:rPr>
    </w:lvl>
    <w:lvl w:ilvl="5" w:tplc="49DE3388">
      <w:start w:val="1"/>
      <w:numFmt w:val="bullet"/>
      <w:lvlText w:val="•"/>
      <w:lvlJc w:val="left"/>
      <w:pPr>
        <w:tabs>
          <w:tab w:val="num" w:pos="4320"/>
        </w:tabs>
        <w:ind w:left="4320" w:hanging="360"/>
      </w:pPr>
      <w:rPr>
        <w:rFonts w:ascii="Arial" w:hAnsi="Arial" w:cs="Times New Roman" w:hint="default"/>
      </w:rPr>
    </w:lvl>
    <w:lvl w:ilvl="6" w:tplc="5384439E">
      <w:start w:val="1"/>
      <w:numFmt w:val="bullet"/>
      <w:lvlText w:val="•"/>
      <w:lvlJc w:val="left"/>
      <w:pPr>
        <w:tabs>
          <w:tab w:val="num" w:pos="5040"/>
        </w:tabs>
        <w:ind w:left="5040" w:hanging="360"/>
      </w:pPr>
      <w:rPr>
        <w:rFonts w:ascii="Arial" w:hAnsi="Arial" w:cs="Times New Roman" w:hint="default"/>
      </w:rPr>
    </w:lvl>
    <w:lvl w:ilvl="7" w:tplc="8AD236FA">
      <w:start w:val="1"/>
      <w:numFmt w:val="bullet"/>
      <w:lvlText w:val="•"/>
      <w:lvlJc w:val="left"/>
      <w:pPr>
        <w:tabs>
          <w:tab w:val="num" w:pos="5760"/>
        </w:tabs>
        <w:ind w:left="5760" w:hanging="360"/>
      </w:pPr>
      <w:rPr>
        <w:rFonts w:ascii="Arial" w:hAnsi="Arial" w:cs="Times New Roman" w:hint="default"/>
      </w:rPr>
    </w:lvl>
    <w:lvl w:ilvl="8" w:tplc="9F18E25A">
      <w:start w:val="1"/>
      <w:numFmt w:val="bullet"/>
      <w:lvlText w:val="•"/>
      <w:lvlJc w:val="left"/>
      <w:pPr>
        <w:tabs>
          <w:tab w:val="num" w:pos="6480"/>
        </w:tabs>
        <w:ind w:left="6480" w:hanging="360"/>
      </w:pPr>
      <w:rPr>
        <w:rFonts w:ascii="Arial" w:hAnsi="Arial" w:cs="Times New Roman" w:hint="default"/>
      </w:rPr>
    </w:lvl>
  </w:abstractNum>
  <w:abstractNum w:abstractNumId="19">
    <w:nsid w:val="5D543C01"/>
    <w:multiLevelType w:val="hybridMultilevel"/>
    <w:tmpl w:val="8966B2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67BE2698"/>
    <w:multiLevelType w:val="hybridMultilevel"/>
    <w:tmpl w:val="FB580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5650512"/>
    <w:multiLevelType w:val="hybridMultilevel"/>
    <w:tmpl w:val="4C4438D2"/>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77345D57"/>
    <w:multiLevelType w:val="hybridMultilevel"/>
    <w:tmpl w:val="53125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F361FD0"/>
    <w:multiLevelType w:val="hybridMultilevel"/>
    <w:tmpl w:val="49327540"/>
    <w:lvl w:ilvl="0" w:tplc="A1CC9EDC">
      <w:start w:val="1"/>
      <w:numFmt w:val="bullet"/>
      <w:lvlText w:val="•"/>
      <w:lvlJc w:val="left"/>
      <w:pPr>
        <w:tabs>
          <w:tab w:val="num" w:pos="720"/>
        </w:tabs>
        <w:ind w:left="720" w:hanging="360"/>
      </w:pPr>
      <w:rPr>
        <w:rFonts w:ascii="Arial" w:hAnsi="Arial" w:cs="Times New Roman" w:hint="default"/>
      </w:rPr>
    </w:lvl>
    <w:lvl w:ilvl="1" w:tplc="DFFA21B0">
      <w:start w:val="1"/>
      <w:numFmt w:val="bullet"/>
      <w:lvlText w:val="•"/>
      <w:lvlJc w:val="left"/>
      <w:pPr>
        <w:tabs>
          <w:tab w:val="num" w:pos="1440"/>
        </w:tabs>
        <w:ind w:left="1440" w:hanging="360"/>
      </w:pPr>
      <w:rPr>
        <w:rFonts w:ascii="Arial" w:hAnsi="Arial" w:cs="Times New Roman" w:hint="default"/>
      </w:rPr>
    </w:lvl>
    <w:lvl w:ilvl="2" w:tplc="B3CE6D04">
      <w:start w:val="1"/>
      <w:numFmt w:val="bullet"/>
      <w:lvlText w:val="•"/>
      <w:lvlJc w:val="left"/>
      <w:pPr>
        <w:tabs>
          <w:tab w:val="num" w:pos="2160"/>
        </w:tabs>
        <w:ind w:left="2160" w:hanging="360"/>
      </w:pPr>
      <w:rPr>
        <w:rFonts w:ascii="Arial" w:hAnsi="Arial" w:cs="Times New Roman" w:hint="default"/>
      </w:rPr>
    </w:lvl>
    <w:lvl w:ilvl="3" w:tplc="C5BAF456">
      <w:start w:val="1"/>
      <w:numFmt w:val="bullet"/>
      <w:lvlText w:val="•"/>
      <w:lvlJc w:val="left"/>
      <w:pPr>
        <w:tabs>
          <w:tab w:val="num" w:pos="2880"/>
        </w:tabs>
        <w:ind w:left="2880" w:hanging="360"/>
      </w:pPr>
      <w:rPr>
        <w:rFonts w:ascii="Arial" w:hAnsi="Arial" w:cs="Times New Roman" w:hint="default"/>
      </w:rPr>
    </w:lvl>
    <w:lvl w:ilvl="4" w:tplc="3B9634F6">
      <w:start w:val="1"/>
      <w:numFmt w:val="bullet"/>
      <w:lvlText w:val="•"/>
      <w:lvlJc w:val="left"/>
      <w:pPr>
        <w:tabs>
          <w:tab w:val="num" w:pos="3600"/>
        </w:tabs>
        <w:ind w:left="3600" w:hanging="360"/>
      </w:pPr>
      <w:rPr>
        <w:rFonts w:ascii="Arial" w:hAnsi="Arial" w:cs="Times New Roman" w:hint="default"/>
      </w:rPr>
    </w:lvl>
    <w:lvl w:ilvl="5" w:tplc="1FAEA802">
      <w:start w:val="1"/>
      <w:numFmt w:val="bullet"/>
      <w:lvlText w:val="•"/>
      <w:lvlJc w:val="left"/>
      <w:pPr>
        <w:tabs>
          <w:tab w:val="num" w:pos="4320"/>
        </w:tabs>
        <w:ind w:left="4320" w:hanging="360"/>
      </w:pPr>
      <w:rPr>
        <w:rFonts w:ascii="Arial" w:hAnsi="Arial" w:cs="Times New Roman" w:hint="default"/>
      </w:rPr>
    </w:lvl>
    <w:lvl w:ilvl="6" w:tplc="E458829E">
      <w:start w:val="1"/>
      <w:numFmt w:val="bullet"/>
      <w:lvlText w:val="•"/>
      <w:lvlJc w:val="left"/>
      <w:pPr>
        <w:tabs>
          <w:tab w:val="num" w:pos="5040"/>
        </w:tabs>
        <w:ind w:left="5040" w:hanging="360"/>
      </w:pPr>
      <w:rPr>
        <w:rFonts w:ascii="Arial" w:hAnsi="Arial" w:cs="Times New Roman" w:hint="default"/>
      </w:rPr>
    </w:lvl>
    <w:lvl w:ilvl="7" w:tplc="75D604F2">
      <w:start w:val="1"/>
      <w:numFmt w:val="bullet"/>
      <w:lvlText w:val="•"/>
      <w:lvlJc w:val="left"/>
      <w:pPr>
        <w:tabs>
          <w:tab w:val="num" w:pos="5760"/>
        </w:tabs>
        <w:ind w:left="5760" w:hanging="360"/>
      </w:pPr>
      <w:rPr>
        <w:rFonts w:ascii="Arial" w:hAnsi="Arial" w:cs="Times New Roman" w:hint="default"/>
      </w:rPr>
    </w:lvl>
    <w:lvl w:ilvl="8" w:tplc="2252EB78">
      <w:start w:val="1"/>
      <w:numFmt w:val="bullet"/>
      <w:lvlText w:val="•"/>
      <w:lvlJc w:val="left"/>
      <w:pPr>
        <w:tabs>
          <w:tab w:val="num" w:pos="6480"/>
        </w:tabs>
        <w:ind w:left="6480" w:hanging="360"/>
      </w:pPr>
      <w:rPr>
        <w:rFonts w:ascii="Arial" w:hAnsi="Arial" w:cs="Times New Roman" w:hint="default"/>
      </w:rPr>
    </w:lvl>
  </w:abstractNum>
  <w:num w:numId="1">
    <w:abstractNumId w:val="0"/>
  </w:num>
  <w:num w:numId="2">
    <w:abstractNumId w:val="21"/>
  </w:num>
  <w:num w:numId="3">
    <w:abstractNumId w:val="1"/>
  </w:num>
  <w:num w:numId="4">
    <w:abstractNumId w:val="14"/>
  </w:num>
  <w:num w:numId="5">
    <w:abstractNumId w:val="10"/>
  </w:num>
  <w:num w:numId="6">
    <w:abstractNumId w:val="22"/>
  </w:num>
  <w:num w:numId="7">
    <w:abstractNumId w:val="7"/>
  </w:num>
  <w:num w:numId="8">
    <w:abstractNumId w:val="5"/>
  </w:num>
  <w:num w:numId="9">
    <w:abstractNumId w:val="12"/>
  </w:num>
  <w:num w:numId="10">
    <w:abstractNumId w:val="2"/>
  </w:num>
  <w:num w:numId="11">
    <w:abstractNumId w:val="8"/>
  </w:num>
  <w:num w:numId="12">
    <w:abstractNumId w:val="20"/>
  </w:num>
  <w:num w:numId="13">
    <w:abstractNumId w:val="9"/>
  </w:num>
  <w:num w:numId="14">
    <w:abstractNumId w:val="19"/>
  </w:num>
  <w:num w:numId="15">
    <w:abstractNumId w:val="13"/>
  </w:num>
  <w:num w:numId="16">
    <w:abstractNumId w:val="16"/>
  </w:num>
  <w:num w:numId="17">
    <w:abstractNumId w:val="18"/>
  </w:num>
  <w:num w:numId="18">
    <w:abstractNumId w:val="23"/>
  </w:num>
  <w:num w:numId="19">
    <w:abstractNumId w:val="6"/>
  </w:num>
  <w:num w:numId="20">
    <w:abstractNumId w:val="3"/>
  </w:num>
  <w:num w:numId="21">
    <w:abstractNumId w:val="4"/>
  </w:num>
  <w:num w:numId="22">
    <w:abstractNumId w:val="17"/>
  </w:num>
  <w:num w:numId="23">
    <w:abstractNumId w:val="1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oNotTrackMoves/>
  <w:defaultTabStop w:val="720"/>
  <w:drawingGridHorizontalSpacing w:val="110"/>
  <w:displayHorizontalDrawingGridEvery w:val="2"/>
  <w:characterSpacingControl w:val="doNotCompress"/>
  <w:hdrShapeDefaults>
    <o:shapedefaults v:ext="edit" spidmax="2062" style="mso-position-horizontal-relative:margin" fill="f" fillcolor="white" stroke="f">
      <v:fill color="white" on="f"/>
      <v:stroke on="f"/>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AMO_XmlVersion" w:val="Empty"/>
  </w:docVars>
  <w:rsids>
    <w:rsidRoot w:val="00422C67"/>
    <w:rsid w:val="0000075F"/>
    <w:rsid w:val="000009B8"/>
    <w:rsid w:val="00002A0D"/>
    <w:rsid w:val="00005870"/>
    <w:rsid w:val="00010174"/>
    <w:rsid w:val="0001078A"/>
    <w:rsid w:val="00017CBF"/>
    <w:rsid w:val="0002103C"/>
    <w:rsid w:val="000273ED"/>
    <w:rsid w:val="00030131"/>
    <w:rsid w:val="00030FE9"/>
    <w:rsid w:val="00041009"/>
    <w:rsid w:val="00046963"/>
    <w:rsid w:val="00054933"/>
    <w:rsid w:val="00054FA4"/>
    <w:rsid w:val="000618ED"/>
    <w:rsid w:val="00063467"/>
    <w:rsid w:val="0006585F"/>
    <w:rsid w:val="00070763"/>
    <w:rsid w:val="0008087F"/>
    <w:rsid w:val="00083C14"/>
    <w:rsid w:val="00085356"/>
    <w:rsid w:val="000865F8"/>
    <w:rsid w:val="00087E55"/>
    <w:rsid w:val="00091CA7"/>
    <w:rsid w:val="000969E4"/>
    <w:rsid w:val="000A0522"/>
    <w:rsid w:val="000A1E93"/>
    <w:rsid w:val="000A577D"/>
    <w:rsid w:val="000B6B48"/>
    <w:rsid w:val="000C1AF4"/>
    <w:rsid w:val="000C558C"/>
    <w:rsid w:val="000C6A04"/>
    <w:rsid w:val="000D493F"/>
    <w:rsid w:val="000D60F2"/>
    <w:rsid w:val="000D680B"/>
    <w:rsid w:val="000D74CB"/>
    <w:rsid w:val="000E098F"/>
    <w:rsid w:val="000F228D"/>
    <w:rsid w:val="000F23CA"/>
    <w:rsid w:val="000F27C7"/>
    <w:rsid w:val="000F37D5"/>
    <w:rsid w:val="000F3C01"/>
    <w:rsid w:val="000F41CF"/>
    <w:rsid w:val="000F64DD"/>
    <w:rsid w:val="000F76FA"/>
    <w:rsid w:val="001052D0"/>
    <w:rsid w:val="00112C27"/>
    <w:rsid w:val="00117188"/>
    <w:rsid w:val="00131A56"/>
    <w:rsid w:val="00133868"/>
    <w:rsid w:val="001413F7"/>
    <w:rsid w:val="001477C6"/>
    <w:rsid w:val="00157FC3"/>
    <w:rsid w:val="0016153B"/>
    <w:rsid w:val="00175FE2"/>
    <w:rsid w:val="001829A5"/>
    <w:rsid w:val="001847B1"/>
    <w:rsid w:val="00184971"/>
    <w:rsid w:val="001873E7"/>
    <w:rsid w:val="001A0192"/>
    <w:rsid w:val="001A059F"/>
    <w:rsid w:val="001A56FD"/>
    <w:rsid w:val="001A795A"/>
    <w:rsid w:val="001B20D8"/>
    <w:rsid w:val="001B5708"/>
    <w:rsid w:val="001C3848"/>
    <w:rsid w:val="001C439F"/>
    <w:rsid w:val="001C7356"/>
    <w:rsid w:val="001D51FC"/>
    <w:rsid w:val="001D58AF"/>
    <w:rsid w:val="001E2C1A"/>
    <w:rsid w:val="001E4B51"/>
    <w:rsid w:val="001E5267"/>
    <w:rsid w:val="001F36A7"/>
    <w:rsid w:val="001F592C"/>
    <w:rsid w:val="001F6EEF"/>
    <w:rsid w:val="001F75BC"/>
    <w:rsid w:val="001F7C16"/>
    <w:rsid w:val="00204C12"/>
    <w:rsid w:val="00213CCD"/>
    <w:rsid w:val="002140F3"/>
    <w:rsid w:val="00216328"/>
    <w:rsid w:val="002238D8"/>
    <w:rsid w:val="002244BE"/>
    <w:rsid w:val="00224B42"/>
    <w:rsid w:val="002307A5"/>
    <w:rsid w:val="002363D0"/>
    <w:rsid w:val="00236410"/>
    <w:rsid w:val="0023663A"/>
    <w:rsid w:val="00237775"/>
    <w:rsid w:val="00241928"/>
    <w:rsid w:val="00250CE5"/>
    <w:rsid w:val="00252F41"/>
    <w:rsid w:val="00253824"/>
    <w:rsid w:val="002544C7"/>
    <w:rsid w:val="00256C12"/>
    <w:rsid w:val="00256EE9"/>
    <w:rsid w:val="00261817"/>
    <w:rsid w:val="002638FC"/>
    <w:rsid w:val="00270934"/>
    <w:rsid w:val="00281B57"/>
    <w:rsid w:val="002831A6"/>
    <w:rsid w:val="00283B02"/>
    <w:rsid w:val="002A3F24"/>
    <w:rsid w:val="002A66FC"/>
    <w:rsid w:val="002A6CBB"/>
    <w:rsid w:val="002A762E"/>
    <w:rsid w:val="002B0595"/>
    <w:rsid w:val="002B35BF"/>
    <w:rsid w:val="002B4BFD"/>
    <w:rsid w:val="002C1A66"/>
    <w:rsid w:val="002C71E7"/>
    <w:rsid w:val="002C7E9A"/>
    <w:rsid w:val="002D3C03"/>
    <w:rsid w:val="002D4308"/>
    <w:rsid w:val="002D4EAE"/>
    <w:rsid w:val="002D5D93"/>
    <w:rsid w:val="002D6858"/>
    <w:rsid w:val="002D7569"/>
    <w:rsid w:val="002D779B"/>
    <w:rsid w:val="002E526D"/>
    <w:rsid w:val="002E6568"/>
    <w:rsid w:val="002E6950"/>
    <w:rsid w:val="002E745F"/>
    <w:rsid w:val="002E7789"/>
    <w:rsid w:val="002E7C29"/>
    <w:rsid w:val="002F28B4"/>
    <w:rsid w:val="002F2AB6"/>
    <w:rsid w:val="002F2BED"/>
    <w:rsid w:val="002F7A8F"/>
    <w:rsid w:val="002F7AF9"/>
    <w:rsid w:val="00303FFE"/>
    <w:rsid w:val="003208F3"/>
    <w:rsid w:val="00323C23"/>
    <w:rsid w:val="003246F0"/>
    <w:rsid w:val="00330691"/>
    <w:rsid w:val="00332747"/>
    <w:rsid w:val="00334483"/>
    <w:rsid w:val="00336C39"/>
    <w:rsid w:val="00336F4D"/>
    <w:rsid w:val="003463AC"/>
    <w:rsid w:val="00347D8F"/>
    <w:rsid w:val="00352D49"/>
    <w:rsid w:val="003608E3"/>
    <w:rsid w:val="00361B35"/>
    <w:rsid w:val="00372C3E"/>
    <w:rsid w:val="00375CC5"/>
    <w:rsid w:val="00376164"/>
    <w:rsid w:val="00376367"/>
    <w:rsid w:val="003864AC"/>
    <w:rsid w:val="00394C38"/>
    <w:rsid w:val="003A24F6"/>
    <w:rsid w:val="003A38F8"/>
    <w:rsid w:val="003A5DD4"/>
    <w:rsid w:val="003A74DE"/>
    <w:rsid w:val="003B1C60"/>
    <w:rsid w:val="003B5702"/>
    <w:rsid w:val="003C04C3"/>
    <w:rsid w:val="003C2BFB"/>
    <w:rsid w:val="003D11D5"/>
    <w:rsid w:val="003D45A4"/>
    <w:rsid w:val="003D71F7"/>
    <w:rsid w:val="003E61E6"/>
    <w:rsid w:val="003F0528"/>
    <w:rsid w:val="003F766E"/>
    <w:rsid w:val="0041470B"/>
    <w:rsid w:val="00416C13"/>
    <w:rsid w:val="00422C67"/>
    <w:rsid w:val="0043447B"/>
    <w:rsid w:val="00436C98"/>
    <w:rsid w:val="00440A12"/>
    <w:rsid w:val="004429E5"/>
    <w:rsid w:val="00451092"/>
    <w:rsid w:val="00455165"/>
    <w:rsid w:val="00457553"/>
    <w:rsid w:val="0046011F"/>
    <w:rsid w:val="00463446"/>
    <w:rsid w:val="00466D78"/>
    <w:rsid w:val="00471427"/>
    <w:rsid w:val="004729A7"/>
    <w:rsid w:val="00475634"/>
    <w:rsid w:val="0047638D"/>
    <w:rsid w:val="004859DA"/>
    <w:rsid w:val="00486145"/>
    <w:rsid w:val="00486A9A"/>
    <w:rsid w:val="00486C02"/>
    <w:rsid w:val="00487BCA"/>
    <w:rsid w:val="004934C3"/>
    <w:rsid w:val="00493A1E"/>
    <w:rsid w:val="00493E4B"/>
    <w:rsid w:val="00495448"/>
    <w:rsid w:val="0049553B"/>
    <w:rsid w:val="00497A9E"/>
    <w:rsid w:val="004A03D3"/>
    <w:rsid w:val="004A1B4F"/>
    <w:rsid w:val="004A3A07"/>
    <w:rsid w:val="004A3ADD"/>
    <w:rsid w:val="004A7EBA"/>
    <w:rsid w:val="004B3E84"/>
    <w:rsid w:val="004C069A"/>
    <w:rsid w:val="004C1AFD"/>
    <w:rsid w:val="004C70F2"/>
    <w:rsid w:val="004D17B2"/>
    <w:rsid w:val="004D2235"/>
    <w:rsid w:val="004D5369"/>
    <w:rsid w:val="004D57F9"/>
    <w:rsid w:val="004E2883"/>
    <w:rsid w:val="004E3666"/>
    <w:rsid w:val="004E37B6"/>
    <w:rsid w:val="004E73A5"/>
    <w:rsid w:val="004F1D3F"/>
    <w:rsid w:val="004F6053"/>
    <w:rsid w:val="00500C00"/>
    <w:rsid w:val="0050164C"/>
    <w:rsid w:val="0050626D"/>
    <w:rsid w:val="00506AE2"/>
    <w:rsid w:val="00506C8D"/>
    <w:rsid w:val="005112C2"/>
    <w:rsid w:val="005210F6"/>
    <w:rsid w:val="00523F1D"/>
    <w:rsid w:val="00535715"/>
    <w:rsid w:val="00536C92"/>
    <w:rsid w:val="00540B4E"/>
    <w:rsid w:val="00541571"/>
    <w:rsid w:val="00547C74"/>
    <w:rsid w:val="00551308"/>
    <w:rsid w:val="005525BC"/>
    <w:rsid w:val="00561B71"/>
    <w:rsid w:val="0056491D"/>
    <w:rsid w:val="00566A7C"/>
    <w:rsid w:val="0057678B"/>
    <w:rsid w:val="00576F49"/>
    <w:rsid w:val="005915DB"/>
    <w:rsid w:val="00591B53"/>
    <w:rsid w:val="00592856"/>
    <w:rsid w:val="005938D4"/>
    <w:rsid w:val="00597F83"/>
    <w:rsid w:val="005A163B"/>
    <w:rsid w:val="005A376B"/>
    <w:rsid w:val="005A4169"/>
    <w:rsid w:val="005A6758"/>
    <w:rsid w:val="005B1E32"/>
    <w:rsid w:val="005B3B94"/>
    <w:rsid w:val="005B494B"/>
    <w:rsid w:val="005C3102"/>
    <w:rsid w:val="005C31D9"/>
    <w:rsid w:val="005D24B5"/>
    <w:rsid w:val="005D4204"/>
    <w:rsid w:val="005D5A8D"/>
    <w:rsid w:val="005E4A47"/>
    <w:rsid w:val="005E4D6C"/>
    <w:rsid w:val="005F765C"/>
    <w:rsid w:val="005F777B"/>
    <w:rsid w:val="006057CA"/>
    <w:rsid w:val="00614972"/>
    <w:rsid w:val="00621E26"/>
    <w:rsid w:val="00622ADA"/>
    <w:rsid w:val="00630661"/>
    <w:rsid w:val="006363E6"/>
    <w:rsid w:val="0063649B"/>
    <w:rsid w:val="006413E7"/>
    <w:rsid w:val="006479BF"/>
    <w:rsid w:val="00652810"/>
    <w:rsid w:val="00653A73"/>
    <w:rsid w:val="00653F9D"/>
    <w:rsid w:val="00655A16"/>
    <w:rsid w:val="006578DE"/>
    <w:rsid w:val="00657ABC"/>
    <w:rsid w:val="00660679"/>
    <w:rsid w:val="00664E33"/>
    <w:rsid w:val="00670347"/>
    <w:rsid w:val="00674628"/>
    <w:rsid w:val="00676C3E"/>
    <w:rsid w:val="00677321"/>
    <w:rsid w:val="00680227"/>
    <w:rsid w:val="00683372"/>
    <w:rsid w:val="006905F4"/>
    <w:rsid w:val="00692793"/>
    <w:rsid w:val="006967B6"/>
    <w:rsid w:val="006A02A5"/>
    <w:rsid w:val="006A0BA7"/>
    <w:rsid w:val="006A27F9"/>
    <w:rsid w:val="006B7305"/>
    <w:rsid w:val="006C1531"/>
    <w:rsid w:val="006D1E71"/>
    <w:rsid w:val="006D2009"/>
    <w:rsid w:val="006D2D4D"/>
    <w:rsid w:val="006D6DB3"/>
    <w:rsid w:val="006E4B1F"/>
    <w:rsid w:val="006F1BC5"/>
    <w:rsid w:val="00701858"/>
    <w:rsid w:val="00704118"/>
    <w:rsid w:val="007116E0"/>
    <w:rsid w:val="00711A25"/>
    <w:rsid w:val="00715399"/>
    <w:rsid w:val="007171EE"/>
    <w:rsid w:val="00720ACA"/>
    <w:rsid w:val="0072340B"/>
    <w:rsid w:val="00723BC1"/>
    <w:rsid w:val="00732D18"/>
    <w:rsid w:val="007341D9"/>
    <w:rsid w:val="00735D88"/>
    <w:rsid w:val="007400CE"/>
    <w:rsid w:val="00746920"/>
    <w:rsid w:val="00751F9F"/>
    <w:rsid w:val="00755D3E"/>
    <w:rsid w:val="0078267B"/>
    <w:rsid w:val="007913F6"/>
    <w:rsid w:val="007919BB"/>
    <w:rsid w:val="0079268A"/>
    <w:rsid w:val="007A6019"/>
    <w:rsid w:val="007B63AD"/>
    <w:rsid w:val="007B64F3"/>
    <w:rsid w:val="007B6B35"/>
    <w:rsid w:val="007C119C"/>
    <w:rsid w:val="007C2A14"/>
    <w:rsid w:val="007E3313"/>
    <w:rsid w:val="007E3EB9"/>
    <w:rsid w:val="007E5618"/>
    <w:rsid w:val="007F33DA"/>
    <w:rsid w:val="00801829"/>
    <w:rsid w:val="00801919"/>
    <w:rsid w:val="008068C6"/>
    <w:rsid w:val="008127F1"/>
    <w:rsid w:val="008218E1"/>
    <w:rsid w:val="008223E0"/>
    <w:rsid w:val="008350E4"/>
    <w:rsid w:val="00836CBE"/>
    <w:rsid w:val="00847528"/>
    <w:rsid w:val="00851F12"/>
    <w:rsid w:val="00853AA3"/>
    <w:rsid w:val="0085777A"/>
    <w:rsid w:val="008637A0"/>
    <w:rsid w:val="0086727C"/>
    <w:rsid w:val="008679D8"/>
    <w:rsid w:val="0087070B"/>
    <w:rsid w:val="00871627"/>
    <w:rsid w:val="008720AE"/>
    <w:rsid w:val="00872B3D"/>
    <w:rsid w:val="0087681A"/>
    <w:rsid w:val="0088111D"/>
    <w:rsid w:val="0088236A"/>
    <w:rsid w:val="00886ADE"/>
    <w:rsid w:val="00886BE1"/>
    <w:rsid w:val="00887EF5"/>
    <w:rsid w:val="00890FDB"/>
    <w:rsid w:val="00897335"/>
    <w:rsid w:val="008A0A09"/>
    <w:rsid w:val="008A5420"/>
    <w:rsid w:val="008B7648"/>
    <w:rsid w:val="008C11C9"/>
    <w:rsid w:val="008C436C"/>
    <w:rsid w:val="008D35A2"/>
    <w:rsid w:val="008D5BCE"/>
    <w:rsid w:val="008D5FAA"/>
    <w:rsid w:val="008E2A6D"/>
    <w:rsid w:val="008E528E"/>
    <w:rsid w:val="00900059"/>
    <w:rsid w:val="00904EE1"/>
    <w:rsid w:val="00905ED5"/>
    <w:rsid w:val="00907159"/>
    <w:rsid w:val="00907764"/>
    <w:rsid w:val="00911CDE"/>
    <w:rsid w:val="009219B7"/>
    <w:rsid w:val="00922D5A"/>
    <w:rsid w:val="00924A1A"/>
    <w:rsid w:val="00924B86"/>
    <w:rsid w:val="009313D5"/>
    <w:rsid w:val="00934A84"/>
    <w:rsid w:val="009418C4"/>
    <w:rsid w:val="00943EAD"/>
    <w:rsid w:val="009455A8"/>
    <w:rsid w:val="00951854"/>
    <w:rsid w:val="00951B93"/>
    <w:rsid w:val="00952C25"/>
    <w:rsid w:val="00954E85"/>
    <w:rsid w:val="0095697D"/>
    <w:rsid w:val="009645E3"/>
    <w:rsid w:val="009701D6"/>
    <w:rsid w:val="00970FB6"/>
    <w:rsid w:val="009735DC"/>
    <w:rsid w:val="009776A4"/>
    <w:rsid w:val="00980722"/>
    <w:rsid w:val="00980725"/>
    <w:rsid w:val="00986B44"/>
    <w:rsid w:val="009929A1"/>
    <w:rsid w:val="00992E9B"/>
    <w:rsid w:val="00993BCE"/>
    <w:rsid w:val="00996DD6"/>
    <w:rsid w:val="009B5EEE"/>
    <w:rsid w:val="009F21B9"/>
    <w:rsid w:val="009F3459"/>
    <w:rsid w:val="009F6BEE"/>
    <w:rsid w:val="00A049B2"/>
    <w:rsid w:val="00A075F0"/>
    <w:rsid w:val="00A1129D"/>
    <w:rsid w:val="00A155E4"/>
    <w:rsid w:val="00A17A82"/>
    <w:rsid w:val="00A24FD6"/>
    <w:rsid w:val="00A25303"/>
    <w:rsid w:val="00A304E9"/>
    <w:rsid w:val="00A457BA"/>
    <w:rsid w:val="00A474F7"/>
    <w:rsid w:val="00A50D49"/>
    <w:rsid w:val="00A54226"/>
    <w:rsid w:val="00A61CEE"/>
    <w:rsid w:val="00A62E54"/>
    <w:rsid w:val="00A651C9"/>
    <w:rsid w:val="00A66C27"/>
    <w:rsid w:val="00A708F3"/>
    <w:rsid w:val="00A712F3"/>
    <w:rsid w:val="00A72586"/>
    <w:rsid w:val="00A72973"/>
    <w:rsid w:val="00A7552E"/>
    <w:rsid w:val="00A96D71"/>
    <w:rsid w:val="00AA1BD3"/>
    <w:rsid w:val="00AA32C0"/>
    <w:rsid w:val="00AB355D"/>
    <w:rsid w:val="00AB36F0"/>
    <w:rsid w:val="00AB51D9"/>
    <w:rsid w:val="00AD050C"/>
    <w:rsid w:val="00AD3AFB"/>
    <w:rsid w:val="00AD557F"/>
    <w:rsid w:val="00B004EE"/>
    <w:rsid w:val="00B01661"/>
    <w:rsid w:val="00B022A0"/>
    <w:rsid w:val="00B04178"/>
    <w:rsid w:val="00B04D37"/>
    <w:rsid w:val="00B103F4"/>
    <w:rsid w:val="00B11E0F"/>
    <w:rsid w:val="00B17018"/>
    <w:rsid w:val="00B17BEF"/>
    <w:rsid w:val="00B236EB"/>
    <w:rsid w:val="00B31AB8"/>
    <w:rsid w:val="00B32E40"/>
    <w:rsid w:val="00B45F84"/>
    <w:rsid w:val="00B51B7A"/>
    <w:rsid w:val="00B51BC3"/>
    <w:rsid w:val="00B51F89"/>
    <w:rsid w:val="00B52ACA"/>
    <w:rsid w:val="00B535C3"/>
    <w:rsid w:val="00B60E4E"/>
    <w:rsid w:val="00B622E8"/>
    <w:rsid w:val="00B62B10"/>
    <w:rsid w:val="00B70FA6"/>
    <w:rsid w:val="00B71AFE"/>
    <w:rsid w:val="00B75B71"/>
    <w:rsid w:val="00B7692F"/>
    <w:rsid w:val="00B93EA9"/>
    <w:rsid w:val="00BA0A03"/>
    <w:rsid w:val="00BB6424"/>
    <w:rsid w:val="00BC34DB"/>
    <w:rsid w:val="00BC46D3"/>
    <w:rsid w:val="00BC478B"/>
    <w:rsid w:val="00BC497F"/>
    <w:rsid w:val="00BD296E"/>
    <w:rsid w:val="00BD2D74"/>
    <w:rsid w:val="00BD5228"/>
    <w:rsid w:val="00BD6503"/>
    <w:rsid w:val="00BD7CBA"/>
    <w:rsid w:val="00BE431F"/>
    <w:rsid w:val="00BE5A8F"/>
    <w:rsid w:val="00BF1253"/>
    <w:rsid w:val="00BF4698"/>
    <w:rsid w:val="00C01C6F"/>
    <w:rsid w:val="00C06AD9"/>
    <w:rsid w:val="00C15F99"/>
    <w:rsid w:val="00C16474"/>
    <w:rsid w:val="00C23C68"/>
    <w:rsid w:val="00C27BC1"/>
    <w:rsid w:val="00C31A54"/>
    <w:rsid w:val="00C37541"/>
    <w:rsid w:val="00C379BD"/>
    <w:rsid w:val="00C37A29"/>
    <w:rsid w:val="00C42A5B"/>
    <w:rsid w:val="00C43F3F"/>
    <w:rsid w:val="00C44B40"/>
    <w:rsid w:val="00C45255"/>
    <w:rsid w:val="00C45384"/>
    <w:rsid w:val="00C61BD4"/>
    <w:rsid w:val="00C6326B"/>
    <w:rsid w:val="00C67BC3"/>
    <w:rsid w:val="00C76A37"/>
    <w:rsid w:val="00C83E88"/>
    <w:rsid w:val="00C90BE5"/>
    <w:rsid w:val="00C90C15"/>
    <w:rsid w:val="00C91032"/>
    <w:rsid w:val="00C91559"/>
    <w:rsid w:val="00CA6CE3"/>
    <w:rsid w:val="00CA6E54"/>
    <w:rsid w:val="00CB4007"/>
    <w:rsid w:val="00CB45F5"/>
    <w:rsid w:val="00CB69AE"/>
    <w:rsid w:val="00CB7789"/>
    <w:rsid w:val="00CC0704"/>
    <w:rsid w:val="00CC58A4"/>
    <w:rsid w:val="00CC67FE"/>
    <w:rsid w:val="00CE0B0D"/>
    <w:rsid w:val="00CE113C"/>
    <w:rsid w:val="00CE6F33"/>
    <w:rsid w:val="00CF2598"/>
    <w:rsid w:val="00CF63D2"/>
    <w:rsid w:val="00CF6C92"/>
    <w:rsid w:val="00D041E1"/>
    <w:rsid w:val="00D049DF"/>
    <w:rsid w:val="00D06576"/>
    <w:rsid w:val="00D16C07"/>
    <w:rsid w:val="00D22BDD"/>
    <w:rsid w:val="00D36124"/>
    <w:rsid w:val="00D40C0D"/>
    <w:rsid w:val="00D44935"/>
    <w:rsid w:val="00D65BDE"/>
    <w:rsid w:val="00D66A28"/>
    <w:rsid w:val="00D7238A"/>
    <w:rsid w:val="00D73B86"/>
    <w:rsid w:val="00D80282"/>
    <w:rsid w:val="00D80A7D"/>
    <w:rsid w:val="00D8671B"/>
    <w:rsid w:val="00D937CF"/>
    <w:rsid w:val="00DA128D"/>
    <w:rsid w:val="00DA7B03"/>
    <w:rsid w:val="00DB2634"/>
    <w:rsid w:val="00DB33EF"/>
    <w:rsid w:val="00DB4AFF"/>
    <w:rsid w:val="00DB6D4F"/>
    <w:rsid w:val="00DC2DA5"/>
    <w:rsid w:val="00DD48FE"/>
    <w:rsid w:val="00DE215A"/>
    <w:rsid w:val="00DE56DA"/>
    <w:rsid w:val="00DE6F54"/>
    <w:rsid w:val="00DF2815"/>
    <w:rsid w:val="00DF54FA"/>
    <w:rsid w:val="00E01B8F"/>
    <w:rsid w:val="00E035AC"/>
    <w:rsid w:val="00E035E9"/>
    <w:rsid w:val="00E1352C"/>
    <w:rsid w:val="00E15DD7"/>
    <w:rsid w:val="00E25299"/>
    <w:rsid w:val="00E2772C"/>
    <w:rsid w:val="00E27C07"/>
    <w:rsid w:val="00E3091B"/>
    <w:rsid w:val="00E31C46"/>
    <w:rsid w:val="00E31DDA"/>
    <w:rsid w:val="00E31FE6"/>
    <w:rsid w:val="00E333B7"/>
    <w:rsid w:val="00E4040C"/>
    <w:rsid w:val="00E418BB"/>
    <w:rsid w:val="00E461CF"/>
    <w:rsid w:val="00E50CCE"/>
    <w:rsid w:val="00E77A06"/>
    <w:rsid w:val="00E8165F"/>
    <w:rsid w:val="00E834C2"/>
    <w:rsid w:val="00E853B9"/>
    <w:rsid w:val="00E95EDC"/>
    <w:rsid w:val="00EA076B"/>
    <w:rsid w:val="00EC5A89"/>
    <w:rsid w:val="00EC6AC2"/>
    <w:rsid w:val="00ED32EC"/>
    <w:rsid w:val="00ED4C06"/>
    <w:rsid w:val="00ED5808"/>
    <w:rsid w:val="00ED73EC"/>
    <w:rsid w:val="00EE175D"/>
    <w:rsid w:val="00EE332E"/>
    <w:rsid w:val="00EE3579"/>
    <w:rsid w:val="00EE5BDC"/>
    <w:rsid w:val="00EF122A"/>
    <w:rsid w:val="00EF3E5D"/>
    <w:rsid w:val="00EF5201"/>
    <w:rsid w:val="00EF6F7C"/>
    <w:rsid w:val="00F00B90"/>
    <w:rsid w:val="00F03AD6"/>
    <w:rsid w:val="00F06B69"/>
    <w:rsid w:val="00F14590"/>
    <w:rsid w:val="00F14F23"/>
    <w:rsid w:val="00F157DC"/>
    <w:rsid w:val="00F16A4F"/>
    <w:rsid w:val="00F362DF"/>
    <w:rsid w:val="00F40B45"/>
    <w:rsid w:val="00F414BE"/>
    <w:rsid w:val="00F41D11"/>
    <w:rsid w:val="00F41D29"/>
    <w:rsid w:val="00F47562"/>
    <w:rsid w:val="00F508A5"/>
    <w:rsid w:val="00F528BF"/>
    <w:rsid w:val="00F55166"/>
    <w:rsid w:val="00F575CA"/>
    <w:rsid w:val="00F65720"/>
    <w:rsid w:val="00F706D6"/>
    <w:rsid w:val="00F7184C"/>
    <w:rsid w:val="00F753F5"/>
    <w:rsid w:val="00F7764C"/>
    <w:rsid w:val="00F96E36"/>
    <w:rsid w:val="00FA1D31"/>
    <w:rsid w:val="00FA1DDC"/>
    <w:rsid w:val="00FB2EFC"/>
    <w:rsid w:val="00FC5DC9"/>
    <w:rsid w:val="00FC665E"/>
    <w:rsid w:val="00FE1078"/>
    <w:rsid w:val="00FE3EAD"/>
    <w:rsid w:val="00FE77BA"/>
    <w:rsid w:val="00FF0631"/>
    <w:rsid w:val="00FF7A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2" style="mso-position-horizontal-relative:margin"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815"/>
    <w:pPr>
      <w:spacing w:after="200" w:line="276" w:lineRule="auto"/>
    </w:pPr>
    <w:rPr>
      <w:sz w:val="22"/>
      <w:szCs w:val="22"/>
      <w:lang w:eastAsia="en-US"/>
    </w:rPr>
  </w:style>
  <w:style w:type="paragraph" w:styleId="Heading2">
    <w:name w:val="heading 2"/>
    <w:basedOn w:val="Normal"/>
    <w:next w:val="Normal"/>
    <w:link w:val="Heading2Char"/>
    <w:qFormat/>
    <w:rsid w:val="00B04D37"/>
    <w:pPr>
      <w:keepNext/>
      <w:spacing w:line="240" w:lineRule="auto"/>
      <w:outlineLvl w:val="1"/>
    </w:pPr>
    <w:rPr>
      <w:rFonts w:eastAsia="Times New Roman"/>
      <w:b/>
      <w:color w:val="365F91"/>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4">
    <w:name w:val="Pa4"/>
    <w:basedOn w:val="Normal"/>
    <w:next w:val="Normal"/>
    <w:uiPriority w:val="99"/>
    <w:rsid w:val="00422C67"/>
    <w:pPr>
      <w:autoSpaceDE w:val="0"/>
      <w:autoSpaceDN w:val="0"/>
      <w:adjustRightInd w:val="0"/>
      <w:spacing w:after="0" w:line="191" w:lineRule="atLeast"/>
    </w:pPr>
    <w:rPr>
      <w:rFonts w:ascii="Helvetica 45 Light" w:hAnsi="Helvetica 45 Light"/>
      <w:sz w:val="24"/>
      <w:szCs w:val="24"/>
    </w:rPr>
  </w:style>
  <w:style w:type="character" w:customStyle="1" w:styleId="A4">
    <w:name w:val="A4"/>
    <w:uiPriority w:val="99"/>
    <w:rsid w:val="00422C67"/>
    <w:rPr>
      <w:rFonts w:cs="Helvetica 55 Roman"/>
      <w:color w:val="00937E"/>
      <w:sz w:val="52"/>
      <w:szCs w:val="52"/>
    </w:rPr>
  </w:style>
  <w:style w:type="paragraph" w:customStyle="1" w:styleId="Default">
    <w:name w:val="Default"/>
    <w:rsid w:val="00422C67"/>
    <w:pPr>
      <w:autoSpaceDE w:val="0"/>
      <w:autoSpaceDN w:val="0"/>
      <w:adjustRightInd w:val="0"/>
    </w:pPr>
    <w:rPr>
      <w:rFonts w:ascii="Helvetica 55 Roman" w:hAnsi="Helvetica 55 Roman" w:cs="Helvetica 55 Roman"/>
      <w:color w:val="000000"/>
      <w:sz w:val="24"/>
      <w:szCs w:val="24"/>
      <w:lang w:eastAsia="en-US"/>
    </w:rPr>
  </w:style>
  <w:style w:type="character" w:customStyle="1" w:styleId="A1">
    <w:name w:val="A1"/>
    <w:uiPriority w:val="99"/>
    <w:rsid w:val="00422C67"/>
    <w:rPr>
      <w:rFonts w:cs="Helvetica 55 Roman"/>
      <w:b/>
      <w:bCs/>
      <w:color w:val="FFFFFF"/>
      <w:sz w:val="22"/>
      <w:szCs w:val="22"/>
    </w:rPr>
  </w:style>
  <w:style w:type="paragraph" w:customStyle="1" w:styleId="Pa3">
    <w:name w:val="Pa3"/>
    <w:basedOn w:val="Default"/>
    <w:next w:val="Default"/>
    <w:uiPriority w:val="99"/>
    <w:rsid w:val="00422C67"/>
    <w:pPr>
      <w:spacing w:line="191" w:lineRule="atLeast"/>
    </w:pPr>
    <w:rPr>
      <w:rFonts w:cs="Times New Roman"/>
      <w:color w:val="auto"/>
    </w:rPr>
  </w:style>
  <w:style w:type="character" w:customStyle="1" w:styleId="A2">
    <w:name w:val="A2"/>
    <w:uiPriority w:val="99"/>
    <w:rsid w:val="00422C67"/>
    <w:rPr>
      <w:rFonts w:ascii="Helvetica Neue" w:hAnsi="Helvetica Neue" w:cs="Helvetica Neue"/>
      <w:color w:val="FFFFFF"/>
      <w:sz w:val="18"/>
      <w:szCs w:val="18"/>
    </w:rPr>
  </w:style>
  <w:style w:type="paragraph" w:customStyle="1" w:styleId="Pa8">
    <w:name w:val="Pa8"/>
    <w:basedOn w:val="Default"/>
    <w:next w:val="Default"/>
    <w:uiPriority w:val="99"/>
    <w:rsid w:val="00281B57"/>
    <w:pPr>
      <w:spacing w:line="191" w:lineRule="atLeast"/>
    </w:pPr>
    <w:rPr>
      <w:rFonts w:ascii="Helvetica 45 Light" w:hAnsi="Helvetica 45 Light" w:cs="Times New Roman"/>
      <w:color w:val="auto"/>
      <w:lang w:eastAsia="en-AU"/>
    </w:rPr>
  </w:style>
  <w:style w:type="paragraph" w:customStyle="1" w:styleId="Pa9">
    <w:name w:val="Pa9"/>
    <w:basedOn w:val="Default"/>
    <w:next w:val="Default"/>
    <w:uiPriority w:val="99"/>
    <w:rsid w:val="00281B57"/>
    <w:pPr>
      <w:spacing w:line="191" w:lineRule="atLeast"/>
    </w:pPr>
    <w:rPr>
      <w:rFonts w:ascii="Helvetica 45 Light" w:hAnsi="Helvetica 45 Light" w:cs="Times New Roman"/>
      <w:color w:val="auto"/>
      <w:lang w:eastAsia="en-AU"/>
    </w:rPr>
  </w:style>
  <w:style w:type="character" w:customStyle="1" w:styleId="A6">
    <w:name w:val="A6"/>
    <w:uiPriority w:val="99"/>
    <w:rsid w:val="00281B57"/>
    <w:rPr>
      <w:rFonts w:ascii="DIN" w:hAnsi="DIN" w:cs="DIN"/>
      <w:color w:val="00937E"/>
      <w:sz w:val="19"/>
      <w:szCs w:val="19"/>
    </w:rPr>
  </w:style>
  <w:style w:type="paragraph" w:customStyle="1" w:styleId="Pa10">
    <w:name w:val="Pa10"/>
    <w:basedOn w:val="Default"/>
    <w:next w:val="Default"/>
    <w:uiPriority w:val="99"/>
    <w:rsid w:val="00281B57"/>
    <w:pPr>
      <w:spacing w:line="191" w:lineRule="atLeast"/>
    </w:pPr>
    <w:rPr>
      <w:rFonts w:ascii="Helvetica 45 Light" w:hAnsi="Helvetica 45 Light" w:cs="Times New Roman"/>
      <w:color w:val="auto"/>
      <w:lang w:eastAsia="en-AU"/>
    </w:rPr>
  </w:style>
  <w:style w:type="character" w:customStyle="1" w:styleId="A10">
    <w:name w:val="A10"/>
    <w:uiPriority w:val="99"/>
    <w:rsid w:val="00D65BDE"/>
    <w:rPr>
      <w:rFonts w:cs="Helvetica 45 Light"/>
      <w:color w:val="00937E"/>
      <w:sz w:val="60"/>
      <w:szCs w:val="60"/>
    </w:rPr>
  </w:style>
  <w:style w:type="paragraph" w:customStyle="1" w:styleId="Pa19">
    <w:name w:val="Pa19"/>
    <w:basedOn w:val="Default"/>
    <w:next w:val="Default"/>
    <w:uiPriority w:val="99"/>
    <w:rsid w:val="005112C2"/>
    <w:pPr>
      <w:spacing w:line="191" w:lineRule="atLeast"/>
    </w:pPr>
    <w:rPr>
      <w:rFonts w:cs="Times New Roman"/>
      <w:color w:val="auto"/>
      <w:lang w:eastAsia="en-AU"/>
    </w:rPr>
  </w:style>
  <w:style w:type="character" w:customStyle="1" w:styleId="A9">
    <w:name w:val="A9"/>
    <w:uiPriority w:val="99"/>
    <w:rsid w:val="005112C2"/>
    <w:rPr>
      <w:rFonts w:cs="Helvetica 55 Roman"/>
      <w:i/>
      <w:iCs/>
      <w:color w:val="221E1F"/>
    </w:rPr>
  </w:style>
  <w:style w:type="character" w:customStyle="1" w:styleId="A7">
    <w:name w:val="A7"/>
    <w:uiPriority w:val="99"/>
    <w:rsid w:val="00250CE5"/>
    <w:rPr>
      <w:rFonts w:cs="Helvetica 45 Light"/>
      <w:color w:val="00937E"/>
      <w:sz w:val="56"/>
      <w:szCs w:val="56"/>
    </w:rPr>
  </w:style>
  <w:style w:type="paragraph" w:customStyle="1" w:styleId="Pa0">
    <w:name w:val="Pa0"/>
    <w:basedOn w:val="Default"/>
    <w:next w:val="Default"/>
    <w:uiPriority w:val="99"/>
    <w:rsid w:val="00D16C07"/>
    <w:pPr>
      <w:spacing w:line="141" w:lineRule="atLeast"/>
    </w:pPr>
    <w:rPr>
      <w:rFonts w:ascii="Helvetica Neue" w:hAnsi="Helvetica Neue" w:cs="Times New Roman"/>
      <w:color w:val="auto"/>
      <w:lang w:eastAsia="en-AU"/>
    </w:rPr>
  </w:style>
  <w:style w:type="paragraph" w:customStyle="1" w:styleId="Pa1">
    <w:name w:val="Pa1"/>
    <w:basedOn w:val="Default"/>
    <w:next w:val="Default"/>
    <w:uiPriority w:val="99"/>
    <w:rsid w:val="00D16C07"/>
    <w:pPr>
      <w:spacing w:line="141" w:lineRule="atLeast"/>
    </w:pPr>
    <w:rPr>
      <w:rFonts w:ascii="Helvetica Neue" w:hAnsi="Helvetica Neue" w:cs="Times New Roman"/>
      <w:color w:val="auto"/>
      <w:lang w:eastAsia="en-AU"/>
    </w:rPr>
  </w:style>
  <w:style w:type="paragraph" w:customStyle="1" w:styleId="Pa11">
    <w:name w:val="Pa11"/>
    <w:basedOn w:val="Default"/>
    <w:next w:val="Default"/>
    <w:uiPriority w:val="99"/>
    <w:rsid w:val="00D049DF"/>
    <w:pPr>
      <w:spacing w:line="191" w:lineRule="atLeast"/>
    </w:pPr>
    <w:rPr>
      <w:rFonts w:ascii="Museo Sans 300" w:hAnsi="Museo Sans 300" w:cs="Times New Roman"/>
      <w:color w:val="auto"/>
      <w:lang w:eastAsia="en-AU"/>
    </w:rPr>
  </w:style>
  <w:style w:type="character" w:customStyle="1" w:styleId="A8">
    <w:name w:val="A8"/>
    <w:uiPriority w:val="99"/>
    <w:rsid w:val="00D049DF"/>
    <w:rPr>
      <w:rFonts w:cs="Museo Sans 300"/>
      <w:color w:val="808285"/>
      <w:sz w:val="22"/>
      <w:szCs w:val="22"/>
    </w:rPr>
  </w:style>
  <w:style w:type="character" w:customStyle="1" w:styleId="A11">
    <w:name w:val="A11"/>
    <w:uiPriority w:val="99"/>
    <w:rsid w:val="00D049DF"/>
    <w:rPr>
      <w:rFonts w:cs="Museo Sans 300"/>
      <w:color w:val="221E1F"/>
      <w:sz w:val="18"/>
      <w:szCs w:val="18"/>
    </w:rPr>
  </w:style>
  <w:style w:type="paragraph" w:customStyle="1" w:styleId="Pa20">
    <w:name w:val="Pa20"/>
    <w:basedOn w:val="Default"/>
    <w:next w:val="Default"/>
    <w:uiPriority w:val="99"/>
    <w:rsid w:val="00D049DF"/>
    <w:pPr>
      <w:spacing w:line="181" w:lineRule="atLeast"/>
    </w:pPr>
    <w:rPr>
      <w:rFonts w:ascii="Museo Sans 300" w:hAnsi="Museo Sans 300" w:cs="Times New Roman"/>
      <w:color w:val="auto"/>
      <w:lang w:eastAsia="en-AU"/>
    </w:rPr>
  </w:style>
  <w:style w:type="paragraph" w:customStyle="1" w:styleId="Pa22">
    <w:name w:val="Pa22"/>
    <w:basedOn w:val="Default"/>
    <w:next w:val="Default"/>
    <w:uiPriority w:val="99"/>
    <w:rsid w:val="00D049DF"/>
    <w:pPr>
      <w:spacing w:line="181" w:lineRule="atLeast"/>
    </w:pPr>
    <w:rPr>
      <w:rFonts w:ascii="Museo Sans 500" w:hAnsi="Museo Sans 500" w:cs="Times New Roman"/>
      <w:color w:val="auto"/>
      <w:lang w:eastAsia="en-AU"/>
    </w:rPr>
  </w:style>
  <w:style w:type="character" w:styleId="Hyperlink">
    <w:name w:val="Hyperlink"/>
    <w:uiPriority w:val="99"/>
    <w:unhideWhenUsed/>
    <w:rsid w:val="00D049DF"/>
    <w:rPr>
      <w:color w:val="0000FF"/>
      <w:u w:val="single"/>
    </w:rPr>
  </w:style>
  <w:style w:type="paragraph" w:styleId="ListParagraph">
    <w:name w:val="List Paragraph"/>
    <w:basedOn w:val="Normal"/>
    <w:uiPriority w:val="34"/>
    <w:qFormat/>
    <w:rsid w:val="000F228D"/>
    <w:pPr>
      <w:ind w:left="720"/>
      <w:contextualSpacing/>
    </w:pPr>
  </w:style>
  <w:style w:type="paragraph" w:styleId="BalloonText">
    <w:name w:val="Balloon Text"/>
    <w:basedOn w:val="Normal"/>
    <w:link w:val="BalloonTextChar"/>
    <w:uiPriority w:val="99"/>
    <w:semiHidden/>
    <w:unhideWhenUsed/>
    <w:rsid w:val="006967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967B6"/>
    <w:rPr>
      <w:rFonts w:ascii="Tahoma" w:hAnsi="Tahoma" w:cs="Tahoma"/>
      <w:sz w:val="16"/>
      <w:szCs w:val="16"/>
      <w:lang w:eastAsia="en-US"/>
    </w:rPr>
  </w:style>
  <w:style w:type="paragraph" w:styleId="Header">
    <w:name w:val="header"/>
    <w:basedOn w:val="Normal"/>
    <w:link w:val="HeaderChar"/>
    <w:uiPriority w:val="99"/>
    <w:unhideWhenUsed/>
    <w:rsid w:val="00091CA7"/>
    <w:pPr>
      <w:tabs>
        <w:tab w:val="center" w:pos="4513"/>
        <w:tab w:val="right" w:pos="9026"/>
      </w:tabs>
    </w:pPr>
  </w:style>
  <w:style w:type="character" w:customStyle="1" w:styleId="HeaderChar">
    <w:name w:val="Header Char"/>
    <w:link w:val="Header"/>
    <w:uiPriority w:val="99"/>
    <w:rsid w:val="00091CA7"/>
    <w:rPr>
      <w:sz w:val="22"/>
      <w:szCs w:val="22"/>
      <w:lang w:eastAsia="en-US"/>
    </w:rPr>
  </w:style>
  <w:style w:type="paragraph" w:styleId="Footer">
    <w:name w:val="footer"/>
    <w:basedOn w:val="Normal"/>
    <w:link w:val="FooterChar"/>
    <w:uiPriority w:val="99"/>
    <w:unhideWhenUsed/>
    <w:rsid w:val="00091CA7"/>
    <w:pPr>
      <w:tabs>
        <w:tab w:val="center" w:pos="4513"/>
        <w:tab w:val="right" w:pos="9026"/>
      </w:tabs>
    </w:pPr>
  </w:style>
  <w:style w:type="character" w:customStyle="1" w:styleId="FooterChar">
    <w:name w:val="Footer Char"/>
    <w:link w:val="Footer"/>
    <w:uiPriority w:val="99"/>
    <w:rsid w:val="00091CA7"/>
    <w:rPr>
      <w:sz w:val="22"/>
      <w:szCs w:val="22"/>
      <w:lang w:eastAsia="en-US"/>
    </w:rPr>
  </w:style>
  <w:style w:type="paragraph" w:styleId="FootnoteText">
    <w:name w:val="footnote text"/>
    <w:basedOn w:val="Normal"/>
    <w:link w:val="FootnoteTextChar"/>
    <w:uiPriority w:val="99"/>
    <w:semiHidden/>
    <w:unhideWhenUsed/>
    <w:rsid w:val="00FC5DC9"/>
    <w:pPr>
      <w:spacing w:after="0" w:line="240" w:lineRule="auto"/>
    </w:pPr>
    <w:rPr>
      <w:sz w:val="20"/>
      <w:szCs w:val="20"/>
    </w:rPr>
  </w:style>
  <w:style w:type="character" w:customStyle="1" w:styleId="FootnoteTextChar">
    <w:name w:val="Footnote Text Char"/>
    <w:link w:val="FootnoteText"/>
    <w:uiPriority w:val="99"/>
    <w:semiHidden/>
    <w:rsid w:val="00FC5DC9"/>
    <w:rPr>
      <w:rFonts w:ascii="Calibri" w:eastAsia="Calibri" w:hAnsi="Calibri" w:cs="Times New Roman"/>
      <w:lang w:eastAsia="en-US"/>
    </w:rPr>
  </w:style>
  <w:style w:type="character" w:styleId="FootnoteReference">
    <w:name w:val="footnote reference"/>
    <w:uiPriority w:val="99"/>
    <w:semiHidden/>
    <w:unhideWhenUsed/>
    <w:rsid w:val="00FC5DC9"/>
    <w:rPr>
      <w:vertAlign w:val="superscript"/>
    </w:rPr>
  </w:style>
  <w:style w:type="character" w:customStyle="1" w:styleId="Heading2Char">
    <w:name w:val="Heading 2 Char"/>
    <w:link w:val="Heading2"/>
    <w:rsid w:val="00B04D37"/>
    <w:rPr>
      <w:rFonts w:ascii="Calibri" w:eastAsia="Times New Roman" w:hAnsi="Calibri"/>
      <w:b/>
      <w:color w:val="365F91"/>
      <w:sz w:val="24"/>
    </w:rPr>
  </w:style>
  <w:style w:type="character" w:styleId="LineNumber">
    <w:name w:val="line number"/>
    <w:basedOn w:val="DefaultParagraphFont"/>
    <w:rsid w:val="00B04D37"/>
  </w:style>
  <w:style w:type="paragraph" w:styleId="Caption">
    <w:name w:val="caption"/>
    <w:basedOn w:val="Normal"/>
    <w:next w:val="Normal"/>
    <w:uiPriority w:val="35"/>
    <w:unhideWhenUsed/>
    <w:qFormat/>
    <w:rsid w:val="00B04D37"/>
    <w:pPr>
      <w:spacing w:line="240" w:lineRule="auto"/>
    </w:pPr>
    <w:rPr>
      <w:b/>
      <w:bCs/>
      <w:color w:val="365F91"/>
      <w:sz w:val="20"/>
      <w:szCs w:val="18"/>
    </w:rPr>
  </w:style>
  <w:style w:type="table" w:styleId="TableGrid">
    <w:name w:val="Table Grid"/>
    <w:basedOn w:val="TableNormal"/>
    <w:uiPriority w:val="59"/>
    <w:rsid w:val="000D680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4859DA"/>
    <w:rPr>
      <w:color w:val="800080"/>
      <w:u w:val="single"/>
    </w:rPr>
  </w:style>
  <w:style w:type="character" w:styleId="CommentReference">
    <w:name w:val="annotation reference"/>
    <w:uiPriority w:val="99"/>
    <w:semiHidden/>
    <w:unhideWhenUsed/>
    <w:rsid w:val="007C119C"/>
    <w:rPr>
      <w:sz w:val="16"/>
      <w:szCs w:val="16"/>
    </w:rPr>
  </w:style>
  <w:style w:type="paragraph" w:styleId="CommentText">
    <w:name w:val="annotation text"/>
    <w:basedOn w:val="Normal"/>
    <w:link w:val="CommentTextChar"/>
    <w:uiPriority w:val="99"/>
    <w:semiHidden/>
    <w:unhideWhenUsed/>
    <w:rsid w:val="007C119C"/>
    <w:rPr>
      <w:sz w:val="20"/>
      <w:szCs w:val="20"/>
    </w:rPr>
  </w:style>
  <w:style w:type="character" w:customStyle="1" w:styleId="CommentTextChar">
    <w:name w:val="Comment Text Char"/>
    <w:link w:val="CommentText"/>
    <w:uiPriority w:val="99"/>
    <w:semiHidden/>
    <w:rsid w:val="007C119C"/>
    <w:rPr>
      <w:lang w:eastAsia="en-US"/>
    </w:rPr>
  </w:style>
  <w:style w:type="paragraph" w:styleId="CommentSubject">
    <w:name w:val="annotation subject"/>
    <w:basedOn w:val="CommentText"/>
    <w:next w:val="CommentText"/>
    <w:link w:val="CommentSubjectChar"/>
    <w:uiPriority w:val="99"/>
    <w:semiHidden/>
    <w:unhideWhenUsed/>
    <w:rsid w:val="007C119C"/>
    <w:rPr>
      <w:b/>
      <w:bCs/>
    </w:rPr>
  </w:style>
  <w:style w:type="character" w:customStyle="1" w:styleId="CommentSubjectChar">
    <w:name w:val="Comment Subject Char"/>
    <w:link w:val="CommentSubject"/>
    <w:uiPriority w:val="99"/>
    <w:semiHidden/>
    <w:rsid w:val="007C119C"/>
    <w:rPr>
      <w:b/>
      <w:bCs/>
      <w:lang w:eastAsia="en-US"/>
    </w:rPr>
  </w:style>
  <w:style w:type="paragraph" w:styleId="NormalWeb">
    <w:name w:val="Normal (Web)"/>
    <w:basedOn w:val="Normal"/>
    <w:uiPriority w:val="99"/>
    <w:semiHidden/>
    <w:unhideWhenUsed/>
    <w:rsid w:val="00B62B10"/>
    <w:pPr>
      <w:spacing w:before="100" w:beforeAutospacing="1" w:after="100" w:afterAutospacing="1" w:line="240" w:lineRule="auto"/>
    </w:pPr>
    <w:rPr>
      <w:rFonts w:ascii="Times New Roman" w:eastAsia="Times New Roman" w:hAnsi="Times New Roman"/>
      <w:sz w:val="24"/>
      <w:szCs w:val="24"/>
      <w:lang w:eastAsia="en-AU"/>
    </w:rPr>
  </w:style>
  <w:style w:type="paragraph" w:styleId="Revision">
    <w:name w:val="Revision"/>
    <w:hidden/>
    <w:uiPriority w:val="99"/>
    <w:semiHidden/>
    <w:rsid w:val="006413E7"/>
    <w:rPr>
      <w:sz w:val="22"/>
      <w:szCs w:val="22"/>
      <w:lang w:eastAsia="en-US"/>
    </w:rPr>
  </w:style>
  <w:style w:type="paragraph" w:customStyle="1" w:styleId="CertHDWhite">
    <w:name w:val="_CertHDWhite"/>
    <w:uiPriority w:val="3"/>
    <w:rsid w:val="002F28B4"/>
    <w:pPr>
      <w:spacing w:line="440" w:lineRule="atLeast"/>
    </w:pPr>
    <w:rPr>
      <w:rFonts w:eastAsia="Times New Roman" w:cs="Arial"/>
      <w:color w:val="FFFFFF"/>
      <w:sz w:val="40"/>
      <w:szCs w:val="24"/>
      <w:lang w:eastAsia="en-US"/>
    </w:rPr>
  </w:style>
  <w:style w:type="paragraph" w:customStyle="1" w:styleId="ImprintBreak2">
    <w:name w:val="_ImprintBreak2"/>
    <w:uiPriority w:val="9"/>
    <w:rsid w:val="002F28B4"/>
    <w:rPr>
      <w:rFonts w:eastAsia="Times New Roman" w:cs="Arial"/>
      <w:sz w:val="8"/>
      <w:szCs w:val="8"/>
      <w:lang w:eastAsia="en-US"/>
    </w:rPr>
  </w:style>
  <w:style w:type="paragraph" w:customStyle="1" w:styleId="ImprintText">
    <w:name w:val="_ImprintText"/>
    <w:uiPriority w:val="9"/>
    <w:rsid w:val="0000075F"/>
    <w:pPr>
      <w:spacing w:after="85" w:line="170" w:lineRule="atLeast"/>
    </w:pPr>
    <w:rPr>
      <w:rFonts w:eastAsia="Times New Roman" w:cs="Arial"/>
      <w:sz w:val="16"/>
      <w:szCs w:val="1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331576">
      <w:bodyDiv w:val="1"/>
      <w:marLeft w:val="0"/>
      <w:marRight w:val="0"/>
      <w:marTop w:val="0"/>
      <w:marBottom w:val="0"/>
      <w:divBdr>
        <w:top w:val="none" w:sz="0" w:space="0" w:color="auto"/>
        <w:left w:val="none" w:sz="0" w:space="0" w:color="auto"/>
        <w:bottom w:val="none" w:sz="0" w:space="0" w:color="auto"/>
        <w:right w:val="none" w:sz="0" w:space="0" w:color="auto"/>
      </w:divBdr>
    </w:div>
    <w:div w:id="1416509163">
      <w:bodyDiv w:val="1"/>
      <w:marLeft w:val="0"/>
      <w:marRight w:val="0"/>
      <w:marTop w:val="0"/>
      <w:marBottom w:val="0"/>
      <w:divBdr>
        <w:top w:val="none" w:sz="0" w:space="0" w:color="auto"/>
        <w:left w:val="none" w:sz="0" w:space="0" w:color="auto"/>
        <w:bottom w:val="none" w:sz="0" w:space="0" w:color="auto"/>
        <w:right w:val="none" w:sz="0" w:space="0" w:color="auto"/>
      </w:divBdr>
    </w:div>
    <w:div w:id="1437477192">
      <w:bodyDiv w:val="1"/>
      <w:marLeft w:val="0"/>
      <w:marRight w:val="0"/>
      <w:marTop w:val="0"/>
      <w:marBottom w:val="0"/>
      <w:divBdr>
        <w:top w:val="none" w:sz="0" w:space="0" w:color="auto"/>
        <w:left w:val="none" w:sz="0" w:space="0" w:color="auto"/>
        <w:bottom w:val="none" w:sz="0" w:space="0" w:color="auto"/>
        <w:right w:val="none" w:sz="0" w:space="0" w:color="auto"/>
      </w:divBdr>
    </w:div>
    <w:div w:id="194013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tpli.vic.gov.au/planning/plans-and-policies/urban-development-program" TargetMode="External"/><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1.jpe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10.jpeg"/><Relationship Id="rId10" Type="http://schemas.openxmlformats.org/officeDocument/2006/relationships/footer" Target="footer1.xml"/><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9.jpe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hyperlink" Target="mailto:customer.service@delwp.vic.gov.au" TargetMode="External"/><Relationship Id="rId2" Type="http://schemas.openxmlformats.org/officeDocument/2006/relationships/hyperlink" Target="http://creativecommons.org/licenses/by/3.0/au/deed.en" TargetMode="External"/><Relationship Id="rId1" Type="http://schemas.openxmlformats.org/officeDocument/2006/relationships/image" Target="media/image4.emf"/><Relationship Id="rId6" Type="http://schemas.openxmlformats.org/officeDocument/2006/relationships/image" Target="media/image2.jpeg"/><Relationship Id="rId5" Type="http://schemas.openxmlformats.org/officeDocument/2006/relationships/hyperlink" Target="http://www.delwp.vic.gov.au" TargetMode="External"/><Relationship Id="rId4" Type="http://schemas.openxmlformats.org/officeDocument/2006/relationships/hyperlink" Target="http://www.relayservice.com.a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3B938-FECF-4E00-8106-66B1D512B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7622</CharactersWithSpaces>
  <SharedDoc>false</SharedDoc>
  <HLinks>
    <vt:vector size="18" baseType="variant">
      <vt:variant>
        <vt:i4>7012412</vt:i4>
      </vt:variant>
      <vt:variant>
        <vt:i4>6</vt:i4>
      </vt:variant>
      <vt:variant>
        <vt:i4>0</vt:i4>
      </vt:variant>
      <vt:variant>
        <vt:i4>5</vt:i4>
      </vt:variant>
      <vt:variant>
        <vt:lpwstr>http://www.plosone.org/article/info%3Adoi%2F10.1371%2Fjournal.pone.0108501</vt:lpwstr>
      </vt:variant>
      <vt:variant>
        <vt:lpwstr/>
      </vt:variant>
      <vt:variant>
        <vt:i4>983086</vt:i4>
      </vt:variant>
      <vt:variant>
        <vt:i4>3</vt:i4>
      </vt:variant>
      <vt:variant>
        <vt:i4>0</vt:i4>
      </vt:variant>
      <vt:variant>
        <vt:i4>5</vt:i4>
      </vt:variant>
      <vt:variant>
        <vt:lpwstr>http://abs.gov.au/AUSSTATS/abs@.nsf/Latestproducts/3101.0Main Features1Mar 2014?opendocument&amp;tabname=Summary&amp;prodno=3101.0&amp;issue=Mar%202014&amp;num=&amp;view</vt:lpwstr>
      </vt:variant>
      <vt:variant>
        <vt:lpwstr/>
      </vt:variant>
      <vt:variant>
        <vt:i4>6684725</vt:i4>
      </vt:variant>
      <vt:variant>
        <vt:i4>0</vt:i4>
      </vt:variant>
      <vt:variant>
        <vt:i4>0</vt:i4>
      </vt:variant>
      <vt:variant>
        <vt:i4>5</vt:i4>
      </vt:variant>
      <vt:variant>
        <vt:lpwstr>http://www.data.vic.gov.au/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Nardia Smits</dc:creator>
  <cp:lastModifiedBy>whitejo</cp:lastModifiedBy>
  <cp:revision>2</cp:revision>
  <cp:lastPrinted>2015-06-23T00:15:00Z</cp:lastPrinted>
  <dcterms:created xsi:type="dcterms:W3CDTF">2015-06-24T05:26:00Z</dcterms:created>
  <dcterms:modified xsi:type="dcterms:W3CDTF">2015-06-24T05:26:00Z</dcterms:modified>
</cp:coreProperties>
</file>