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B7" w:rsidRDefault="008116B7" w:rsidP="008116B7">
      <w:pPr>
        <w:jc w:val="center"/>
        <w:rPr>
          <w:rFonts w:ascii="Tahoma" w:hAnsi="Tahoma" w:cs="Tahoma"/>
          <w:b/>
          <w:i/>
          <w:sz w:val="28"/>
        </w:rPr>
      </w:pPr>
    </w:p>
    <w:p w:rsidR="00396D7A" w:rsidRPr="008116B7" w:rsidRDefault="00396D7A" w:rsidP="00396D7A">
      <w:pPr>
        <w:keepNext/>
        <w:outlineLvl w:val="0"/>
        <w:rPr>
          <w:rFonts w:ascii="Tahoma" w:hAnsi="Tahoma" w:cs="Tahoma"/>
          <w:b/>
          <w:bCs/>
          <w:lang w:eastAsia="en-US"/>
        </w:rPr>
      </w:pPr>
      <w:r w:rsidRPr="00F079DB">
        <w:rPr>
          <w:rFonts w:ascii="Tahoma" w:hAnsi="Tahoma" w:cs="Tahoma"/>
          <w:b/>
          <w:sz w:val="18"/>
          <w:szCs w:val="20"/>
          <w:u w:val="single"/>
          <w:lang w:eastAsia="en-US"/>
        </w:rPr>
        <w:t xml:space="preserve">Attachment </w:t>
      </w:r>
      <w:r w:rsidR="008D490F">
        <w:rPr>
          <w:rFonts w:ascii="Tahoma" w:hAnsi="Tahoma" w:cs="Tahoma"/>
          <w:b/>
          <w:sz w:val="18"/>
          <w:szCs w:val="20"/>
          <w:u w:val="single"/>
          <w:lang w:eastAsia="en-US"/>
        </w:rPr>
        <w:t>4</w:t>
      </w:r>
      <w:r w:rsidRPr="00F079DB">
        <w:rPr>
          <w:rFonts w:ascii="Tahoma" w:hAnsi="Tahoma" w:cs="Tahoma"/>
          <w:b/>
          <w:sz w:val="18"/>
          <w:szCs w:val="20"/>
          <w:lang w:eastAsia="en-US"/>
        </w:rPr>
        <w:t xml:space="preserve">          </w:t>
      </w:r>
    </w:p>
    <w:p w:rsidR="002E664E" w:rsidRPr="00F079DB" w:rsidRDefault="002E664E" w:rsidP="00396D7A">
      <w:pPr>
        <w:keepNext/>
        <w:jc w:val="center"/>
        <w:outlineLvl w:val="0"/>
        <w:rPr>
          <w:rFonts w:ascii="Tahoma" w:hAnsi="Tahoma" w:cs="Tahoma"/>
          <w:b/>
          <w:bCs/>
          <w:sz w:val="22"/>
          <w:lang w:eastAsia="en-US"/>
        </w:rPr>
      </w:pPr>
      <w:r w:rsidRPr="00F079DB">
        <w:rPr>
          <w:rFonts w:ascii="Tahoma" w:hAnsi="Tahoma" w:cs="Tahoma"/>
          <w:b/>
          <w:bCs/>
          <w:sz w:val="22"/>
          <w:lang w:eastAsia="en-US"/>
        </w:rPr>
        <w:t>For Public Notice via Internet</w:t>
      </w:r>
    </w:p>
    <w:p w:rsidR="002E664E" w:rsidRPr="008116B7" w:rsidRDefault="002E664E" w:rsidP="002E664E">
      <w:pPr>
        <w:jc w:val="center"/>
        <w:rPr>
          <w:rFonts w:ascii="Tahoma" w:hAnsi="Tahoma" w:cs="Tahoma"/>
          <w:b/>
          <w:szCs w:val="20"/>
          <w:lang w:eastAsia="en-US"/>
        </w:rPr>
      </w:pPr>
    </w:p>
    <w:p w:rsidR="002E664E" w:rsidRPr="008116B7" w:rsidRDefault="002E664E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F079DB" w:rsidRDefault="009E036B" w:rsidP="002E664E">
      <w:pPr>
        <w:rPr>
          <w:rFonts w:ascii="Tahoma" w:hAnsi="Tahoma" w:cs="Tahoma"/>
          <w:b/>
          <w:i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 xml:space="preserve">REASONS FOR </w:t>
      </w:r>
      <w:r w:rsidR="000A53AC">
        <w:rPr>
          <w:rFonts w:ascii="Tahoma" w:hAnsi="Tahoma" w:cs="Tahoma"/>
          <w:b/>
          <w:sz w:val="22"/>
          <w:szCs w:val="20"/>
          <w:lang w:eastAsia="en-US"/>
        </w:rPr>
        <w:t>ORDER</w:t>
      </w:r>
      <w:r w:rsidR="002E664E" w:rsidRPr="00F079DB">
        <w:rPr>
          <w:rFonts w:ascii="Tahoma" w:hAnsi="Tahoma" w:cs="Tahoma"/>
          <w:b/>
          <w:sz w:val="22"/>
          <w:szCs w:val="20"/>
          <w:lang w:eastAsia="en-US"/>
        </w:rPr>
        <w:t xml:space="preserve"> UNDER</w:t>
      </w:r>
      <w:r w:rsidR="000A53AC">
        <w:rPr>
          <w:rFonts w:ascii="Tahoma" w:hAnsi="Tahoma" w:cs="Tahoma"/>
          <w:b/>
          <w:sz w:val="22"/>
          <w:szCs w:val="20"/>
          <w:lang w:eastAsia="en-US"/>
        </w:rPr>
        <w:t xml:space="preserve"> SECTION 3(1) OF THE</w:t>
      </w:r>
      <w:r w:rsidR="002E664E" w:rsidRPr="00F079DB">
        <w:rPr>
          <w:rFonts w:ascii="Tahoma" w:hAnsi="Tahoma" w:cs="Tahoma"/>
          <w:b/>
          <w:sz w:val="22"/>
          <w:szCs w:val="20"/>
          <w:lang w:eastAsia="en-US"/>
        </w:rPr>
        <w:t xml:space="preserve"> </w:t>
      </w:r>
      <w:r w:rsidR="002E664E" w:rsidRPr="00F079DB">
        <w:rPr>
          <w:rFonts w:ascii="Tahoma" w:hAnsi="Tahoma" w:cs="Tahoma"/>
          <w:b/>
          <w:i/>
          <w:sz w:val="22"/>
          <w:szCs w:val="20"/>
          <w:lang w:eastAsia="en-US"/>
        </w:rPr>
        <w:t>ENVIRONMENT EFFECTS ACT 1978</w:t>
      </w:r>
    </w:p>
    <w:p w:rsidR="002E664E" w:rsidRPr="00F079DB" w:rsidRDefault="002E664E" w:rsidP="002E664E">
      <w:pPr>
        <w:rPr>
          <w:rFonts w:ascii="Tahoma" w:hAnsi="Tahoma" w:cs="Tahoma"/>
          <w:b/>
          <w:i/>
          <w:sz w:val="22"/>
          <w:szCs w:val="20"/>
          <w:lang w:eastAsia="en-US"/>
        </w:rPr>
      </w:pPr>
    </w:p>
    <w:p w:rsidR="009E036B" w:rsidRPr="008116B7" w:rsidRDefault="009E036B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F079DB" w:rsidRDefault="000A53AC" w:rsidP="00666C2F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>
        <w:rPr>
          <w:rFonts w:ascii="Tahoma" w:hAnsi="Tahoma" w:cs="Tahoma"/>
          <w:b/>
          <w:sz w:val="22"/>
          <w:szCs w:val="22"/>
          <w:lang w:eastAsia="en-US"/>
        </w:rPr>
        <w:t>Public works</w:t>
      </w:r>
      <w:r w:rsidR="009E036B" w:rsidRPr="00F079DB">
        <w:rPr>
          <w:rFonts w:ascii="Tahoma" w:hAnsi="Tahoma" w:cs="Tahoma"/>
          <w:b/>
          <w:sz w:val="22"/>
          <w:szCs w:val="22"/>
          <w:lang w:eastAsia="en-US"/>
        </w:rPr>
        <w:t>:</w:t>
      </w:r>
      <w:r w:rsidR="002E664E"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 w:rsidR="0003696F">
        <w:rPr>
          <w:rFonts w:ascii="Tahoma" w:hAnsi="Tahoma" w:cs="Tahoma"/>
          <w:b/>
          <w:sz w:val="22"/>
          <w:szCs w:val="22"/>
          <w:lang w:eastAsia="en-US"/>
        </w:rPr>
        <w:t>Western Distributor</w:t>
      </w:r>
      <w:r w:rsidR="00C73970">
        <w:rPr>
          <w:rFonts w:ascii="Tahoma" w:hAnsi="Tahoma" w:cs="Tahoma"/>
          <w:b/>
          <w:sz w:val="22"/>
          <w:szCs w:val="22"/>
          <w:lang w:eastAsia="en-US"/>
        </w:rPr>
        <w:t xml:space="preserve"> Project</w:t>
      </w: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2E664E" w:rsidRPr="00F079DB" w:rsidRDefault="002E664E" w:rsidP="00C737F9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Proponent: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 w:rsidR="0003696F">
        <w:rPr>
          <w:rFonts w:ascii="Tahoma" w:hAnsi="Tahoma" w:cs="Tahoma"/>
          <w:b/>
          <w:sz w:val="22"/>
          <w:szCs w:val="22"/>
          <w:lang w:eastAsia="en-US"/>
        </w:rPr>
        <w:t xml:space="preserve">Department </w:t>
      </w:r>
      <w:r w:rsidR="00D04914">
        <w:rPr>
          <w:rFonts w:ascii="Tahoma" w:hAnsi="Tahoma" w:cs="Tahoma"/>
          <w:b/>
          <w:sz w:val="22"/>
          <w:szCs w:val="22"/>
          <w:lang w:eastAsia="en-US"/>
        </w:rPr>
        <w:t>of Economic Development, Jobs, T</w:t>
      </w:r>
      <w:r w:rsidR="0003696F">
        <w:rPr>
          <w:rFonts w:ascii="Tahoma" w:hAnsi="Tahoma" w:cs="Tahoma"/>
          <w:b/>
          <w:sz w:val="22"/>
          <w:szCs w:val="22"/>
          <w:lang w:eastAsia="en-US"/>
        </w:rPr>
        <w:t>ransport and Resources</w:t>
      </w: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Description of Project: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</w:p>
    <w:p w:rsidR="002E664E" w:rsidRDefault="00C73970" w:rsidP="00207FE8">
      <w:pPr>
        <w:spacing w:before="12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The </w:t>
      </w:r>
      <w:r w:rsidR="000A53AC">
        <w:rPr>
          <w:rFonts w:ascii="Tahoma" w:hAnsi="Tahoma" w:cs="Tahoma"/>
          <w:sz w:val="22"/>
          <w:szCs w:val="22"/>
          <w:lang w:eastAsia="en-US"/>
        </w:rPr>
        <w:t xml:space="preserve">public works are the works proposed to be undertaken for the purposes of the </w:t>
      </w:r>
      <w:r w:rsidR="0003696F">
        <w:rPr>
          <w:rFonts w:ascii="Tahoma" w:hAnsi="Tahoma" w:cs="Tahoma"/>
          <w:sz w:val="22"/>
          <w:szCs w:val="22"/>
          <w:lang w:eastAsia="en-US"/>
        </w:rPr>
        <w:t>Western Distributor</w:t>
      </w:r>
      <w:r>
        <w:rPr>
          <w:rFonts w:ascii="Tahoma" w:hAnsi="Tahoma" w:cs="Tahoma"/>
          <w:sz w:val="22"/>
          <w:szCs w:val="22"/>
          <w:lang w:eastAsia="en-US"/>
        </w:rPr>
        <w:t xml:space="preserve"> Project</w:t>
      </w:r>
      <w:r w:rsidR="000A53AC">
        <w:rPr>
          <w:rFonts w:ascii="Tahoma" w:hAnsi="Tahoma" w:cs="Tahoma"/>
          <w:sz w:val="22"/>
          <w:szCs w:val="22"/>
          <w:lang w:eastAsia="en-US"/>
        </w:rPr>
        <w:t>,</w:t>
      </w:r>
      <w:r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0A53AC">
        <w:rPr>
          <w:rFonts w:ascii="Tahoma" w:hAnsi="Tahoma" w:cs="Tahoma"/>
          <w:sz w:val="22"/>
          <w:szCs w:val="22"/>
          <w:lang w:eastAsia="en-US"/>
        </w:rPr>
        <w:t>comprising</w:t>
      </w:r>
      <w:r>
        <w:rPr>
          <w:rFonts w:ascii="Tahoma" w:hAnsi="Tahoma" w:cs="Tahoma"/>
          <w:sz w:val="22"/>
          <w:szCs w:val="22"/>
          <w:lang w:eastAsia="en-US"/>
        </w:rPr>
        <w:t xml:space="preserve"> the works for the construction and operation of:</w:t>
      </w:r>
    </w:p>
    <w:p w:rsidR="004D09FA" w:rsidRDefault="004D09FA" w:rsidP="0060375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W</w:t>
      </w:r>
      <w:r w:rsidRPr="00603751">
        <w:rPr>
          <w:rFonts w:ascii="Tahoma" w:hAnsi="Tahoma" w:cs="Tahoma"/>
          <w:sz w:val="22"/>
          <w:szCs w:val="22"/>
          <w:lang w:eastAsia="en-US"/>
        </w:rPr>
        <w:t>idening of the existing West Gate Freeway by two lanes in each direction to provide overall capa</w:t>
      </w:r>
      <w:r>
        <w:rPr>
          <w:rFonts w:ascii="Tahoma" w:hAnsi="Tahoma" w:cs="Tahoma"/>
          <w:sz w:val="22"/>
          <w:szCs w:val="22"/>
          <w:lang w:eastAsia="en-US"/>
        </w:rPr>
        <w:t>city of six lanes each way</w:t>
      </w:r>
      <w:r w:rsidRPr="00603751">
        <w:rPr>
          <w:rFonts w:ascii="Tahoma" w:hAnsi="Tahoma" w:cs="Tahoma"/>
          <w:sz w:val="22"/>
          <w:szCs w:val="22"/>
          <w:lang w:eastAsia="en-US"/>
        </w:rPr>
        <w:t xml:space="preserve"> between Williamstown Road and M80, collector-distributor carriageways, elevated ramps, structures and surface road connections including a new connection at Hyde Street</w:t>
      </w:r>
      <w:r>
        <w:rPr>
          <w:rFonts w:ascii="Tahoma" w:hAnsi="Tahoma" w:cs="Tahoma"/>
          <w:sz w:val="22"/>
          <w:szCs w:val="22"/>
          <w:lang w:eastAsia="en-US"/>
        </w:rPr>
        <w:t>;</w:t>
      </w:r>
    </w:p>
    <w:p w:rsidR="00603751" w:rsidRPr="00603751" w:rsidRDefault="00AF7E80" w:rsidP="0060375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T</w:t>
      </w:r>
      <w:r w:rsidR="00603751" w:rsidRPr="00603751">
        <w:rPr>
          <w:rFonts w:ascii="Tahoma" w:hAnsi="Tahoma" w:cs="Tahoma"/>
          <w:sz w:val="22"/>
          <w:szCs w:val="22"/>
          <w:lang w:eastAsia="en-US"/>
        </w:rPr>
        <w:t>wo bored tunnels ultimately catering for three tr</w:t>
      </w:r>
      <w:r w:rsidR="00603751">
        <w:rPr>
          <w:rFonts w:ascii="Tahoma" w:hAnsi="Tahoma" w:cs="Tahoma"/>
          <w:sz w:val="22"/>
          <w:szCs w:val="22"/>
          <w:lang w:eastAsia="en-US"/>
        </w:rPr>
        <w:t>affic lanes in both directions</w:t>
      </w:r>
      <w:r w:rsidR="00963A11">
        <w:rPr>
          <w:rFonts w:ascii="Tahoma" w:hAnsi="Tahoma" w:cs="Tahoma"/>
          <w:sz w:val="22"/>
          <w:szCs w:val="22"/>
          <w:lang w:eastAsia="en-US"/>
        </w:rPr>
        <w:t>,</w:t>
      </w:r>
      <w:r w:rsidR="00603751">
        <w:rPr>
          <w:rFonts w:ascii="Tahoma" w:hAnsi="Tahoma" w:cs="Tahoma"/>
          <w:sz w:val="22"/>
          <w:szCs w:val="22"/>
          <w:lang w:eastAsia="en-US"/>
        </w:rPr>
        <w:t xml:space="preserve"> with the s</w:t>
      </w:r>
      <w:r w:rsidR="00603751" w:rsidRPr="00603751">
        <w:rPr>
          <w:rFonts w:ascii="Tahoma" w:hAnsi="Tahoma" w:cs="Tahoma"/>
          <w:sz w:val="22"/>
          <w:szCs w:val="22"/>
          <w:lang w:eastAsia="en-US"/>
        </w:rPr>
        <w:t xml:space="preserve">outhern portal </w:t>
      </w:r>
      <w:r w:rsidR="00603751">
        <w:rPr>
          <w:rFonts w:ascii="Tahoma" w:hAnsi="Tahoma" w:cs="Tahoma"/>
          <w:sz w:val="22"/>
          <w:szCs w:val="22"/>
          <w:lang w:eastAsia="en-US"/>
        </w:rPr>
        <w:t xml:space="preserve">located </w:t>
      </w:r>
      <w:r w:rsidR="00603751" w:rsidRPr="00603751">
        <w:rPr>
          <w:rFonts w:ascii="Tahoma" w:hAnsi="Tahoma" w:cs="Tahoma"/>
          <w:sz w:val="22"/>
          <w:szCs w:val="22"/>
          <w:lang w:eastAsia="en-US"/>
        </w:rPr>
        <w:t>on the north side of the West Gate Freeway in the vicinity of Beverley and Hyde Streets</w:t>
      </w:r>
      <w:r w:rsidR="00963A11">
        <w:rPr>
          <w:rFonts w:ascii="Tahoma" w:hAnsi="Tahoma" w:cs="Tahoma"/>
          <w:sz w:val="22"/>
          <w:szCs w:val="22"/>
          <w:lang w:eastAsia="en-US"/>
        </w:rPr>
        <w:t>,</w:t>
      </w:r>
      <w:r w:rsidR="00603751">
        <w:rPr>
          <w:rFonts w:ascii="Tahoma" w:hAnsi="Tahoma" w:cs="Tahoma"/>
          <w:sz w:val="22"/>
          <w:szCs w:val="22"/>
          <w:lang w:eastAsia="en-US"/>
        </w:rPr>
        <w:t xml:space="preserve"> and the n</w:t>
      </w:r>
      <w:r w:rsidR="00603751" w:rsidRPr="00603751">
        <w:rPr>
          <w:rFonts w:ascii="Tahoma" w:hAnsi="Tahoma" w:cs="Tahoma"/>
          <w:sz w:val="22"/>
          <w:szCs w:val="22"/>
          <w:lang w:eastAsia="en-US"/>
        </w:rPr>
        <w:t xml:space="preserve">orthern portal </w:t>
      </w:r>
      <w:r w:rsidR="00603751">
        <w:rPr>
          <w:rFonts w:ascii="Tahoma" w:hAnsi="Tahoma" w:cs="Tahoma"/>
          <w:sz w:val="22"/>
          <w:szCs w:val="22"/>
          <w:lang w:eastAsia="en-US"/>
        </w:rPr>
        <w:t>located</w:t>
      </w:r>
      <w:r w:rsidR="00603751" w:rsidRPr="00603751">
        <w:rPr>
          <w:rFonts w:ascii="Tahoma" w:hAnsi="Tahoma" w:cs="Tahoma"/>
          <w:sz w:val="22"/>
          <w:szCs w:val="22"/>
          <w:lang w:eastAsia="en-US"/>
        </w:rPr>
        <w:t xml:space="preserve"> east of Whitehall Street, north of Somerville Road and west of the Maribyrnong River.</w:t>
      </w:r>
    </w:p>
    <w:p w:rsidR="0003696F" w:rsidRPr="00603751" w:rsidRDefault="005B4068" w:rsidP="0060375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B</w:t>
      </w:r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ridge </w:t>
      </w:r>
      <w:r>
        <w:rPr>
          <w:rFonts w:ascii="Tahoma" w:hAnsi="Tahoma" w:cs="Tahoma"/>
          <w:sz w:val="22"/>
          <w:szCs w:val="22"/>
          <w:lang w:eastAsia="en-US"/>
        </w:rPr>
        <w:t xml:space="preserve">works </w:t>
      </w:r>
      <w:r w:rsidR="0003696F" w:rsidRPr="00603751">
        <w:rPr>
          <w:rFonts w:ascii="Tahoma" w:hAnsi="Tahoma" w:cs="Tahoma"/>
          <w:sz w:val="22"/>
          <w:szCs w:val="22"/>
          <w:lang w:eastAsia="en-US"/>
        </w:rPr>
        <w:t>across Maribyrnong River, with three lane viaducts above Footscray Road with direct access to the Port of Melbourne at Mackenzie Road and Appleton Dock Road;</w:t>
      </w:r>
      <w:r w:rsidR="00D04914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04914" w:rsidRPr="004D09FA">
        <w:rPr>
          <w:rFonts w:ascii="Tahoma" w:hAnsi="Tahoma" w:cs="Tahoma"/>
          <w:sz w:val="22"/>
          <w:szCs w:val="22"/>
          <w:lang w:eastAsia="en-US"/>
        </w:rPr>
        <w:t>and</w:t>
      </w:r>
    </w:p>
    <w:p w:rsidR="0003696F" w:rsidRPr="004D09FA" w:rsidRDefault="00AF7E80" w:rsidP="004D09F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C</w:t>
      </w:r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onnections to </w:t>
      </w:r>
      <w:proofErr w:type="spellStart"/>
      <w:r w:rsidR="0003696F" w:rsidRPr="00603751">
        <w:rPr>
          <w:rFonts w:ascii="Tahoma" w:hAnsi="Tahoma" w:cs="Tahoma"/>
          <w:sz w:val="22"/>
          <w:szCs w:val="22"/>
          <w:lang w:eastAsia="en-US"/>
        </w:rPr>
        <w:t>CityLink</w:t>
      </w:r>
      <w:proofErr w:type="spellEnd"/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 via the existing </w:t>
      </w:r>
      <w:proofErr w:type="spellStart"/>
      <w:r w:rsidR="0003696F" w:rsidRPr="00603751">
        <w:rPr>
          <w:rFonts w:ascii="Tahoma" w:hAnsi="Tahoma" w:cs="Tahoma"/>
          <w:sz w:val="22"/>
          <w:szCs w:val="22"/>
          <w:lang w:eastAsia="en-US"/>
        </w:rPr>
        <w:t>Dynon</w:t>
      </w:r>
      <w:proofErr w:type="spellEnd"/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 Road ramps, and access to Docklands, West M</w:t>
      </w:r>
      <w:r w:rsidR="00603751">
        <w:rPr>
          <w:rFonts w:ascii="Tahoma" w:hAnsi="Tahoma" w:cs="Tahoma"/>
          <w:sz w:val="22"/>
          <w:szCs w:val="22"/>
          <w:lang w:eastAsia="en-US"/>
        </w:rPr>
        <w:t xml:space="preserve">elbourne and central or </w:t>
      </w:r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inner City via ramps onto Footscray Road with additional connections to </w:t>
      </w:r>
      <w:proofErr w:type="spellStart"/>
      <w:r w:rsidR="0003696F" w:rsidRPr="00603751">
        <w:rPr>
          <w:rFonts w:ascii="Tahoma" w:hAnsi="Tahoma" w:cs="Tahoma"/>
          <w:sz w:val="22"/>
          <w:szCs w:val="22"/>
          <w:lang w:eastAsia="en-US"/>
        </w:rPr>
        <w:t>Dynon</w:t>
      </w:r>
      <w:proofErr w:type="spellEnd"/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 Road and </w:t>
      </w:r>
      <w:proofErr w:type="spellStart"/>
      <w:r w:rsidR="0003696F" w:rsidRPr="00603751">
        <w:rPr>
          <w:rFonts w:ascii="Tahoma" w:hAnsi="Tahoma" w:cs="Tahoma"/>
          <w:sz w:val="22"/>
          <w:szCs w:val="22"/>
          <w:lang w:eastAsia="en-US"/>
        </w:rPr>
        <w:t>Wurundjeri</w:t>
      </w:r>
      <w:proofErr w:type="spellEnd"/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 Way through construction of a new CBD Bypass road betwee</w:t>
      </w:r>
      <w:r w:rsidR="00D04914">
        <w:rPr>
          <w:rFonts w:ascii="Tahoma" w:hAnsi="Tahoma" w:cs="Tahoma"/>
          <w:sz w:val="22"/>
          <w:szCs w:val="22"/>
          <w:lang w:eastAsia="en-US"/>
        </w:rPr>
        <w:t xml:space="preserve">n </w:t>
      </w:r>
      <w:proofErr w:type="spellStart"/>
      <w:r w:rsidR="00D04914">
        <w:rPr>
          <w:rFonts w:ascii="Tahoma" w:hAnsi="Tahoma" w:cs="Tahoma"/>
          <w:sz w:val="22"/>
          <w:szCs w:val="22"/>
          <w:lang w:eastAsia="en-US"/>
        </w:rPr>
        <w:t>Wurundjeri</w:t>
      </w:r>
      <w:proofErr w:type="spellEnd"/>
      <w:r w:rsidR="00D04914">
        <w:rPr>
          <w:rFonts w:ascii="Tahoma" w:hAnsi="Tahoma" w:cs="Tahoma"/>
          <w:sz w:val="22"/>
          <w:szCs w:val="22"/>
          <w:lang w:eastAsia="en-US"/>
        </w:rPr>
        <w:t xml:space="preserve"> Way and </w:t>
      </w:r>
      <w:proofErr w:type="spellStart"/>
      <w:r w:rsidR="00D04914">
        <w:rPr>
          <w:rFonts w:ascii="Tahoma" w:hAnsi="Tahoma" w:cs="Tahoma"/>
          <w:sz w:val="22"/>
          <w:szCs w:val="22"/>
          <w:lang w:eastAsia="en-US"/>
        </w:rPr>
        <w:t>Dynon</w:t>
      </w:r>
      <w:proofErr w:type="spellEnd"/>
      <w:r w:rsidR="00D04914">
        <w:rPr>
          <w:rFonts w:ascii="Tahoma" w:hAnsi="Tahoma" w:cs="Tahoma"/>
          <w:sz w:val="22"/>
          <w:szCs w:val="22"/>
          <w:lang w:eastAsia="en-US"/>
        </w:rPr>
        <w:t xml:space="preserve"> Road.</w:t>
      </w:r>
      <w:r w:rsidR="0003696F" w:rsidRPr="00603751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2E664E" w:rsidRPr="00B14284" w:rsidRDefault="002E664E" w:rsidP="002E664E">
      <w:pPr>
        <w:rPr>
          <w:rFonts w:ascii="Tahoma" w:hAnsi="Tahoma" w:cs="Tahoma"/>
          <w:sz w:val="22"/>
          <w:szCs w:val="22"/>
          <w:lang w:eastAsia="en-US"/>
        </w:rPr>
      </w:pPr>
    </w:p>
    <w:p w:rsidR="00396D7A" w:rsidRPr="00DB78D3" w:rsidRDefault="00B90DA4" w:rsidP="00E933EB">
      <w:pPr>
        <w:spacing w:before="120"/>
        <w:jc w:val="both"/>
        <w:rPr>
          <w:rFonts w:ascii="Tahoma" w:hAnsi="Tahoma" w:cs="Tahoma"/>
          <w:sz w:val="22"/>
          <w:szCs w:val="22"/>
          <w:lang w:eastAsia="en-US"/>
        </w:rPr>
      </w:pPr>
      <w:r w:rsidRPr="00DB78D3">
        <w:rPr>
          <w:rFonts w:ascii="Tahoma" w:hAnsi="Tahoma" w:cs="Tahoma"/>
          <w:sz w:val="22"/>
          <w:szCs w:val="22"/>
          <w:lang w:eastAsia="en-US"/>
        </w:rPr>
        <w:t>The Minister for Planning</w:t>
      </w:r>
      <w:r w:rsidR="0093071B" w:rsidRPr="00DB78D3">
        <w:rPr>
          <w:rFonts w:ascii="Tahoma" w:hAnsi="Tahoma" w:cs="Tahoma"/>
          <w:sz w:val="22"/>
          <w:szCs w:val="22"/>
          <w:lang w:eastAsia="en-US"/>
        </w:rPr>
        <w:t xml:space="preserve">, being satisfied that works proposed </w:t>
      </w:r>
      <w:r w:rsidR="0036513B">
        <w:rPr>
          <w:rFonts w:ascii="Tahoma" w:hAnsi="Tahoma" w:cs="Tahoma"/>
          <w:sz w:val="22"/>
          <w:szCs w:val="22"/>
          <w:lang w:eastAsia="en-US"/>
        </w:rPr>
        <w:t>to be undertaken for the purposes of</w:t>
      </w:r>
      <w:r w:rsidR="0093071B" w:rsidRPr="00DB78D3">
        <w:rPr>
          <w:rFonts w:ascii="Tahoma" w:hAnsi="Tahoma" w:cs="Tahoma"/>
          <w:sz w:val="22"/>
          <w:szCs w:val="22"/>
          <w:lang w:eastAsia="en-US"/>
        </w:rPr>
        <w:t xml:space="preserve"> the </w:t>
      </w:r>
      <w:r w:rsidR="00603751">
        <w:rPr>
          <w:rFonts w:ascii="Tahoma" w:hAnsi="Tahoma" w:cs="Tahoma"/>
          <w:sz w:val="22"/>
          <w:szCs w:val="22"/>
          <w:lang w:eastAsia="en-US"/>
        </w:rPr>
        <w:t>Western Distributor Project</w:t>
      </w:r>
      <w:r w:rsidR="0093071B" w:rsidRPr="00DB78D3">
        <w:rPr>
          <w:rFonts w:ascii="Tahoma" w:hAnsi="Tahoma" w:cs="Tahoma"/>
          <w:sz w:val="22"/>
          <w:szCs w:val="22"/>
          <w:lang w:eastAsia="en-US"/>
        </w:rPr>
        <w:t xml:space="preserve"> could reasonably be considered to have or be capable of having a significant effect on the environment, has declared the works </w:t>
      </w:r>
      <w:r w:rsidR="0036513B">
        <w:rPr>
          <w:rFonts w:ascii="Tahoma" w:hAnsi="Tahoma" w:cs="Tahoma"/>
          <w:sz w:val="22"/>
          <w:szCs w:val="22"/>
          <w:lang w:eastAsia="en-US"/>
        </w:rPr>
        <w:t>to be</w:t>
      </w:r>
      <w:r w:rsidR="0093071B" w:rsidRPr="00DB78D3">
        <w:rPr>
          <w:rFonts w:ascii="Tahoma" w:hAnsi="Tahoma" w:cs="Tahoma"/>
          <w:sz w:val="22"/>
          <w:szCs w:val="22"/>
          <w:lang w:eastAsia="en-US"/>
        </w:rPr>
        <w:t xml:space="preserve"> public works </w:t>
      </w:r>
      <w:r w:rsidR="0036513B">
        <w:rPr>
          <w:rFonts w:ascii="Tahoma" w:hAnsi="Tahoma" w:cs="Tahoma"/>
          <w:sz w:val="22"/>
          <w:szCs w:val="22"/>
          <w:lang w:eastAsia="en-US"/>
        </w:rPr>
        <w:t>for the purposes of</w:t>
      </w:r>
      <w:r w:rsidR="0093071B" w:rsidRPr="00DB78D3">
        <w:rPr>
          <w:rFonts w:ascii="Tahoma" w:hAnsi="Tahoma" w:cs="Tahoma"/>
          <w:sz w:val="22"/>
          <w:szCs w:val="22"/>
          <w:lang w:eastAsia="en-US"/>
        </w:rPr>
        <w:t xml:space="preserve"> the </w:t>
      </w:r>
      <w:r w:rsidR="0093071B" w:rsidRPr="0036513B">
        <w:rPr>
          <w:rFonts w:ascii="Tahoma" w:hAnsi="Tahoma" w:cs="Tahoma"/>
          <w:i/>
          <w:sz w:val="22"/>
          <w:szCs w:val="22"/>
          <w:lang w:eastAsia="en-US"/>
        </w:rPr>
        <w:t xml:space="preserve">Environment Effects Act </w:t>
      </w:r>
      <w:r w:rsidR="0036513B" w:rsidRPr="0036513B">
        <w:rPr>
          <w:rFonts w:ascii="Tahoma" w:hAnsi="Tahoma" w:cs="Tahoma"/>
          <w:i/>
          <w:sz w:val="22"/>
          <w:szCs w:val="22"/>
          <w:lang w:eastAsia="en-US"/>
        </w:rPr>
        <w:t>1978</w:t>
      </w:r>
      <w:r w:rsidR="0036513B">
        <w:rPr>
          <w:rFonts w:ascii="Tahoma" w:hAnsi="Tahoma" w:cs="Tahoma"/>
          <w:sz w:val="22"/>
          <w:szCs w:val="22"/>
          <w:lang w:eastAsia="en-US"/>
        </w:rPr>
        <w:t xml:space="preserve">, by Order published in </w:t>
      </w:r>
      <w:r w:rsidR="0036513B" w:rsidRPr="0036513B">
        <w:rPr>
          <w:rFonts w:ascii="Tahoma" w:hAnsi="Tahoma" w:cs="Tahoma"/>
          <w:i/>
          <w:sz w:val="22"/>
          <w:szCs w:val="22"/>
          <w:lang w:eastAsia="en-US"/>
        </w:rPr>
        <w:t>The Government Gazette</w:t>
      </w:r>
      <w:r w:rsidR="0036513B">
        <w:rPr>
          <w:rFonts w:ascii="Tahoma" w:hAnsi="Tahoma" w:cs="Tahoma"/>
          <w:sz w:val="22"/>
          <w:szCs w:val="22"/>
          <w:lang w:eastAsia="en-US"/>
        </w:rPr>
        <w:t xml:space="preserve"> on </w:t>
      </w:r>
      <w:r w:rsidR="00E47EDF">
        <w:rPr>
          <w:rFonts w:ascii="Tahoma" w:hAnsi="Tahoma" w:cs="Tahoma"/>
          <w:sz w:val="22"/>
          <w:szCs w:val="22"/>
          <w:lang w:eastAsia="en-US"/>
        </w:rPr>
        <w:t>23 December 2015</w:t>
      </w:r>
      <w:r w:rsidR="0093071B" w:rsidRPr="00DB78D3">
        <w:rPr>
          <w:rFonts w:ascii="Tahoma" w:hAnsi="Tahoma" w:cs="Tahoma"/>
          <w:sz w:val="22"/>
          <w:szCs w:val="22"/>
          <w:lang w:eastAsia="en-US"/>
        </w:rPr>
        <w:t xml:space="preserve">. </w:t>
      </w:r>
      <w:r w:rsidRPr="00DB78D3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2E664E" w:rsidRPr="008116B7" w:rsidRDefault="002E664E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 xml:space="preserve">Reasons for </w:t>
      </w:r>
      <w:r w:rsidR="00F077B3">
        <w:rPr>
          <w:rFonts w:ascii="Tahoma" w:hAnsi="Tahoma" w:cs="Tahoma"/>
          <w:b/>
          <w:sz w:val="22"/>
          <w:szCs w:val="20"/>
          <w:lang w:eastAsia="en-US"/>
        </w:rPr>
        <w:t>Order</w:t>
      </w:r>
      <w:r w:rsidRPr="00F079DB">
        <w:rPr>
          <w:rFonts w:ascii="Tahoma" w:hAnsi="Tahoma" w:cs="Tahoma"/>
          <w:b/>
          <w:sz w:val="22"/>
          <w:szCs w:val="20"/>
          <w:lang w:eastAsia="en-US"/>
        </w:rPr>
        <w:t>:</w:t>
      </w:r>
    </w:p>
    <w:p w:rsidR="003E3469" w:rsidRDefault="00D24BCD" w:rsidP="00AF7E80">
      <w:pPr>
        <w:numPr>
          <w:ilvl w:val="0"/>
          <w:numId w:val="14"/>
        </w:numPr>
        <w:spacing w:before="180"/>
        <w:ind w:left="714" w:hanging="357"/>
        <w:rPr>
          <w:rFonts w:ascii="Tahoma" w:hAnsi="Tahoma" w:cs="Tahoma"/>
          <w:sz w:val="22"/>
          <w:szCs w:val="22"/>
          <w:lang w:eastAsia="en-US"/>
        </w:rPr>
      </w:pPr>
      <w:r w:rsidRPr="000647AA">
        <w:rPr>
          <w:rFonts w:ascii="Tahoma" w:hAnsi="Tahoma" w:cs="Tahoma"/>
          <w:sz w:val="22"/>
          <w:szCs w:val="22"/>
          <w:lang w:eastAsia="en-US"/>
        </w:rPr>
        <w:t xml:space="preserve">The project is a large-scale </w:t>
      </w:r>
      <w:r w:rsidR="00F84B0B">
        <w:rPr>
          <w:rFonts w:ascii="Tahoma" w:hAnsi="Tahoma" w:cs="Tahoma"/>
          <w:sz w:val="22"/>
          <w:szCs w:val="22"/>
          <w:lang w:eastAsia="en-US"/>
        </w:rPr>
        <w:t>road infrastructure project</w:t>
      </w:r>
      <w:r w:rsidR="007244D2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D04914">
        <w:rPr>
          <w:rFonts w:ascii="Tahoma" w:hAnsi="Tahoma" w:cs="Tahoma"/>
          <w:sz w:val="22"/>
          <w:szCs w:val="22"/>
          <w:lang w:eastAsia="en-US"/>
        </w:rPr>
        <w:t>set</w:t>
      </w:r>
      <w:r w:rsidR="002E3021">
        <w:rPr>
          <w:rFonts w:ascii="Tahoma" w:hAnsi="Tahoma" w:cs="Tahoma"/>
          <w:sz w:val="22"/>
          <w:szCs w:val="22"/>
          <w:lang w:eastAsia="en-US"/>
        </w:rPr>
        <w:t xml:space="preserve"> in</w:t>
      </w:r>
      <w:r w:rsidR="003E3469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E3469" w:rsidRPr="000647AA">
        <w:rPr>
          <w:rFonts w:ascii="Tahoma" w:hAnsi="Tahoma" w:cs="Tahoma"/>
          <w:sz w:val="22"/>
          <w:szCs w:val="22"/>
          <w:lang w:eastAsia="en-US"/>
        </w:rPr>
        <w:t>an intensively developed area</w:t>
      </w:r>
      <w:r w:rsidR="00D04914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E3469">
        <w:rPr>
          <w:rFonts w:ascii="Tahoma" w:hAnsi="Tahoma" w:cs="Tahoma"/>
          <w:sz w:val="22"/>
          <w:szCs w:val="22"/>
          <w:lang w:eastAsia="en-US"/>
        </w:rPr>
        <w:t>that is used as a major west-east road link for cross-city and cross-state travel</w:t>
      </w:r>
      <w:r w:rsidR="00D34AAB">
        <w:rPr>
          <w:rFonts w:ascii="Tahoma" w:hAnsi="Tahoma" w:cs="Tahoma"/>
          <w:sz w:val="22"/>
          <w:szCs w:val="22"/>
          <w:lang w:eastAsia="en-US"/>
        </w:rPr>
        <w:t xml:space="preserve">.  With its </w:t>
      </w:r>
      <w:r w:rsidR="00D04914">
        <w:rPr>
          <w:rFonts w:ascii="Tahoma" w:hAnsi="Tahoma" w:cs="Tahoma"/>
          <w:sz w:val="22"/>
          <w:szCs w:val="22"/>
          <w:lang w:eastAsia="en-US"/>
        </w:rPr>
        <w:t>construction effects to extend</w:t>
      </w:r>
      <w:r w:rsidR="00D34AAB" w:rsidRPr="00AF7E80">
        <w:rPr>
          <w:rFonts w:ascii="Tahoma" w:hAnsi="Tahoma" w:cs="Tahoma"/>
          <w:sz w:val="22"/>
          <w:szCs w:val="22"/>
          <w:lang w:eastAsia="en-US"/>
        </w:rPr>
        <w:t xml:space="preserve"> over several years and some potential effects lasting beyond the </w:t>
      </w:r>
      <w:r w:rsidR="00D34AAB">
        <w:rPr>
          <w:rFonts w:ascii="Tahoma" w:hAnsi="Tahoma" w:cs="Tahoma"/>
          <w:sz w:val="22"/>
          <w:szCs w:val="22"/>
          <w:lang w:eastAsia="en-US"/>
        </w:rPr>
        <w:t xml:space="preserve">construction period the project can potentially affect </w:t>
      </w:r>
      <w:r w:rsidR="00D34AAB" w:rsidRPr="00AF7E80">
        <w:rPr>
          <w:rFonts w:ascii="Tahoma" w:hAnsi="Tahoma" w:cs="Tahoma"/>
          <w:sz w:val="22"/>
          <w:szCs w:val="22"/>
          <w:lang w:eastAsia="en-US"/>
        </w:rPr>
        <w:t xml:space="preserve">a range of industrial, commercial and residential land uses immediately adjacent to the </w:t>
      </w:r>
      <w:r w:rsidR="00D34AAB">
        <w:rPr>
          <w:rFonts w:ascii="Tahoma" w:hAnsi="Tahoma" w:cs="Tahoma"/>
          <w:sz w:val="22"/>
          <w:szCs w:val="22"/>
          <w:lang w:eastAsia="en-US"/>
        </w:rPr>
        <w:t>p</w:t>
      </w:r>
      <w:r w:rsidR="00D34AAB" w:rsidRPr="00AF7E80">
        <w:rPr>
          <w:rFonts w:ascii="Tahoma" w:hAnsi="Tahoma" w:cs="Tahoma"/>
          <w:sz w:val="22"/>
          <w:szCs w:val="22"/>
          <w:lang w:eastAsia="en-US"/>
        </w:rPr>
        <w:t>roject c</w:t>
      </w:r>
      <w:r w:rsidR="0017259A">
        <w:rPr>
          <w:rFonts w:ascii="Tahoma" w:hAnsi="Tahoma" w:cs="Tahoma"/>
          <w:sz w:val="22"/>
          <w:szCs w:val="22"/>
          <w:lang w:eastAsia="en-US"/>
        </w:rPr>
        <w:t>orridor, as well as assets and</w:t>
      </w:r>
      <w:r w:rsidR="00D34AAB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34AAB" w:rsidRPr="00AF7E80">
        <w:rPr>
          <w:rFonts w:ascii="Tahoma" w:hAnsi="Tahoma" w:cs="Tahoma"/>
          <w:sz w:val="22"/>
          <w:szCs w:val="22"/>
          <w:lang w:eastAsia="en-US"/>
        </w:rPr>
        <w:t>values associated with</w:t>
      </w:r>
      <w:r w:rsidR="00D34AAB">
        <w:rPr>
          <w:rFonts w:ascii="Tahoma" w:hAnsi="Tahoma" w:cs="Tahoma"/>
          <w:sz w:val="22"/>
          <w:szCs w:val="22"/>
          <w:lang w:eastAsia="en-US"/>
        </w:rPr>
        <w:t xml:space="preserve"> the </w:t>
      </w:r>
      <w:r w:rsidR="0017259A">
        <w:rPr>
          <w:rFonts w:ascii="Tahoma" w:hAnsi="Tahoma" w:cs="Tahoma"/>
          <w:sz w:val="22"/>
          <w:szCs w:val="22"/>
          <w:lang w:eastAsia="en-US"/>
        </w:rPr>
        <w:t>p</w:t>
      </w:r>
      <w:r w:rsidR="0017259A" w:rsidRPr="00AF7E80">
        <w:rPr>
          <w:rFonts w:ascii="Tahoma" w:hAnsi="Tahoma" w:cs="Tahoma"/>
          <w:sz w:val="22"/>
          <w:szCs w:val="22"/>
          <w:lang w:eastAsia="en-US"/>
        </w:rPr>
        <w:t>roject environmental</w:t>
      </w:r>
      <w:r w:rsidR="0017259A">
        <w:rPr>
          <w:rFonts w:ascii="Tahoma" w:hAnsi="Tahoma" w:cs="Tahoma"/>
          <w:sz w:val="22"/>
          <w:szCs w:val="22"/>
          <w:lang w:eastAsia="en-US"/>
        </w:rPr>
        <w:t>, social and community setting.</w:t>
      </w:r>
      <w:r w:rsidR="00D34AAB">
        <w:rPr>
          <w:rFonts w:ascii="Tahoma" w:hAnsi="Tahoma" w:cs="Tahoma"/>
          <w:sz w:val="22"/>
          <w:szCs w:val="22"/>
          <w:lang w:eastAsia="en-US"/>
        </w:rPr>
        <w:t xml:space="preserve"> </w:t>
      </w:r>
    </w:p>
    <w:p w:rsidR="00B14284" w:rsidRDefault="00D24BCD" w:rsidP="00B90DA4">
      <w:pPr>
        <w:numPr>
          <w:ilvl w:val="0"/>
          <w:numId w:val="14"/>
        </w:numPr>
        <w:spacing w:before="180"/>
        <w:ind w:left="714" w:hanging="357"/>
        <w:rPr>
          <w:rFonts w:ascii="Tahoma" w:hAnsi="Tahoma" w:cs="Tahoma"/>
          <w:sz w:val="22"/>
          <w:szCs w:val="22"/>
          <w:lang w:eastAsia="en-US"/>
        </w:rPr>
      </w:pPr>
      <w:r w:rsidRPr="000647AA">
        <w:rPr>
          <w:rFonts w:ascii="Tahoma" w:hAnsi="Tahoma" w:cs="Tahoma"/>
          <w:sz w:val="22"/>
          <w:szCs w:val="22"/>
          <w:lang w:eastAsia="en-US"/>
        </w:rPr>
        <w:lastRenderedPageBreak/>
        <w:t xml:space="preserve">The </w:t>
      </w:r>
      <w:r w:rsidR="000647AA">
        <w:rPr>
          <w:rFonts w:ascii="Tahoma" w:hAnsi="Tahoma" w:cs="Tahoma"/>
          <w:sz w:val="22"/>
          <w:szCs w:val="22"/>
          <w:lang w:eastAsia="en-US"/>
        </w:rPr>
        <w:t>works have the</w:t>
      </w:r>
      <w:r w:rsidRPr="000647AA">
        <w:rPr>
          <w:rFonts w:ascii="Tahoma" w:hAnsi="Tahoma" w:cs="Tahoma"/>
          <w:sz w:val="22"/>
          <w:szCs w:val="22"/>
          <w:lang w:eastAsia="en-US"/>
        </w:rPr>
        <w:t xml:space="preserve"> potential for signi</w:t>
      </w:r>
      <w:r w:rsidR="00B14284">
        <w:rPr>
          <w:rFonts w:ascii="Tahoma" w:hAnsi="Tahoma" w:cs="Tahoma"/>
          <w:sz w:val="22"/>
          <w:szCs w:val="22"/>
          <w:lang w:eastAsia="en-US"/>
        </w:rPr>
        <w:t>ficant environmental effects on</w:t>
      </w:r>
      <w:r w:rsidR="00B14284" w:rsidRPr="00B14284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04914" w:rsidRPr="00B14284">
        <w:rPr>
          <w:rFonts w:ascii="Tahoma" w:hAnsi="Tahoma" w:cs="Tahoma"/>
          <w:sz w:val="22"/>
          <w:szCs w:val="22"/>
          <w:lang w:eastAsia="en-US"/>
        </w:rPr>
        <w:t>air quality</w:t>
      </w:r>
      <w:r w:rsidR="00D04914">
        <w:rPr>
          <w:rFonts w:ascii="Tahoma" w:hAnsi="Tahoma" w:cs="Tahoma"/>
          <w:sz w:val="22"/>
          <w:szCs w:val="22"/>
          <w:lang w:eastAsia="en-US"/>
        </w:rPr>
        <w:t xml:space="preserve">, </w:t>
      </w:r>
      <w:r w:rsidR="00B14284" w:rsidRPr="00B14284">
        <w:rPr>
          <w:rFonts w:ascii="Tahoma" w:hAnsi="Tahoma" w:cs="Tahoma"/>
          <w:sz w:val="22"/>
          <w:szCs w:val="22"/>
          <w:lang w:eastAsia="en-US"/>
        </w:rPr>
        <w:t xml:space="preserve">biodiversity assets </w:t>
      </w:r>
      <w:r w:rsidR="00D04914">
        <w:rPr>
          <w:rFonts w:ascii="Tahoma" w:hAnsi="Tahoma" w:cs="Tahoma"/>
          <w:sz w:val="22"/>
          <w:szCs w:val="22"/>
          <w:lang w:eastAsia="en-US"/>
        </w:rPr>
        <w:t>and values, water environments,</w:t>
      </w:r>
      <w:r w:rsidR="00B14284" w:rsidRPr="00B14284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5B0AE3">
        <w:rPr>
          <w:rFonts w:ascii="Tahoma" w:hAnsi="Tahoma" w:cs="Tahoma"/>
          <w:sz w:val="22"/>
          <w:szCs w:val="22"/>
          <w:lang w:eastAsia="en-US"/>
        </w:rPr>
        <w:t xml:space="preserve">contaminated soils, </w:t>
      </w:r>
      <w:r w:rsidR="00963A11">
        <w:rPr>
          <w:rFonts w:ascii="Tahoma" w:hAnsi="Tahoma" w:cs="Tahoma"/>
          <w:sz w:val="22"/>
          <w:szCs w:val="22"/>
          <w:lang w:eastAsia="en-US"/>
        </w:rPr>
        <w:t xml:space="preserve">acid </w:t>
      </w:r>
      <w:proofErr w:type="spellStart"/>
      <w:r w:rsidR="00963A11">
        <w:rPr>
          <w:rFonts w:ascii="Tahoma" w:hAnsi="Tahoma" w:cs="Tahoma"/>
          <w:sz w:val="22"/>
          <w:szCs w:val="22"/>
          <w:lang w:eastAsia="en-US"/>
        </w:rPr>
        <w:t>sulfate</w:t>
      </w:r>
      <w:proofErr w:type="spellEnd"/>
      <w:r w:rsidR="00963A11">
        <w:rPr>
          <w:rFonts w:ascii="Tahoma" w:hAnsi="Tahoma" w:cs="Tahoma"/>
          <w:sz w:val="22"/>
          <w:szCs w:val="22"/>
          <w:lang w:eastAsia="en-US"/>
        </w:rPr>
        <w:t xml:space="preserve"> soils, </w:t>
      </w:r>
      <w:r w:rsidR="00B14284" w:rsidRPr="00B14284">
        <w:rPr>
          <w:rFonts w:ascii="Tahoma" w:hAnsi="Tahoma" w:cs="Tahoma"/>
          <w:sz w:val="22"/>
          <w:szCs w:val="22"/>
          <w:lang w:eastAsia="en-US"/>
        </w:rPr>
        <w:t>Aboriginal and cultural heritage and public amenity, including landscape and visual values and increased traffic noise during both the construction and operation phases</w:t>
      </w:r>
      <w:r w:rsidR="0017259A">
        <w:rPr>
          <w:rFonts w:ascii="Tahoma" w:hAnsi="Tahoma" w:cs="Tahoma"/>
          <w:sz w:val="22"/>
          <w:szCs w:val="22"/>
          <w:lang w:eastAsia="en-US"/>
        </w:rPr>
        <w:t xml:space="preserve"> of the project</w:t>
      </w:r>
      <w:r w:rsidR="00B14284" w:rsidRPr="00B14284">
        <w:rPr>
          <w:rFonts w:ascii="Tahoma" w:hAnsi="Tahoma" w:cs="Tahoma"/>
          <w:sz w:val="22"/>
          <w:szCs w:val="22"/>
          <w:lang w:eastAsia="en-US"/>
        </w:rPr>
        <w:t>.</w:t>
      </w:r>
    </w:p>
    <w:p w:rsidR="00D24BCD" w:rsidRPr="000647AA" w:rsidRDefault="00D24BCD" w:rsidP="00B90DA4">
      <w:pPr>
        <w:numPr>
          <w:ilvl w:val="0"/>
          <w:numId w:val="14"/>
        </w:numPr>
        <w:spacing w:before="180"/>
        <w:ind w:left="714" w:hanging="357"/>
        <w:rPr>
          <w:rFonts w:ascii="Tahoma" w:hAnsi="Tahoma" w:cs="Tahoma"/>
          <w:sz w:val="22"/>
          <w:szCs w:val="22"/>
          <w:lang w:eastAsia="en-US"/>
        </w:rPr>
      </w:pPr>
      <w:r w:rsidRPr="000647AA">
        <w:rPr>
          <w:rFonts w:ascii="Tahoma" w:hAnsi="Tahoma" w:cs="Tahoma"/>
          <w:sz w:val="22"/>
          <w:szCs w:val="22"/>
          <w:lang w:eastAsia="en-US"/>
        </w:rPr>
        <w:t xml:space="preserve">An </w:t>
      </w:r>
      <w:r w:rsidR="000647AA">
        <w:rPr>
          <w:rFonts w:ascii="Tahoma" w:hAnsi="Tahoma" w:cs="Tahoma"/>
          <w:sz w:val="22"/>
          <w:szCs w:val="22"/>
          <w:lang w:eastAsia="en-US"/>
        </w:rPr>
        <w:t>Environment Effects Statement</w:t>
      </w:r>
      <w:r w:rsidRPr="000647AA">
        <w:rPr>
          <w:rFonts w:ascii="Tahoma" w:hAnsi="Tahoma" w:cs="Tahoma"/>
          <w:sz w:val="22"/>
          <w:szCs w:val="22"/>
          <w:lang w:eastAsia="en-US"/>
        </w:rPr>
        <w:t xml:space="preserve"> process will provide a robust, transparent and integrated framework through which:</w:t>
      </w:r>
    </w:p>
    <w:p w:rsidR="00D87814" w:rsidRPr="000647AA" w:rsidRDefault="005B0AE3" w:rsidP="0017259A">
      <w:pPr>
        <w:numPr>
          <w:ilvl w:val="1"/>
          <w:numId w:val="14"/>
        </w:numPr>
        <w:spacing w:before="18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t</w:t>
      </w:r>
      <w:r w:rsidR="00D24BCD" w:rsidRPr="000647AA">
        <w:rPr>
          <w:rFonts w:ascii="Tahoma" w:hAnsi="Tahoma" w:cs="Tahoma"/>
          <w:sz w:val="22"/>
          <w:szCs w:val="22"/>
          <w:lang w:eastAsia="en-US"/>
        </w:rPr>
        <w:t>he potential environmental effects can be rigorously assessed, including in the context of the comparative effects of feasible design</w:t>
      </w:r>
      <w:r>
        <w:rPr>
          <w:rFonts w:ascii="Tahoma" w:hAnsi="Tahoma" w:cs="Tahoma"/>
          <w:sz w:val="22"/>
          <w:szCs w:val="22"/>
          <w:lang w:eastAsia="en-US"/>
        </w:rPr>
        <w:t xml:space="preserve"> and</w:t>
      </w:r>
      <w:r w:rsidR="00D24BCD" w:rsidRPr="000647AA">
        <w:rPr>
          <w:rFonts w:ascii="Tahoma" w:hAnsi="Tahoma" w:cs="Tahoma"/>
          <w:sz w:val="22"/>
          <w:szCs w:val="22"/>
          <w:lang w:eastAsia="en-US"/>
        </w:rPr>
        <w:t xml:space="preserve"> scheduling </w:t>
      </w:r>
      <w:r w:rsidR="00D87814" w:rsidRPr="000647AA">
        <w:rPr>
          <w:rFonts w:ascii="Tahoma" w:hAnsi="Tahoma" w:cs="Tahoma"/>
          <w:sz w:val="22"/>
          <w:szCs w:val="22"/>
          <w:lang w:eastAsia="en-US"/>
        </w:rPr>
        <w:t>alternatives</w:t>
      </w:r>
      <w:r w:rsidR="00D24BCD" w:rsidRPr="000647AA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D87814" w:rsidRPr="000647AA">
        <w:rPr>
          <w:rFonts w:ascii="Tahoma" w:hAnsi="Tahoma" w:cs="Tahoma"/>
          <w:sz w:val="22"/>
          <w:szCs w:val="22"/>
          <w:lang w:eastAsia="en-US"/>
        </w:rPr>
        <w:t>for planning and delivery of the project; and</w:t>
      </w:r>
    </w:p>
    <w:p w:rsidR="00B90DA4" w:rsidRPr="000647AA" w:rsidRDefault="005B0AE3" w:rsidP="0017259A">
      <w:pPr>
        <w:numPr>
          <w:ilvl w:val="1"/>
          <w:numId w:val="14"/>
        </w:numPr>
        <w:spacing w:before="180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>t</w:t>
      </w:r>
      <w:r w:rsidR="00D87814" w:rsidRPr="000647AA">
        <w:rPr>
          <w:rFonts w:ascii="Tahoma" w:hAnsi="Tahoma" w:cs="Tahoma"/>
          <w:sz w:val="22"/>
          <w:szCs w:val="22"/>
          <w:lang w:eastAsia="en-US"/>
        </w:rPr>
        <w:t>he effectiveness of proposed measures to avoid, minimise, manage and offset environmental effects and related risks can be evaluated</w:t>
      </w:r>
      <w:r w:rsidR="00B90DA4" w:rsidRPr="000647AA">
        <w:rPr>
          <w:rFonts w:ascii="Tahoma" w:hAnsi="Tahoma" w:cs="Tahoma"/>
          <w:sz w:val="22"/>
          <w:szCs w:val="22"/>
          <w:lang w:eastAsia="en-US"/>
        </w:rPr>
        <w:t>.</w:t>
      </w:r>
    </w:p>
    <w:p w:rsidR="009E036B" w:rsidRPr="000647AA" w:rsidRDefault="009E036B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0647AA" w:rsidRDefault="000647AA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963A11" w:rsidRDefault="00963A11" w:rsidP="00603751">
      <w:pPr>
        <w:spacing w:before="120"/>
        <w:rPr>
          <w:rFonts w:ascii="Tahoma" w:hAnsi="Tahoma" w:cs="Tahoma"/>
          <w:sz w:val="22"/>
          <w:szCs w:val="22"/>
          <w:lang w:eastAsia="en-US"/>
        </w:rPr>
      </w:pPr>
    </w:p>
    <w:p w:rsidR="000647AA" w:rsidRDefault="000647AA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963A11" w:rsidRDefault="00963A11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963A11" w:rsidRDefault="00963A11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963A11" w:rsidRDefault="00963A11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963A11" w:rsidRDefault="00963A11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963A11" w:rsidRPr="000647AA" w:rsidRDefault="00963A11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2E664E" w:rsidRPr="000647AA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0647AA" w:rsidRDefault="000647AA" w:rsidP="002E664E">
      <w:pPr>
        <w:rPr>
          <w:rFonts w:ascii="Tahoma" w:hAnsi="Tahoma" w:cs="Tahoma"/>
          <w:b/>
          <w:sz w:val="22"/>
          <w:szCs w:val="20"/>
          <w:lang w:eastAsia="en-US"/>
        </w:rPr>
      </w:pPr>
      <w:r>
        <w:rPr>
          <w:rFonts w:ascii="Tahoma" w:hAnsi="Tahoma" w:cs="Tahoma"/>
          <w:b/>
          <w:sz w:val="22"/>
          <w:szCs w:val="20"/>
          <w:lang w:eastAsia="en-US"/>
        </w:rPr>
        <w:t>Hon Richard Wynne MP</w:t>
      </w:r>
    </w:p>
    <w:p w:rsidR="000647AA" w:rsidRDefault="000647AA" w:rsidP="002E664E">
      <w:pPr>
        <w:rPr>
          <w:rFonts w:ascii="Tahoma" w:hAnsi="Tahoma" w:cs="Tahoma"/>
          <w:b/>
          <w:sz w:val="22"/>
          <w:szCs w:val="20"/>
          <w:lang w:eastAsia="en-US"/>
        </w:rPr>
      </w:pPr>
      <w:r>
        <w:rPr>
          <w:rFonts w:ascii="Tahoma" w:hAnsi="Tahoma" w:cs="Tahoma"/>
          <w:b/>
          <w:sz w:val="22"/>
          <w:szCs w:val="20"/>
          <w:lang w:eastAsia="en-US"/>
        </w:rPr>
        <w:t>Minister for Planning</w:t>
      </w:r>
    </w:p>
    <w:p w:rsidR="000647AA" w:rsidRDefault="000647AA" w:rsidP="002E664E">
      <w:pPr>
        <w:rPr>
          <w:rFonts w:ascii="Tahoma" w:hAnsi="Tahoma" w:cs="Tahoma"/>
          <w:b/>
          <w:sz w:val="22"/>
          <w:szCs w:val="20"/>
          <w:lang w:eastAsia="en-US"/>
        </w:rPr>
      </w:pPr>
    </w:p>
    <w:p w:rsidR="00B76483" w:rsidRPr="00F079DB" w:rsidRDefault="002E664E" w:rsidP="002E664E">
      <w:pPr>
        <w:rPr>
          <w:rFonts w:ascii="Tahoma" w:hAnsi="Tahoma" w:cs="Tahoma"/>
          <w:b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>Date:</w:t>
      </w:r>
      <w:r w:rsidR="00EC4D2F" w:rsidRPr="00F079DB">
        <w:rPr>
          <w:rFonts w:ascii="Tahoma" w:hAnsi="Tahoma" w:cs="Tahoma"/>
          <w:b/>
          <w:sz w:val="22"/>
          <w:szCs w:val="20"/>
          <w:lang w:eastAsia="en-US"/>
        </w:rPr>
        <w:tab/>
      </w:r>
      <w:bookmarkStart w:id="0" w:name="_GoBack"/>
      <w:bookmarkEnd w:id="0"/>
      <w:r w:rsidR="00877176" w:rsidRPr="00A22A76">
        <w:rPr>
          <w:rFonts w:ascii="Tahoma" w:hAnsi="Tahoma" w:cs="Tahoma"/>
          <w:color w:val="4F81BD"/>
          <w:sz w:val="22"/>
          <w:szCs w:val="20"/>
          <w:lang w:eastAsia="en-US"/>
        </w:rPr>
        <w:t xml:space="preserve"> </w:t>
      </w:r>
    </w:p>
    <w:p w:rsidR="00B76483" w:rsidRDefault="00B76483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4B0421" w:rsidRDefault="004B0421" w:rsidP="00B76483">
      <w:pPr>
        <w:rPr>
          <w:lang w:eastAsia="en-US"/>
        </w:rPr>
      </w:pPr>
    </w:p>
    <w:p w:rsidR="00877176" w:rsidRPr="00877176" w:rsidRDefault="00877176" w:rsidP="0093071B">
      <w:pPr>
        <w:pStyle w:val="Particulars"/>
        <w:ind w:left="0" w:right="-45"/>
      </w:pPr>
    </w:p>
    <w:sectPr w:rsidR="00877176" w:rsidRPr="00877176" w:rsidSect="00877176">
      <w:footerReference w:type="first" r:id="rId9"/>
      <w:pgSz w:w="11907" w:h="16840" w:code="9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B1" w:rsidRDefault="00943CB1">
      <w:r>
        <w:separator/>
      </w:r>
    </w:p>
  </w:endnote>
  <w:endnote w:type="continuationSeparator" w:id="0">
    <w:p w:rsidR="00943CB1" w:rsidRDefault="0094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B7" w:rsidRPr="008116B7" w:rsidRDefault="008116B7" w:rsidP="008116B7">
    <w:pPr>
      <w:tabs>
        <w:tab w:val="center" w:pos="4513"/>
        <w:tab w:val="right" w:pos="9026"/>
      </w:tabs>
      <w:jc w:val="right"/>
      <w:rPr>
        <w:rFonts w:ascii="Calibri" w:eastAsia="Calibri" w:hAnsi="Calibri"/>
        <w:sz w:val="22"/>
        <w:szCs w:val="22"/>
        <w:lang w:eastAsia="en-US"/>
      </w:rPr>
    </w:pPr>
  </w:p>
  <w:p w:rsidR="008116B7" w:rsidRPr="008116B7" w:rsidRDefault="008116B7" w:rsidP="008116B7">
    <w:pPr>
      <w:tabs>
        <w:tab w:val="center" w:pos="4513"/>
        <w:tab w:val="right" w:pos="9026"/>
      </w:tabs>
      <w:rPr>
        <w:rFonts w:ascii="Calibri" w:eastAsia="Calibri" w:hAnsi="Calibri"/>
        <w:sz w:val="22"/>
        <w:szCs w:val="22"/>
        <w:lang w:eastAsia="en-US"/>
      </w:rPr>
    </w:pPr>
  </w:p>
  <w:p w:rsidR="008116B7" w:rsidRDefault="0081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B1" w:rsidRDefault="00943CB1">
      <w:r>
        <w:separator/>
      </w:r>
    </w:p>
  </w:footnote>
  <w:footnote w:type="continuationSeparator" w:id="0">
    <w:p w:rsidR="00943CB1" w:rsidRDefault="0094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488"/>
    <w:multiLevelType w:val="hybridMultilevel"/>
    <w:tmpl w:val="9626BA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05D2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5B7B30"/>
    <w:multiLevelType w:val="hybridMultilevel"/>
    <w:tmpl w:val="459E2E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3AD3853"/>
    <w:multiLevelType w:val="hybridMultilevel"/>
    <w:tmpl w:val="325A0D1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B90C3A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">
    <w:nsid w:val="37032D92"/>
    <w:multiLevelType w:val="hybridMultilevel"/>
    <w:tmpl w:val="E8D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93598"/>
    <w:multiLevelType w:val="multilevel"/>
    <w:tmpl w:val="907A1B7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>
    <w:nsid w:val="416B6A8C"/>
    <w:multiLevelType w:val="hybridMultilevel"/>
    <w:tmpl w:val="4BFC6A06"/>
    <w:lvl w:ilvl="0" w:tplc="FF5C29D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asciiTheme="minorHAnsi" w:hAnsiTheme="minorHAnsi" w:hint="default"/>
        <w:b w:val="0"/>
        <w:i w:val="0"/>
        <w:sz w:val="24"/>
      </w:rPr>
    </w:lvl>
    <w:lvl w:ilvl="1" w:tplc="7988CDCE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b w:val="0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8">
    <w:nsid w:val="44B81191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476C3961"/>
    <w:multiLevelType w:val="multilevel"/>
    <w:tmpl w:val="4A40E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AE569F9"/>
    <w:multiLevelType w:val="singleLevel"/>
    <w:tmpl w:val="80E8B87E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3664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6872E30"/>
    <w:multiLevelType w:val="singleLevel"/>
    <w:tmpl w:val="7AF6C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6D14793"/>
    <w:multiLevelType w:val="hybridMultilevel"/>
    <w:tmpl w:val="250C8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024F8"/>
    <w:multiLevelType w:val="hybridMultilevel"/>
    <w:tmpl w:val="EA2631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AD467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D97A74"/>
    <w:multiLevelType w:val="hybridMultilevel"/>
    <w:tmpl w:val="4F480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A31A8"/>
    <w:multiLevelType w:val="hybridMultilevel"/>
    <w:tmpl w:val="5EAEA5C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9766CC7"/>
    <w:multiLevelType w:val="singleLevel"/>
    <w:tmpl w:val="69FE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1"/>
  </w:num>
  <w:num w:numId="7">
    <w:abstractNumId w:val="12"/>
  </w:num>
  <w:num w:numId="8">
    <w:abstractNumId w:val="19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0"/>
  </w:num>
  <w:num w:numId="17">
    <w:abstractNumId w:val="17"/>
  </w:num>
  <w:num w:numId="18">
    <w:abstractNumId w:val="0"/>
  </w:num>
  <w:num w:numId="19">
    <w:abstractNumId w:val="13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4E"/>
    <w:rsid w:val="00005D79"/>
    <w:rsid w:val="00024702"/>
    <w:rsid w:val="00025F57"/>
    <w:rsid w:val="00026458"/>
    <w:rsid w:val="0003696F"/>
    <w:rsid w:val="00050F4B"/>
    <w:rsid w:val="00055CF8"/>
    <w:rsid w:val="000647AA"/>
    <w:rsid w:val="00071011"/>
    <w:rsid w:val="00086380"/>
    <w:rsid w:val="00093233"/>
    <w:rsid w:val="00096190"/>
    <w:rsid w:val="000A53AC"/>
    <w:rsid w:val="000C22D1"/>
    <w:rsid w:val="0012303B"/>
    <w:rsid w:val="00147339"/>
    <w:rsid w:val="0017259A"/>
    <w:rsid w:val="0019050D"/>
    <w:rsid w:val="001F486B"/>
    <w:rsid w:val="00207FE8"/>
    <w:rsid w:val="002A063F"/>
    <w:rsid w:val="002A798E"/>
    <w:rsid w:val="002E3021"/>
    <w:rsid w:val="002E664E"/>
    <w:rsid w:val="0031652C"/>
    <w:rsid w:val="00322DA1"/>
    <w:rsid w:val="0032465E"/>
    <w:rsid w:val="003571C5"/>
    <w:rsid w:val="0036513B"/>
    <w:rsid w:val="0038672F"/>
    <w:rsid w:val="00390623"/>
    <w:rsid w:val="00396D7A"/>
    <w:rsid w:val="003A3B1D"/>
    <w:rsid w:val="003C6208"/>
    <w:rsid w:val="003E3469"/>
    <w:rsid w:val="003E36F8"/>
    <w:rsid w:val="00423E66"/>
    <w:rsid w:val="00435476"/>
    <w:rsid w:val="00461E83"/>
    <w:rsid w:val="004632F1"/>
    <w:rsid w:val="0048710B"/>
    <w:rsid w:val="00487AF7"/>
    <w:rsid w:val="004B0421"/>
    <w:rsid w:val="004D09FA"/>
    <w:rsid w:val="004E20BF"/>
    <w:rsid w:val="005016E9"/>
    <w:rsid w:val="0058319A"/>
    <w:rsid w:val="005916A7"/>
    <w:rsid w:val="005A3A2B"/>
    <w:rsid w:val="005B0ACD"/>
    <w:rsid w:val="005B0AE3"/>
    <w:rsid w:val="005B4068"/>
    <w:rsid w:val="00603751"/>
    <w:rsid w:val="00607D41"/>
    <w:rsid w:val="00622583"/>
    <w:rsid w:val="00666C2F"/>
    <w:rsid w:val="00677C32"/>
    <w:rsid w:val="007244D2"/>
    <w:rsid w:val="007B1605"/>
    <w:rsid w:val="008116B7"/>
    <w:rsid w:val="00877176"/>
    <w:rsid w:val="00877812"/>
    <w:rsid w:val="008A3FE6"/>
    <w:rsid w:val="008A4A5C"/>
    <w:rsid w:val="008C3510"/>
    <w:rsid w:val="008D490F"/>
    <w:rsid w:val="00903ED9"/>
    <w:rsid w:val="00904114"/>
    <w:rsid w:val="00914BBE"/>
    <w:rsid w:val="00916285"/>
    <w:rsid w:val="0093071B"/>
    <w:rsid w:val="009319BB"/>
    <w:rsid w:val="00943CB1"/>
    <w:rsid w:val="00950B65"/>
    <w:rsid w:val="00963A11"/>
    <w:rsid w:val="009715A6"/>
    <w:rsid w:val="009D0513"/>
    <w:rsid w:val="009D22C5"/>
    <w:rsid w:val="009E036B"/>
    <w:rsid w:val="00A105A6"/>
    <w:rsid w:val="00A20F6A"/>
    <w:rsid w:val="00A22A76"/>
    <w:rsid w:val="00A23EAF"/>
    <w:rsid w:val="00A4539D"/>
    <w:rsid w:val="00A60FD7"/>
    <w:rsid w:val="00A72E7B"/>
    <w:rsid w:val="00AA29FA"/>
    <w:rsid w:val="00AC2222"/>
    <w:rsid w:val="00AD1C2D"/>
    <w:rsid w:val="00AD5BB3"/>
    <w:rsid w:val="00AF7E80"/>
    <w:rsid w:val="00B0262D"/>
    <w:rsid w:val="00B14284"/>
    <w:rsid w:val="00B45295"/>
    <w:rsid w:val="00B50488"/>
    <w:rsid w:val="00B50FC6"/>
    <w:rsid w:val="00B76483"/>
    <w:rsid w:val="00B90DA4"/>
    <w:rsid w:val="00BF77E4"/>
    <w:rsid w:val="00C0568D"/>
    <w:rsid w:val="00C26AD9"/>
    <w:rsid w:val="00C55427"/>
    <w:rsid w:val="00C70D80"/>
    <w:rsid w:val="00C737F9"/>
    <w:rsid w:val="00C73970"/>
    <w:rsid w:val="00CB1B7D"/>
    <w:rsid w:val="00D04914"/>
    <w:rsid w:val="00D24BCD"/>
    <w:rsid w:val="00D34AAB"/>
    <w:rsid w:val="00D87814"/>
    <w:rsid w:val="00DA3277"/>
    <w:rsid w:val="00DB78D3"/>
    <w:rsid w:val="00DC3E46"/>
    <w:rsid w:val="00E47EDF"/>
    <w:rsid w:val="00E933EB"/>
    <w:rsid w:val="00EC2AAE"/>
    <w:rsid w:val="00EC3788"/>
    <w:rsid w:val="00EC4D2F"/>
    <w:rsid w:val="00ED3DF5"/>
    <w:rsid w:val="00F077B3"/>
    <w:rsid w:val="00F079DB"/>
    <w:rsid w:val="00F07E14"/>
    <w:rsid w:val="00F11F7D"/>
    <w:rsid w:val="00F457F1"/>
    <w:rsid w:val="00F50D84"/>
    <w:rsid w:val="00F549C6"/>
    <w:rsid w:val="00F57CDC"/>
    <w:rsid w:val="00F621C5"/>
    <w:rsid w:val="00F73BCE"/>
    <w:rsid w:val="00F84B0B"/>
    <w:rsid w:val="00F87E3E"/>
    <w:rsid w:val="00F94DED"/>
    <w:rsid w:val="00FA7D55"/>
    <w:rsid w:val="00FC6A17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81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6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16B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text">
    <w:name w:val="Table small text"/>
    <w:basedOn w:val="Normal"/>
    <w:qFormat/>
    <w:rsid w:val="008116B7"/>
    <w:pPr>
      <w:spacing w:before="40" w:after="40" w:line="240" w:lineRule="atLeast"/>
    </w:pPr>
    <w:rPr>
      <w:rFonts w:ascii="Arial" w:hAnsi="Arial"/>
      <w:sz w:val="16"/>
      <w:lang w:eastAsia="en-US"/>
    </w:rPr>
  </w:style>
  <w:style w:type="paragraph" w:customStyle="1" w:styleId="Tablesmallheading">
    <w:name w:val="Table small heading"/>
    <w:basedOn w:val="Normal"/>
    <w:qFormat/>
    <w:rsid w:val="008116B7"/>
    <w:pPr>
      <w:keepNext/>
      <w:spacing w:before="60" w:after="60" w:line="240" w:lineRule="atLeast"/>
    </w:pPr>
    <w:rPr>
      <w:rFonts w:ascii="Arial" w:hAnsi="Arial"/>
      <w:b/>
      <w:sz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116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6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ticulars">
    <w:name w:val="Particulars"/>
    <w:basedOn w:val="NormalIndent"/>
    <w:rsid w:val="00877176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character" w:styleId="IntenseReference">
    <w:name w:val="Intense Reference"/>
    <w:uiPriority w:val="32"/>
    <w:qFormat/>
    <w:rsid w:val="00877176"/>
    <w:rPr>
      <w:b/>
      <w:bCs/>
      <w:smallCaps/>
      <w:color w:val="C0504D"/>
      <w:spacing w:val="5"/>
      <w:u w:val="single"/>
    </w:rPr>
  </w:style>
  <w:style w:type="paragraph" w:styleId="NormalIndent">
    <w:name w:val="Normal Indent"/>
    <w:basedOn w:val="Normal"/>
    <w:rsid w:val="00877176"/>
    <w:pPr>
      <w:ind w:left="720"/>
    </w:pPr>
  </w:style>
  <w:style w:type="character" w:styleId="CommentReference">
    <w:name w:val="annotation reference"/>
    <w:rsid w:val="00AD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BB3"/>
  </w:style>
  <w:style w:type="paragraph" w:styleId="CommentSubject">
    <w:name w:val="annotation subject"/>
    <w:basedOn w:val="CommentText"/>
    <w:next w:val="CommentText"/>
    <w:link w:val="CommentSubjectChar"/>
    <w:rsid w:val="00AD5BB3"/>
    <w:rPr>
      <w:b/>
      <w:bCs/>
    </w:rPr>
  </w:style>
  <w:style w:type="character" w:customStyle="1" w:styleId="CommentSubjectChar">
    <w:name w:val="Comment Subject Char"/>
    <w:link w:val="CommentSubject"/>
    <w:rsid w:val="00AD5BB3"/>
    <w:rPr>
      <w:b/>
      <w:bCs/>
    </w:rPr>
  </w:style>
  <w:style w:type="paragraph" w:styleId="ListParagraph">
    <w:name w:val="List Paragraph"/>
    <w:basedOn w:val="Normal"/>
    <w:uiPriority w:val="34"/>
    <w:qFormat/>
    <w:rsid w:val="00603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81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6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16B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text">
    <w:name w:val="Table small text"/>
    <w:basedOn w:val="Normal"/>
    <w:qFormat/>
    <w:rsid w:val="008116B7"/>
    <w:pPr>
      <w:spacing w:before="40" w:after="40" w:line="240" w:lineRule="atLeast"/>
    </w:pPr>
    <w:rPr>
      <w:rFonts w:ascii="Arial" w:hAnsi="Arial"/>
      <w:sz w:val="16"/>
      <w:lang w:eastAsia="en-US"/>
    </w:rPr>
  </w:style>
  <w:style w:type="paragraph" w:customStyle="1" w:styleId="Tablesmallheading">
    <w:name w:val="Table small heading"/>
    <w:basedOn w:val="Normal"/>
    <w:qFormat/>
    <w:rsid w:val="008116B7"/>
    <w:pPr>
      <w:keepNext/>
      <w:spacing w:before="60" w:after="60" w:line="240" w:lineRule="atLeast"/>
    </w:pPr>
    <w:rPr>
      <w:rFonts w:ascii="Arial" w:hAnsi="Arial"/>
      <w:b/>
      <w:sz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116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6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ticulars">
    <w:name w:val="Particulars"/>
    <w:basedOn w:val="NormalIndent"/>
    <w:rsid w:val="00877176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character" w:styleId="IntenseReference">
    <w:name w:val="Intense Reference"/>
    <w:uiPriority w:val="32"/>
    <w:qFormat/>
    <w:rsid w:val="00877176"/>
    <w:rPr>
      <w:b/>
      <w:bCs/>
      <w:smallCaps/>
      <w:color w:val="C0504D"/>
      <w:spacing w:val="5"/>
      <w:u w:val="single"/>
    </w:rPr>
  </w:style>
  <w:style w:type="paragraph" w:styleId="NormalIndent">
    <w:name w:val="Normal Indent"/>
    <w:basedOn w:val="Normal"/>
    <w:rsid w:val="00877176"/>
    <w:pPr>
      <w:ind w:left="720"/>
    </w:pPr>
  </w:style>
  <w:style w:type="character" w:styleId="CommentReference">
    <w:name w:val="annotation reference"/>
    <w:rsid w:val="00AD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BB3"/>
  </w:style>
  <w:style w:type="paragraph" w:styleId="CommentSubject">
    <w:name w:val="annotation subject"/>
    <w:basedOn w:val="CommentText"/>
    <w:next w:val="CommentText"/>
    <w:link w:val="CommentSubjectChar"/>
    <w:rsid w:val="00AD5BB3"/>
    <w:rPr>
      <w:b/>
      <w:bCs/>
    </w:rPr>
  </w:style>
  <w:style w:type="character" w:customStyle="1" w:styleId="CommentSubjectChar">
    <w:name w:val="Comment Subject Char"/>
    <w:link w:val="CommentSubject"/>
    <w:rsid w:val="00AD5BB3"/>
    <w:rPr>
      <w:b/>
      <w:bCs/>
    </w:rPr>
  </w:style>
  <w:style w:type="paragraph" w:styleId="ListParagraph">
    <w:name w:val="List Paragraph"/>
    <w:basedOn w:val="Normal"/>
    <w:uiPriority w:val="34"/>
    <w:qFormat/>
    <w:rsid w:val="00603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9181-3FAD-4920-A09D-742C181E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DECISION ON PROJECT REFERRED UNDER ENVIRONMENT EFFECTS ACT 1978</vt:lpstr>
    </vt:vector>
  </TitlesOfParts>
  <Company>DSE/DPI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DECISION ON PROJECT REFERRED UNDER ENVIRONMENT EFFECTS ACT 1978</dc:title>
  <dc:creator>tb37</dc:creator>
  <cp:lastModifiedBy>Brian Adams</cp:lastModifiedBy>
  <cp:revision>2</cp:revision>
  <cp:lastPrinted>2015-11-26T04:44:00Z</cp:lastPrinted>
  <dcterms:created xsi:type="dcterms:W3CDTF">2015-12-23T01:10:00Z</dcterms:created>
  <dcterms:modified xsi:type="dcterms:W3CDTF">2015-12-23T01:10:00Z</dcterms:modified>
</cp:coreProperties>
</file>