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F91F3128A16746948CFFBFA372400942"/>
        </w:placeholder>
        <w:group/>
      </w:sdtPr>
      <w:sdtEndPr/>
      <w:sdtContent>
        <w:p w14:paraId="525BD8C0"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2134095E" wp14:editId="64582A7F">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931EF8"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25634013" wp14:editId="6B9DEEFE">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E73E2"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289712A5" w14:textId="77777777" w:rsidR="0042508F" w:rsidRDefault="006A7E14" w:rsidP="00CD42AE">
      <w:pPr>
        <w:pStyle w:val="Title"/>
        <w:framePr w:wrap="around"/>
      </w:pPr>
      <w:sdt>
        <w:sdtPr>
          <w:alias w:val="Title"/>
          <w:tag w:val=""/>
          <w:id w:val="-1331358350"/>
          <w:placeholder>
            <w:docPart w:val="C29E85E834E44C7AB311DE34E627781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F68BC">
            <w:t>Terms of Reference</w:t>
          </w:r>
        </w:sdtContent>
      </w:sdt>
    </w:p>
    <w:p w14:paraId="46B31610" w14:textId="77777777" w:rsidR="00023421" w:rsidRDefault="00AC6527" w:rsidP="00CD42AE">
      <w:pPr>
        <w:pStyle w:val="Subtitle"/>
        <w:framePr w:wrap="around"/>
      </w:pPr>
      <w:r>
        <w:t xml:space="preserve">Avonbank Mineral Sands Project </w:t>
      </w:r>
    </w:p>
    <w:p w14:paraId="5F6240A6" w14:textId="77777777" w:rsidR="00CD42AE" w:rsidRPr="00CD42AE" w:rsidRDefault="00AC6527" w:rsidP="00CD42AE">
      <w:pPr>
        <w:pStyle w:val="Subtitle"/>
        <w:framePr w:wrap="around"/>
      </w:pPr>
      <w:r>
        <w:t>Inquiry and Advisory Committee</w:t>
      </w:r>
    </w:p>
    <w:p w14:paraId="5756FC2A" w14:textId="77777777" w:rsidR="00BD03A0" w:rsidRPr="00C55422" w:rsidRDefault="00BD03A0" w:rsidP="00BD03A0">
      <w:pPr>
        <w:pStyle w:val="ToRNumberedPara"/>
        <w:numPr>
          <w:ilvl w:val="0"/>
          <w:numId w:val="0"/>
        </w:numPr>
        <w:spacing w:line="240" w:lineRule="auto"/>
      </w:pPr>
      <w:r w:rsidRPr="00CD4F78">
        <w:t>Version</w:t>
      </w:r>
      <w:r w:rsidRPr="00C55422">
        <w:t xml:space="preserve">: </w:t>
      </w:r>
      <w:r>
        <w:t>January 2023</w:t>
      </w:r>
    </w:p>
    <w:p w14:paraId="3F14CB9F" w14:textId="77777777" w:rsidR="00BD03A0" w:rsidRPr="00F3463B" w:rsidRDefault="00BD03A0" w:rsidP="00BD03A0">
      <w:pPr>
        <w:spacing w:after="200"/>
      </w:pPr>
      <w:r w:rsidRPr="00C55422">
        <w:t>The Avonbank Mineral Sands Project Inquiry</w:t>
      </w:r>
      <w:r w:rsidRPr="00F3463B">
        <w:t xml:space="preserve"> and Advisory Committee (IAC) is appointed to inquire into, and report on, the proposed Avonbank Mineral Sands Project (the project) and its environmental effects in accordance with </w:t>
      </w:r>
      <w:r>
        <w:t>these</w:t>
      </w:r>
      <w:r w:rsidRPr="00F3463B">
        <w:t xml:space="preserve"> terms of reference. </w:t>
      </w:r>
    </w:p>
    <w:p w14:paraId="1BD46FFA" w14:textId="77777777" w:rsidR="00BD03A0" w:rsidRPr="00F3463B" w:rsidRDefault="00BD03A0" w:rsidP="00BD03A0">
      <w:pPr>
        <w:spacing w:after="200"/>
      </w:pPr>
      <w:r w:rsidRPr="00F3463B">
        <w:t>The IAC is appointed pursuant to:</w:t>
      </w:r>
    </w:p>
    <w:p w14:paraId="3FD87BCC" w14:textId="77777777" w:rsidR="00BD03A0" w:rsidRPr="00F3463B" w:rsidRDefault="00BD03A0" w:rsidP="00847DAB">
      <w:pPr>
        <w:pStyle w:val="ListParagraph"/>
        <w:numPr>
          <w:ilvl w:val="0"/>
          <w:numId w:val="16"/>
        </w:numPr>
        <w:spacing w:before="0" w:after="200" w:line="259" w:lineRule="auto"/>
      </w:pPr>
      <w:r w:rsidRPr="00F3463B">
        <w:t xml:space="preserve">section 9(1) of the </w:t>
      </w:r>
      <w:r w:rsidRPr="00F3463B">
        <w:rPr>
          <w:i/>
          <w:iCs/>
        </w:rPr>
        <w:t>Environment Effects Act 1978</w:t>
      </w:r>
      <w:r w:rsidRPr="00F3463B">
        <w:t xml:space="preserve"> (EE Act) as an inquiry; </w:t>
      </w:r>
      <w:bookmarkStart w:id="0" w:name="_Hlk94277370"/>
      <w:r w:rsidRPr="00F3463B">
        <w:t xml:space="preserve">and </w:t>
      </w:r>
    </w:p>
    <w:p w14:paraId="6F1220DD" w14:textId="77777777" w:rsidR="00BD03A0" w:rsidRPr="00CC4476" w:rsidRDefault="00BD03A0" w:rsidP="00847DAB">
      <w:pPr>
        <w:pStyle w:val="ListParagraph"/>
        <w:numPr>
          <w:ilvl w:val="0"/>
          <w:numId w:val="16"/>
        </w:numPr>
        <w:spacing w:before="0" w:after="200" w:line="259" w:lineRule="auto"/>
      </w:pPr>
      <w:r w:rsidRPr="00F3463B">
        <w:t xml:space="preserve">part 7, section 151(1) of </w:t>
      </w:r>
      <w:r w:rsidRPr="00CC4476">
        <w:rPr>
          <w:i/>
          <w:iCs/>
        </w:rPr>
        <w:t>the Planning and Environment Act 1987</w:t>
      </w:r>
      <w:r w:rsidRPr="00CC4476">
        <w:t xml:space="preserve"> (P&amp;E Act) as an advisory committee</w:t>
      </w:r>
      <w:bookmarkEnd w:id="0"/>
      <w:r w:rsidRPr="00CC4476">
        <w:t>.</w:t>
      </w:r>
    </w:p>
    <w:p w14:paraId="2583C3BC" w14:textId="77777777" w:rsidR="00BD03A0" w:rsidRPr="00CC4476" w:rsidRDefault="00BD03A0" w:rsidP="00BD03A0">
      <w:pPr>
        <w:pStyle w:val="ToRHeading"/>
      </w:pPr>
      <w:r w:rsidRPr="00CC4476">
        <w:t>Name</w:t>
      </w:r>
    </w:p>
    <w:p w14:paraId="4AF8CA1B" w14:textId="77777777" w:rsidR="00BD03A0" w:rsidRPr="00F3463B" w:rsidRDefault="00BD03A0" w:rsidP="00BD03A0">
      <w:pPr>
        <w:pStyle w:val="ToRNumberedPara"/>
        <w:spacing w:after="0" w:line="256" w:lineRule="auto"/>
        <w:ind w:left="357" w:hanging="357"/>
        <w:rPr>
          <w:rFonts w:eastAsia="Times"/>
        </w:rPr>
      </w:pPr>
      <w:r w:rsidRPr="00F3463B">
        <w:rPr>
          <w:rFonts w:eastAsia="Times"/>
        </w:rPr>
        <w:t>The IAC is to be known as the ‘</w:t>
      </w:r>
      <w:bookmarkStart w:id="1" w:name="_Hlk122512952"/>
      <w:r w:rsidRPr="00F3463B">
        <w:t xml:space="preserve">Avonbank Mineral Sands Project </w:t>
      </w:r>
      <w:bookmarkEnd w:id="1"/>
      <w:r>
        <w:t>IAC’</w:t>
      </w:r>
      <w:r w:rsidRPr="00F3463B">
        <w:rPr>
          <w:rFonts w:eastAsia="Times"/>
        </w:rPr>
        <w:t xml:space="preserve">. </w:t>
      </w:r>
    </w:p>
    <w:p w14:paraId="456E3A3C" w14:textId="77777777" w:rsidR="00BD03A0" w:rsidRPr="00F3463B" w:rsidRDefault="00BD03A0" w:rsidP="00BD03A0">
      <w:pPr>
        <w:pStyle w:val="ToRHeading"/>
      </w:pPr>
      <w:r w:rsidRPr="00F3463B">
        <w:t>Skills</w:t>
      </w:r>
    </w:p>
    <w:p w14:paraId="30BCF421" w14:textId="77777777" w:rsidR="00BD03A0" w:rsidRPr="00F3463B" w:rsidRDefault="00BD03A0" w:rsidP="00BD03A0">
      <w:pPr>
        <w:pStyle w:val="ToRNumberedPara"/>
        <w:spacing w:after="0" w:line="256" w:lineRule="auto"/>
        <w:ind w:left="284"/>
        <w:rPr>
          <w:rFonts w:eastAsia="Times"/>
        </w:rPr>
      </w:pPr>
      <w:bookmarkStart w:id="2" w:name="_Hlk122512476"/>
      <w:r w:rsidRPr="00F3463B">
        <w:rPr>
          <w:rFonts w:eastAsia="Times"/>
        </w:rPr>
        <w:t>The IAC members should have the following skills:</w:t>
      </w:r>
    </w:p>
    <w:p w14:paraId="5BEE51C8" w14:textId="77777777" w:rsidR="00BD03A0" w:rsidRPr="00C55422" w:rsidRDefault="00BD03A0" w:rsidP="00847DAB">
      <w:pPr>
        <w:pStyle w:val="ToRAlphaPara"/>
        <w:spacing w:line="256" w:lineRule="auto"/>
        <w:ind w:left="714" w:hanging="357"/>
      </w:pPr>
      <w:bookmarkStart w:id="3" w:name="_Hlk94267861"/>
      <w:r w:rsidRPr="00C55422">
        <w:t>rehabilitation of mineral sands mines;</w:t>
      </w:r>
    </w:p>
    <w:p w14:paraId="60C43D8C" w14:textId="77777777" w:rsidR="00BD03A0" w:rsidRPr="00A907E3" w:rsidRDefault="00BD03A0" w:rsidP="00847DAB">
      <w:pPr>
        <w:pStyle w:val="ToRAlphaPara"/>
        <w:spacing w:line="256" w:lineRule="auto"/>
        <w:ind w:left="714" w:hanging="357"/>
      </w:pPr>
      <w:r w:rsidRPr="00A907E3">
        <w:t>amenity impacts relating to air and noise;</w:t>
      </w:r>
    </w:p>
    <w:p w14:paraId="637A002B" w14:textId="77777777" w:rsidR="00BD03A0" w:rsidRPr="00C55422" w:rsidRDefault="00BD03A0" w:rsidP="00847DAB">
      <w:pPr>
        <w:pStyle w:val="ToRAlphaPara"/>
        <w:spacing w:line="256" w:lineRule="auto"/>
        <w:ind w:left="714" w:hanging="357"/>
      </w:pPr>
      <w:r w:rsidRPr="00A907E3">
        <w:t>groundwater and groundwater dependent ecosystems</w:t>
      </w:r>
      <w:r w:rsidRPr="00C55422">
        <w:t>; and</w:t>
      </w:r>
    </w:p>
    <w:p w14:paraId="5A65696E" w14:textId="77777777" w:rsidR="00BD03A0" w:rsidRPr="00C55422" w:rsidRDefault="00BD03A0" w:rsidP="00847DAB">
      <w:pPr>
        <w:pStyle w:val="ToRAlphaPara"/>
        <w:spacing w:line="256" w:lineRule="auto"/>
        <w:ind w:left="714" w:hanging="357"/>
      </w:pPr>
      <w:r w:rsidRPr="00C55422">
        <w:t>statutory planning.</w:t>
      </w:r>
    </w:p>
    <w:bookmarkEnd w:id="3"/>
    <w:p w14:paraId="7F8A8BCE" w14:textId="77777777" w:rsidR="00BD03A0" w:rsidRPr="00D200F4" w:rsidRDefault="00BD03A0" w:rsidP="00BD03A0">
      <w:pPr>
        <w:pStyle w:val="ToRNumberedPara"/>
        <w:spacing w:after="0" w:line="256" w:lineRule="auto"/>
        <w:ind w:left="357" w:hanging="357"/>
        <w:rPr>
          <w:rFonts w:eastAsia="Times"/>
        </w:rPr>
      </w:pPr>
      <w:r w:rsidRPr="00D200F4">
        <w:rPr>
          <w:rFonts w:eastAsia="Times"/>
        </w:rPr>
        <w:t xml:space="preserve">The IAC will comprise </w:t>
      </w:r>
      <w:r>
        <w:rPr>
          <w:rFonts w:eastAsia="Times"/>
        </w:rPr>
        <w:t>an</w:t>
      </w:r>
      <w:r w:rsidRPr="00D200F4">
        <w:rPr>
          <w:rFonts w:eastAsia="Times"/>
        </w:rPr>
        <w:t xml:space="preserve"> appointed Chair (IAC Chair)</w:t>
      </w:r>
      <w:r>
        <w:t xml:space="preserve"> </w:t>
      </w:r>
      <w:r w:rsidRPr="00D200F4">
        <w:rPr>
          <w:rFonts w:eastAsia="Times"/>
        </w:rPr>
        <w:t>and other members</w:t>
      </w:r>
      <w:bookmarkEnd w:id="2"/>
      <w:r w:rsidRPr="00D200F4">
        <w:rPr>
          <w:rFonts w:eastAsia="Times"/>
        </w:rPr>
        <w:t>.</w:t>
      </w:r>
    </w:p>
    <w:p w14:paraId="01225ECB" w14:textId="77777777" w:rsidR="00BD03A0" w:rsidRDefault="00BD03A0" w:rsidP="00BD03A0">
      <w:pPr>
        <w:pStyle w:val="ToRHeading"/>
      </w:pPr>
      <w:r>
        <w:t>Purpose of the IAC</w:t>
      </w:r>
    </w:p>
    <w:p w14:paraId="1E9B3617" w14:textId="77777777" w:rsidR="00BD03A0" w:rsidRDefault="00BD03A0" w:rsidP="00BD03A0">
      <w:pPr>
        <w:pStyle w:val="ToRNumberedPara"/>
        <w:spacing w:line="256" w:lineRule="auto"/>
        <w:ind w:left="357" w:hanging="357"/>
        <w:rPr>
          <w:rFonts w:eastAsia="Times"/>
        </w:rPr>
      </w:pPr>
      <w:r>
        <w:rPr>
          <w:rFonts w:eastAsia="Times"/>
        </w:rPr>
        <w:t xml:space="preserve">The IAC is appointed by the Minister for Planning under section 9(1) of the EE Act to hold an inquiry into and report on the environmental effects of the project.  The IAC is to: </w:t>
      </w:r>
    </w:p>
    <w:p w14:paraId="4376C781" w14:textId="77777777" w:rsidR="00BD03A0" w:rsidRDefault="00BD03A0" w:rsidP="00847DAB">
      <w:pPr>
        <w:pStyle w:val="ToRAlphaPara"/>
        <w:spacing w:line="256" w:lineRule="auto"/>
        <w:ind w:left="714" w:hanging="357"/>
      </w:pPr>
      <w:r>
        <w:t>review and consider the environment effects statement (EES), submissions received in relation to the project, the predicted environmental effects, and the other exhibited documents;</w:t>
      </w:r>
    </w:p>
    <w:p w14:paraId="3ED07937" w14:textId="77777777" w:rsidR="00BD03A0" w:rsidRDefault="00BD03A0" w:rsidP="00847DAB">
      <w:pPr>
        <w:pStyle w:val="ToRAlphaPara"/>
        <w:spacing w:line="256" w:lineRule="auto"/>
        <w:ind w:left="714" w:hanging="357"/>
      </w:pPr>
      <w:r>
        <w:t>consider and report on the potential environmental effects of the project, their significance and acceptability, and in doing so have regard to the evaluation objectives in the EES scoping requirements and relevant policy and legislation;</w:t>
      </w:r>
    </w:p>
    <w:p w14:paraId="5EC710F0" w14:textId="77777777" w:rsidR="00BD03A0" w:rsidRPr="000C2FE8" w:rsidRDefault="00BD03A0" w:rsidP="00847DAB">
      <w:pPr>
        <w:pStyle w:val="ToRAlphaPara"/>
        <w:spacing w:line="256" w:lineRule="auto"/>
        <w:ind w:left="714" w:hanging="357"/>
      </w:pPr>
      <w:r w:rsidRPr="000C2FE8">
        <w:t xml:space="preserve">consider and report on potential environmental effects on relevant matters of national environmental significance protected under the </w:t>
      </w:r>
      <w:r w:rsidRPr="000C2FE8">
        <w:rPr>
          <w:i/>
          <w:iCs/>
        </w:rPr>
        <w:t xml:space="preserve">Environment Protection and Biodiversity Conservation Act 1999 </w:t>
      </w:r>
      <w:r w:rsidRPr="000C2FE8">
        <w:t>(Cth) (EPBC Act);</w:t>
      </w:r>
    </w:p>
    <w:p w14:paraId="15E1BEDA" w14:textId="77777777" w:rsidR="00BD03A0" w:rsidRDefault="00BD03A0" w:rsidP="00847DAB">
      <w:pPr>
        <w:pStyle w:val="ToRAlphaPara"/>
        <w:spacing w:line="256" w:lineRule="auto"/>
        <w:ind w:left="714" w:hanging="357"/>
      </w:pPr>
      <w:r>
        <w:t>identify any measures it considers necessary and effective to sufficiently avoid, mitigate or manage the environmental effects of the project, including any necessary project modifications; and</w:t>
      </w:r>
    </w:p>
    <w:p w14:paraId="106367BF" w14:textId="77777777" w:rsidR="00BD03A0" w:rsidRPr="00251E9D" w:rsidRDefault="00BD03A0" w:rsidP="00847DAB">
      <w:pPr>
        <w:pStyle w:val="ToRAlphaPara"/>
        <w:spacing w:line="256" w:lineRule="auto"/>
        <w:ind w:left="714" w:hanging="357"/>
      </w:pPr>
      <w:r>
        <w:t xml:space="preserve">advise on how these measures relate to relevant conditions, controls and requirements that could form part of </w:t>
      </w:r>
      <w:r w:rsidRPr="001C29C7">
        <w:t>the necessary approvals and consent</w:t>
      </w:r>
      <w:r>
        <w:t>s</w:t>
      </w:r>
      <w:r w:rsidRPr="001C29C7">
        <w:t xml:space="preserve"> for the project</w:t>
      </w:r>
      <w:r>
        <w:t>.</w:t>
      </w:r>
    </w:p>
    <w:p w14:paraId="508FC6DA" w14:textId="77777777" w:rsidR="00BD03A0" w:rsidRPr="00D200F4" w:rsidRDefault="00BD03A0" w:rsidP="00BD03A0">
      <w:pPr>
        <w:pStyle w:val="ToRNumberedPara"/>
        <w:spacing w:line="256" w:lineRule="auto"/>
        <w:ind w:left="357" w:hanging="357"/>
        <w:rPr>
          <w:rFonts w:eastAsia="Times"/>
        </w:rPr>
      </w:pPr>
      <w:r w:rsidRPr="00D200F4">
        <w:rPr>
          <w:rFonts w:eastAsia="Times"/>
        </w:rPr>
        <w:t>The IAC is also appointed as an advisory committee under section 151</w:t>
      </w:r>
      <w:r>
        <w:rPr>
          <w:rFonts w:eastAsia="Times"/>
        </w:rPr>
        <w:t>(1)</w:t>
      </w:r>
      <w:r w:rsidRPr="00D200F4">
        <w:rPr>
          <w:rFonts w:eastAsia="Times"/>
        </w:rPr>
        <w:t xml:space="preserve"> of the P&amp;E Act to: </w:t>
      </w:r>
    </w:p>
    <w:p w14:paraId="36CC8970" w14:textId="77777777" w:rsidR="00BD03A0" w:rsidRDefault="00BD03A0" w:rsidP="00847DAB">
      <w:pPr>
        <w:pStyle w:val="ToRAlphaPara"/>
        <w:spacing w:line="256" w:lineRule="auto"/>
        <w:ind w:left="714" w:hanging="357"/>
      </w:pPr>
      <w:r>
        <w:t xml:space="preserve"> review the draft planning scheme amendment (PSA) </w:t>
      </w:r>
      <w:r w:rsidRPr="00324953">
        <w:t>C84hors</w:t>
      </w:r>
      <w:r>
        <w:t xml:space="preserve">, which has been prepared to apply a Specific Controls Overlay (SCO) and establish planning approval for the project under an incorporated document; </w:t>
      </w:r>
    </w:p>
    <w:p w14:paraId="5FC16B45" w14:textId="77777777" w:rsidR="00BD03A0" w:rsidRPr="00FF0F6E" w:rsidRDefault="00BD03A0" w:rsidP="00847DAB">
      <w:pPr>
        <w:pStyle w:val="ToRAlphaPara"/>
        <w:spacing w:line="256" w:lineRule="auto"/>
        <w:ind w:left="714" w:hanging="357"/>
      </w:pPr>
      <w:r>
        <w:lastRenderedPageBreak/>
        <w:t>consider issues raised in public submissions received in relation to the draft PSA; and</w:t>
      </w:r>
    </w:p>
    <w:p w14:paraId="1A3D3140" w14:textId="77777777" w:rsidR="00BD03A0" w:rsidRPr="00FF0F6E" w:rsidRDefault="00BD03A0" w:rsidP="00847DAB">
      <w:pPr>
        <w:pStyle w:val="ToRAlphaPara"/>
        <w:spacing w:line="256" w:lineRule="auto"/>
        <w:ind w:left="714" w:hanging="357"/>
      </w:pPr>
      <w:r w:rsidRPr="00FF0F6E">
        <w:t xml:space="preserve">recommend any changes to the draft PSA that it considers necessary. </w:t>
      </w:r>
    </w:p>
    <w:p w14:paraId="38972F67" w14:textId="77777777" w:rsidR="00BD03A0" w:rsidRPr="00836579" w:rsidRDefault="00BD03A0" w:rsidP="00BD03A0">
      <w:pPr>
        <w:pStyle w:val="ToRNumberedPara"/>
        <w:spacing w:line="256" w:lineRule="auto"/>
        <w:ind w:left="357" w:hanging="357"/>
        <w:rPr>
          <w:rFonts w:eastAsia="Times"/>
        </w:rPr>
      </w:pPr>
      <w:r w:rsidRPr="00836579">
        <w:t>The IAC is to produce a report of its findings and recommendations to the Minister for Planning to inform t</w:t>
      </w:r>
      <w:r>
        <w:t>h</w:t>
      </w:r>
      <w:r w:rsidRPr="00836579">
        <w:t>e</w:t>
      </w:r>
      <w:r>
        <w:t xml:space="preserve"> Minister’s</w:t>
      </w:r>
      <w:r w:rsidRPr="00836579">
        <w:t xml:space="preserve"> assessment under the EE Act</w:t>
      </w:r>
      <w:r>
        <w:t>, which will be considered by</w:t>
      </w:r>
      <w:r w:rsidRPr="00836579">
        <w:t xml:space="preserve"> </w:t>
      </w:r>
      <w:r>
        <w:t>statutory decision makers for the project</w:t>
      </w:r>
      <w:r w:rsidRPr="00836579">
        <w:t>.</w:t>
      </w:r>
    </w:p>
    <w:p w14:paraId="1B026361" w14:textId="77777777" w:rsidR="00BD03A0" w:rsidRDefault="00BD03A0" w:rsidP="00BD03A0">
      <w:pPr>
        <w:pStyle w:val="ToRHeading"/>
      </w:pPr>
      <w:r>
        <w:t xml:space="preserve">Background </w:t>
      </w:r>
    </w:p>
    <w:p w14:paraId="45AB355D" w14:textId="77777777" w:rsidR="00BD03A0" w:rsidRDefault="00BD03A0" w:rsidP="00BD03A0">
      <w:pPr>
        <w:keepNext/>
        <w:rPr>
          <w:rFonts w:cstheme="minorHAnsi"/>
          <w:b/>
          <w:i/>
          <w:sz w:val="24"/>
        </w:rPr>
      </w:pPr>
      <w:r>
        <w:rPr>
          <w:rFonts w:cstheme="minorHAnsi"/>
          <w:b/>
          <w:i/>
          <w:sz w:val="24"/>
        </w:rPr>
        <w:t>Project outline</w:t>
      </w:r>
    </w:p>
    <w:p w14:paraId="542B024E" w14:textId="77777777" w:rsidR="00BD03A0" w:rsidRPr="00215670" w:rsidRDefault="00BD03A0" w:rsidP="00BD03A0">
      <w:pPr>
        <w:pStyle w:val="ToRNumberedPara"/>
        <w:spacing w:line="256" w:lineRule="auto"/>
        <w:ind w:left="357" w:hanging="357"/>
      </w:pPr>
      <w:r w:rsidRPr="00215670">
        <w:t xml:space="preserve">The </w:t>
      </w:r>
      <w:r>
        <w:t>Avonbank Mineral Sands</w:t>
      </w:r>
      <w:r w:rsidRPr="00215670">
        <w:t xml:space="preserve"> Project </w:t>
      </w:r>
      <w:r w:rsidRPr="00066AD9">
        <w:t xml:space="preserve">comprises the development of a </w:t>
      </w:r>
      <w:r>
        <w:t>mineral sands mine with a disturbance footprint of 3,600 hectares located approximately 15 kilometres north-east of Horsham in north-west Victoria.  Open-pit mining and mineral separation processing is proposed to produce 350,000 to 600,000 tonnes per annum of heavy mineral concentrate over a mine life of more than 30 years.  Primary ore processing via a mining unit plant will occur within the mining licence and secondary ore processing will occur in the WIM Base Area outside the mining licence.  Mine products will be transported by truck to the Port of Portland for overseas export.</w:t>
      </w:r>
    </w:p>
    <w:p w14:paraId="11045C28" w14:textId="77777777" w:rsidR="00BD03A0" w:rsidRPr="00215670" w:rsidRDefault="00BD03A0" w:rsidP="00BD03A0">
      <w:pPr>
        <w:pStyle w:val="ToRNumberedPara"/>
        <w:spacing w:line="256" w:lineRule="auto"/>
        <w:ind w:left="357" w:hanging="357"/>
      </w:pPr>
      <w:r w:rsidRPr="00215670">
        <w:t>The key components of the project</w:t>
      </w:r>
      <w:r>
        <w:t xml:space="preserve"> include</w:t>
      </w:r>
      <w:r w:rsidRPr="00215670">
        <w:t>:</w:t>
      </w:r>
    </w:p>
    <w:p w14:paraId="6F501AA2" w14:textId="77777777" w:rsidR="00BD03A0" w:rsidRPr="00713824" w:rsidRDefault="00BD03A0" w:rsidP="00847DAB">
      <w:pPr>
        <w:pStyle w:val="ToRAlphaPara"/>
        <w:spacing w:line="256" w:lineRule="auto"/>
        <w:ind w:left="714" w:hanging="357"/>
      </w:pPr>
      <w:r>
        <w:rPr>
          <w:rFonts w:eastAsia="Times New Roman"/>
        </w:rPr>
        <w:t>progressive</w:t>
      </w:r>
      <w:r w:rsidRPr="00713824">
        <w:rPr>
          <w:rFonts w:eastAsia="Times New Roman"/>
        </w:rPr>
        <w:t xml:space="preserve"> development of a mineral sands mine;</w:t>
      </w:r>
    </w:p>
    <w:p w14:paraId="6F1AAA37" w14:textId="77777777" w:rsidR="00BD03A0" w:rsidRPr="00713824" w:rsidRDefault="00BD03A0" w:rsidP="00847DAB">
      <w:pPr>
        <w:pStyle w:val="ToRAlphaPara"/>
        <w:spacing w:line="256" w:lineRule="auto"/>
        <w:ind w:left="714" w:hanging="357"/>
      </w:pPr>
      <w:r w:rsidRPr="00713824">
        <w:t xml:space="preserve">two </w:t>
      </w:r>
      <w:r>
        <w:t xml:space="preserve">mobile </w:t>
      </w:r>
      <w:r w:rsidRPr="00713824">
        <w:t>mining unit plants;</w:t>
      </w:r>
    </w:p>
    <w:p w14:paraId="6D00F970" w14:textId="77777777" w:rsidR="00BD03A0" w:rsidRPr="00713824" w:rsidRDefault="00BD03A0" w:rsidP="00847DAB">
      <w:pPr>
        <w:pStyle w:val="ToRAlphaPara"/>
        <w:spacing w:line="256" w:lineRule="auto"/>
        <w:ind w:left="714" w:hanging="357"/>
      </w:pPr>
      <w:r>
        <w:t xml:space="preserve">a </w:t>
      </w:r>
      <w:r w:rsidRPr="00713824">
        <w:t xml:space="preserve">wet concentrator plant </w:t>
      </w:r>
      <w:r>
        <w:t>and</w:t>
      </w:r>
      <w:r w:rsidRPr="00713824">
        <w:t xml:space="preserve"> tailings thickening and disposal plant;</w:t>
      </w:r>
    </w:p>
    <w:p w14:paraId="596E2876" w14:textId="77777777" w:rsidR="00BD03A0" w:rsidRPr="00CA4CA3" w:rsidRDefault="00BD03A0" w:rsidP="00847DAB">
      <w:pPr>
        <w:pStyle w:val="ToRAlphaPara"/>
        <w:spacing w:line="256" w:lineRule="auto"/>
        <w:ind w:left="714" w:hanging="357"/>
      </w:pPr>
      <w:r w:rsidRPr="00CA4CA3">
        <w:t>power and water supply infrastructure;</w:t>
      </w:r>
    </w:p>
    <w:p w14:paraId="72130A8F" w14:textId="77777777" w:rsidR="00BD03A0" w:rsidRPr="00CA4CA3" w:rsidRDefault="00BD03A0" w:rsidP="00847DAB">
      <w:pPr>
        <w:pStyle w:val="ToRAlphaPara"/>
        <w:spacing w:line="256" w:lineRule="auto"/>
        <w:ind w:left="714" w:hanging="357"/>
      </w:pPr>
      <w:r w:rsidRPr="00CA4CA3">
        <w:t>site facilities</w:t>
      </w:r>
      <w:r>
        <w:t xml:space="preserve"> including</w:t>
      </w:r>
      <w:r w:rsidRPr="00CA4CA3">
        <w:t xml:space="preserve"> site offices, warehouse, workshop facilities and fuel storage.</w:t>
      </w:r>
    </w:p>
    <w:p w14:paraId="5F890C07" w14:textId="77777777" w:rsidR="00BD03A0" w:rsidRDefault="00BD03A0" w:rsidP="00BD03A0">
      <w:pPr>
        <w:pStyle w:val="ToRNumberedPara"/>
        <w:spacing w:line="256" w:lineRule="auto"/>
        <w:ind w:left="357" w:hanging="357"/>
        <w:rPr>
          <w:rFonts w:eastAsia="Times"/>
        </w:rPr>
      </w:pPr>
      <w:r>
        <w:rPr>
          <w:rFonts w:eastAsia="Times"/>
        </w:rPr>
        <w:t>The project’s proponent is WIM Resource Pty Ltd (WIM Resource), who is responsible for preparing technical studies, consulting with the public and stakeholders and preparing an EES and draft PSA.</w:t>
      </w:r>
    </w:p>
    <w:p w14:paraId="279F60F4" w14:textId="77777777" w:rsidR="00BD03A0" w:rsidRDefault="00BD03A0" w:rsidP="00BD03A0">
      <w:pPr>
        <w:pStyle w:val="Normalnum"/>
        <w:numPr>
          <w:ilvl w:val="0"/>
          <w:numId w:val="0"/>
        </w:numPr>
        <w:tabs>
          <w:tab w:val="left" w:pos="720"/>
        </w:tabs>
        <w:spacing w:after="120"/>
        <w:rPr>
          <w:rFonts w:asciiTheme="minorHAnsi" w:hAnsiTheme="minorHAnsi" w:cstheme="minorHAnsi"/>
          <w:b/>
          <w:i/>
          <w:sz w:val="24"/>
          <w:szCs w:val="24"/>
        </w:rPr>
      </w:pPr>
      <w:r>
        <w:rPr>
          <w:rFonts w:asciiTheme="minorHAnsi" w:hAnsiTheme="minorHAnsi" w:cstheme="minorHAnsi"/>
          <w:b/>
          <w:i/>
          <w:sz w:val="24"/>
          <w:szCs w:val="24"/>
        </w:rPr>
        <w:t>EES assessment process</w:t>
      </w:r>
    </w:p>
    <w:p w14:paraId="28574683" w14:textId="77777777" w:rsidR="00BD03A0" w:rsidRDefault="00BD03A0" w:rsidP="00BD03A0">
      <w:pPr>
        <w:pStyle w:val="ToRNumberedPara"/>
        <w:spacing w:line="256" w:lineRule="auto"/>
        <w:ind w:left="357" w:hanging="357"/>
        <w:rPr>
          <w:rFonts w:eastAsia="Times"/>
        </w:rPr>
      </w:pPr>
      <w:r>
        <w:rPr>
          <w:rFonts w:eastAsia="Times"/>
        </w:rPr>
        <w:t xml:space="preserve">In response to a referral under the EE Act from the proponent, the former Minister for Planning determined on 17 August 2019 that an EES was required for the project and issued his decision with procedures and requirements for the preparation of the EES as specified in </w:t>
      </w:r>
      <w:r w:rsidRPr="00C6324D">
        <w:rPr>
          <w:rFonts w:eastAsia="Times"/>
          <w:b/>
          <w:bCs/>
        </w:rPr>
        <w:t>Attachment 1</w:t>
      </w:r>
      <w:r>
        <w:rPr>
          <w:rFonts w:eastAsia="Times"/>
        </w:rPr>
        <w:t>.</w:t>
      </w:r>
    </w:p>
    <w:p w14:paraId="3738C936" w14:textId="77777777" w:rsidR="00BD03A0" w:rsidRDefault="00BD03A0" w:rsidP="00BD03A0">
      <w:pPr>
        <w:pStyle w:val="ToRNumberedPara"/>
        <w:spacing w:line="256" w:lineRule="auto"/>
        <w:ind w:left="357" w:hanging="357"/>
        <w:rPr>
          <w:rFonts w:eastAsia="Times"/>
        </w:rPr>
      </w:pPr>
      <w:r>
        <w:rPr>
          <w:rFonts w:eastAsia="Times"/>
        </w:rPr>
        <w:t>The EES was prepared by the proponent in response to the EES scoping requirements issued by the Minister for Planning in August 2020.</w:t>
      </w:r>
    </w:p>
    <w:p w14:paraId="188BEA3F" w14:textId="77777777" w:rsidR="00BD03A0" w:rsidRDefault="00BD03A0" w:rsidP="00BD03A0">
      <w:pPr>
        <w:pStyle w:val="ToRNumberedPara"/>
        <w:spacing w:line="256" w:lineRule="auto"/>
        <w:ind w:left="357" w:hanging="357"/>
        <w:rPr>
          <w:rFonts w:eastAsia="Times"/>
        </w:rPr>
      </w:pPr>
      <w:r>
        <w:rPr>
          <w:rFonts w:eastAsia="Times"/>
        </w:rPr>
        <w:t xml:space="preserve">The EES will be placed on public exhibition for thirty (30) business days, together with the draft PSA.  This public comment process is in accordance with the procedures and requirements issued for this EES by the Minister for Planning. WIM Resource is responsible for public notice of EES exhibition. </w:t>
      </w:r>
    </w:p>
    <w:p w14:paraId="4AA62D41" w14:textId="77777777" w:rsidR="00BD03A0" w:rsidRDefault="00BD03A0" w:rsidP="00BD03A0">
      <w:pPr>
        <w:pStyle w:val="Parah0number"/>
        <w:tabs>
          <w:tab w:val="clear" w:pos="357"/>
          <w:tab w:val="left" w:pos="1080"/>
        </w:tabs>
        <w:spacing w:before="120" w:after="120"/>
        <w:ind w:left="0" w:firstLine="0"/>
        <w:jc w:val="both"/>
        <w:rPr>
          <w:rFonts w:asciiTheme="minorHAnsi" w:hAnsiTheme="minorHAnsi" w:cstheme="minorHAnsi"/>
          <w:b/>
          <w:i/>
          <w:sz w:val="24"/>
          <w:szCs w:val="24"/>
        </w:rPr>
      </w:pPr>
      <w:r>
        <w:rPr>
          <w:rFonts w:asciiTheme="minorHAnsi" w:hAnsiTheme="minorHAnsi" w:cstheme="minorHAnsi"/>
          <w:b/>
          <w:i/>
          <w:sz w:val="24"/>
          <w:szCs w:val="24"/>
        </w:rPr>
        <w:t>Commonwealth assessment process</w:t>
      </w:r>
    </w:p>
    <w:p w14:paraId="6423038F" w14:textId="77777777" w:rsidR="00BD03A0" w:rsidRPr="00A0086F" w:rsidRDefault="00BD03A0" w:rsidP="00BD03A0">
      <w:pPr>
        <w:pStyle w:val="ToRNumberedPara"/>
        <w:spacing w:line="256" w:lineRule="auto"/>
        <w:ind w:left="357" w:hanging="357"/>
        <w:rPr>
          <w:rFonts w:eastAsia="Times"/>
        </w:rPr>
      </w:pPr>
      <w:r w:rsidRPr="00A0086F">
        <w:rPr>
          <w:rFonts w:eastAsia="Times"/>
        </w:rPr>
        <w:t xml:space="preserve">Because of its potential impacts on matters of national environmental significance, the project was determined to be a controlled action for the purposes of the EPBC Act on </w:t>
      </w:r>
      <w:r w:rsidRPr="00A0086F">
        <w:t>3 July 2020</w:t>
      </w:r>
      <w:r w:rsidRPr="00A0086F">
        <w:rPr>
          <w:rFonts w:eastAsia="Times"/>
        </w:rPr>
        <w:t xml:space="preserve">.  The relevant controlling provisions under the EPBC Act are </w:t>
      </w:r>
      <w:r w:rsidRPr="00A0086F">
        <w:t>listed threatened species and communities (sections 18 &amp; 18A) and nuclear actions (sections 21 &amp; 22A).</w:t>
      </w:r>
    </w:p>
    <w:p w14:paraId="2E4C62D6" w14:textId="77777777" w:rsidR="00BD03A0" w:rsidRDefault="00BD03A0" w:rsidP="00BD03A0">
      <w:pPr>
        <w:pStyle w:val="ToRNumberedPara"/>
        <w:spacing w:line="256" w:lineRule="auto"/>
        <w:ind w:left="357" w:hanging="357"/>
        <w:rPr>
          <w:rFonts w:eastAsia="Times"/>
        </w:rPr>
      </w:pPr>
      <w:r>
        <w:rPr>
          <w:rFonts w:eastAsia="Times"/>
        </w:rPr>
        <w:t xml:space="preserve">Under the bilateral agreement between the Australian and Victorian governments, the Victorian EES process is serving as the accredited process for the assessment purposes of the EPBC Act.  The assessment of environmental effects to be made by the Victorian Minister for Planning will be provided to the Commonwealth Minister for the Environment to inform the approval decision under the EPBC Act. </w:t>
      </w:r>
    </w:p>
    <w:p w14:paraId="43787612" w14:textId="77777777" w:rsidR="00BD03A0" w:rsidRPr="00D200F4" w:rsidRDefault="00BD03A0" w:rsidP="00BD03A0">
      <w:pPr>
        <w:pStyle w:val="Parah0number"/>
        <w:tabs>
          <w:tab w:val="clear" w:pos="357"/>
          <w:tab w:val="left" w:pos="1080"/>
        </w:tabs>
        <w:spacing w:before="120" w:after="120"/>
        <w:ind w:left="0" w:firstLine="0"/>
        <w:jc w:val="both"/>
        <w:rPr>
          <w:rFonts w:asciiTheme="minorHAnsi" w:hAnsiTheme="minorHAnsi" w:cstheme="minorHAnsi"/>
          <w:b/>
          <w:i/>
          <w:sz w:val="24"/>
          <w:szCs w:val="24"/>
        </w:rPr>
      </w:pPr>
      <w:r w:rsidRPr="00D200F4">
        <w:rPr>
          <w:rFonts w:asciiTheme="minorHAnsi" w:hAnsiTheme="minorHAnsi" w:cstheme="minorHAnsi"/>
          <w:b/>
          <w:i/>
          <w:sz w:val="24"/>
          <w:szCs w:val="24"/>
        </w:rPr>
        <w:t>Planning approval process</w:t>
      </w:r>
    </w:p>
    <w:p w14:paraId="7F567191" w14:textId="77777777" w:rsidR="00BD03A0" w:rsidRPr="00BE4D5A" w:rsidRDefault="00BD03A0" w:rsidP="00BD03A0">
      <w:pPr>
        <w:pStyle w:val="ToRNumberedPara"/>
        <w:spacing w:line="256" w:lineRule="auto"/>
        <w:ind w:left="357" w:hanging="357"/>
        <w:rPr>
          <w:rFonts w:eastAsia="Times"/>
        </w:rPr>
      </w:pPr>
      <w:r w:rsidRPr="00D200F4">
        <w:rPr>
          <w:rFonts w:eastAsia="Times"/>
        </w:rPr>
        <w:t xml:space="preserve">The IAC is to consider and provide advice on draft PSA </w:t>
      </w:r>
      <w:r w:rsidRPr="00324953">
        <w:t>C84hors</w:t>
      </w:r>
      <w:r w:rsidRPr="00BE4D5A">
        <w:rPr>
          <w:rFonts w:eastAsia="Times"/>
        </w:rPr>
        <w:t xml:space="preserve"> that proposes the use and development of facilities and infrastructure associated with the project, including a mineral sands secondary processing facility, in the WIM Base Area outside the mining licence</w:t>
      </w:r>
      <w:r>
        <w:rPr>
          <w:rFonts w:eastAsia="Times"/>
        </w:rPr>
        <w:t xml:space="preserve"> and within the Wimmera Intermodal Freight </w:t>
      </w:r>
      <w:r>
        <w:rPr>
          <w:rFonts w:eastAsia="Times"/>
        </w:rPr>
        <w:lastRenderedPageBreak/>
        <w:t>Terminal</w:t>
      </w:r>
      <w:r w:rsidRPr="00BE4D5A">
        <w:rPr>
          <w:rFonts w:eastAsia="Times"/>
        </w:rPr>
        <w:t xml:space="preserve">.  The PSA is proposed to apply a SCO to the WIM Base Area and regulate the use and development of facilities and infrastructure within </w:t>
      </w:r>
      <w:r>
        <w:rPr>
          <w:rFonts w:eastAsia="Times"/>
        </w:rPr>
        <w:t>the SCO</w:t>
      </w:r>
      <w:r w:rsidRPr="00BE4D5A">
        <w:rPr>
          <w:rFonts w:eastAsia="Times"/>
        </w:rPr>
        <w:t xml:space="preserve"> in accordance with an incorporated document proposed to be included in the Horsham</w:t>
      </w:r>
      <w:r>
        <w:rPr>
          <w:rFonts w:eastAsia="Times"/>
        </w:rPr>
        <w:t xml:space="preserve"> P</w:t>
      </w:r>
      <w:r w:rsidRPr="00BE4D5A">
        <w:rPr>
          <w:rFonts w:eastAsia="Times"/>
        </w:rPr>
        <w:t xml:space="preserve">lanning </w:t>
      </w:r>
      <w:r>
        <w:rPr>
          <w:rFonts w:eastAsia="Times"/>
        </w:rPr>
        <w:t>S</w:t>
      </w:r>
      <w:r w:rsidRPr="00BE4D5A">
        <w:rPr>
          <w:rFonts w:eastAsia="Times"/>
        </w:rPr>
        <w:t xml:space="preserve">cheme. </w:t>
      </w:r>
    </w:p>
    <w:p w14:paraId="324FD07F" w14:textId="77777777" w:rsidR="00BD03A0" w:rsidRDefault="00BD03A0" w:rsidP="00BD03A0">
      <w:pPr>
        <w:pStyle w:val="Heading4"/>
        <w:spacing w:before="120"/>
        <w:rPr>
          <w:rFonts w:asciiTheme="minorHAnsi" w:eastAsia="Times New Roman" w:hAnsiTheme="minorHAnsi" w:cstheme="minorHAnsi"/>
          <w:b w:val="0"/>
          <w:iCs w:val="0"/>
          <w:sz w:val="24"/>
          <w:szCs w:val="24"/>
        </w:rPr>
      </w:pPr>
      <w:r>
        <w:rPr>
          <w:rFonts w:asciiTheme="minorHAnsi" w:eastAsia="Times New Roman" w:hAnsiTheme="minorHAnsi" w:cstheme="minorHAnsi"/>
          <w:iCs w:val="0"/>
          <w:sz w:val="24"/>
          <w:szCs w:val="24"/>
        </w:rPr>
        <w:t>Other approvals</w:t>
      </w:r>
    </w:p>
    <w:p w14:paraId="3AFE65B0" w14:textId="77777777" w:rsidR="00BD03A0" w:rsidRDefault="00BD03A0" w:rsidP="00BD03A0">
      <w:pPr>
        <w:pStyle w:val="ToRNumberedPara"/>
        <w:spacing w:line="256" w:lineRule="auto"/>
        <w:ind w:left="357" w:hanging="357"/>
        <w:rPr>
          <w:rFonts w:eastAsia="Times"/>
        </w:rPr>
      </w:pPr>
      <w:r>
        <w:rPr>
          <w:rFonts w:eastAsia="Times"/>
        </w:rPr>
        <w:t>The project may require other statutory approvals and/or consents, as outlined in the EES, including:</w:t>
      </w:r>
    </w:p>
    <w:p w14:paraId="4C8FEAB3" w14:textId="77777777" w:rsidR="00BD03A0" w:rsidRPr="00D76D18" w:rsidRDefault="00BD03A0" w:rsidP="00847DAB">
      <w:pPr>
        <w:pStyle w:val="ToRAlphaPara"/>
        <w:spacing w:line="256" w:lineRule="auto"/>
        <w:ind w:left="714" w:hanging="357"/>
      </w:pPr>
      <w:r w:rsidRPr="00D76D18">
        <w:t xml:space="preserve">a mining licence and approved work plan under the </w:t>
      </w:r>
      <w:r w:rsidRPr="00D76D18">
        <w:rPr>
          <w:i/>
          <w:iCs/>
        </w:rPr>
        <w:t>Mineral Resources (Sustainable Development) Act 1990</w:t>
      </w:r>
      <w:r w:rsidRPr="00085CC6">
        <w:t xml:space="preserve"> (MRSD Act)</w:t>
      </w:r>
      <w:r w:rsidRPr="00D76D18">
        <w:rPr>
          <w:i/>
          <w:iCs/>
        </w:rPr>
        <w:t>;</w:t>
      </w:r>
      <w:r w:rsidRPr="00D76D18">
        <w:t xml:space="preserve"> </w:t>
      </w:r>
    </w:p>
    <w:p w14:paraId="482BC618" w14:textId="77777777" w:rsidR="00BD03A0" w:rsidRDefault="00BD03A0" w:rsidP="00847DAB">
      <w:pPr>
        <w:pStyle w:val="ToRAlphaPara"/>
        <w:spacing w:line="256" w:lineRule="auto"/>
        <w:ind w:left="714" w:hanging="357"/>
      </w:pPr>
      <w:r w:rsidRPr="00D76D18">
        <w:t xml:space="preserve">an approved Cultural Heritage Management Plan under the </w:t>
      </w:r>
      <w:r w:rsidRPr="00D76D18">
        <w:rPr>
          <w:i/>
        </w:rPr>
        <w:t>Aboriginal Heritage Act 2006</w:t>
      </w:r>
      <w:r w:rsidRPr="00D76D18">
        <w:t>;</w:t>
      </w:r>
    </w:p>
    <w:p w14:paraId="525B643A" w14:textId="77777777" w:rsidR="00BD03A0" w:rsidRPr="00D76D18" w:rsidRDefault="00BD03A0" w:rsidP="00847DAB">
      <w:pPr>
        <w:pStyle w:val="ToRAlphaPara"/>
        <w:spacing w:line="256" w:lineRule="auto"/>
        <w:ind w:left="714" w:hanging="357"/>
      </w:pPr>
      <w:r>
        <w:t>planning permits for the alteration or creation of access to a road in a Transport Zone 2 and for the removal of some native vegetation under the P&amp;E Act;</w:t>
      </w:r>
    </w:p>
    <w:p w14:paraId="1720F949" w14:textId="77777777" w:rsidR="00BD03A0" w:rsidRPr="00D76D18" w:rsidRDefault="00BD03A0" w:rsidP="00847DAB">
      <w:pPr>
        <w:pStyle w:val="ToRAlphaPara"/>
        <w:spacing w:line="256" w:lineRule="auto"/>
        <w:ind w:left="714" w:hanging="357"/>
      </w:pPr>
      <w:r w:rsidRPr="00D76D18">
        <w:t xml:space="preserve">approvals under the </w:t>
      </w:r>
      <w:r w:rsidRPr="00D76D18">
        <w:rPr>
          <w:i/>
          <w:iCs/>
        </w:rPr>
        <w:t>Radiation Act 2005</w:t>
      </w:r>
      <w:r w:rsidRPr="00D76D18">
        <w:t>;</w:t>
      </w:r>
    </w:p>
    <w:p w14:paraId="670834CB" w14:textId="77777777" w:rsidR="00BD03A0" w:rsidRPr="00D76D18" w:rsidRDefault="00BD03A0" w:rsidP="00847DAB">
      <w:pPr>
        <w:pStyle w:val="ToRAlphaPara"/>
        <w:spacing w:line="256" w:lineRule="auto"/>
        <w:ind w:left="714" w:hanging="357"/>
      </w:pPr>
      <w:r w:rsidRPr="00D76D18">
        <w:t xml:space="preserve">approvals under the </w:t>
      </w:r>
      <w:r w:rsidRPr="00D76D18">
        <w:rPr>
          <w:i/>
          <w:iCs/>
        </w:rPr>
        <w:t xml:space="preserve">Water Act 1989 </w:t>
      </w:r>
      <w:r w:rsidRPr="00D76D18">
        <w:t>for extraction of surface and/or groundwater;</w:t>
      </w:r>
    </w:p>
    <w:p w14:paraId="40DE3054" w14:textId="77777777" w:rsidR="00BD03A0" w:rsidRPr="00D76D18" w:rsidRDefault="00BD03A0" w:rsidP="00847DAB">
      <w:pPr>
        <w:pStyle w:val="ToRAlphaPara"/>
        <w:spacing w:line="256" w:lineRule="auto"/>
        <w:ind w:left="714" w:hanging="357"/>
      </w:pPr>
      <w:r w:rsidRPr="00D76D18">
        <w:t>a permission to discharge or deposit waste to an aqui</w:t>
      </w:r>
      <w:r>
        <w:t>f</w:t>
      </w:r>
      <w:r w:rsidRPr="00D76D18">
        <w:t xml:space="preserve">er under the </w:t>
      </w:r>
      <w:r w:rsidRPr="00D76D18">
        <w:rPr>
          <w:i/>
          <w:iCs/>
        </w:rPr>
        <w:t>Environment Protection Act 2017</w:t>
      </w:r>
      <w:r w:rsidRPr="00D76D18">
        <w:t>;</w:t>
      </w:r>
    </w:p>
    <w:p w14:paraId="26F0E587" w14:textId="77777777" w:rsidR="00BD03A0" w:rsidRPr="00D76D18" w:rsidRDefault="00BD03A0" w:rsidP="00847DAB">
      <w:pPr>
        <w:pStyle w:val="ToRAlphaPara"/>
        <w:spacing w:line="256" w:lineRule="auto"/>
        <w:ind w:left="714" w:hanging="357"/>
      </w:pPr>
      <w:r w:rsidRPr="00D76D18">
        <w:t xml:space="preserve">a permit to export radioactive material under the </w:t>
      </w:r>
      <w:r w:rsidRPr="00D76D18">
        <w:rPr>
          <w:i/>
          <w:iCs/>
        </w:rPr>
        <w:t>Customs Act 1901</w:t>
      </w:r>
      <w:r w:rsidRPr="00D76D18">
        <w:t>;</w:t>
      </w:r>
    </w:p>
    <w:p w14:paraId="02A22BD0" w14:textId="77777777" w:rsidR="00BD03A0" w:rsidRPr="00D76D18" w:rsidRDefault="00BD03A0" w:rsidP="00847DAB">
      <w:pPr>
        <w:pStyle w:val="ToRAlphaPara"/>
        <w:spacing w:line="256" w:lineRule="auto"/>
        <w:ind w:left="714" w:hanging="357"/>
      </w:pPr>
      <w:r w:rsidRPr="00D76D18">
        <w:t xml:space="preserve">a permit to remove listed flora and fauna under the </w:t>
      </w:r>
      <w:r w:rsidRPr="00D76D18">
        <w:rPr>
          <w:i/>
        </w:rPr>
        <w:t>Flora and Fauna Guarantee Act 1988</w:t>
      </w:r>
      <w:r w:rsidRPr="00D76D18">
        <w:t>; and</w:t>
      </w:r>
    </w:p>
    <w:p w14:paraId="22776DC8" w14:textId="77777777" w:rsidR="00BD03A0" w:rsidRPr="00D76D18" w:rsidRDefault="00BD03A0" w:rsidP="00847DAB">
      <w:pPr>
        <w:pStyle w:val="ToRAlphaPara"/>
        <w:spacing w:line="256" w:lineRule="auto"/>
        <w:ind w:left="714" w:hanging="357"/>
      </w:pPr>
      <w:r w:rsidRPr="00D76D18">
        <w:t xml:space="preserve">an authority to take or disturb wildlife under the </w:t>
      </w:r>
      <w:r w:rsidRPr="00D76D18">
        <w:rPr>
          <w:i/>
          <w:iCs/>
        </w:rPr>
        <w:t>Wildlife Act 1975</w:t>
      </w:r>
      <w:r>
        <w:t>.</w:t>
      </w:r>
    </w:p>
    <w:p w14:paraId="5ABB535F" w14:textId="77777777" w:rsidR="00BD03A0" w:rsidRPr="0023774A" w:rsidRDefault="00BD03A0" w:rsidP="00BD03A0">
      <w:pPr>
        <w:pStyle w:val="ToRHeading"/>
      </w:pPr>
      <w:r w:rsidRPr="0023774A">
        <w:t>Process</w:t>
      </w:r>
    </w:p>
    <w:p w14:paraId="5F7A3974" w14:textId="77777777" w:rsidR="00BD03A0" w:rsidRPr="00DE4A25" w:rsidRDefault="00BD03A0" w:rsidP="00BD03A0">
      <w:pPr>
        <w:pStyle w:val="ToRHeading"/>
      </w:pPr>
      <w:r w:rsidRPr="00DE4A25">
        <w:t>Stage 1 – Submissions</w:t>
      </w:r>
    </w:p>
    <w:p w14:paraId="6EFAFE17" w14:textId="77777777" w:rsidR="00BD03A0" w:rsidRDefault="00BD03A0" w:rsidP="00BD03A0">
      <w:pPr>
        <w:pStyle w:val="ToRNumberedPara"/>
        <w:spacing w:line="256" w:lineRule="auto"/>
        <w:ind w:left="357" w:hanging="357"/>
        <w:rPr>
          <w:rFonts w:eastAsia="Times"/>
        </w:rPr>
      </w:pPr>
      <w:r>
        <w:rPr>
          <w:rFonts w:eastAsia="Times"/>
        </w:rPr>
        <w:t>Submissions on the EES and draft PSA are to be provided in writing on or before the close of submissions. Submissions will be collected by the office of Planning Panels Victoria (PPV) through the Engage Victoria platform.  All submissions must state the name and address of the person making the submission.  Submissions will be collected and managed in accordance with the ‘</w:t>
      </w:r>
      <w:r w:rsidRPr="00A03D76">
        <w:rPr>
          <w:rFonts w:eastAsia="Times"/>
          <w:i/>
          <w:iCs/>
        </w:rPr>
        <w:t>Guide to Privacy at PPV</w:t>
      </w:r>
      <w:r w:rsidRPr="00A03D76">
        <w:rPr>
          <w:rFonts w:eastAsia="Times"/>
        </w:rPr>
        <w:t>’</w:t>
      </w:r>
      <w:r>
        <w:rPr>
          <w:rFonts w:eastAsia="Times"/>
        </w:rPr>
        <w:t>.</w:t>
      </w:r>
    </w:p>
    <w:p w14:paraId="2DF2A83A" w14:textId="77777777" w:rsidR="00BD03A0" w:rsidRPr="007255E8" w:rsidRDefault="00BD03A0" w:rsidP="00BD03A0">
      <w:pPr>
        <w:pStyle w:val="ToRNumberedPara"/>
        <w:spacing w:line="256" w:lineRule="auto"/>
        <w:ind w:left="357" w:hanging="357"/>
        <w:rPr>
          <w:rFonts w:eastAsia="Times"/>
        </w:rPr>
      </w:pPr>
      <w:r>
        <w:t xml:space="preserve">Petition responses will be treated as a single submission and only the first names from a petition </w:t>
      </w:r>
      <w:r w:rsidRPr="007255E8">
        <w:t xml:space="preserve">submission will be registered and contacted. </w:t>
      </w:r>
    </w:p>
    <w:p w14:paraId="512C73E3" w14:textId="77777777" w:rsidR="00BD03A0" w:rsidRPr="007255E8" w:rsidRDefault="00BD03A0" w:rsidP="00BD03A0">
      <w:pPr>
        <w:pStyle w:val="ToRNumberedPara"/>
        <w:spacing w:line="256" w:lineRule="auto"/>
        <w:ind w:left="357" w:hanging="357"/>
      </w:pPr>
      <w:r w:rsidRPr="007255E8">
        <w:t>Pro-forma submitters will be registered and contacted individually if they provide their contact details. </w:t>
      </w:r>
      <w:r>
        <w:t xml:space="preserve"> </w:t>
      </w:r>
      <w:r w:rsidRPr="007255E8">
        <w:t xml:space="preserve">However, pro-forma submitters who want to be heard at the </w:t>
      </w:r>
      <w:r>
        <w:t>h</w:t>
      </w:r>
      <w:r w:rsidRPr="007255E8">
        <w:t>earing may be encouraged to present as a group, given their submissions raise the same issues.</w:t>
      </w:r>
    </w:p>
    <w:p w14:paraId="3166BBDC" w14:textId="77777777" w:rsidR="00BD03A0" w:rsidRPr="00D200F4" w:rsidRDefault="00BD03A0" w:rsidP="00BD03A0">
      <w:pPr>
        <w:pStyle w:val="ToRNumberedPara"/>
        <w:spacing w:line="256" w:lineRule="auto"/>
        <w:ind w:left="357" w:hanging="357"/>
        <w:rPr>
          <w:rFonts w:eastAsia="Times"/>
        </w:rPr>
      </w:pPr>
      <w:r w:rsidRPr="00D200F4">
        <w:rPr>
          <w:rFonts w:eastAsia="Times"/>
        </w:rPr>
        <w:t xml:space="preserve">All written submissions and other supporting documentation or evidence received through the course of the </w:t>
      </w:r>
      <w:r>
        <w:rPr>
          <w:rFonts w:eastAsia="Times"/>
        </w:rPr>
        <w:t>IAC process</w:t>
      </w:r>
      <w:r w:rsidRPr="00D200F4">
        <w:rPr>
          <w:rFonts w:eastAsia="Times"/>
        </w:rPr>
        <w:t xml:space="preserve"> </w:t>
      </w:r>
      <w:r>
        <w:rPr>
          <w:rFonts w:eastAsia="Times"/>
        </w:rPr>
        <w:t>will</w:t>
      </w:r>
      <w:r w:rsidRPr="00D200F4">
        <w:rPr>
          <w:rFonts w:eastAsia="Times"/>
        </w:rPr>
        <w:t xml:space="preserve"> be published online, unless the IAC specifically directs that the submission or other material, or part of it, is to remain confidential. </w:t>
      </w:r>
    </w:p>
    <w:p w14:paraId="4D41AC15" w14:textId="77777777" w:rsidR="00BD03A0" w:rsidRDefault="00BD03A0" w:rsidP="00BD03A0">
      <w:pPr>
        <w:pStyle w:val="ToRNumberedPara"/>
        <w:spacing w:line="256" w:lineRule="auto"/>
        <w:ind w:left="357" w:hanging="357"/>
        <w:rPr>
          <w:rFonts w:eastAsia="Times"/>
        </w:rPr>
      </w:pPr>
      <w:r w:rsidRPr="00D200F4">
        <w:rPr>
          <w:rFonts w:eastAsia="Times"/>
        </w:rPr>
        <w:t>Electronic copies of each submission on the EES</w:t>
      </w:r>
      <w:r>
        <w:rPr>
          <w:rFonts w:eastAsia="Times"/>
        </w:rPr>
        <w:t xml:space="preserve"> and</w:t>
      </w:r>
      <w:r w:rsidRPr="00D200F4">
        <w:rPr>
          <w:rFonts w:eastAsia="Times"/>
        </w:rPr>
        <w:t xml:space="preserve"> draft PSA are to be provided to the proponent, </w:t>
      </w:r>
      <w:r>
        <w:rPr>
          <w:rFonts w:eastAsia="Times"/>
        </w:rPr>
        <w:t>Department of Transport and Planning (</w:t>
      </w:r>
      <w:r w:rsidRPr="00D200F4">
        <w:rPr>
          <w:rFonts w:eastAsia="Times"/>
        </w:rPr>
        <w:t>D</w:t>
      </w:r>
      <w:r>
        <w:rPr>
          <w:rFonts w:eastAsia="Times"/>
        </w:rPr>
        <w:t>TP) (</w:t>
      </w:r>
      <w:r w:rsidRPr="00D200F4">
        <w:rPr>
          <w:rFonts w:eastAsia="Times"/>
        </w:rPr>
        <w:t>Impact Assessment</w:t>
      </w:r>
      <w:r>
        <w:rPr>
          <w:rFonts w:eastAsia="Times"/>
        </w:rPr>
        <w:t>), Horsham Rural City Council</w:t>
      </w:r>
      <w:r w:rsidRPr="00D200F4">
        <w:rPr>
          <w:rFonts w:eastAsia="Times"/>
        </w:rPr>
        <w:t xml:space="preserve"> and the </w:t>
      </w:r>
      <w:r>
        <w:rPr>
          <w:rFonts w:eastAsia="Times"/>
        </w:rPr>
        <w:t>Barengi Gadjin Land Council Aboriginal Corporation</w:t>
      </w:r>
      <w:r w:rsidRPr="00D200F4">
        <w:rPr>
          <w:rFonts w:eastAsia="Times"/>
        </w:rPr>
        <w:t>.</w:t>
      </w:r>
    </w:p>
    <w:p w14:paraId="6B736E34" w14:textId="77777777" w:rsidR="00BD03A0" w:rsidRPr="00D200F4" w:rsidRDefault="00BD03A0" w:rsidP="00BD03A0">
      <w:pPr>
        <w:pStyle w:val="ToRNumberedPara"/>
        <w:spacing w:line="256" w:lineRule="auto"/>
        <w:ind w:left="357" w:hanging="357"/>
        <w:rPr>
          <w:rFonts w:eastAsia="Times"/>
        </w:rPr>
      </w:pPr>
      <w:r w:rsidRPr="00D200F4">
        <w:rPr>
          <w:rFonts w:eastAsia="Times"/>
        </w:rPr>
        <w:t>PPV will retain any written submissions and other documentation provided to the IAC for a period of five years after the time of its appointment.</w:t>
      </w:r>
    </w:p>
    <w:p w14:paraId="4657B328" w14:textId="77777777" w:rsidR="00BD03A0" w:rsidRPr="00595A9B" w:rsidRDefault="00BD03A0" w:rsidP="00BD03A0">
      <w:pPr>
        <w:pStyle w:val="ToRHeading"/>
      </w:pPr>
      <w:r w:rsidRPr="00595A9B">
        <w:t xml:space="preserve">Stage 2 – Public </w:t>
      </w:r>
      <w:r>
        <w:t>h</w:t>
      </w:r>
      <w:r w:rsidRPr="00595A9B">
        <w:t xml:space="preserve">earing </w:t>
      </w:r>
    </w:p>
    <w:p w14:paraId="2D80DF86" w14:textId="77777777" w:rsidR="00BD03A0" w:rsidRPr="008D6F03" w:rsidDel="00094571" w:rsidRDefault="00BD03A0" w:rsidP="00BD03A0">
      <w:pPr>
        <w:pStyle w:val="ToRNumberedPara"/>
        <w:spacing w:line="256" w:lineRule="auto"/>
        <w:ind w:left="357" w:hanging="357"/>
        <w:rPr>
          <w:rFonts w:eastAsia="Times"/>
        </w:rPr>
      </w:pPr>
      <w:r w:rsidRPr="008D6F03" w:rsidDel="00094571">
        <w:rPr>
          <w:rFonts w:eastAsia="Times"/>
        </w:rPr>
        <w:t xml:space="preserve">Prior to </w:t>
      </w:r>
      <w:r w:rsidRPr="008D6F03">
        <w:rPr>
          <w:rFonts w:eastAsia="Times"/>
        </w:rPr>
        <w:t xml:space="preserve">the </w:t>
      </w:r>
      <w:r w:rsidRPr="008D6F03" w:rsidDel="00094571">
        <w:rPr>
          <w:rFonts w:eastAsia="Times"/>
        </w:rPr>
        <w:t xml:space="preserve">commencement of the public hearing, the IAC must hold a </w:t>
      </w:r>
      <w:r>
        <w:rPr>
          <w:rFonts w:eastAsia="Times"/>
        </w:rPr>
        <w:t>d</w:t>
      </w:r>
      <w:r w:rsidRPr="008D6F03" w:rsidDel="00094571">
        <w:rPr>
          <w:rFonts w:eastAsia="Times"/>
        </w:rPr>
        <w:t xml:space="preserve">irections </w:t>
      </w:r>
      <w:r>
        <w:rPr>
          <w:rFonts w:eastAsia="Times"/>
        </w:rPr>
        <w:t>h</w:t>
      </w:r>
      <w:r w:rsidRPr="008D6F03" w:rsidDel="00094571">
        <w:rPr>
          <w:rFonts w:eastAsia="Times"/>
        </w:rPr>
        <w:t>earing to make directions it considers necessary or appropriate as to the conduct, scope or scheduling of the public hearing.</w:t>
      </w:r>
    </w:p>
    <w:p w14:paraId="440BD0ED" w14:textId="77777777" w:rsidR="00BD03A0" w:rsidRDefault="00BD03A0" w:rsidP="00BD03A0">
      <w:pPr>
        <w:pStyle w:val="ToRNumberedPara"/>
        <w:spacing w:line="256" w:lineRule="auto"/>
        <w:ind w:left="357" w:hanging="357"/>
        <w:rPr>
          <w:rFonts w:eastAsia="Times"/>
        </w:rPr>
      </w:pPr>
      <w:r w:rsidRPr="000F15E3">
        <w:rPr>
          <w:rFonts w:eastAsia="Times"/>
        </w:rPr>
        <w:t xml:space="preserve">The IAC must hold a </w:t>
      </w:r>
      <w:r w:rsidRPr="00863496">
        <w:rPr>
          <w:rFonts w:eastAsia="Times"/>
        </w:rPr>
        <w:t>public hearing</w:t>
      </w:r>
      <w:r>
        <w:rPr>
          <w:rFonts w:eastAsia="Times"/>
        </w:rPr>
        <w:t xml:space="preserve"> </w:t>
      </w:r>
      <w:r w:rsidRPr="008D6F03">
        <w:rPr>
          <w:rFonts w:eastAsia="Times"/>
        </w:rPr>
        <w:t>and may make other such enquiries as are relevant to undertaking its role.</w:t>
      </w:r>
      <w:r>
        <w:rPr>
          <w:rFonts w:eastAsia="Times"/>
        </w:rPr>
        <w:t xml:space="preserve">  </w:t>
      </w:r>
    </w:p>
    <w:p w14:paraId="145AE53F" w14:textId="77777777" w:rsidR="00BD03A0" w:rsidRPr="00C335E3" w:rsidRDefault="00BD03A0" w:rsidP="00BD03A0">
      <w:pPr>
        <w:pStyle w:val="ToRNumberedPara"/>
        <w:spacing w:line="256" w:lineRule="auto"/>
        <w:ind w:left="357" w:hanging="357"/>
        <w:rPr>
          <w:rFonts w:eastAsia="Times"/>
        </w:rPr>
      </w:pPr>
      <w:r w:rsidRPr="00C335E3">
        <w:rPr>
          <w:rFonts w:eastAsia="Times"/>
        </w:rPr>
        <w:t>If</w:t>
      </w:r>
      <w:r>
        <w:rPr>
          <w:rFonts w:eastAsia="Times"/>
        </w:rPr>
        <w:t>,</w:t>
      </w:r>
      <w:r w:rsidRPr="00C335E3">
        <w:rPr>
          <w:rFonts w:eastAsia="Times"/>
        </w:rPr>
        <w:t xml:space="preserve"> following the close of submissions</w:t>
      </w:r>
      <w:r>
        <w:rPr>
          <w:rFonts w:eastAsia="Times"/>
        </w:rPr>
        <w:t xml:space="preserve">, </w:t>
      </w:r>
      <w:r w:rsidRPr="00C335E3">
        <w:rPr>
          <w:rFonts w:eastAsia="Times"/>
        </w:rPr>
        <w:t xml:space="preserve">IAC forms </w:t>
      </w:r>
      <w:r>
        <w:rPr>
          <w:rFonts w:eastAsia="Times"/>
        </w:rPr>
        <w:t>the</w:t>
      </w:r>
      <w:r w:rsidRPr="00C335E3">
        <w:rPr>
          <w:rFonts w:eastAsia="Times"/>
        </w:rPr>
        <w:t xml:space="preserve"> view that a</w:t>
      </w:r>
      <w:r>
        <w:rPr>
          <w:rFonts w:eastAsia="Times"/>
        </w:rPr>
        <w:t>n inquiry by</w:t>
      </w:r>
      <w:r w:rsidRPr="00C335E3">
        <w:rPr>
          <w:rFonts w:eastAsia="Times"/>
        </w:rPr>
        <w:t xml:space="preserve"> submitter conference may be more appropriate in light of the volume and nature of submissions and issues raised, then it should seek the Minister for Planning’s endorsement to change </w:t>
      </w:r>
      <w:r>
        <w:rPr>
          <w:rFonts w:eastAsia="Times"/>
        </w:rPr>
        <w:t>to an</w:t>
      </w:r>
      <w:r w:rsidRPr="00C335E3">
        <w:rPr>
          <w:rFonts w:eastAsia="Times"/>
        </w:rPr>
        <w:t xml:space="preserve"> inquiry </w:t>
      </w:r>
      <w:r>
        <w:rPr>
          <w:rFonts w:eastAsia="Times"/>
        </w:rPr>
        <w:t>by</w:t>
      </w:r>
      <w:r w:rsidRPr="00C335E3">
        <w:rPr>
          <w:rFonts w:eastAsia="Times"/>
        </w:rPr>
        <w:t xml:space="preserve"> submitter conference. </w:t>
      </w:r>
    </w:p>
    <w:p w14:paraId="7E1970DC" w14:textId="77777777" w:rsidR="00BD03A0" w:rsidRPr="008D6F03" w:rsidRDefault="00BD03A0" w:rsidP="00BD03A0">
      <w:pPr>
        <w:pStyle w:val="ToRNumberedPara"/>
        <w:spacing w:line="256" w:lineRule="auto"/>
        <w:ind w:left="357" w:hanging="357"/>
        <w:rPr>
          <w:rFonts w:eastAsia="Times"/>
        </w:rPr>
      </w:pPr>
      <w:r w:rsidRPr="008D6F03">
        <w:rPr>
          <w:rFonts w:eastAsia="Times"/>
        </w:rPr>
        <w:lastRenderedPageBreak/>
        <w:t>When it conducts a public hearing, the IAC has all the powers of an advisory committee that are specified in section 152(2) of the P&amp;E Act.</w:t>
      </w:r>
    </w:p>
    <w:p w14:paraId="310B92FF" w14:textId="77777777" w:rsidR="00BD03A0" w:rsidRPr="008D6F03" w:rsidRDefault="00BD03A0" w:rsidP="00BD03A0">
      <w:pPr>
        <w:pStyle w:val="ToRNumberedPara"/>
        <w:spacing w:line="256" w:lineRule="auto"/>
        <w:ind w:left="357" w:hanging="357"/>
        <w:rPr>
          <w:rFonts w:eastAsia="Times"/>
        </w:rPr>
      </w:pPr>
      <w:r w:rsidRPr="008D6F03">
        <w:rPr>
          <w:rFonts w:eastAsia="Times"/>
        </w:rPr>
        <w:t>The IAC may inform itself in any way it sees fit, but must review and consider:</w:t>
      </w:r>
    </w:p>
    <w:p w14:paraId="241309D8" w14:textId="77777777" w:rsidR="00BD03A0" w:rsidRPr="008D6F03" w:rsidRDefault="00BD03A0" w:rsidP="00847DAB">
      <w:pPr>
        <w:pStyle w:val="ToRAlphaPara"/>
        <w:numPr>
          <w:ilvl w:val="0"/>
          <w:numId w:val="12"/>
        </w:numPr>
        <w:spacing w:before="120" w:after="0" w:line="240" w:lineRule="auto"/>
        <w:contextualSpacing w:val="0"/>
      </w:pPr>
      <w:r w:rsidRPr="008D6F03">
        <w:t>the exhibited EES</w:t>
      </w:r>
      <w:r>
        <w:t xml:space="preserve"> and</w:t>
      </w:r>
      <w:r w:rsidRPr="008D6F03">
        <w:t xml:space="preserve"> draft PSA;</w:t>
      </w:r>
    </w:p>
    <w:p w14:paraId="096D68B5" w14:textId="77777777" w:rsidR="00BD03A0" w:rsidRDefault="00BD03A0" w:rsidP="00847DAB">
      <w:pPr>
        <w:pStyle w:val="ToRAlphaPara"/>
        <w:numPr>
          <w:ilvl w:val="0"/>
          <w:numId w:val="12"/>
        </w:numPr>
        <w:spacing w:before="120" w:after="0" w:line="240" w:lineRule="auto"/>
        <w:contextualSpacing w:val="0"/>
      </w:pPr>
      <w:r w:rsidRPr="00023F8C">
        <w:t xml:space="preserve">the views of the </w:t>
      </w:r>
      <w:r>
        <w:t>Barengi Gadjin Land Council Aboriginal Corporation (if known);</w:t>
      </w:r>
    </w:p>
    <w:p w14:paraId="455694F0" w14:textId="77777777" w:rsidR="00BD03A0" w:rsidRPr="008D6F03" w:rsidRDefault="00BD03A0" w:rsidP="00847DAB">
      <w:pPr>
        <w:pStyle w:val="ToRAlphaPara"/>
        <w:numPr>
          <w:ilvl w:val="0"/>
          <w:numId w:val="12"/>
        </w:numPr>
        <w:spacing w:before="120" w:after="0" w:line="240" w:lineRule="auto"/>
        <w:contextualSpacing w:val="0"/>
      </w:pPr>
      <w:r w:rsidRPr="008D6F03">
        <w:t>all submissions and evidence</w:t>
      </w:r>
      <w:r>
        <w:t xml:space="preserve"> provided to the IAC by the proponent, state agencies, local councils and submitters;</w:t>
      </w:r>
      <w:r w:rsidRPr="008D6F03">
        <w:t xml:space="preserve"> </w:t>
      </w:r>
    </w:p>
    <w:p w14:paraId="259C82F9" w14:textId="77777777" w:rsidR="00BD03A0" w:rsidRPr="008D6F03" w:rsidRDefault="00BD03A0" w:rsidP="00847DAB">
      <w:pPr>
        <w:pStyle w:val="ToRAlphaPara"/>
        <w:numPr>
          <w:ilvl w:val="0"/>
          <w:numId w:val="12"/>
        </w:numPr>
        <w:spacing w:before="120" w:after="0" w:line="240" w:lineRule="auto"/>
        <w:contextualSpacing w:val="0"/>
      </w:pPr>
      <w:r w:rsidRPr="008D6F03">
        <w:t>any information provided by the proponent</w:t>
      </w:r>
      <w:r>
        <w:t xml:space="preserve"> and parties</w:t>
      </w:r>
      <w:r w:rsidRPr="008D6F03">
        <w:t xml:space="preserve"> that respond to submissions</w:t>
      </w:r>
      <w:r w:rsidRPr="00275224">
        <w:t xml:space="preserve"> or directions of the </w:t>
      </w:r>
      <w:r>
        <w:t>IAC</w:t>
      </w:r>
      <w:r w:rsidRPr="008D6F03">
        <w:t>; and</w:t>
      </w:r>
    </w:p>
    <w:p w14:paraId="00593E63" w14:textId="77777777" w:rsidR="00BD03A0" w:rsidRPr="008D6F03" w:rsidRDefault="00BD03A0" w:rsidP="00847DAB">
      <w:pPr>
        <w:pStyle w:val="ToRAlphaPara"/>
        <w:numPr>
          <w:ilvl w:val="0"/>
          <w:numId w:val="12"/>
        </w:numPr>
        <w:spacing w:before="120" w:line="240" w:lineRule="auto"/>
        <w:ind w:left="782" w:hanging="357"/>
        <w:contextualSpacing w:val="0"/>
      </w:pPr>
      <w:r w:rsidRPr="008D6F03">
        <w:t>any other relevant information that is provided to, or obtained by, the IAC.</w:t>
      </w:r>
    </w:p>
    <w:p w14:paraId="7ABB0AB8" w14:textId="77777777" w:rsidR="00BD03A0" w:rsidRPr="008D6F03" w:rsidRDefault="00BD03A0" w:rsidP="00BD03A0">
      <w:pPr>
        <w:pStyle w:val="ToRNumberedPara"/>
        <w:spacing w:line="256" w:lineRule="auto"/>
        <w:ind w:left="357" w:hanging="357"/>
        <w:rPr>
          <w:rFonts w:eastAsia="Times"/>
        </w:rPr>
      </w:pPr>
      <w:r w:rsidRPr="008D6F03">
        <w:rPr>
          <w:rFonts w:eastAsia="Times"/>
        </w:rPr>
        <w:t xml:space="preserve">The IAC must conduct its </w:t>
      </w:r>
      <w:r>
        <w:rPr>
          <w:rFonts w:eastAsia="Times"/>
        </w:rPr>
        <w:t>process</w:t>
      </w:r>
      <w:r w:rsidRPr="008D6F03">
        <w:rPr>
          <w:rFonts w:eastAsia="Times"/>
        </w:rPr>
        <w:t xml:space="preserve"> in accordance with the following principles:</w:t>
      </w:r>
    </w:p>
    <w:p w14:paraId="74971BDE" w14:textId="77777777" w:rsidR="00BD03A0" w:rsidRPr="00275224" w:rsidRDefault="00215B6B" w:rsidP="00847DAB">
      <w:pPr>
        <w:pStyle w:val="ToRAlphaPara"/>
        <w:numPr>
          <w:ilvl w:val="0"/>
          <w:numId w:val="13"/>
        </w:numPr>
        <w:spacing w:before="120" w:after="0" w:line="240" w:lineRule="auto"/>
        <w:contextualSpacing w:val="0"/>
      </w:pPr>
      <w:r>
        <w:t>T</w:t>
      </w:r>
      <w:r w:rsidR="00BD03A0" w:rsidRPr="008D6F03">
        <w:t>he public hearing will be conducted in an open, orderly and equitable manner, in accordance with the principles of natural justice</w:t>
      </w:r>
      <w:r w:rsidR="00BD03A0" w:rsidRPr="00275224">
        <w:t>.</w:t>
      </w:r>
    </w:p>
    <w:p w14:paraId="641518F2" w14:textId="77777777" w:rsidR="00BD03A0" w:rsidRPr="008D6F03" w:rsidRDefault="00215B6B" w:rsidP="00847DAB">
      <w:pPr>
        <w:pStyle w:val="ToRAlphaPara"/>
        <w:numPr>
          <w:ilvl w:val="0"/>
          <w:numId w:val="13"/>
        </w:numPr>
        <w:spacing w:before="120" w:after="0" w:line="240" w:lineRule="auto"/>
        <w:contextualSpacing w:val="0"/>
      </w:pPr>
      <w:r>
        <w:t>T</w:t>
      </w:r>
      <w:r w:rsidR="00BD03A0">
        <w:t>he public hearing</w:t>
      </w:r>
      <w:r w:rsidR="00BD03A0" w:rsidRPr="00275224">
        <w:t xml:space="preserve"> will be conducted</w:t>
      </w:r>
      <w:r w:rsidR="00BD03A0" w:rsidRPr="008D6F03">
        <w:t xml:space="preserve"> with a minimum of formality and without legal representation being necessary for parties to be effective participants</w:t>
      </w:r>
      <w:r w:rsidR="00BD03A0" w:rsidRPr="00275224">
        <w:t xml:space="preserve">. </w:t>
      </w:r>
    </w:p>
    <w:p w14:paraId="186ADB27" w14:textId="77777777" w:rsidR="00BD03A0" w:rsidRPr="008D6F03" w:rsidRDefault="00215B6B" w:rsidP="00847DAB">
      <w:pPr>
        <w:pStyle w:val="ToRAlphaPara"/>
        <w:numPr>
          <w:ilvl w:val="0"/>
          <w:numId w:val="13"/>
        </w:numPr>
        <w:spacing w:before="120" w:line="240" w:lineRule="auto"/>
        <w:ind w:left="782" w:hanging="357"/>
        <w:contextualSpacing w:val="0"/>
      </w:pPr>
      <w:r>
        <w:t>T</w:t>
      </w:r>
      <w:r w:rsidR="00BD03A0" w:rsidRPr="00170825">
        <w:t xml:space="preserve">he IAC process is to be exploratory and constructive, with adversarial behaviour discouraged and with cross-examination / questioning regulated by the </w:t>
      </w:r>
      <w:r w:rsidR="00BD03A0">
        <w:t>IAC</w:t>
      </w:r>
      <w:r w:rsidR="00BD03A0" w:rsidRPr="00170825">
        <w:t>.</w:t>
      </w:r>
      <w:r w:rsidR="00BD03A0" w:rsidRPr="008D6F03" w:rsidDel="004B4608">
        <w:t xml:space="preserve"> </w:t>
      </w:r>
    </w:p>
    <w:p w14:paraId="56661579" w14:textId="77777777" w:rsidR="00BD03A0" w:rsidRPr="008D6F03" w:rsidRDefault="00BD03A0" w:rsidP="00BD03A0">
      <w:pPr>
        <w:pStyle w:val="ToRNumberedPara"/>
        <w:spacing w:line="256" w:lineRule="auto"/>
        <w:ind w:left="357" w:hanging="357"/>
        <w:rPr>
          <w:rFonts w:eastAsia="Times"/>
        </w:rPr>
      </w:pPr>
      <w:r w:rsidRPr="008D6F03">
        <w:rPr>
          <w:rFonts w:eastAsia="Times"/>
        </w:rPr>
        <w:t>The IAC may limit the time of parties appearing before it.</w:t>
      </w:r>
    </w:p>
    <w:p w14:paraId="2552A68A" w14:textId="77777777" w:rsidR="00BD03A0" w:rsidRPr="008D6F03" w:rsidRDefault="00BD03A0" w:rsidP="00BD03A0">
      <w:pPr>
        <w:pStyle w:val="ToRNumberedPara"/>
        <w:spacing w:line="256" w:lineRule="auto"/>
        <w:ind w:left="357" w:hanging="357"/>
        <w:rPr>
          <w:rFonts w:eastAsia="Times"/>
        </w:rPr>
      </w:pPr>
      <w:r w:rsidRPr="008D6F03">
        <w:rPr>
          <w:rFonts w:eastAsia="Times"/>
        </w:rPr>
        <w:t>The IAC may direct that a submission or evidence is confidential in nature and the hearing be closed to the public for the purposes of receiving that submission or evidence.</w:t>
      </w:r>
    </w:p>
    <w:p w14:paraId="6ECBBEF7" w14:textId="77777777" w:rsidR="00BD03A0" w:rsidRPr="008D6F03" w:rsidRDefault="00BD03A0" w:rsidP="00BD03A0">
      <w:pPr>
        <w:pStyle w:val="ToRNumberedPara"/>
        <w:spacing w:line="256" w:lineRule="auto"/>
        <w:ind w:left="357" w:hanging="357"/>
        <w:rPr>
          <w:rFonts w:eastAsia="Times"/>
        </w:rPr>
      </w:pPr>
      <w:r w:rsidRPr="008D6F03">
        <w:rPr>
          <w:rFonts w:eastAsia="Times"/>
        </w:rPr>
        <w:t>The IAC may conduct a public hearing when there is a quorum of at least two of its members present or participating through electronic means, one of whom must be the IAC Chair.</w:t>
      </w:r>
    </w:p>
    <w:p w14:paraId="196A0AD6" w14:textId="77777777" w:rsidR="00BD03A0" w:rsidRPr="008D6F03" w:rsidRDefault="00BD03A0" w:rsidP="00BD03A0">
      <w:pPr>
        <w:pStyle w:val="ToRNumberedPara"/>
        <w:spacing w:line="256" w:lineRule="auto"/>
        <w:ind w:left="357" w:hanging="357"/>
        <w:rPr>
          <w:rFonts w:eastAsia="Times"/>
        </w:rPr>
      </w:pPr>
      <w:r>
        <w:rPr>
          <w:rFonts w:eastAsia="Times"/>
        </w:rPr>
        <w:t>I</w:t>
      </w:r>
      <w:r w:rsidRPr="008D6F03">
        <w:rPr>
          <w:rFonts w:eastAsia="Times"/>
        </w:rPr>
        <w:t>f directed by the IAC</w:t>
      </w:r>
      <w:r>
        <w:rPr>
          <w:rFonts w:eastAsia="Times"/>
        </w:rPr>
        <w:t>, r</w:t>
      </w:r>
      <w:r w:rsidRPr="008D6F03">
        <w:rPr>
          <w:rFonts w:eastAsia="Times"/>
        </w:rPr>
        <w:t xml:space="preserve">ecording of the hearing must be undertaken by the proponent. </w:t>
      </w:r>
      <w:r>
        <w:rPr>
          <w:rFonts w:eastAsia="Times"/>
        </w:rPr>
        <w:t xml:space="preserve"> </w:t>
      </w:r>
      <w:r w:rsidRPr="008D6F03">
        <w:rPr>
          <w:rFonts w:eastAsia="Times"/>
        </w:rPr>
        <w:t xml:space="preserve">If recorded, the audio recording will be provided to PPV as a weblink and would </w:t>
      </w:r>
      <w:r w:rsidRPr="00857F14">
        <w:rPr>
          <w:rFonts w:eastAsia="Times"/>
        </w:rPr>
        <w:t>be</w:t>
      </w:r>
      <w:r w:rsidRPr="008D6F03">
        <w:rPr>
          <w:rFonts w:eastAsia="Times"/>
        </w:rPr>
        <w:t xml:space="preserve"> made publicly available as soon as practicable after the conclusion of each day of the hearing, or otherwise as directed by the IAC.</w:t>
      </w:r>
    </w:p>
    <w:p w14:paraId="142E6606" w14:textId="77777777" w:rsidR="00BD03A0" w:rsidRPr="008D6F03" w:rsidRDefault="00BD03A0" w:rsidP="00BD03A0">
      <w:pPr>
        <w:pStyle w:val="ToRNumberedPara"/>
        <w:spacing w:line="256" w:lineRule="auto"/>
        <w:ind w:left="357" w:hanging="357"/>
        <w:rPr>
          <w:rFonts w:eastAsia="Times"/>
        </w:rPr>
      </w:pPr>
      <w:r w:rsidRPr="008D6F03">
        <w:rPr>
          <w:rFonts w:eastAsia="Times"/>
        </w:rPr>
        <w:t>Any other audio recording of the hearing by any other person or organisation may only occur with the prior consent of, and strictly in accordance with, the directions of the IAC.</w:t>
      </w:r>
    </w:p>
    <w:p w14:paraId="530CA315" w14:textId="77777777" w:rsidR="00BD03A0" w:rsidRDefault="00BD03A0" w:rsidP="00BD03A0">
      <w:pPr>
        <w:pStyle w:val="ToRHeading"/>
      </w:pPr>
      <w:r>
        <w:t xml:space="preserve">Stage 3 – Report </w:t>
      </w:r>
    </w:p>
    <w:p w14:paraId="26D95198" w14:textId="77777777" w:rsidR="00BD03A0" w:rsidRPr="008D6F03" w:rsidRDefault="00BD03A0" w:rsidP="00BD03A0">
      <w:pPr>
        <w:pStyle w:val="ToRNumberedPara"/>
        <w:spacing w:line="256" w:lineRule="auto"/>
        <w:ind w:left="357" w:hanging="357"/>
        <w:rPr>
          <w:rFonts w:eastAsia="Times"/>
        </w:rPr>
      </w:pPr>
      <w:r w:rsidRPr="27CC37EA">
        <w:rPr>
          <w:rFonts w:eastAsia="Times"/>
        </w:rPr>
        <w:t xml:space="preserve">The IAC must produce a written report for the Minister for Planning containing </w:t>
      </w:r>
      <w:r>
        <w:rPr>
          <w:rFonts w:eastAsia="Times"/>
        </w:rPr>
        <w:t>its</w:t>
      </w:r>
      <w:r w:rsidRPr="27CC37EA">
        <w:rPr>
          <w:rFonts w:eastAsia="Times"/>
        </w:rPr>
        <w:t>:</w:t>
      </w:r>
    </w:p>
    <w:p w14:paraId="7A1BFC72" w14:textId="77777777" w:rsidR="00BD03A0" w:rsidRPr="00FF279E" w:rsidRDefault="00BD03A0" w:rsidP="00847DAB">
      <w:pPr>
        <w:pStyle w:val="ToRAlphaPara"/>
        <w:numPr>
          <w:ilvl w:val="0"/>
          <w:numId w:val="14"/>
        </w:numPr>
        <w:spacing w:before="120" w:after="0" w:line="240" w:lineRule="auto"/>
        <w:contextualSpacing w:val="0"/>
      </w:pPr>
      <w:r w:rsidRPr="00FF279E">
        <w:t>analysis and conclusions with respect to the environmental effects of the project and their significance and acceptability;</w:t>
      </w:r>
    </w:p>
    <w:p w14:paraId="1EB0A584" w14:textId="77777777" w:rsidR="00BD03A0" w:rsidRDefault="00BD03A0" w:rsidP="00847DAB">
      <w:pPr>
        <w:pStyle w:val="ToRAlphaPara"/>
        <w:numPr>
          <w:ilvl w:val="0"/>
          <w:numId w:val="14"/>
        </w:numPr>
        <w:spacing w:before="120" w:after="0" w:line="240" w:lineRule="auto"/>
        <w:contextualSpacing w:val="0"/>
      </w:pPr>
      <w:r w:rsidRPr="00983A77">
        <w:t xml:space="preserve">findings on whether acceptable environmental outcomes can be achieved, having regard to legislation, policy, best practice, and the principles and objectives of ecologically sustainable development; </w:t>
      </w:r>
    </w:p>
    <w:p w14:paraId="79CA756B" w14:textId="77777777" w:rsidR="00BD03A0" w:rsidRDefault="00BD03A0" w:rsidP="00847DAB">
      <w:pPr>
        <w:pStyle w:val="ToRAlphaPara"/>
        <w:numPr>
          <w:ilvl w:val="0"/>
          <w:numId w:val="14"/>
        </w:numPr>
        <w:spacing w:before="120" w:after="0" w:line="240" w:lineRule="auto"/>
        <w:contextualSpacing w:val="0"/>
      </w:pPr>
      <w:r w:rsidRPr="00DB2651">
        <w:t>recommendations and/or specific measures that it considers necessary and appropriate to prevent, mitigate or offset adverse environmental effects</w:t>
      </w:r>
      <w:r w:rsidRPr="00983A77">
        <w:t xml:space="preserve">; </w:t>
      </w:r>
    </w:p>
    <w:p w14:paraId="67077A1D" w14:textId="77777777" w:rsidR="00BD03A0" w:rsidRDefault="00BD03A0" w:rsidP="00847DAB">
      <w:pPr>
        <w:pStyle w:val="ToRAlphaPara"/>
        <w:numPr>
          <w:ilvl w:val="0"/>
          <w:numId w:val="14"/>
        </w:numPr>
        <w:spacing w:before="120" w:after="0" w:line="240" w:lineRule="auto"/>
        <w:contextualSpacing w:val="0"/>
      </w:pPr>
      <w:r w:rsidRPr="00983A77">
        <w:t xml:space="preserve">recommendations as to any feasible modifications to the design or management of the project that would offer </w:t>
      </w:r>
      <w:r>
        <w:t>improved environmental</w:t>
      </w:r>
      <w:r w:rsidRPr="00983A77">
        <w:t xml:space="preserve"> outcomes; </w:t>
      </w:r>
    </w:p>
    <w:p w14:paraId="24E48846" w14:textId="77777777" w:rsidR="00BD03A0" w:rsidRDefault="00BD03A0" w:rsidP="00847DAB">
      <w:pPr>
        <w:pStyle w:val="ToRAlphaPara"/>
        <w:numPr>
          <w:ilvl w:val="0"/>
          <w:numId w:val="14"/>
        </w:numPr>
        <w:spacing w:before="120" w:after="0" w:line="240" w:lineRule="auto"/>
        <w:contextualSpacing w:val="0"/>
      </w:pPr>
      <w:r w:rsidRPr="0012512C">
        <w:t xml:space="preserve">recommendations for any appropriate conditions that may be lawfully imposed on any approval for the project, including with respect to the content of </w:t>
      </w:r>
      <w:r>
        <w:t>a</w:t>
      </w:r>
      <w:r w:rsidRPr="0012512C">
        <w:t xml:space="preserve"> work plan or conditions that might appropriately be attached to approval of a work plan if issued under the MRSD Act</w:t>
      </w:r>
      <w:r w:rsidRPr="00CA5A12">
        <w:t xml:space="preserve"> </w:t>
      </w:r>
      <w:r w:rsidRPr="00983A77">
        <w:t>or changes that should be made to the draft PSA</w:t>
      </w:r>
      <w:r w:rsidRPr="0012512C">
        <w:t>;</w:t>
      </w:r>
    </w:p>
    <w:p w14:paraId="6E4CA1D2" w14:textId="77777777" w:rsidR="00BD03A0" w:rsidRDefault="00BD03A0" w:rsidP="00847DAB">
      <w:pPr>
        <w:pStyle w:val="ToRAlphaPara"/>
        <w:numPr>
          <w:ilvl w:val="0"/>
          <w:numId w:val="14"/>
        </w:numPr>
        <w:spacing w:before="120" w:after="0" w:line="240" w:lineRule="auto"/>
        <w:contextualSpacing w:val="0"/>
      </w:pPr>
      <w:r w:rsidRPr="00983A77">
        <w:lastRenderedPageBreak/>
        <w:t xml:space="preserve">recommendations as to the structure and content of the proposed environmental management framework, including with respect to monitoring of environmental effects, contingency plans and site rehabilitation; </w:t>
      </w:r>
    </w:p>
    <w:p w14:paraId="0CE8DE91" w14:textId="77777777" w:rsidR="00BD03A0" w:rsidRDefault="00BD03A0" w:rsidP="00847DAB">
      <w:pPr>
        <w:pStyle w:val="ToRAlphaPara"/>
        <w:numPr>
          <w:ilvl w:val="0"/>
          <w:numId w:val="14"/>
        </w:numPr>
        <w:spacing w:before="120" w:after="0" w:line="240" w:lineRule="auto"/>
        <w:contextualSpacing w:val="0"/>
      </w:pPr>
      <w:r w:rsidRPr="00983A77">
        <w:t xml:space="preserve">recommendations with respect to the structure and content of the draft PSA; </w:t>
      </w:r>
      <w:r>
        <w:t>and</w:t>
      </w:r>
    </w:p>
    <w:p w14:paraId="5CAF1C18" w14:textId="77777777" w:rsidR="00BD03A0" w:rsidRPr="00983A77" w:rsidRDefault="00BD03A0" w:rsidP="00847DAB">
      <w:pPr>
        <w:pStyle w:val="ToRAlphaPara"/>
        <w:numPr>
          <w:ilvl w:val="0"/>
          <w:numId w:val="14"/>
        </w:numPr>
        <w:spacing w:before="120" w:line="240" w:lineRule="auto"/>
        <w:ind w:left="782" w:hanging="357"/>
        <w:contextualSpacing w:val="0"/>
      </w:pPr>
      <w:r w:rsidRPr="00983A77">
        <w:t>specific findings and recommendations about the predicted impacts on matters of national environmental significance and their acceptability, including appropriate controls and environmental management.</w:t>
      </w:r>
      <w:r>
        <w:t xml:space="preserve"> </w:t>
      </w:r>
    </w:p>
    <w:p w14:paraId="44D5A022" w14:textId="77777777" w:rsidR="00BD03A0" w:rsidRPr="008D6F03" w:rsidRDefault="00BD03A0" w:rsidP="00BD03A0">
      <w:pPr>
        <w:pStyle w:val="ToRNumberedPara"/>
        <w:spacing w:line="256" w:lineRule="auto"/>
        <w:ind w:left="357" w:hanging="357"/>
        <w:rPr>
          <w:rFonts w:eastAsia="Times"/>
        </w:rPr>
      </w:pPr>
      <w:r w:rsidRPr="008D6F03">
        <w:rPr>
          <w:rFonts w:eastAsia="Times"/>
        </w:rPr>
        <w:t>The report should include:</w:t>
      </w:r>
    </w:p>
    <w:p w14:paraId="526D02E8" w14:textId="77777777" w:rsidR="00BD03A0" w:rsidRPr="008D6F03" w:rsidRDefault="00BD03A0" w:rsidP="00847DAB">
      <w:pPr>
        <w:pStyle w:val="ToRAlphaPara"/>
        <w:numPr>
          <w:ilvl w:val="0"/>
          <w:numId w:val="15"/>
        </w:numPr>
        <w:spacing w:before="120" w:after="0" w:line="240" w:lineRule="auto"/>
        <w:contextualSpacing w:val="0"/>
      </w:pPr>
      <w:r w:rsidRPr="008D6F03">
        <w:t>information and analysis in support of the IAC’s findings and recommendations;</w:t>
      </w:r>
    </w:p>
    <w:p w14:paraId="3B154DDB" w14:textId="77777777" w:rsidR="00BD03A0" w:rsidRPr="008D6F03" w:rsidRDefault="00BD03A0" w:rsidP="00847DAB">
      <w:pPr>
        <w:pStyle w:val="ToRAlphaPara"/>
        <w:numPr>
          <w:ilvl w:val="0"/>
          <w:numId w:val="15"/>
        </w:numPr>
        <w:spacing w:before="120" w:after="0" w:line="240" w:lineRule="auto"/>
        <w:contextualSpacing w:val="0"/>
      </w:pPr>
      <w:r w:rsidRPr="008D6F03">
        <w:t xml:space="preserve">a list of all recommendations, including cross-references to relevant discussions in the report; </w:t>
      </w:r>
    </w:p>
    <w:p w14:paraId="3B58A0A7" w14:textId="77777777" w:rsidR="00BD03A0" w:rsidRPr="008D6F03" w:rsidRDefault="00BD03A0" w:rsidP="00847DAB">
      <w:pPr>
        <w:pStyle w:val="ToRAlphaPara"/>
        <w:numPr>
          <w:ilvl w:val="0"/>
          <w:numId w:val="15"/>
        </w:numPr>
        <w:spacing w:before="120" w:after="0" w:line="240" w:lineRule="auto"/>
        <w:contextualSpacing w:val="0"/>
      </w:pPr>
      <w:r w:rsidRPr="008D6F03">
        <w:t xml:space="preserve">a description of the public hearing conducted by the IAC, and a list of those persons consulted with </w:t>
      </w:r>
      <w:r>
        <w:t xml:space="preserve">or </w:t>
      </w:r>
      <w:r w:rsidRPr="008D6F03">
        <w:t xml:space="preserve">heard; </w:t>
      </w:r>
    </w:p>
    <w:p w14:paraId="5217F531" w14:textId="77777777" w:rsidR="00BD03A0" w:rsidRPr="008D6F03" w:rsidRDefault="00BD03A0" w:rsidP="00847DAB">
      <w:pPr>
        <w:pStyle w:val="ToRAlphaPara"/>
        <w:numPr>
          <w:ilvl w:val="0"/>
          <w:numId w:val="15"/>
        </w:numPr>
        <w:spacing w:before="120" w:after="0" w:line="240" w:lineRule="auto"/>
        <w:contextualSpacing w:val="0"/>
      </w:pPr>
      <w:r w:rsidRPr="008D6F03">
        <w:t>a list of all submitters in response to the exhibited EES; and</w:t>
      </w:r>
    </w:p>
    <w:p w14:paraId="7C26406C" w14:textId="77777777" w:rsidR="00BD03A0" w:rsidRPr="00DD654B" w:rsidRDefault="00BD03A0" w:rsidP="00847DAB">
      <w:pPr>
        <w:pStyle w:val="ToRAlphaPara"/>
        <w:numPr>
          <w:ilvl w:val="0"/>
          <w:numId w:val="15"/>
        </w:numPr>
        <w:spacing w:before="120" w:after="0" w:line="240" w:lineRule="auto"/>
        <w:contextualSpacing w:val="0"/>
      </w:pPr>
      <w:r w:rsidRPr="008D6F03">
        <w:t xml:space="preserve">a list of the documents tabled during the </w:t>
      </w:r>
      <w:r>
        <w:t>proceedings</w:t>
      </w:r>
      <w:r w:rsidRPr="008D6F03">
        <w:t>.</w:t>
      </w:r>
    </w:p>
    <w:p w14:paraId="62827774" w14:textId="77777777" w:rsidR="00BD03A0" w:rsidRPr="00DD654B" w:rsidRDefault="00BD03A0" w:rsidP="00BD03A0">
      <w:pPr>
        <w:pStyle w:val="ToRHeading"/>
      </w:pPr>
      <w:r w:rsidRPr="00DD654B">
        <w:t>Timing</w:t>
      </w:r>
    </w:p>
    <w:p w14:paraId="422D7FAC" w14:textId="77777777" w:rsidR="00BD03A0" w:rsidRPr="00DD654B" w:rsidRDefault="00BD03A0" w:rsidP="00BD03A0">
      <w:pPr>
        <w:pStyle w:val="ToRNumberedPara"/>
        <w:spacing w:line="256" w:lineRule="auto"/>
        <w:ind w:left="357" w:hanging="357"/>
        <w:rPr>
          <w:rFonts w:eastAsia="Times"/>
        </w:rPr>
      </w:pPr>
      <w:r w:rsidRPr="00DD654B">
        <w:rPr>
          <w:rFonts w:eastAsia="Times"/>
        </w:rPr>
        <w:t xml:space="preserve">The </w:t>
      </w:r>
      <w:r>
        <w:rPr>
          <w:rFonts w:eastAsia="Times"/>
        </w:rPr>
        <w:t>IAC</w:t>
      </w:r>
      <w:r w:rsidRPr="00DD654B">
        <w:rPr>
          <w:rFonts w:eastAsia="Times"/>
        </w:rPr>
        <w:t xml:space="preserve"> should hold a directions hearing no later than </w:t>
      </w:r>
      <w:r>
        <w:rPr>
          <w:rFonts w:eastAsia="Times"/>
        </w:rPr>
        <w:t>20</w:t>
      </w:r>
      <w:r w:rsidRPr="00DD654B">
        <w:rPr>
          <w:rFonts w:eastAsia="Times"/>
        </w:rPr>
        <w:t xml:space="preserve"> business days from the final date of the exhibition period.</w:t>
      </w:r>
    </w:p>
    <w:p w14:paraId="6687BDDA" w14:textId="77777777" w:rsidR="00BD03A0" w:rsidRPr="00DD654B" w:rsidRDefault="00BD03A0" w:rsidP="00BD03A0">
      <w:pPr>
        <w:pStyle w:val="ToRNumberedPara"/>
        <w:spacing w:line="256" w:lineRule="auto"/>
        <w:ind w:left="357" w:hanging="357"/>
        <w:rPr>
          <w:rFonts w:eastAsia="Times"/>
        </w:rPr>
      </w:pPr>
      <w:r w:rsidRPr="00DD654B">
        <w:rPr>
          <w:rFonts w:eastAsia="Times"/>
        </w:rPr>
        <w:t xml:space="preserve">The </w:t>
      </w:r>
      <w:r>
        <w:rPr>
          <w:rFonts w:eastAsia="Times"/>
        </w:rPr>
        <w:t>IAC</w:t>
      </w:r>
      <w:r w:rsidRPr="00DD654B">
        <w:rPr>
          <w:rFonts w:eastAsia="Times"/>
        </w:rPr>
        <w:t xml:space="preserve"> should commence the hearing </w:t>
      </w:r>
      <w:r>
        <w:rPr>
          <w:rFonts w:eastAsia="Times"/>
        </w:rPr>
        <w:t>no later than</w:t>
      </w:r>
      <w:r w:rsidRPr="00DD654B">
        <w:rPr>
          <w:rFonts w:eastAsia="Times"/>
        </w:rPr>
        <w:t xml:space="preserve"> </w:t>
      </w:r>
      <w:r>
        <w:rPr>
          <w:rFonts w:eastAsia="Times"/>
        </w:rPr>
        <w:t>5</w:t>
      </w:r>
      <w:r w:rsidRPr="00DD654B">
        <w:rPr>
          <w:rFonts w:eastAsia="Times"/>
        </w:rPr>
        <w:t xml:space="preserve">0 business days from the final date of exhibition period. </w:t>
      </w:r>
    </w:p>
    <w:p w14:paraId="008B4245" w14:textId="77777777" w:rsidR="00BD03A0" w:rsidRPr="00DD654B" w:rsidRDefault="00BD03A0" w:rsidP="00BD03A0">
      <w:pPr>
        <w:pStyle w:val="ToRNumberedPara"/>
        <w:spacing w:line="256" w:lineRule="auto"/>
        <w:ind w:left="357" w:hanging="357"/>
        <w:rPr>
          <w:rFonts w:eastAsia="Times"/>
        </w:rPr>
      </w:pPr>
      <w:r w:rsidRPr="00DD654B">
        <w:rPr>
          <w:rFonts w:eastAsia="Times"/>
        </w:rPr>
        <w:t xml:space="preserve">The </w:t>
      </w:r>
      <w:r>
        <w:rPr>
          <w:rFonts w:eastAsia="Times"/>
        </w:rPr>
        <w:t>IAC</w:t>
      </w:r>
      <w:r w:rsidRPr="00DD654B">
        <w:rPr>
          <w:rFonts w:eastAsia="Times"/>
        </w:rPr>
        <w:t xml:space="preserve"> must submit its report in writing to the Minister for Planning within </w:t>
      </w:r>
      <w:r>
        <w:rPr>
          <w:rFonts w:eastAsia="Times"/>
        </w:rPr>
        <w:t>4</w:t>
      </w:r>
      <w:r w:rsidRPr="00DD654B">
        <w:rPr>
          <w:rFonts w:eastAsia="Times"/>
        </w:rPr>
        <w:t>0 business days from its last day of its proceedings</w:t>
      </w:r>
      <w:r>
        <w:rPr>
          <w:rFonts w:eastAsia="Times"/>
        </w:rPr>
        <w:t>.</w:t>
      </w:r>
    </w:p>
    <w:p w14:paraId="7979FE05" w14:textId="77777777" w:rsidR="00BD03A0" w:rsidRDefault="00BD03A0" w:rsidP="00BD03A0">
      <w:pPr>
        <w:pStyle w:val="ToRNumberedPara"/>
        <w:spacing w:line="256" w:lineRule="auto"/>
        <w:ind w:left="357" w:hanging="357"/>
        <w:rPr>
          <w:rFonts w:eastAsia="Times"/>
        </w:rPr>
      </w:pPr>
      <w:r>
        <w:rPr>
          <w:rFonts w:eastAsia="Times"/>
        </w:rPr>
        <w:t>The DTP’s Impact Assessment Unit must liaise with PPV to agree on the directions hearing and hearing dates, which are to be included on all public notices.</w:t>
      </w:r>
    </w:p>
    <w:p w14:paraId="5813056B" w14:textId="77777777" w:rsidR="00BD03A0" w:rsidRPr="00DD654B" w:rsidRDefault="00BD03A0" w:rsidP="00BD03A0">
      <w:pPr>
        <w:pStyle w:val="ToRHeading"/>
      </w:pPr>
      <w:r w:rsidRPr="00DD654B">
        <w:t xml:space="preserve">Minister’s assessment </w:t>
      </w:r>
    </w:p>
    <w:p w14:paraId="6CC3CC22" w14:textId="77777777" w:rsidR="00BD03A0" w:rsidRDefault="00BD03A0" w:rsidP="00BD03A0">
      <w:pPr>
        <w:pStyle w:val="ToRNumberedPara"/>
        <w:spacing w:line="256" w:lineRule="auto"/>
        <w:ind w:left="357" w:hanging="357"/>
        <w:rPr>
          <w:rFonts w:eastAsia="Times"/>
        </w:rPr>
      </w:pPr>
      <w:r w:rsidRPr="00DD654B">
        <w:rPr>
          <w:rFonts w:eastAsia="Times"/>
        </w:rPr>
        <w:t xml:space="preserve">The Minister for Planning will make </w:t>
      </w:r>
      <w:r>
        <w:rPr>
          <w:rFonts w:eastAsia="Times"/>
        </w:rPr>
        <w:t>an</w:t>
      </w:r>
      <w:r w:rsidRPr="00DD654B">
        <w:rPr>
          <w:rFonts w:eastAsia="Times"/>
        </w:rPr>
        <w:t xml:space="preserve"> assessment of the environmental effects of the project after considering the </w:t>
      </w:r>
      <w:r>
        <w:rPr>
          <w:rFonts w:eastAsia="Times"/>
        </w:rPr>
        <w:t>IAC</w:t>
      </w:r>
      <w:r w:rsidRPr="00DD654B">
        <w:rPr>
          <w:rFonts w:eastAsia="Times"/>
        </w:rPr>
        <w:t>’s report as well as the EES</w:t>
      </w:r>
      <w:r>
        <w:rPr>
          <w:rFonts w:eastAsia="Times"/>
        </w:rPr>
        <w:t>, submissions and any other relevant matters.</w:t>
      </w:r>
    </w:p>
    <w:p w14:paraId="2E7B34A1" w14:textId="77777777" w:rsidR="00BD03A0" w:rsidRDefault="00BD03A0" w:rsidP="00BD03A0">
      <w:pPr>
        <w:pStyle w:val="ToRNumberedPara"/>
        <w:spacing w:line="256" w:lineRule="auto"/>
        <w:ind w:left="357" w:hanging="357"/>
        <w:rPr>
          <w:rFonts w:eastAsia="Times"/>
        </w:rPr>
      </w:pPr>
      <w:r>
        <w:rPr>
          <w:rFonts w:eastAsia="Times"/>
        </w:rPr>
        <w:t>PPV will notify submitters of the release of the Minister for Planning's assessment and IAC report.</w:t>
      </w:r>
    </w:p>
    <w:p w14:paraId="479EDD21" w14:textId="77777777" w:rsidR="00BD03A0" w:rsidRDefault="00BD03A0" w:rsidP="00BD03A0">
      <w:pPr>
        <w:pStyle w:val="ToRHeading"/>
      </w:pPr>
      <w:r>
        <w:t>Fee</w:t>
      </w:r>
    </w:p>
    <w:p w14:paraId="34961042" w14:textId="77777777" w:rsidR="00BD03A0" w:rsidRDefault="00BD03A0" w:rsidP="00BD03A0">
      <w:pPr>
        <w:pStyle w:val="ToRNumberedPara"/>
        <w:spacing w:line="256" w:lineRule="auto"/>
        <w:ind w:left="357" w:hanging="357"/>
        <w:rPr>
          <w:rFonts w:eastAsia="Times"/>
        </w:rPr>
      </w:pPr>
      <w:r>
        <w:rPr>
          <w:rFonts w:eastAsia="Times"/>
        </w:rPr>
        <w:t xml:space="preserve">The fees for the members of the IAC will be set at the current rate for a panel appointed under part 8 of the </w:t>
      </w:r>
      <w:r w:rsidRPr="00D200F4">
        <w:rPr>
          <w:rFonts w:eastAsia="Times"/>
        </w:rPr>
        <w:t>P&amp;E Act</w:t>
      </w:r>
      <w:r>
        <w:rPr>
          <w:rFonts w:eastAsia="Times"/>
        </w:rPr>
        <w:t>.</w:t>
      </w:r>
    </w:p>
    <w:p w14:paraId="7BFA8293" w14:textId="77777777" w:rsidR="00BD03A0" w:rsidRDefault="00BD03A0" w:rsidP="00BD03A0">
      <w:pPr>
        <w:pStyle w:val="ToRNumberedPara"/>
        <w:spacing w:line="256" w:lineRule="auto"/>
        <w:ind w:left="357" w:hanging="357"/>
        <w:rPr>
          <w:rFonts w:eastAsia="Times"/>
        </w:rPr>
      </w:pPr>
      <w:r>
        <w:rPr>
          <w:rFonts w:eastAsia="Times"/>
        </w:rPr>
        <w:t xml:space="preserve">All costs of the IAC, including the costs of obtaining any expert advice, technical administration and legal support, venue hire, accommodation, recording proceedings and other costs must be met by the proponent. </w:t>
      </w:r>
    </w:p>
    <w:p w14:paraId="54702FFF" w14:textId="77777777" w:rsidR="00BD03A0" w:rsidRDefault="00BD03A0" w:rsidP="00BD03A0">
      <w:pPr>
        <w:pStyle w:val="ToRHeading"/>
        <w:rPr>
          <w:rFonts w:eastAsia="Times"/>
        </w:rPr>
      </w:pPr>
      <w:r>
        <w:rPr>
          <w:rFonts w:eastAsia="Times"/>
        </w:rPr>
        <w:t>Miscellaneous</w:t>
      </w:r>
    </w:p>
    <w:p w14:paraId="6EEE275F" w14:textId="77777777" w:rsidR="00BD03A0" w:rsidRDefault="00BD03A0" w:rsidP="00BD03A0">
      <w:pPr>
        <w:pStyle w:val="ToRNumberedPara"/>
        <w:spacing w:line="256" w:lineRule="auto"/>
        <w:ind w:left="357" w:hanging="357"/>
        <w:rPr>
          <w:rFonts w:eastAsia="Times"/>
        </w:rPr>
      </w:pPr>
      <w:r>
        <w:rPr>
          <w:rFonts w:eastAsia="Times"/>
        </w:rPr>
        <w:t xml:space="preserve">The IAC may apply to the Minister for Planning to vary these terms of reference in writing, at any time prior to submission of its report. </w:t>
      </w:r>
    </w:p>
    <w:p w14:paraId="41694A44" w14:textId="77777777" w:rsidR="00BD03A0" w:rsidRDefault="00BD03A0" w:rsidP="00BD03A0">
      <w:pPr>
        <w:pStyle w:val="ToRNumberedPara"/>
        <w:spacing w:line="256" w:lineRule="auto"/>
        <w:ind w:left="357" w:hanging="357"/>
        <w:rPr>
          <w:rFonts w:eastAsia="Times"/>
        </w:rPr>
      </w:pPr>
      <w:r>
        <w:rPr>
          <w:rFonts w:eastAsia="Times"/>
        </w:rPr>
        <w:t>The IAC may retain specialist expert advice, additional technical support and/or legal counsel to assist if considered necessary.</w:t>
      </w:r>
    </w:p>
    <w:p w14:paraId="7F52FC20" w14:textId="77777777" w:rsidR="00BD03A0" w:rsidRPr="00E20E71" w:rsidRDefault="00BD03A0" w:rsidP="00BD03A0">
      <w:pPr>
        <w:pStyle w:val="ToRNumberedPara"/>
        <w:spacing w:line="256" w:lineRule="auto"/>
        <w:ind w:left="357" w:hanging="357"/>
        <w:rPr>
          <w:rFonts w:eastAsia="Times"/>
        </w:rPr>
      </w:pPr>
      <w:r w:rsidRPr="00E20E71">
        <w:rPr>
          <w:rFonts w:eastAsia="Times"/>
        </w:rPr>
        <w:lastRenderedPageBreak/>
        <w:t xml:space="preserve">PPV is to provide any necessary administrative support to the IAC. </w:t>
      </w:r>
      <w:r>
        <w:rPr>
          <w:rFonts w:eastAsia="Times"/>
        </w:rPr>
        <w:t xml:space="preserve"> </w:t>
      </w:r>
      <w:r w:rsidRPr="00E20E71">
        <w:rPr>
          <w:rFonts w:eastAsia="Times"/>
        </w:rPr>
        <w:t xml:space="preserve">In addition, the </w:t>
      </w:r>
      <w:r>
        <w:rPr>
          <w:rFonts w:eastAsia="Times"/>
        </w:rPr>
        <w:t>p</w:t>
      </w:r>
      <w:r w:rsidRPr="00E20E71">
        <w:rPr>
          <w:rFonts w:eastAsia="Times"/>
        </w:rPr>
        <w:t xml:space="preserve">roponent is to provide any necessary administrative or technical support to the IAC in relation to the conduct of the </w:t>
      </w:r>
      <w:r>
        <w:rPr>
          <w:rFonts w:eastAsia="Times"/>
        </w:rPr>
        <w:t>h</w:t>
      </w:r>
      <w:r w:rsidRPr="00E20E71">
        <w:rPr>
          <w:rFonts w:eastAsia="Times"/>
        </w:rPr>
        <w:t>earing (if required).</w:t>
      </w:r>
    </w:p>
    <w:p w14:paraId="2D9F4745" w14:textId="77777777" w:rsidR="00BD03A0" w:rsidRDefault="00BD03A0" w:rsidP="00BD03A0">
      <w:pPr>
        <w:pStyle w:val="Default"/>
        <w:rPr>
          <w:b/>
          <w:bCs/>
          <w:sz w:val="20"/>
          <w:szCs w:val="20"/>
        </w:rPr>
      </w:pPr>
    </w:p>
    <w:p w14:paraId="527DEE6B" w14:textId="77777777" w:rsidR="00BD03A0" w:rsidRDefault="00BD03A0" w:rsidP="00BD03A0">
      <w:pPr>
        <w:pStyle w:val="Default"/>
        <w:rPr>
          <w:b/>
          <w:bCs/>
          <w:sz w:val="20"/>
          <w:szCs w:val="20"/>
        </w:rPr>
      </w:pPr>
    </w:p>
    <w:p w14:paraId="44305C3B" w14:textId="77777777" w:rsidR="00BD03A0" w:rsidRDefault="00BD03A0" w:rsidP="00BD03A0">
      <w:pPr>
        <w:pStyle w:val="Default"/>
        <w:rPr>
          <w:b/>
          <w:bCs/>
          <w:sz w:val="20"/>
          <w:szCs w:val="20"/>
        </w:rPr>
      </w:pPr>
    </w:p>
    <w:p w14:paraId="0E4F29B7" w14:textId="77777777" w:rsidR="00BD03A0" w:rsidRDefault="00BD03A0" w:rsidP="00BD03A0">
      <w:pPr>
        <w:pStyle w:val="Default"/>
        <w:rPr>
          <w:b/>
          <w:bCs/>
          <w:sz w:val="20"/>
          <w:szCs w:val="20"/>
        </w:rPr>
      </w:pPr>
    </w:p>
    <w:p w14:paraId="0E0002A3" w14:textId="77777777" w:rsidR="00BD03A0" w:rsidRDefault="00BD03A0" w:rsidP="00BD03A0">
      <w:pPr>
        <w:pStyle w:val="Default"/>
        <w:rPr>
          <w:sz w:val="20"/>
          <w:szCs w:val="20"/>
        </w:rPr>
      </w:pPr>
      <w:r>
        <w:rPr>
          <w:b/>
          <w:bCs/>
          <w:sz w:val="20"/>
          <w:szCs w:val="20"/>
        </w:rPr>
        <w:t xml:space="preserve">Sonya Kilkenny MP </w:t>
      </w:r>
    </w:p>
    <w:p w14:paraId="3171E0B0" w14:textId="77777777" w:rsidR="00BD03A0" w:rsidRDefault="00BD03A0" w:rsidP="00BD03A0">
      <w:pPr>
        <w:pStyle w:val="Default"/>
        <w:rPr>
          <w:sz w:val="20"/>
          <w:szCs w:val="20"/>
        </w:rPr>
      </w:pPr>
      <w:r>
        <w:rPr>
          <w:b/>
          <w:bCs/>
          <w:sz w:val="20"/>
          <w:szCs w:val="20"/>
        </w:rPr>
        <w:t xml:space="preserve">Minister for Planning </w:t>
      </w:r>
    </w:p>
    <w:p w14:paraId="78C57FA0" w14:textId="77777777" w:rsidR="00BD03A0" w:rsidRDefault="00BD03A0" w:rsidP="00BD03A0"/>
    <w:p w14:paraId="4BBE0619" w14:textId="77777777" w:rsidR="00BD03A0" w:rsidRDefault="00BD03A0" w:rsidP="00BD03A0">
      <w:pPr>
        <w:rPr>
          <w:b/>
        </w:rPr>
      </w:pPr>
      <w:r>
        <w:rPr>
          <w:b/>
        </w:rPr>
        <w:t xml:space="preserve">Date:      /      /      </w:t>
      </w:r>
    </w:p>
    <w:p w14:paraId="53FCD95A" w14:textId="77777777" w:rsidR="00027052" w:rsidRDefault="00027052" w:rsidP="00BD03A0">
      <w:pPr>
        <w:spacing w:before="120"/>
      </w:pPr>
    </w:p>
    <w:p w14:paraId="262B3D98" w14:textId="77777777" w:rsidR="00334882" w:rsidRDefault="00334882" w:rsidP="00BD03A0">
      <w:pPr>
        <w:spacing w:before="120"/>
      </w:pPr>
    </w:p>
    <w:p w14:paraId="63E6B946" w14:textId="77777777" w:rsidR="00334882" w:rsidRDefault="00334882" w:rsidP="00334882">
      <w:pPr>
        <w:spacing w:before="0" w:after="160" w:line="259" w:lineRule="auto"/>
      </w:pPr>
      <w:r>
        <w:br w:type="page"/>
      </w:r>
    </w:p>
    <w:p w14:paraId="255E9018" w14:textId="77777777" w:rsidR="00334882" w:rsidRDefault="00334882" w:rsidP="00334882">
      <w:r>
        <w:lastRenderedPageBreak/>
        <w:t>The following information does not form part the Terms of Reference.</w:t>
      </w:r>
    </w:p>
    <w:p w14:paraId="37CA9E25" w14:textId="77777777" w:rsidR="00334882" w:rsidRDefault="00334882" w:rsidP="00334882">
      <w:pPr>
        <w:rPr>
          <w:highlight w:val="yellow"/>
        </w:rPr>
      </w:pPr>
    </w:p>
    <w:p w14:paraId="7321B878" w14:textId="77777777" w:rsidR="00334882" w:rsidRDefault="00334882" w:rsidP="00334882">
      <w:pPr>
        <w:pStyle w:val="ToRHeading"/>
      </w:pPr>
      <w:r>
        <w:t>Project Management</w:t>
      </w:r>
    </w:p>
    <w:p w14:paraId="6FAEDB49" w14:textId="77777777" w:rsidR="00334882" w:rsidRPr="000F5818" w:rsidRDefault="00334882" w:rsidP="00847DAB">
      <w:pPr>
        <w:pStyle w:val="ToRNumberedPara"/>
        <w:numPr>
          <w:ilvl w:val="0"/>
          <w:numId w:val="17"/>
        </w:numPr>
        <w:spacing w:line="256" w:lineRule="auto"/>
        <w:ind w:left="426"/>
        <w:rPr>
          <w:rFonts w:eastAsia="Times"/>
        </w:rPr>
      </w:pPr>
      <w:r>
        <w:rPr>
          <w:rFonts w:eastAsia="Times"/>
        </w:rPr>
        <w:t xml:space="preserve">For matters regarding the IAC process, please contact </w:t>
      </w:r>
      <w:r w:rsidRPr="00B731D6">
        <w:rPr>
          <w:rFonts w:eastAsia="Times"/>
        </w:rPr>
        <w:t xml:space="preserve">Amy Selvaraj, Senior Project Officer of Planning Panels Victoria, by phone (03) 8624 5714 or email </w:t>
      </w:r>
      <w:hyperlink r:id="rId14" w:history="1">
        <w:r w:rsidRPr="00B731D6">
          <w:rPr>
            <w:rStyle w:val="Hyperlink"/>
            <w:rFonts w:eastAsia="Times"/>
          </w:rPr>
          <w:t>Planning.Panels@delwp.vic.gov.au</w:t>
        </w:r>
      </w:hyperlink>
      <w:r w:rsidRPr="00B731D6">
        <w:rPr>
          <w:rFonts w:eastAsia="Times"/>
        </w:rPr>
        <w:t>.</w:t>
      </w:r>
      <w:r w:rsidRPr="000F5818">
        <w:rPr>
          <w:rFonts w:eastAsia="Times"/>
        </w:rPr>
        <w:t xml:space="preserve">   </w:t>
      </w:r>
    </w:p>
    <w:p w14:paraId="221F7DED" w14:textId="77777777" w:rsidR="00334882" w:rsidRDefault="00334882" w:rsidP="00334882">
      <w:pPr>
        <w:pStyle w:val="ToRNumberedPara"/>
        <w:spacing w:line="256" w:lineRule="auto"/>
        <w:ind w:left="426"/>
        <w:rPr>
          <w:rFonts w:eastAsia="Times"/>
        </w:rPr>
      </w:pPr>
      <w:r>
        <w:rPr>
          <w:rFonts w:eastAsia="Times"/>
        </w:rPr>
        <w:t xml:space="preserve">For matters regarding the EES process please contact the Impact Assessment Unit in DTP by phone (03) 8508 2680 or email </w:t>
      </w:r>
      <w:hyperlink r:id="rId15" w:history="1">
        <w:r>
          <w:rPr>
            <w:rStyle w:val="Hyperlink"/>
            <w:rFonts w:eastAsia="Times"/>
          </w:rPr>
          <w:t>environment.assessment@delwp.vic.gov.au</w:t>
        </w:r>
      </w:hyperlink>
      <w:r>
        <w:rPr>
          <w:rFonts w:eastAsia="Times"/>
        </w:rPr>
        <w:t>.</w:t>
      </w:r>
    </w:p>
    <w:p w14:paraId="2D2EB10F" w14:textId="77777777" w:rsidR="00334882" w:rsidRDefault="00334882" w:rsidP="00334882">
      <w:pPr>
        <w:pStyle w:val="ToRNumberedPara"/>
        <w:numPr>
          <w:ilvl w:val="0"/>
          <w:numId w:val="0"/>
        </w:numPr>
        <w:spacing w:line="256" w:lineRule="auto"/>
        <w:ind w:left="1636" w:hanging="360"/>
        <w:rPr>
          <w:rFonts w:eastAsia="Times"/>
        </w:rPr>
      </w:pPr>
    </w:p>
    <w:p w14:paraId="734B5C9F" w14:textId="77777777" w:rsidR="00334882" w:rsidRDefault="00334882" w:rsidP="00334882">
      <w:pPr>
        <w:pStyle w:val="ToRNumberedPara"/>
        <w:numPr>
          <w:ilvl w:val="0"/>
          <w:numId w:val="0"/>
        </w:numPr>
        <w:spacing w:line="256" w:lineRule="auto"/>
        <w:ind w:left="1636" w:hanging="360"/>
        <w:rPr>
          <w:rFonts w:eastAsia="Times"/>
        </w:rPr>
      </w:pPr>
    </w:p>
    <w:p w14:paraId="2D2D273D" w14:textId="77777777" w:rsidR="00334882" w:rsidRDefault="00334882" w:rsidP="00334882">
      <w:pPr>
        <w:pStyle w:val="ToRNumberedPara"/>
        <w:numPr>
          <w:ilvl w:val="0"/>
          <w:numId w:val="0"/>
        </w:numPr>
        <w:spacing w:line="256" w:lineRule="auto"/>
        <w:ind w:left="1636" w:hanging="360"/>
        <w:rPr>
          <w:rFonts w:eastAsia="Times"/>
        </w:rPr>
      </w:pPr>
    </w:p>
    <w:p w14:paraId="38472328" w14:textId="77777777" w:rsidR="00334882" w:rsidRDefault="00334882" w:rsidP="00334882">
      <w:pPr>
        <w:pStyle w:val="ToRNumberedPara"/>
        <w:numPr>
          <w:ilvl w:val="0"/>
          <w:numId w:val="0"/>
        </w:numPr>
        <w:spacing w:line="256" w:lineRule="auto"/>
        <w:ind w:left="1636" w:hanging="360"/>
        <w:rPr>
          <w:rFonts w:eastAsia="Times"/>
        </w:rPr>
      </w:pPr>
    </w:p>
    <w:p w14:paraId="1C1C80C3" w14:textId="77777777" w:rsidR="00334882" w:rsidRPr="00334882" w:rsidRDefault="00334882" w:rsidP="00334882">
      <w:pPr>
        <w:pStyle w:val="ToRHeading"/>
        <w:rPr>
          <w:rFonts w:eastAsia="Times"/>
          <w:szCs w:val="20"/>
        </w:rPr>
      </w:pPr>
      <w:r>
        <w:rPr>
          <w:rFonts w:eastAsia="Times"/>
        </w:rPr>
        <w:br w:type="page"/>
      </w:r>
      <w:r>
        <w:lastRenderedPageBreak/>
        <w:t>Attachment 1</w:t>
      </w:r>
    </w:p>
    <w:p w14:paraId="0C847A68" w14:textId="77777777" w:rsidR="00334882" w:rsidRDefault="00334882" w:rsidP="00334882">
      <w:pPr>
        <w:jc w:val="both"/>
        <w:rPr>
          <w:b/>
        </w:rPr>
      </w:pPr>
      <w:r>
        <w:rPr>
          <w:b/>
        </w:rPr>
        <w:t xml:space="preserve">Procedures and requirements under section 8B(5) of the </w:t>
      </w:r>
      <w:r>
        <w:rPr>
          <w:b/>
          <w:i/>
        </w:rPr>
        <w:t>Environment Effects Act 1978</w:t>
      </w:r>
    </w:p>
    <w:p w14:paraId="515898C9" w14:textId="77777777" w:rsidR="00334882" w:rsidRPr="006350CE" w:rsidRDefault="00334882" w:rsidP="00334882">
      <w:pPr>
        <w:spacing w:before="1" w:line="288" w:lineRule="auto"/>
        <w:ind w:left="100" w:right="115"/>
        <w:jc w:val="both"/>
      </w:pPr>
      <w:r w:rsidRPr="006350CE">
        <w:t>The</w:t>
      </w:r>
      <w:r w:rsidRPr="006350CE">
        <w:rPr>
          <w:spacing w:val="-5"/>
        </w:rPr>
        <w:t xml:space="preserve"> </w:t>
      </w:r>
      <w:r w:rsidRPr="006350CE">
        <w:t>procedures</w:t>
      </w:r>
      <w:r w:rsidRPr="006350CE">
        <w:rPr>
          <w:spacing w:val="-7"/>
        </w:rPr>
        <w:t xml:space="preserve"> </w:t>
      </w:r>
      <w:r w:rsidRPr="006350CE">
        <w:t>and</w:t>
      </w:r>
      <w:r w:rsidRPr="006350CE">
        <w:rPr>
          <w:spacing w:val="-8"/>
        </w:rPr>
        <w:t xml:space="preserve"> </w:t>
      </w:r>
      <w:r w:rsidRPr="006350CE">
        <w:t>requirements</w:t>
      </w:r>
      <w:r w:rsidRPr="006350CE">
        <w:rPr>
          <w:spacing w:val="-7"/>
        </w:rPr>
        <w:t xml:space="preserve"> </w:t>
      </w:r>
      <w:r w:rsidRPr="006350CE">
        <w:t>applying</w:t>
      </w:r>
      <w:r w:rsidRPr="006350CE">
        <w:rPr>
          <w:spacing w:val="-7"/>
        </w:rPr>
        <w:t xml:space="preserve"> </w:t>
      </w:r>
      <w:r w:rsidRPr="006350CE">
        <w:t>to</w:t>
      </w:r>
      <w:r w:rsidRPr="006350CE">
        <w:rPr>
          <w:spacing w:val="-10"/>
        </w:rPr>
        <w:t xml:space="preserve"> </w:t>
      </w:r>
      <w:r w:rsidRPr="006350CE">
        <w:t>the</w:t>
      </w:r>
      <w:r w:rsidRPr="006350CE">
        <w:rPr>
          <w:spacing w:val="-8"/>
        </w:rPr>
        <w:t xml:space="preserve"> </w:t>
      </w:r>
      <w:r w:rsidRPr="006350CE">
        <w:t>EES,</w:t>
      </w:r>
      <w:r w:rsidRPr="006350CE">
        <w:rPr>
          <w:spacing w:val="-4"/>
        </w:rPr>
        <w:t xml:space="preserve"> </w:t>
      </w:r>
      <w:r w:rsidRPr="006350CE">
        <w:t>in</w:t>
      </w:r>
      <w:r w:rsidRPr="006350CE">
        <w:rPr>
          <w:spacing w:val="-2"/>
        </w:rPr>
        <w:t xml:space="preserve"> </w:t>
      </w:r>
      <w:r w:rsidRPr="006350CE">
        <w:t>accordance</w:t>
      </w:r>
      <w:r w:rsidRPr="006350CE">
        <w:rPr>
          <w:spacing w:val="-8"/>
        </w:rPr>
        <w:t xml:space="preserve"> </w:t>
      </w:r>
      <w:r w:rsidRPr="006350CE">
        <w:t>with</w:t>
      </w:r>
      <w:r w:rsidRPr="006350CE">
        <w:rPr>
          <w:spacing w:val="-10"/>
        </w:rPr>
        <w:t xml:space="preserve"> </w:t>
      </w:r>
      <w:r w:rsidRPr="006350CE">
        <w:t>both</w:t>
      </w:r>
      <w:r w:rsidRPr="006350CE">
        <w:rPr>
          <w:spacing w:val="-8"/>
        </w:rPr>
        <w:t xml:space="preserve"> </w:t>
      </w:r>
      <w:r w:rsidRPr="006350CE">
        <w:t>section</w:t>
      </w:r>
      <w:r w:rsidRPr="006350CE">
        <w:rPr>
          <w:spacing w:val="-7"/>
        </w:rPr>
        <w:t xml:space="preserve"> </w:t>
      </w:r>
      <w:r w:rsidRPr="006350CE">
        <w:t xml:space="preserve">8B(5) of the Act and the </w:t>
      </w:r>
      <w:r w:rsidRPr="006350CE">
        <w:rPr>
          <w:i/>
        </w:rPr>
        <w:t xml:space="preserve">Ministerial guidelines for assessment of environmental effects under the Environment Effects Act 1978 </w:t>
      </w:r>
      <w:r w:rsidRPr="006350CE">
        <w:t>(Ministerial Guidelines), are as</w:t>
      </w:r>
      <w:r w:rsidRPr="006350CE">
        <w:rPr>
          <w:spacing w:val="-11"/>
        </w:rPr>
        <w:t xml:space="preserve"> </w:t>
      </w:r>
      <w:r w:rsidRPr="006350CE">
        <w:t>follows.</w:t>
      </w:r>
    </w:p>
    <w:p w14:paraId="4EEA28EA" w14:textId="77777777" w:rsidR="00334882" w:rsidRDefault="00334882" w:rsidP="00847DAB">
      <w:pPr>
        <w:pStyle w:val="ListParagraph"/>
        <w:widowControl w:val="0"/>
        <w:numPr>
          <w:ilvl w:val="0"/>
          <w:numId w:val="19"/>
        </w:numPr>
        <w:tabs>
          <w:tab w:val="left" w:pos="667"/>
        </w:tabs>
        <w:autoSpaceDE w:val="0"/>
        <w:autoSpaceDN w:val="0"/>
        <w:spacing w:before="0" w:after="0" w:line="288" w:lineRule="auto"/>
        <w:ind w:right="115" w:hanging="566"/>
        <w:contextualSpacing w:val="0"/>
        <w:jc w:val="both"/>
      </w:pPr>
      <w:r w:rsidRPr="006350CE">
        <w:t>The</w:t>
      </w:r>
      <w:r w:rsidRPr="006350CE">
        <w:rPr>
          <w:spacing w:val="-10"/>
        </w:rPr>
        <w:t xml:space="preserve"> </w:t>
      </w:r>
      <w:r w:rsidRPr="006350CE">
        <w:t>EES</w:t>
      </w:r>
      <w:r w:rsidRPr="006350CE">
        <w:rPr>
          <w:spacing w:val="-9"/>
        </w:rPr>
        <w:t xml:space="preserve"> </w:t>
      </w:r>
      <w:r w:rsidRPr="006350CE">
        <w:t>is</w:t>
      </w:r>
      <w:r w:rsidRPr="006350CE">
        <w:rPr>
          <w:spacing w:val="-14"/>
        </w:rPr>
        <w:t xml:space="preserve"> </w:t>
      </w:r>
      <w:r w:rsidRPr="006350CE">
        <w:t>to</w:t>
      </w:r>
      <w:r w:rsidRPr="006350CE">
        <w:rPr>
          <w:spacing w:val="-9"/>
        </w:rPr>
        <w:t xml:space="preserve"> </w:t>
      </w:r>
      <w:r w:rsidRPr="006350CE">
        <w:t>document</w:t>
      </w:r>
      <w:r w:rsidRPr="006350CE">
        <w:rPr>
          <w:spacing w:val="-10"/>
        </w:rPr>
        <w:t xml:space="preserve"> </w:t>
      </w:r>
      <w:r w:rsidRPr="006350CE">
        <w:t>investigations</w:t>
      </w:r>
      <w:r w:rsidRPr="006350CE">
        <w:rPr>
          <w:spacing w:val="-10"/>
        </w:rPr>
        <w:t xml:space="preserve"> </w:t>
      </w:r>
      <w:r w:rsidRPr="006350CE">
        <w:t>and</w:t>
      </w:r>
      <w:r w:rsidRPr="006350CE">
        <w:rPr>
          <w:spacing w:val="-11"/>
        </w:rPr>
        <w:t xml:space="preserve"> </w:t>
      </w:r>
      <w:r w:rsidRPr="006350CE">
        <w:t>avoidance</w:t>
      </w:r>
      <w:r w:rsidRPr="006350CE">
        <w:rPr>
          <w:spacing w:val="-9"/>
        </w:rPr>
        <w:t xml:space="preserve"> </w:t>
      </w:r>
      <w:r w:rsidRPr="006350CE">
        <w:t>of</w:t>
      </w:r>
      <w:r w:rsidRPr="006350CE">
        <w:rPr>
          <w:spacing w:val="-11"/>
        </w:rPr>
        <w:t xml:space="preserve"> </w:t>
      </w:r>
      <w:r w:rsidRPr="006350CE">
        <w:t>potential</w:t>
      </w:r>
      <w:r w:rsidRPr="006350CE">
        <w:rPr>
          <w:spacing w:val="-10"/>
        </w:rPr>
        <w:t xml:space="preserve"> </w:t>
      </w:r>
      <w:r w:rsidRPr="006350CE">
        <w:t>environmental</w:t>
      </w:r>
      <w:r w:rsidRPr="006350CE">
        <w:rPr>
          <w:spacing w:val="-10"/>
        </w:rPr>
        <w:t xml:space="preserve"> </w:t>
      </w:r>
      <w:r w:rsidRPr="006350CE">
        <w:t>effects of</w:t>
      </w:r>
      <w:r w:rsidRPr="006350CE">
        <w:rPr>
          <w:spacing w:val="-5"/>
        </w:rPr>
        <w:t xml:space="preserve"> </w:t>
      </w:r>
      <w:r w:rsidRPr="006350CE">
        <w:t>the</w:t>
      </w:r>
      <w:r w:rsidRPr="006350CE">
        <w:rPr>
          <w:spacing w:val="-6"/>
        </w:rPr>
        <w:t xml:space="preserve"> </w:t>
      </w:r>
      <w:r w:rsidRPr="006350CE">
        <w:t>proposed</w:t>
      </w:r>
      <w:r w:rsidRPr="006350CE">
        <w:rPr>
          <w:spacing w:val="-6"/>
        </w:rPr>
        <w:t xml:space="preserve"> </w:t>
      </w:r>
      <w:r w:rsidRPr="006350CE">
        <w:t>project,</w:t>
      </w:r>
      <w:r w:rsidRPr="006350CE">
        <w:rPr>
          <w:spacing w:val="-5"/>
        </w:rPr>
        <w:t xml:space="preserve"> </w:t>
      </w:r>
      <w:r>
        <w:t>including for any relevant alternatives (such as for the mining extent, methods for mining and processing, water supply and transport of mining outputs), as well as associated environmental avoidance, mitigation and management measures. In particular the EES should address:</w:t>
      </w:r>
    </w:p>
    <w:p w14:paraId="0830874E" w14:textId="77777777" w:rsidR="00334882" w:rsidRDefault="00334882" w:rsidP="00847DAB">
      <w:pPr>
        <w:pStyle w:val="ListParagraph"/>
        <w:numPr>
          <w:ilvl w:val="0"/>
          <w:numId w:val="20"/>
        </w:numPr>
        <w:spacing w:before="0" w:after="0" w:line="259" w:lineRule="auto"/>
        <w:ind w:left="1434" w:hanging="357"/>
        <w:contextualSpacing w:val="0"/>
      </w:pPr>
      <w:r>
        <w:t>Effects on the land uses of the site and surrounding areas, including the implications for agricultural productivity;</w:t>
      </w:r>
    </w:p>
    <w:p w14:paraId="48C37D33" w14:textId="77777777" w:rsidR="00334882" w:rsidRDefault="00334882" w:rsidP="00847DAB">
      <w:pPr>
        <w:pStyle w:val="ListParagraph"/>
        <w:numPr>
          <w:ilvl w:val="0"/>
          <w:numId w:val="20"/>
        </w:numPr>
        <w:spacing w:before="0" w:after="0" w:line="259" w:lineRule="auto"/>
        <w:ind w:left="1434" w:hanging="357"/>
        <w:contextualSpacing w:val="0"/>
      </w:pPr>
      <w:r>
        <w:t>Effects on land stability, erosion and soil productivity associated with the construction and operation of the project, including progressive rehabilitation works;</w:t>
      </w:r>
    </w:p>
    <w:p w14:paraId="0EA6DA68" w14:textId="77777777" w:rsidR="00334882" w:rsidRDefault="00334882" w:rsidP="00847DAB">
      <w:pPr>
        <w:pStyle w:val="ListParagraph"/>
        <w:numPr>
          <w:ilvl w:val="0"/>
          <w:numId w:val="20"/>
        </w:numPr>
        <w:spacing w:before="0" w:after="0" w:line="259" w:lineRule="auto"/>
        <w:ind w:left="1434" w:hanging="357"/>
        <w:contextualSpacing w:val="0"/>
      </w:pPr>
      <w:r>
        <w:t>Effects of project construction and operation on air quality, noise and visual amenity of nearby sensitive receptors (in particular residences);</w:t>
      </w:r>
    </w:p>
    <w:p w14:paraId="32158932" w14:textId="77777777" w:rsidR="00334882" w:rsidRDefault="00334882" w:rsidP="00847DAB">
      <w:pPr>
        <w:pStyle w:val="ListParagraph"/>
        <w:numPr>
          <w:ilvl w:val="0"/>
          <w:numId w:val="20"/>
        </w:numPr>
        <w:spacing w:before="0" w:after="0" w:line="259" w:lineRule="auto"/>
        <w:ind w:left="1434" w:hanging="357"/>
        <w:contextualSpacing w:val="0"/>
      </w:pPr>
      <w:r>
        <w:t>Effects on surface water environments, including local waterways and the broader catchment, as well as groundwater (hydrology, quality, uses and dependent ecosystems);</w:t>
      </w:r>
    </w:p>
    <w:p w14:paraId="7F3D0C97" w14:textId="77777777" w:rsidR="00334882" w:rsidRDefault="00334882" w:rsidP="00847DAB">
      <w:pPr>
        <w:pStyle w:val="ListParagraph"/>
        <w:numPr>
          <w:ilvl w:val="0"/>
          <w:numId w:val="20"/>
        </w:numPr>
        <w:spacing w:before="0" w:after="0" w:line="259" w:lineRule="auto"/>
        <w:ind w:left="1434" w:hanging="357"/>
        <w:contextualSpacing w:val="0"/>
      </w:pPr>
      <w:r>
        <w:t>Solid and liquid waste that might be generated by the project during construction and operation;</w:t>
      </w:r>
    </w:p>
    <w:p w14:paraId="6418FD5B" w14:textId="77777777" w:rsidR="00334882" w:rsidRDefault="00334882" w:rsidP="00847DAB">
      <w:pPr>
        <w:pStyle w:val="ListParagraph"/>
        <w:numPr>
          <w:ilvl w:val="0"/>
          <w:numId w:val="20"/>
        </w:numPr>
        <w:spacing w:before="0" w:after="0" w:line="259" w:lineRule="auto"/>
        <w:ind w:left="1434" w:hanging="357"/>
        <w:contextualSpacing w:val="0"/>
      </w:pPr>
      <w:r>
        <w:t>Both positive and adverse socio-economic effects, at local and regional scales, potentially generated by the project, including increased traffic movement and indirect effects of the project construction workforce on the capacity of local community infrastructure;</w:t>
      </w:r>
    </w:p>
    <w:p w14:paraId="2DBC79AE" w14:textId="77777777" w:rsidR="00334882" w:rsidRDefault="00334882" w:rsidP="00847DAB">
      <w:pPr>
        <w:pStyle w:val="ListParagraph"/>
        <w:numPr>
          <w:ilvl w:val="0"/>
          <w:numId w:val="20"/>
        </w:numPr>
        <w:spacing w:before="0" w:after="0" w:line="259" w:lineRule="auto"/>
        <w:ind w:left="1434" w:hanging="357"/>
        <w:contextualSpacing w:val="0"/>
      </w:pPr>
      <w:r>
        <w:t>Effects on biodiversity and ecological values within and in the vicinity of the site, and associated with adjacent road reserves and crown land, including: native vegetation; listed threatened ecological communities and species of flora and fauna; and other habitats values; and</w:t>
      </w:r>
    </w:p>
    <w:p w14:paraId="3294D816" w14:textId="77777777" w:rsidR="00334882" w:rsidRPr="006350CE" w:rsidRDefault="00334882" w:rsidP="00847DAB">
      <w:pPr>
        <w:pStyle w:val="ListParagraph"/>
        <w:numPr>
          <w:ilvl w:val="0"/>
          <w:numId w:val="20"/>
        </w:numPr>
        <w:spacing w:before="0" w:after="160" w:line="259" w:lineRule="auto"/>
        <w:ind w:left="1440"/>
        <w:contextualSpacing w:val="0"/>
      </w:pPr>
      <w:r>
        <w:t>Effects on Aboriginal and non-Aboriginal cultural heritage values.</w:t>
      </w:r>
    </w:p>
    <w:p w14:paraId="13328F99" w14:textId="77777777" w:rsidR="00334882" w:rsidRPr="001D0E08" w:rsidRDefault="00334882" w:rsidP="00847DAB">
      <w:pPr>
        <w:pStyle w:val="ListParagraph"/>
        <w:widowControl w:val="0"/>
        <w:numPr>
          <w:ilvl w:val="0"/>
          <w:numId w:val="19"/>
        </w:numPr>
        <w:tabs>
          <w:tab w:val="left" w:pos="667"/>
        </w:tabs>
        <w:autoSpaceDE w:val="0"/>
        <w:autoSpaceDN w:val="0"/>
        <w:spacing w:before="0" w:after="0" w:line="288" w:lineRule="auto"/>
        <w:ind w:right="114" w:hanging="566"/>
        <w:contextualSpacing w:val="0"/>
        <w:jc w:val="both"/>
      </w:pPr>
      <w:r w:rsidRPr="001D0E08">
        <w:t>The matters to be investigated and documented in the EES will be set out in detail in scoping requirements prepared by the Department of Environment, Land, Water and Planning (the department).  Draft scoping requirements will be exhibited for 15 business days for public comment, before being finalised and then issued by the Minister for Planning.</w:t>
      </w:r>
    </w:p>
    <w:p w14:paraId="15BB9EA0" w14:textId="77777777" w:rsidR="00334882" w:rsidRPr="000A5E77" w:rsidRDefault="00334882" w:rsidP="00847DAB">
      <w:pPr>
        <w:pStyle w:val="ListParagraph"/>
        <w:widowControl w:val="0"/>
        <w:numPr>
          <w:ilvl w:val="0"/>
          <w:numId w:val="19"/>
        </w:numPr>
        <w:tabs>
          <w:tab w:val="left" w:pos="667"/>
        </w:tabs>
        <w:autoSpaceDE w:val="0"/>
        <w:autoSpaceDN w:val="0"/>
        <w:spacing w:before="0" w:after="0" w:line="288" w:lineRule="auto"/>
        <w:ind w:right="114" w:hanging="566"/>
        <w:contextualSpacing w:val="0"/>
        <w:jc w:val="both"/>
      </w:pPr>
      <w:r w:rsidRPr="000A5E77">
        <w:t>The level of detail of investigation for the EES studies should be consistent with the scoping</w:t>
      </w:r>
      <w:r w:rsidRPr="000A5E77">
        <w:rPr>
          <w:spacing w:val="-11"/>
        </w:rPr>
        <w:t xml:space="preserve"> </w:t>
      </w:r>
      <w:r w:rsidRPr="000A5E77">
        <w:t>requirements</w:t>
      </w:r>
      <w:r w:rsidRPr="000A5E77">
        <w:rPr>
          <w:spacing w:val="-10"/>
        </w:rPr>
        <w:t xml:space="preserve"> issued for this project </w:t>
      </w:r>
      <w:r w:rsidRPr="000A5E77">
        <w:t>and</w:t>
      </w:r>
      <w:r w:rsidRPr="000A5E77">
        <w:rPr>
          <w:spacing w:val="-12"/>
        </w:rPr>
        <w:t xml:space="preserve"> </w:t>
      </w:r>
      <w:r w:rsidRPr="000A5E77">
        <w:t>be</w:t>
      </w:r>
      <w:r w:rsidRPr="000A5E77">
        <w:rPr>
          <w:spacing w:val="-11"/>
        </w:rPr>
        <w:t xml:space="preserve"> </w:t>
      </w:r>
      <w:r w:rsidRPr="000A5E77">
        <w:t>adequate</w:t>
      </w:r>
      <w:r w:rsidRPr="000A5E77">
        <w:rPr>
          <w:spacing w:val="-11"/>
        </w:rPr>
        <w:t xml:space="preserve"> </w:t>
      </w:r>
      <w:r w:rsidRPr="000A5E77">
        <w:t>to</w:t>
      </w:r>
      <w:r w:rsidRPr="000A5E77">
        <w:rPr>
          <w:spacing w:val="-10"/>
        </w:rPr>
        <w:t xml:space="preserve"> </w:t>
      </w:r>
      <w:r w:rsidRPr="000A5E77">
        <w:t>inform</w:t>
      </w:r>
      <w:r w:rsidRPr="000A5E77">
        <w:rPr>
          <w:spacing w:val="-9"/>
        </w:rPr>
        <w:t xml:space="preserve"> </w:t>
      </w:r>
      <w:r w:rsidRPr="000A5E77">
        <w:t>an</w:t>
      </w:r>
      <w:r w:rsidRPr="000A5E77">
        <w:rPr>
          <w:spacing w:val="-6"/>
        </w:rPr>
        <w:t xml:space="preserve"> </w:t>
      </w:r>
      <w:r w:rsidRPr="000A5E77">
        <w:t>assessment of the potential environmental effects (and their acceptability) of the project and any relevant alternatives, in the context of the Ministerial</w:t>
      </w:r>
      <w:r w:rsidRPr="000A5E77">
        <w:rPr>
          <w:spacing w:val="-7"/>
        </w:rPr>
        <w:t xml:space="preserve"> </w:t>
      </w:r>
      <w:r w:rsidRPr="000A5E77">
        <w:t>Guidelines.</w:t>
      </w:r>
    </w:p>
    <w:p w14:paraId="59C122E3" w14:textId="77777777" w:rsidR="00334882" w:rsidRPr="00E0461D" w:rsidRDefault="00334882" w:rsidP="00847DAB">
      <w:pPr>
        <w:pStyle w:val="ListParagraph"/>
        <w:widowControl w:val="0"/>
        <w:numPr>
          <w:ilvl w:val="0"/>
          <w:numId w:val="19"/>
        </w:numPr>
        <w:tabs>
          <w:tab w:val="left" w:pos="667"/>
        </w:tabs>
        <w:autoSpaceDE w:val="0"/>
        <w:autoSpaceDN w:val="0"/>
        <w:spacing w:before="0" w:after="0" w:line="288" w:lineRule="auto"/>
        <w:ind w:right="116" w:hanging="566"/>
        <w:contextualSpacing w:val="0"/>
        <w:jc w:val="both"/>
      </w:pPr>
      <w:r w:rsidRPr="00E0461D">
        <w:t>The</w:t>
      </w:r>
      <w:r w:rsidRPr="00E0461D">
        <w:rPr>
          <w:spacing w:val="-6"/>
        </w:rPr>
        <w:t xml:space="preserve"> </w:t>
      </w:r>
      <w:r w:rsidRPr="00E0461D">
        <w:t>proponent</w:t>
      </w:r>
      <w:r w:rsidRPr="00E0461D">
        <w:rPr>
          <w:spacing w:val="-8"/>
        </w:rPr>
        <w:t xml:space="preserve"> </w:t>
      </w:r>
      <w:r w:rsidRPr="00E0461D">
        <w:t>is</w:t>
      </w:r>
      <w:r w:rsidRPr="00E0461D">
        <w:rPr>
          <w:spacing w:val="-7"/>
        </w:rPr>
        <w:t xml:space="preserve"> </w:t>
      </w:r>
      <w:r w:rsidRPr="00E0461D">
        <w:t>to</w:t>
      </w:r>
      <w:r w:rsidRPr="00E0461D">
        <w:rPr>
          <w:spacing w:val="-9"/>
        </w:rPr>
        <w:t xml:space="preserve"> </w:t>
      </w:r>
      <w:r w:rsidRPr="00E0461D">
        <w:t>prepare</w:t>
      </w:r>
      <w:r w:rsidRPr="00E0461D">
        <w:rPr>
          <w:spacing w:val="-6"/>
        </w:rPr>
        <w:t xml:space="preserve"> </w:t>
      </w:r>
      <w:r w:rsidRPr="00E0461D">
        <w:t>and</w:t>
      </w:r>
      <w:r w:rsidRPr="00E0461D">
        <w:rPr>
          <w:spacing w:val="-8"/>
        </w:rPr>
        <w:t xml:space="preserve"> </w:t>
      </w:r>
      <w:r w:rsidRPr="00E0461D">
        <w:t>submit</w:t>
      </w:r>
      <w:r w:rsidRPr="00E0461D">
        <w:rPr>
          <w:spacing w:val="-10"/>
        </w:rPr>
        <w:t xml:space="preserve"> </w:t>
      </w:r>
      <w:r w:rsidRPr="00E0461D">
        <w:t>to</w:t>
      </w:r>
      <w:r w:rsidRPr="00E0461D">
        <w:rPr>
          <w:spacing w:val="-8"/>
        </w:rPr>
        <w:t xml:space="preserve"> </w:t>
      </w:r>
      <w:r w:rsidRPr="00E0461D">
        <w:t>the</w:t>
      </w:r>
      <w:r w:rsidRPr="00E0461D">
        <w:rPr>
          <w:spacing w:val="-9"/>
        </w:rPr>
        <w:t xml:space="preserve"> </w:t>
      </w:r>
      <w:r w:rsidRPr="00E0461D">
        <w:t>department a draft EES study program to inform the preparation of scoping requirements.</w:t>
      </w:r>
    </w:p>
    <w:p w14:paraId="6164323C" w14:textId="77777777" w:rsidR="00334882" w:rsidRPr="00EC1129" w:rsidRDefault="00334882" w:rsidP="00847DAB">
      <w:pPr>
        <w:pStyle w:val="ListParagraph"/>
        <w:widowControl w:val="0"/>
        <w:numPr>
          <w:ilvl w:val="0"/>
          <w:numId w:val="19"/>
        </w:numPr>
        <w:tabs>
          <w:tab w:val="left" w:pos="667"/>
        </w:tabs>
        <w:autoSpaceDE w:val="0"/>
        <w:autoSpaceDN w:val="0"/>
        <w:spacing w:before="0" w:after="0" w:line="288" w:lineRule="auto"/>
        <w:ind w:right="112" w:hanging="566"/>
        <w:contextualSpacing w:val="0"/>
        <w:jc w:val="both"/>
      </w:pPr>
      <w:r w:rsidRPr="00EC1129">
        <w:t>The department is to convene</w:t>
      </w:r>
      <w:r w:rsidRPr="00EC1129">
        <w:rPr>
          <w:spacing w:val="-15"/>
        </w:rPr>
        <w:t xml:space="preserve"> </w:t>
      </w:r>
      <w:r w:rsidRPr="00EC1129">
        <w:t>an</w:t>
      </w:r>
      <w:r w:rsidRPr="00EC1129">
        <w:rPr>
          <w:spacing w:val="-18"/>
        </w:rPr>
        <w:t xml:space="preserve"> </w:t>
      </w:r>
      <w:r w:rsidRPr="00EC1129">
        <w:t>inter-agency</w:t>
      </w:r>
      <w:r w:rsidRPr="00EC1129">
        <w:rPr>
          <w:spacing w:val="-16"/>
        </w:rPr>
        <w:t xml:space="preserve"> </w:t>
      </w:r>
      <w:r w:rsidRPr="00EC1129">
        <w:t>Technical</w:t>
      </w:r>
      <w:r w:rsidRPr="00EC1129">
        <w:rPr>
          <w:spacing w:val="-18"/>
        </w:rPr>
        <w:t xml:space="preserve"> </w:t>
      </w:r>
      <w:r w:rsidRPr="00EC1129">
        <w:t>Reference</w:t>
      </w:r>
      <w:r w:rsidRPr="00EC1129">
        <w:rPr>
          <w:spacing w:val="-15"/>
        </w:rPr>
        <w:t xml:space="preserve"> </w:t>
      </w:r>
      <w:r w:rsidRPr="00EC1129">
        <w:t>Group</w:t>
      </w:r>
      <w:r w:rsidRPr="00EC1129">
        <w:rPr>
          <w:spacing w:val="-17"/>
        </w:rPr>
        <w:t xml:space="preserve"> </w:t>
      </w:r>
      <w:r w:rsidRPr="00EC1129">
        <w:t>(TRG)</w:t>
      </w:r>
      <w:r w:rsidRPr="00EC1129">
        <w:rPr>
          <w:spacing w:val="-16"/>
        </w:rPr>
        <w:t xml:space="preserve"> </w:t>
      </w:r>
      <w:r w:rsidRPr="00EC1129">
        <w:t>the proponent and the department, as appropriate, on scoping and adequacy of the EES studies during the preparation of the EES, as well as coordination with statutory approval processes.</w:t>
      </w:r>
    </w:p>
    <w:p w14:paraId="5BE8047B" w14:textId="77777777" w:rsidR="00334882" w:rsidRPr="00E33398" w:rsidRDefault="00334882" w:rsidP="00847DAB">
      <w:pPr>
        <w:pStyle w:val="ListParagraph"/>
        <w:widowControl w:val="0"/>
        <w:numPr>
          <w:ilvl w:val="0"/>
          <w:numId w:val="19"/>
        </w:numPr>
        <w:tabs>
          <w:tab w:val="left" w:pos="667"/>
        </w:tabs>
        <w:autoSpaceDE w:val="0"/>
        <w:autoSpaceDN w:val="0"/>
        <w:spacing w:before="0" w:after="0" w:line="288" w:lineRule="auto"/>
        <w:ind w:right="117" w:hanging="566"/>
        <w:contextualSpacing w:val="0"/>
        <w:jc w:val="both"/>
      </w:pPr>
      <w:r w:rsidRPr="00E33398">
        <w:t>The proponent is to prepare and submit to the department its’ proposed EES Consultation Plan for consulting the public and engaging with stakeholders during the preparation of the EES. Once completed to the satisfaction of the department, the EES Consultation Plan is to be implemented by the proponent, having regard to advice from the department and the</w:t>
      </w:r>
      <w:r w:rsidRPr="00E33398">
        <w:rPr>
          <w:spacing w:val="-5"/>
        </w:rPr>
        <w:t xml:space="preserve"> </w:t>
      </w:r>
      <w:r w:rsidRPr="00E33398">
        <w:t>TRG.</w:t>
      </w:r>
    </w:p>
    <w:p w14:paraId="6F00D6F8" w14:textId="77777777" w:rsidR="00334882" w:rsidRPr="00DB1DEE" w:rsidRDefault="00334882" w:rsidP="00847DAB">
      <w:pPr>
        <w:pStyle w:val="ListParagraph"/>
        <w:widowControl w:val="0"/>
        <w:numPr>
          <w:ilvl w:val="0"/>
          <w:numId w:val="19"/>
        </w:numPr>
        <w:tabs>
          <w:tab w:val="left" w:pos="667"/>
        </w:tabs>
        <w:autoSpaceDE w:val="0"/>
        <w:autoSpaceDN w:val="0"/>
        <w:spacing w:before="0" w:after="0" w:line="288" w:lineRule="auto"/>
        <w:ind w:right="117" w:hanging="566"/>
        <w:contextualSpacing w:val="0"/>
        <w:jc w:val="both"/>
      </w:pPr>
      <w:r w:rsidRPr="00DB1DEE">
        <w:t>The proponent is also to prepare and submit to the department its proposed schedule for the studies, preparation and exhibition of the EES, following confirmation of the draft scoping</w:t>
      </w:r>
      <w:r w:rsidRPr="00DB1DEE">
        <w:rPr>
          <w:spacing w:val="1"/>
        </w:rPr>
        <w:t xml:space="preserve"> </w:t>
      </w:r>
      <w:r w:rsidRPr="00DB1DEE">
        <w:t xml:space="preserve">requirements.  This is to enable effective management of the EES process on the basis of an agreed alignment of the </w:t>
      </w:r>
      <w:r w:rsidRPr="00DB1DEE">
        <w:lastRenderedPageBreak/>
        <w:t>proponent’s and department’s schedules, including for TRG review of technical investigations and the EES documentation.</w:t>
      </w:r>
    </w:p>
    <w:p w14:paraId="0E43E4B4" w14:textId="77777777" w:rsidR="00334882" w:rsidRPr="006C51FE" w:rsidRDefault="00334882" w:rsidP="00847DAB">
      <w:pPr>
        <w:pStyle w:val="ListParagraph"/>
        <w:widowControl w:val="0"/>
        <w:numPr>
          <w:ilvl w:val="0"/>
          <w:numId w:val="19"/>
        </w:numPr>
        <w:tabs>
          <w:tab w:val="left" w:pos="667"/>
        </w:tabs>
        <w:autoSpaceDE w:val="0"/>
        <w:autoSpaceDN w:val="0"/>
        <w:spacing w:before="0" w:after="0" w:line="290" w:lineRule="auto"/>
        <w:ind w:right="113" w:hanging="566"/>
        <w:contextualSpacing w:val="0"/>
        <w:jc w:val="both"/>
      </w:pPr>
      <w:r w:rsidRPr="006C51FE">
        <w:t>The</w:t>
      </w:r>
      <w:r w:rsidRPr="006C51FE">
        <w:rPr>
          <w:spacing w:val="-4"/>
        </w:rPr>
        <w:t xml:space="preserve"> </w:t>
      </w:r>
      <w:r w:rsidRPr="006C51FE">
        <w:t>proponent</w:t>
      </w:r>
      <w:r w:rsidRPr="006C51FE">
        <w:rPr>
          <w:spacing w:val="-2"/>
        </w:rPr>
        <w:t xml:space="preserve"> </w:t>
      </w:r>
      <w:r w:rsidRPr="006C51FE">
        <w:t>is</w:t>
      </w:r>
      <w:r w:rsidRPr="006C51FE">
        <w:rPr>
          <w:spacing w:val="-5"/>
        </w:rPr>
        <w:t xml:space="preserve"> </w:t>
      </w:r>
      <w:r w:rsidRPr="006C51FE">
        <w:t>to</w:t>
      </w:r>
      <w:r w:rsidRPr="006C51FE">
        <w:rPr>
          <w:spacing w:val="-6"/>
        </w:rPr>
        <w:t xml:space="preserve"> </w:t>
      </w:r>
      <w:r w:rsidRPr="006C51FE">
        <w:t>apply</w:t>
      </w:r>
      <w:r w:rsidRPr="006C51FE">
        <w:rPr>
          <w:spacing w:val="-3"/>
        </w:rPr>
        <w:t xml:space="preserve"> </w:t>
      </w:r>
      <w:r w:rsidRPr="006C51FE">
        <w:t>appropriate</w:t>
      </w:r>
      <w:r w:rsidRPr="006C51FE">
        <w:rPr>
          <w:spacing w:val="-5"/>
        </w:rPr>
        <w:t xml:space="preserve"> </w:t>
      </w:r>
      <w:r w:rsidRPr="006C51FE">
        <w:t>peer</w:t>
      </w:r>
      <w:r w:rsidRPr="006C51FE">
        <w:rPr>
          <w:spacing w:val="-6"/>
        </w:rPr>
        <w:t xml:space="preserve"> </w:t>
      </w:r>
      <w:r w:rsidRPr="006C51FE">
        <w:t>review</w:t>
      </w:r>
      <w:r w:rsidRPr="006C51FE">
        <w:rPr>
          <w:spacing w:val="-4"/>
        </w:rPr>
        <w:t xml:space="preserve"> </w:t>
      </w:r>
      <w:r w:rsidRPr="006C51FE">
        <w:t>and</w:t>
      </w:r>
      <w:r w:rsidRPr="006C51FE">
        <w:rPr>
          <w:spacing w:val="-3"/>
        </w:rPr>
        <w:t xml:space="preserve"> </w:t>
      </w:r>
      <w:r w:rsidRPr="006C51FE">
        <w:t>quality</w:t>
      </w:r>
      <w:r w:rsidRPr="006C51FE">
        <w:rPr>
          <w:spacing w:val="-6"/>
        </w:rPr>
        <w:t xml:space="preserve"> </w:t>
      </w:r>
      <w:r w:rsidRPr="006C51FE">
        <w:t>management</w:t>
      </w:r>
      <w:r w:rsidRPr="006C51FE">
        <w:rPr>
          <w:spacing w:val="-2"/>
        </w:rPr>
        <w:t xml:space="preserve"> </w:t>
      </w:r>
      <w:r w:rsidRPr="006C51FE">
        <w:t>procedures to enable the completion of EES studies to an acceptable</w:t>
      </w:r>
      <w:r w:rsidRPr="006C51FE">
        <w:rPr>
          <w:spacing w:val="-14"/>
        </w:rPr>
        <w:t xml:space="preserve"> </w:t>
      </w:r>
      <w:r w:rsidRPr="006C51FE">
        <w:t>standard.</w:t>
      </w:r>
    </w:p>
    <w:p w14:paraId="5DA98390" w14:textId="77777777" w:rsidR="00334882" w:rsidRPr="00AA3F19" w:rsidRDefault="00334882" w:rsidP="00847DAB">
      <w:pPr>
        <w:pStyle w:val="ListParagraph"/>
        <w:widowControl w:val="0"/>
        <w:numPr>
          <w:ilvl w:val="0"/>
          <w:numId w:val="19"/>
        </w:numPr>
        <w:tabs>
          <w:tab w:val="left" w:pos="667"/>
        </w:tabs>
        <w:autoSpaceDE w:val="0"/>
        <w:autoSpaceDN w:val="0"/>
        <w:spacing w:before="0" w:after="0" w:line="288" w:lineRule="auto"/>
        <w:ind w:right="115" w:hanging="566"/>
        <w:contextualSpacing w:val="0"/>
        <w:jc w:val="both"/>
      </w:pPr>
      <w:r w:rsidRPr="00AA3F19">
        <w:t>The EES is to be exhibited for a period of 30 business days for public comment, unless the exhibition period spans the Christmas-New Year period, in which case 40 business days will</w:t>
      </w:r>
      <w:r w:rsidRPr="00AA3F19">
        <w:rPr>
          <w:spacing w:val="1"/>
        </w:rPr>
        <w:t xml:space="preserve"> </w:t>
      </w:r>
      <w:r w:rsidRPr="00AA3F19">
        <w:t>apply.</w:t>
      </w:r>
    </w:p>
    <w:p w14:paraId="4B2911AA" w14:textId="77777777" w:rsidR="00334882" w:rsidRPr="00AA3F19" w:rsidRDefault="00334882" w:rsidP="00847DAB">
      <w:pPr>
        <w:pStyle w:val="ListParagraph"/>
        <w:widowControl w:val="0"/>
        <w:numPr>
          <w:ilvl w:val="0"/>
          <w:numId w:val="19"/>
        </w:numPr>
        <w:tabs>
          <w:tab w:val="left" w:pos="667"/>
        </w:tabs>
        <w:autoSpaceDE w:val="0"/>
        <w:autoSpaceDN w:val="0"/>
        <w:spacing w:before="0" w:after="0" w:line="288" w:lineRule="auto"/>
        <w:ind w:right="110" w:hanging="566"/>
        <w:contextualSpacing w:val="0"/>
        <w:jc w:val="both"/>
      </w:pPr>
      <w:r w:rsidRPr="00AA3F19">
        <w:t xml:space="preserve">An inquiry will be appointed under the </w:t>
      </w:r>
      <w:r w:rsidRPr="00AA3F19">
        <w:rPr>
          <w:i/>
        </w:rPr>
        <w:t xml:space="preserve">Environment Effects Act 1978 </w:t>
      </w:r>
      <w:r w:rsidRPr="00AA3F19">
        <w:t>to consider the environmental effects of the</w:t>
      </w:r>
      <w:r w:rsidRPr="00AA3F19">
        <w:rPr>
          <w:spacing w:val="-2"/>
        </w:rPr>
        <w:t xml:space="preserve"> </w:t>
      </w:r>
      <w:r w:rsidRPr="00AA3F19">
        <w:t>proposal.</w:t>
      </w:r>
    </w:p>
    <w:p w14:paraId="0197853F" w14:textId="77777777" w:rsidR="00334882" w:rsidRPr="006350CE" w:rsidRDefault="00334882" w:rsidP="00334882">
      <w:pPr>
        <w:pStyle w:val="BodyText"/>
        <w:spacing w:before="11"/>
        <w:rPr>
          <w:rFonts w:ascii="Arial" w:hAnsi="Arial" w:cs="Arial"/>
        </w:rPr>
      </w:pPr>
    </w:p>
    <w:p w14:paraId="2CDF773D" w14:textId="77777777" w:rsidR="00334882" w:rsidRPr="006350CE" w:rsidRDefault="00334882" w:rsidP="00334882">
      <w:pPr>
        <w:pStyle w:val="Heading1"/>
        <w:rPr>
          <w:rFonts w:ascii="Arial" w:eastAsia="Times New Roman" w:hAnsi="Arial" w:cs="Arial"/>
          <w:b w:val="0"/>
          <w:color w:val="auto"/>
          <w:sz w:val="20"/>
          <w:szCs w:val="20"/>
        </w:rPr>
      </w:pPr>
      <w:r w:rsidRPr="006350CE">
        <w:rPr>
          <w:rFonts w:ascii="Arial" w:eastAsia="Times New Roman" w:hAnsi="Arial" w:cs="Arial"/>
          <w:color w:val="auto"/>
          <w:sz w:val="20"/>
          <w:szCs w:val="20"/>
        </w:rPr>
        <w:t>Notification</w:t>
      </w:r>
    </w:p>
    <w:p w14:paraId="13EE1F3A" w14:textId="77777777" w:rsidR="00334882" w:rsidRPr="006350CE" w:rsidRDefault="00334882" w:rsidP="00334882">
      <w:pPr>
        <w:spacing w:line="288" w:lineRule="auto"/>
        <w:ind w:left="100" w:right="5"/>
      </w:pPr>
      <w:r w:rsidRPr="006350CE">
        <w:t>The following parties</w:t>
      </w:r>
      <w:r>
        <w:t xml:space="preserve"> (proponent and relevant decision-makers)</w:t>
      </w:r>
      <w:r w:rsidRPr="006350CE">
        <w:t xml:space="preserve"> are to be notified of this decision in accordance with sections 8A and 8B(4)(a)(i) of the </w:t>
      </w:r>
      <w:r w:rsidRPr="006350CE">
        <w:rPr>
          <w:i/>
        </w:rPr>
        <w:t>Environment Effects Act 1978</w:t>
      </w:r>
      <w:r w:rsidRPr="006350CE">
        <w:t>:</w:t>
      </w:r>
    </w:p>
    <w:p w14:paraId="3130BEAA"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WIM Resource Pty Ltd (proponent)</w:t>
      </w:r>
    </w:p>
    <w:p w14:paraId="360F3FA3"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Minister for Resources</w:t>
      </w:r>
    </w:p>
    <w:p w14:paraId="02091112"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Minister for Water</w:t>
      </w:r>
    </w:p>
    <w:p w14:paraId="30E087DA"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Minister for Energy, Environment and Climate Change</w:t>
      </w:r>
    </w:p>
    <w:p w14:paraId="30C88566"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Secretary of Department of Jobs, Precincts and Regions</w:t>
      </w:r>
    </w:p>
    <w:p w14:paraId="17B26450"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Secretary of Department of Environment, Land, Water and Planning</w:t>
      </w:r>
    </w:p>
    <w:p w14:paraId="31BF04C4"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Executive Director of Aboriginal Victoria</w:t>
      </w:r>
    </w:p>
    <w:p w14:paraId="0826936C"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Executive Director of Heritage Victoria</w:t>
      </w:r>
    </w:p>
    <w:p w14:paraId="4AF23CE6"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Horsham Rural City Council</w:t>
      </w:r>
    </w:p>
    <w:p w14:paraId="4A1712E7"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Grampians Wimmera Mallee Water Authority</w:t>
      </w:r>
    </w:p>
    <w:p w14:paraId="723D0F77" w14:textId="77777777" w:rsid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pPr>
      <w:r>
        <w:t>Environment Protection Authority</w:t>
      </w:r>
    </w:p>
    <w:p w14:paraId="2B87497C" w14:textId="77777777" w:rsidR="00334882" w:rsidRPr="00334882" w:rsidRDefault="00334882" w:rsidP="00847DAB">
      <w:pPr>
        <w:pStyle w:val="ListParagraph"/>
        <w:widowControl w:val="0"/>
        <w:numPr>
          <w:ilvl w:val="0"/>
          <w:numId w:val="18"/>
        </w:numPr>
        <w:tabs>
          <w:tab w:val="left" w:pos="1024"/>
          <w:tab w:val="left" w:pos="1025"/>
        </w:tabs>
        <w:autoSpaceDE w:val="0"/>
        <w:autoSpaceDN w:val="0"/>
        <w:spacing w:before="54" w:after="0"/>
        <w:contextualSpacing w:val="0"/>
        <w:sectPr w:rsidR="00334882" w:rsidRPr="00334882" w:rsidSect="00334882">
          <w:headerReference w:type="even" r:id="rId16"/>
          <w:headerReference w:type="default" r:id="rId17"/>
          <w:footerReference w:type="even" r:id="rId18"/>
          <w:footerReference w:type="default" r:id="rId19"/>
          <w:headerReference w:type="first" r:id="rId20"/>
          <w:footerReference w:type="first" r:id="rId21"/>
          <w:pgSz w:w="11906" w:h="16838"/>
          <w:pgMar w:top="1790" w:right="1134" w:bottom="1560" w:left="1134" w:header="720" w:footer="691" w:gutter="0"/>
          <w:cols w:space="709"/>
          <w:noEndnote/>
          <w:titlePg/>
          <w:docGrid w:linePitch="326"/>
        </w:sectPr>
      </w:pPr>
      <w:r>
        <w:t>Wimmera Catchment Management Authori</w:t>
      </w:r>
    </w:p>
    <w:p w14:paraId="001ADA44" w14:textId="77777777" w:rsidR="00334882" w:rsidRPr="00027052" w:rsidRDefault="00334882" w:rsidP="00334882">
      <w:pPr>
        <w:spacing w:before="120"/>
      </w:pPr>
    </w:p>
    <w:sectPr w:rsidR="00334882" w:rsidRPr="00027052" w:rsidSect="009827C2">
      <w:headerReference w:type="default" r:id="rId22"/>
      <w:footerReference w:type="default" r:id="rId23"/>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9513" w14:textId="77777777" w:rsidR="004B03AD" w:rsidRDefault="004B03AD" w:rsidP="00C37A29">
      <w:pPr>
        <w:spacing w:after="0"/>
      </w:pPr>
      <w:r>
        <w:separator/>
      </w:r>
    </w:p>
  </w:endnote>
  <w:endnote w:type="continuationSeparator" w:id="0">
    <w:p w14:paraId="0519DC2E" w14:textId="77777777" w:rsidR="004B03AD" w:rsidRDefault="004B03AD"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4147" w14:textId="77777777" w:rsidR="00334882" w:rsidRDefault="00334882">
    <w:pPr>
      <w:pStyle w:val="Footer"/>
    </w:pPr>
  </w:p>
  <w:p w14:paraId="5FADF7DD" w14:textId="77777777" w:rsidR="00334882" w:rsidRDefault="00334882"/>
  <w:p w14:paraId="300AC688" w14:textId="77777777" w:rsidR="00334882" w:rsidRDefault="00334882"/>
  <w:p w14:paraId="286F22CE" w14:textId="77777777" w:rsidR="00334882" w:rsidRDefault="00334882"/>
  <w:p w14:paraId="4A96F2AE" w14:textId="77777777" w:rsidR="00334882" w:rsidRDefault="003348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5064" w14:textId="77777777" w:rsidR="00334882" w:rsidRDefault="006A7E14" w:rsidP="002167AC">
    <w:pPr>
      <w:pStyle w:val="Footer"/>
      <w:jc w:val="center"/>
    </w:pPr>
    <w:sdt>
      <w:sdtPr>
        <w:id w:val="1751084654"/>
        <w:docPartObj>
          <w:docPartGallery w:val="Page Numbers (Bottom of Page)"/>
          <w:docPartUnique/>
        </w:docPartObj>
      </w:sdtPr>
      <w:sdtEndPr/>
      <w:sdtContent>
        <w:sdt>
          <w:sdtPr>
            <w:id w:val="98381352"/>
            <w:docPartObj>
              <w:docPartGallery w:val="Page Numbers (Top of Page)"/>
              <w:docPartUnique/>
            </w:docPartObj>
          </w:sdtPr>
          <w:sdtEndPr/>
          <w:sdtContent>
            <w:r w:rsidR="00334882" w:rsidRPr="001913F7">
              <w:rPr>
                <w:sz w:val="16"/>
                <w:szCs w:val="16"/>
              </w:rPr>
              <w:fldChar w:fldCharType="begin"/>
            </w:r>
            <w:r w:rsidR="00334882" w:rsidRPr="001913F7">
              <w:rPr>
                <w:sz w:val="16"/>
                <w:szCs w:val="16"/>
              </w:rPr>
              <w:instrText xml:space="preserve"> PAGE </w:instrText>
            </w:r>
            <w:r w:rsidR="00334882" w:rsidRPr="001913F7">
              <w:rPr>
                <w:sz w:val="16"/>
                <w:szCs w:val="16"/>
              </w:rPr>
              <w:fldChar w:fldCharType="separate"/>
            </w:r>
            <w:r w:rsidR="00334882">
              <w:rPr>
                <w:noProof/>
                <w:sz w:val="16"/>
                <w:szCs w:val="16"/>
              </w:rPr>
              <w:t>3</w:t>
            </w:r>
            <w:r w:rsidR="00334882" w:rsidRPr="001913F7">
              <w:rPr>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AA6E" w14:textId="77777777" w:rsidR="00334882" w:rsidRPr="004809ED" w:rsidRDefault="00334882" w:rsidP="007C14CB">
    <w:pPr>
      <w:pStyle w:val="Footer"/>
      <w:tabs>
        <w:tab w:val="left" w:pos="8160"/>
      </w:tabs>
      <w:rPr>
        <w:szCs w:val="18"/>
      </w:rPr>
    </w:pPr>
    <w:r>
      <w:rPr>
        <w:noProof/>
      </w:rPr>
      <mc:AlternateContent>
        <mc:Choice Requires="wps">
          <w:drawing>
            <wp:anchor distT="0" distB="0" distL="114300" distR="114300" simplePos="0" relativeHeight="251671552" behindDoc="0" locked="0" layoutInCell="0" allowOverlap="1" wp14:anchorId="53D991F1" wp14:editId="5CC0AF54">
              <wp:simplePos x="0" y="0"/>
              <wp:positionH relativeFrom="page">
                <wp:posOffset>0</wp:posOffset>
              </wp:positionH>
              <wp:positionV relativeFrom="page">
                <wp:posOffset>10228580</wp:posOffset>
              </wp:positionV>
              <wp:extent cx="7560310" cy="273050"/>
              <wp:effectExtent l="0" t="0" r="0" b="12700"/>
              <wp:wrapNone/>
              <wp:docPr id="16" name="MSIPCMa0ba40ebaba518ab5c89fba2"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0273D" w14:textId="77777777" w:rsidR="00334882" w:rsidRPr="00DA5AB6" w:rsidRDefault="00334882" w:rsidP="001661A8">
                          <w:pPr>
                            <w:spacing w:before="0" w:after="0"/>
                            <w:jc w:val="center"/>
                            <w:rPr>
                              <w:rFonts w:ascii="Calibri" w:hAnsi="Calibri" w:cs="Calibri"/>
                              <w:color w:val="000000"/>
                              <w:sz w:val="24"/>
                            </w:rPr>
                          </w:pPr>
                          <w:r w:rsidRPr="00DA5AB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3D991F1" id="_x0000_t202" coordsize="21600,21600" o:spt="202" path="m,l,21600r21600,l21600,xe">
              <v:stroke joinstyle="miter"/>
              <v:path gradientshapeok="t" o:connecttype="rect"/>
            </v:shapetype>
            <v:shape id="MSIPCMa0ba40ebaba518ab5c89fba2" o:spid="_x0000_s1026" type="#_x0000_t202" alt="{&quot;HashCode&quot;:-1264680268,&quot;Height&quot;:841.0,&quot;Width&quot;:595.0,&quot;Placement&quot;:&quot;Footer&quot;,&quot;Index&quot;:&quot;FirstPage&quot;,&quot;Section&quot;:1,&quot;Top&quot;:0.0,&quot;Left&quot;:0.0}" style="position:absolute;margin-left:0;margin-top:805.4pt;width:595.3pt;height:21.5pt;z-index:2516715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C00273D" w14:textId="77777777" w:rsidR="00334882" w:rsidRPr="00DA5AB6" w:rsidRDefault="00334882" w:rsidP="001661A8">
                    <w:pPr>
                      <w:spacing w:before="0" w:after="0"/>
                      <w:jc w:val="center"/>
                      <w:rPr>
                        <w:rFonts w:ascii="Calibri" w:hAnsi="Calibri" w:cs="Calibri"/>
                        <w:color w:val="000000"/>
                        <w:sz w:val="24"/>
                      </w:rPr>
                    </w:pPr>
                    <w:r w:rsidRPr="00DA5AB6">
                      <w:rPr>
                        <w:rFonts w:ascii="Calibri" w:hAnsi="Calibri" w:cs="Calibri"/>
                        <w:color w:val="000000"/>
                        <w:sz w:val="24"/>
                      </w:rPr>
                      <w:t>OFFICIAL</w:t>
                    </w:r>
                  </w:p>
                </w:txbxContent>
              </v:textbox>
              <w10:wrap anchorx="page" anchory="page"/>
            </v:shape>
          </w:pict>
        </mc:Fallback>
      </mc:AlternateContent>
    </w:r>
    <w:r>
      <w:rPr>
        <w:szCs w:val="18"/>
      </w:rPr>
      <w:tab/>
    </w:r>
    <w:r>
      <w:rPr>
        <w:noProof/>
      </w:rPr>
      <w:drawing>
        <wp:inline distT="0" distB="0" distL="0" distR="0" wp14:anchorId="67130F1E" wp14:editId="6137D76D">
          <wp:extent cx="2486025" cy="763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3373" cy="76601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E4FA" w14:textId="77777777" w:rsidR="000D7EE8" w:rsidRDefault="001661A8" w:rsidP="009C006B">
    <w:pPr>
      <w:pStyle w:val="Footer"/>
    </w:pPr>
    <w:r>
      <w:rPr>
        <w:noProof/>
      </w:rPr>
      <mc:AlternateContent>
        <mc:Choice Requires="wps">
          <w:drawing>
            <wp:anchor distT="0" distB="0" distL="114300" distR="114300" simplePos="0" relativeHeight="251672576" behindDoc="0" locked="0" layoutInCell="0" allowOverlap="1" wp14:anchorId="6D692461" wp14:editId="75A595CC">
              <wp:simplePos x="0" y="0"/>
              <wp:positionH relativeFrom="page">
                <wp:posOffset>0</wp:posOffset>
              </wp:positionH>
              <wp:positionV relativeFrom="page">
                <wp:posOffset>10227945</wp:posOffset>
              </wp:positionV>
              <wp:extent cx="7560310" cy="273050"/>
              <wp:effectExtent l="0" t="0" r="0" b="12700"/>
              <wp:wrapNone/>
              <wp:docPr id="18" name="MSIPCM9fb24c919266a6ecc04c2d7c"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BEC78" w14:textId="77777777" w:rsidR="001661A8" w:rsidRPr="001661A8" w:rsidRDefault="001661A8" w:rsidP="001661A8">
                          <w:pPr>
                            <w:spacing w:before="0" w:after="0"/>
                            <w:jc w:val="center"/>
                            <w:rPr>
                              <w:rFonts w:ascii="Calibri" w:hAnsi="Calibri" w:cs="Calibri"/>
                              <w:color w:val="000000"/>
                              <w:sz w:val="24"/>
                            </w:rPr>
                          </w:pPr>
                          <w:r w:rsidRPr="001661A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692461" id="_x0000_t202" coordsize="21600,21600" o:spt="202" path="m,l,21600r21600,l21600,xe">
              <v:stroke joinstyle="miter"/>
              <v:path gradientshapeok="t" o:connecttype="rect"/>
            </v:shapetype>
            <v:shape id="MSIPCM9fb24c919266a6ecc04c2d7c" o:spid="_x0000_s1027" type="#_x0000_t202" alt="{&quot;HashCode&quot;:-1264680268,&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2FBEC78" w14:textId="77777777" w:rsidR="001661A8" w:rsidRPr="001661A8" w:rsidRDefault="001661A8" w:rsidP="001661A8">
                    <w:pPr>
                      <w:spacing w:before="0" w:after="0"/>
                      <w:jc w:val="center"/>
                      <w:rPr>
                        <w:rFonts w:ascii="Calibri" w:hAnsi="Calibri" w:cs="Calibri"/>
                        <w:color w:val="000000"/>
                        <w:sz w:val="24"/>
                      </w:rPr>
                    </w:pPr>
                    <w:r w:rsidRPr="001661A8">
                      <w:rPr>
                        <w:rFonts w:ascii="Calibri" w:hAnsi="Calibri" w:cs="Calibri"/>
                        <w:color w:val="000000"/>
                        <w:sz w:val="24"/>
                      </w:rPr>
                      <w:t>OFFICIAL</w:t>
                    </w:r>
                  </w:p>
                </w:txbxContent>
              </v:textbox>
              <w10:wrap anchorx="page" anchory="page"/>
            </v:shape>
          </w:pict>
        </mc:Fallback>
      </mc:AlternateContent>
    </w:r>
    <w:r w:rsidR="00BD03A0">
      <w:rPr>
        <w:noProof/>
      </w:rPr>
      <mc:AlternateContent>
        <mc:Choice Requires="wps">
          <w:drawing>
            <wp:anchor distT="0" distB="0" distL="114300" distR="114300" simplePos="0" relativeHeight="251665408" behindDoc="0" locked="0" layoutInCell="0" allowOverlap="1" wp14:anchorId="6C7096FD" wp14:editId="365D46B2">
              <wp:simplePos x="0" y="0"/>
              <wp:positionH relativeFrom="page">
                <wp:posOffset>0</wp:posOffset>
              </wp:positionH>
              <wp:positionV relativeFrom="page">
                <wp:posOffset>10227945</wp:posOffset>
              </wp:positionV>
              <wp:extent cx="7560310" cy="273050"/>
              <wp:effectExtent l="0" t="0" r="0" b="12700"/>
              <wp:wrapNone/>
              <wp:docPr id="12" name="MSIPCMd1cc4befba34f24343d3aa46"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F73FE" w14:textId="77777777" w:rsidR="00BD03A0" w:rsidRPr="00BD03A0" w:rsidRDefault="00BD03A0" w:rsidP="00BD03A0">
                          <w:pPr>
                            <w:spacing w:before="0" w:after="0"/>
                            <w:jc w:val="center"/>
                            <w:rPr>
                              <w:rFonts w:ascii="Calibri" w:hAnsi="Calibri" w:cs="Calibri"/>
                              <w:color w:val="000000"/>
                              <w:sz w:val="24"/>
                            </w:rPr>
                          </w:pPr>
                          <w:r w:rsidRPr="00BD03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7096FD" id="MSIPCMd1cc4befba34f24343d3aa46" o:spid="_x0000_s1028" type="#_x0000_t202" alt="{&quot;HashCode&quot;:-1264680268,&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45DF73FE" w14:textId="77777777" w:rsidR="00BD03A0" w:rsidRPr="00BD03A0" w:rsidRDefault="00BD03A0" w:rsidP="00BD03A0">
                    <w:pPr>
                      <w:spacing w:before="0" w:after="0"/>
                      <w:jc w:val="center"/>
                      <w:rPr>
                        <w:rFonts w:ascii="Calibri" w:hAnsi="Calibri" w:cs="Calibri"/>
                        <w:color w:val="000000"/>
                        <w:sz w:val="24"/>
                      </w:rPr>
                    </w:pPr>
                    <w:r w:rsidRPr="00BD03A0">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8DF6A39"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16040F9B"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4D77D69"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49F2F64B" w14:textId="77777777" w:rsidR="004B7536" w:rsidRDefault="004B7536" w:rsidP="009C006B">
          <w:pPr>
            <w:pStyle w:val="Footer"/>
          </w:pPr>
        </w:p>
      </w:tc>
    </w:tr>
    <w:tr w:rsidR="004B7536" w:rsidRPr="00F459F3" w14:paraId="573F9CF0"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DFAD16A"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C8A97B8C8A314900AD852D986244F5E5"/>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1A40BF01" w14:textId="77777777" w:rsidR="004B7536" w:rsidRPr="009C006B" w:rsidRDefault="006F68BC"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Terms of Reference</w:t>
              </w:r>
            </w:p>
          </w:sdtContent>
        </w:sdt>
        <w:p w14:paraId="40EC47A1" w14:textId="77777777" w:rsidR="004B7536" w:rsidRDefault="00DA209D" w:rsidP="009C006B">
          <w:pPr>
            <w:pStyle w:val="Footer"/>
            <w:cnfStyle w:val="000000000000" w:firstRow="0" w:lastRow="0" w:firstColumn="0" w:lastColumn="0" w:oddVBand="0" w:evenVBand="0" w:oddHBand="0" w:evenHBand="0" w:firstRowFirstColumn="0" w:firstRowLastColumn="0" w:lastRowFirstColumn="0" w:lastRowLastColumn="0"/>
          </w:pPr>
          <w:r>
            <w:t xml:space="preserve"> </w:t>
          </w:r>
          <w:sdt>
            <w:sdtPr>
              <w:alias w:val="Subject"/>
              <w:tag w:val=""/>
              <w:id w:val="244228787"/>
              <w:placeholder>
                <w:docPart w:val="A2277BE5D5024A1DB9774CF36863F65B"/>
              </w:placeholder>
              <w:dataBinding w:prefixMappings="xmlns:ns0='http://purl.org/dc/elements/1.1/' xmlns:ns1='http://schemas.openxmlformats.org/package/2006/metadata/core-properties' " w:xpath="/ns1:coreProperties[1]/ns0:subject[1]" w:storeItemID="{6C3C8BC8-F283-45AE-878A-BAB7291924A1}"/>
              <w:text/>
            </w:sdtPr>
            <w:sdtEndPr/>
            <w:sdtContent>
              <w:r w:rsidR="00BD03A0">
                <w:t xml:space="preserve">Avonbank Mineral Sands </w:t>
              </w:r>
              <w:r w:rsidR="00D63085">
                <w:t xml:space="preserve">Project </w:t>
              </w:r>
              <w:r w:rsidR="00BD03A0">
                <w:t>Inquiry and Advisory Committee</w:t>
              </w:r>
            </w:sdtContent>
          </w:sdt>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4384C328"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3E748100" w14:textId="77777777" w:rsidR="009C006B" w:rsidRPr="0042508F" w:rsidRDefault="00B25C36" w:rsidP="009C006B">
    <w:pPr>
      <w:pStyle w:val="Footer"/>
    </w:pPr>
    <w:r>
      <w:rPr>
        <w:noProof/>
      </w:rPr>
      <w:drawing>
        <wp:inline distT="0" distB="0" distL="0" distR="0" wp14:anchorId="336DEBF6" wp14:editId="1B021948">
          <wp:extent cx="0" cy="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8D341E">
      <w:rPr>
        <w:noProof/>
      </w:rPr>
      <w:drawing>
        <wp:inline distT="0" distB="0" distL="0" distR="0" wp14:anchorId="3A909BA0" wp14:editId="58AF1301">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D11EBB">
      <w:rPr>
        <w:noProof/>
      </w:rPr>
      <w:drawing>
        <wp:inline distT="0" distB="0" distL="0" distR="0" wp14:anchorId="4F78EAF3" wp14:editId="6CDA4118">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BB85" w14:textId="77777777" w:rsidR="004B03AD" w:rsidRDefault="004B03AD" w:rsidP="00C37A29">
      <w:pPr>
        <w:spacing w:after="0"/>
      </w:pPr>
      <w:r>
        <w:separator/>
      </w:r>
    </w:p>
  </w:footnote>
  <w:footnote w:type="continuationSeparator" w:id="0">
    <w:p w14:paraId="4447DD5E" w14:textId="77777777" w:rsidR="004B03AD" w:rsidRDefault="004B03AD"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A63E" w14:textId="77777777" w:rsidR="00334882" w:rsidRDefault="00334882">
    <w:pPr>
      <w:pStyle w:val="Header"/>
    </w:pPr>
  </w:p>
  <w:p w14:paraId="4695615B" w14:textId="77777777" w:rsidR="00334882" w:rsidRDefault="00334882"/>
  <w:p w14:paraId="6BC4A8D0" w14:textId="77777777" w:rsidR="00334882" w:rsidRDefault="00334882"/>
  <w:p w14:paraId="728D1BB6" w14:textId="77777777" w:rsidR="00334882" w:rsidRDefault="00334882"/>
  <w:p w14:paraId="2A6D018A" w14:textId="77777777" w:rsidR="00334882" w:rsidRDefault="003348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80FD" w14:textId="77777777" w:rsidR="00334882" w:rsidRDefault="00334882" w:rsidP="00476324">
    <w:pPr>
      <w:pStyle w:val="Header"/>
      <w:pBdr>
        <w:bottom w:val="single" w:sz="4" w:space="1" w:color="auto"/>
      </w:pBdr>
      <w:jc w:val="center"/>
      <w:rPr>
        <w:sz w:val="18"/>
        <w:szCs w:val="18"/>
      </w:rPr>
    </w:pPr>
    <w:r w:rsidRPr="001913F7">
      <w:rPr>
        <w:sz w:val="18"/>
        <w:szCs w:val="18"/>
      </w:rPr>
      <w:t>Terms of Reference</w:t>
    </w:r>
  </w:p>
  <w:p w14:paraId="55206A90" w14:textId="437EF8A0" w:rsidR="00334882" w:rsidRPr="001913F7" w:rsidRDefault="00334882" w:rsidP="00476324">
    <w:pPr>
      <w:pStyle w:val="Header"/>
      <w:pBdr>
        <w:bottom w:val="single" w:sz="4" w:space="1" w:color="auto"/>
      </w:pBdr>
      <w:jc w:val="center"/>
      <w:rPr>
        <w:sz w:val="18"/>
        <w:szCs w:val="18"/>
      </w:rPr>
    </w:pPr>
    <w:r>
      <w:rPr>
        <w:sz w:val="18"/>
        <w:szCs w:val="18"/>
      </w:rPr>
      <w:t>Avonbank Mineral Sands Project Inquiry and Advisory Committee</w:t>
    </w:r>
    <w:r>
      <w:rPr>
        <w:sz w:val="18"/>
        <w:szCs w:val="18"/>
      </w:rPr>
      <w:fldChar w:fldCharType="begin"/>
    </w:r>
    <w:r>
      <w:rPr>
        <w:sz w:val="18"/>
        <w:szCs w:val="18"/>
      </w:rPr>
      <w:instrText xml:space="preserve"> STYLEREF  "Body Text"  \* MERGEFORMAT </w:instrText>
    </w:r>
    <w:r>
      <w:rPr>
        <w:sz w:val="18"/>
        <w:szCs w:val="18"/>
      </w:rPr>
      <w:fldChar w:fldCharType="end"/>
    </w:r>
  </w:p>
  <w:p w14:paraId="57A4EB81" w14:textId="77777777" w:rsidR="00334882" w:rsidRDefault="003348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EE61" w14:textId="77777777" w:rsidR="00334882" w:rsidRPr="00570CA1" w:rsidRDefault="00334882" w:rsidP="00BA02C9">
    <w:pPr>
      <w:pStyle w:val="Header"/>
      <w:spacing w:before="180"/>
      <w:jc w:val="center"/>
    </w:pPr>
    <w:r>
      <w:rPr>
        <w:noProof/>
      </w:rPr>
      <mc:AlternateContent>
        <mc:Choice Requires="wps">
          <w:drawing>
            <wp:anchor distT="0" distB="0" distL="114300" distR="114300" simplePos="0" relativeHeight="251669504" behindDoc="1" locked="0" layoutInCell="1" allowOverlap="1" wp14:anchorId="1FB2BF7C" wp14:editId="2768C8F9">
              <wp:simplePos x="0" y="0"/>
              <wp:positionH relativeFrom="page">
                <wp:posOffset>720090</wp:posOffset>
              </wp:positionH>
              <wp:positionV relativeFrom="page">
                <wp:posOffset>236855</wp:posOffset>
              </wp:positionV>
              <wp:extent cx="864235" cy="899795"/>
              <wp:effectExtent l="5715" t="8255" r="6350" b="635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864000 w 1339"/>
                          <a:gd name="T1" fmla="*/ 900000 h 1419"/>
                          <a:gd name="T2" fmla="*/ 431677 w 1339"/>
                          <a:gd name="T3" fmla="*/ 0 h 1419"/>
                          <a:gd name="T4" fmla="*/ 0 w 1339"/>
                          <a:gd name="T5" fmla="*/ 900000 h 1419"/>
                          <a:gd name="T6" fmla="*/ 864000 w 1339"/>
                          <a:gd name="T7" fmla="*/ 90000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9" h="1419">
                            <a:moveTo>
                              <a:pt x="1339" y="1419"/>
                            </a:moveTo>
                            <a:lnTo>
                              <a:pt x="669" y="0"/>
                            </a:lnTo>
                            <a:lnTo>
                              <a:pt x="0" y="1419"/>
                            </a:lnTo>
                            <a:lnTo>
                              <a:pt x="1339" y="1419"/>
                            </a:lnTo>
                            <a:close/>
                          </a:path>
                        </a:pathLst>
                      </a:custGeom>
                      <a:solidFill>
                        <a:srgbClr val="201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BF863" id="Freeform 4" o:spid="_x0000_s1026" style="position:absolute;margin-left:56.7pt;margin-top:18.65pt;width:68.05pt;height:7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" path="m1339,1419l669,,,1419r1339,xe" fillcolor="#201547" stroked="f">
              <v:path arrowok="t" o:connecttype="custom" o:connectlocs="557654249,570694503;278618650,0;0,570694503;557654249,570694503" o:connectangles="0,0,0,0"/>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79F2B286" wp14:editId="6EB7B61D">
              <wp:simplePos x="0" y="0"/>
              <wp:positionH relativeFrom="page">
                <wp:posOffset>288290</wp:posOffset>
              </wp:positionH>
              <wp:positionV relativeFrom="page">
                <wp:posOffset>236855</wp:posOffset>
              </wp:positionV>
              <wp:extent cx="864235" cy="899795"/>
              <wp:effectExtent l="2540" t="8255" r="0" b="6350"/>
              <wp:wrapNone/>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4"/>
                          <a:gd name="T1" fmla="*/ 0 h 1419"/>
                          <a:gd name="T2" fmla="*/ 430705 w 1334"/>
                          <a:gd name="T3" fmla="*/ 900000 h 1419"/>
                          <a:gd name="T4" fmla="*/ 864000 w 1334"/>
                          <a:gd name="T5" fmla="*/ 0 h 1419"/>
                          <a:gd name="T6" fmla="*/ 0 w 1334"/>
                          <a:gd name="T7" fmla="*/ 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4" h="1419">
                            <a:moveTo>
                              <a:pt x="0" y="0"/>
                            </a:moveTo>
                            <a:lnTo>
                              <a:pt x="665" y="1419"/>
                            </a:lnTo>
                            <a:lnTo>
                              <a:pt x="1334" y="0"/>
                            </a:lnTo>
                            <a:lnTo>
                              <a:pt x="0" y="0"/>
                            </a:lnTo>
                            <a:close/>
                          </a:path>
                        </a:pathLst>
                      </a:custGeom>
                      <a:solidFill>
                        <a:srgbClr val="7973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D1A64" id="Freeform 3" o:spid="_x0000_s1026" style="position:absolute;margin-left:22.7pt;margin-top:18.65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" path="m,l665,1419,1334,,,xe" fillcolor="#797391" stroked="f">
              <v:path arrowok="t" o:connecttype="custom" o:connectlocs="0,0;279033235,570694503;559744408,0;0,0" o:connectangles="0,0,0,0"/>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8D2650F" wp14:editId="5A7BA0ED">
              <wp:simplePos x="0" y="0"/>
              <wp:positionH relativeFrom="page">
                <wp:posOffset>288290</wp:posOffset>
              </wp:positionH>
              <wp:positionV relativeFrom="page">
                <wp:posOffset>236855</wp:posOffset>
              </wp:positionV>
              <wp:extent cx="7019925" cy="899795"/>
              <wp:effectExtent l="254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rgbClr val="00B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94BAF4" id="Rectangle 15" o:spid="_x0000_s1026" style="position:absolute;margin-left:22.7pt;margin-top:18.65pt;width:552.7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" fillcolor="#00b2a9" stroked="f">
              <w10:wrap anchorx="page" anchory="page"/>
            </v:rect>
          </w:pict>
        </mc:Fallback>
      </mc:AlternateContent>
    </w:r>
    <w:r>
      <w:rPr>
        <w:color w:val="FFFFFF" w:themeColor="background1"/>
        <w:spacing w:val="-10"/>
        <w:sz w:val="40"/>
        <w:szCs w:val="40"/>
      </w:rPr>
      <w:t>Terms of Reference</w:t>
    </w:r>
  </w:p>
  <w:p w14:paraId="38F3B21E" w14:textId="77777777" w:rsidR="00334882" w:rsidRPr="00D6140A" w:rsidRDefault="00334882" w:rsidP="005331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339271914"/>
      <w:lock w:val="contentLocked"/>
      <w:placeholder>
        <w:docPart w:val="C29E85E834E44C7AB311DE34E627781F"/>
      </w:placeholder>
      <w:group/>
    </w:sdtPr>
    <w:sdtEndPr/>
    <w:sdtContent>
      <w:p w14:paraId="518CFC18"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36504F28" wp14:editId="41F99436">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4"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B946243"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AKxPMQ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1EB7BDED" wp14:editId="09FDEC91">
                  <wp:simplePos x="0" y="0"/>
                  <wp:positionH relativeFrom="page">
                    <wp:align>left</wp:align>
                  </wp:positionH>
                  <wp:positionV relativeFrom="page">
                    <wp:align>top</wp:align>
                  </wp:positionV>
                  <wp:extent cx="288000" cy="1080000"/>
                  <wp:effectExtent l="0" t="0" r="0" b="6350"/>
                  <wp:wrapNone/>
                  <wp:docPr id="2"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B7D33"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5A5E93"/>
    <w:multiLevelType w:val="multilevel"/>
    <w:tmpl w:val="1646C884"/>
    <w:numStyleLink w:val="Bullets"/>
  </w:abstractNum>
  <w:abstractNum w:abstractNumId="3"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348522E"/>
    <w:multiLevelType w:val="hybridMultilevel"/>
    <w:tmpl w:val="8444BE36"/>
    <w:lvl w:ilvl="0" w:tplc="7B6EB80C">
      <w:start w:val="1"/>
      <w:numFmt w:val="decimal"/>
      <w:pStyle w:val="Normalnum"/>
      <w:lvlText w:val="%1."/>
      <w:lvlJc w:val="left"/>
      <w:pPr>
        <w:tabs>
          <w:tab w:val="num" w:pos="720"/>
        </w:tabs>
        <w:ind w:left="720" w:hanging="360"/>
      </w:pPr>
    </w:lvl>
    <w:lvl w:ilvl="1" w:tplc="0C090003">
      <w:start w:val="1"/>
      <w:numFmt w:val="lowerLetter"/>
      <w:lvlText w:val="%2."/>
      <w:lvlJc w:val="left"/>
      <w:pPr>
        <w:tabs>
          <w:tab w:val="num" w:pos="1440"/>
        </w:tabs>
        <w:ind w:left="1440" w:hanging="360"/>
      </w:pPr>
    </w:lvl>
    <w:lvl w:ilvl="2" w:tplc="0C090019">
      <w:start w:val="1"/>
      <w:numFmt w:val="lowerLetter"/>
      <w:lvlText w:val="%3."/>
      <w:lvlJc w:val="left"/>
      <w:pPr>
        <w:tabs>
          <w:tab w:val="num" w:pos="2340"/>
        </w:tabs>
        <w:ind w:left="2340" w:hanging="360"/>
      </w:pPr>
      <w:rPr>
        <w:rFonts w:hint="default"/>
        <w:sz w:val="22"/>
      </w:rPr>
    </w:lvl>
    <w:lvl w:ilvl="3" w:tplc="0C090001">
      <w:start w:val="1"/>
      <w:numFmt w:val="none"/>
      <w:pStyle w:val="Parah0letter"/>
      <w:lvlText w:val="ii."/>
      <w:lvlJc w:val="left"/>
      <w:pPr>
        <w:tabs>
          <w:tab w:val="num" w:pos="2877"/>
        </w:tabs>
        <w:ind w:left="2877" w:hanging="357"/>
      </w:pPr>
      <w:rPr>
        <w:rFonts w:hint="default"/>
      </w:rPr>
    </w:lvl>
    <w:lvl w:ilvl="4" w:tplc="8D34A9D2">
      <w:start w:val="1"/>
      <w:numFmt w:val="bullet"/>
      <w:lvlText w:val="-"/>
      <w:lvlJc w:val="left"/>
      <w:pPr>
        <w:ind w:left="3600" w:hanging="360"/>
      </w:pPr>
      <w:rPr>
        <w:rFonts w:ascii="Calibri" w:eastAsia="Times New Roman" w:hAnsi="Calibri" w:cstheme="minorHAnsi" w:hint="default"/>
        <w:color w:val="CEDC00" w:themeColor="accent1"/>
      </w:rPr>
    </w:lvl>
    <w:lvl w:ilvl="5" w:tplc="B7E4163A">
      <w:start w:val="1"/>
      <w:numFmt w:val="lowerRoman"/>
      <w:lvlText w:val="%6)"/>
      <w:lvlJc w:val="left"/>
      <w:pPr>
        <w:ind w:left="1145" w:hanging="720"/>
      </w:pPr>
      <w:rPr>
        <w:rFonts w:hint="default"/>
        <w:color w:val="CEDC00" w:themeColor="accent1"/>
      </w:r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DD4BC1"/>
    <w:multiLevelType w:val="hybridMultilevel"/>
    <w:tmpl w:val="C0E0CEE6"/>
    <w:lvl w:ilvl="0" w:tplc="CD6C53A6">
      <w:numFmt w:val="bullet"/>
      <w:lvlText w:val=""/>
      <w:lvlJc w:val="left"/>
      <w:pPr>
        <w:ind w:left="1024" w:hanging="358"/>
      </w:pPr>
      <w:rPr>
        <w:rFonts w:ascii="Symbol" w:eastAsia="Symbol" w:hAnsi="Symbol" w:cs="Symbol" w:hint="default"/>
        <w:w w:val="100"/>
        <w:sz w:val="24"/>
        <w:szCs w:val="24"/>
        <w:lang w:val="en-AU" w:eastAsia="en-AU" w:bidi="en-AU"/>
      </w:rPr>
    </w:lvl>
    <w:lvl w:ilvl="1" w:tplc="809C5E26">
      <w:numFmt w:val="bullet"/>
      <w:lvlText w:val="•"/>
      <w:lvlJc w:val="left"/>
      <w:pPr>
        <w:ind w:left="1842" w:hanging="358"/>
      </w:pPr>
      <w:rPr>
        <w:rFonts w:hint="default"/>
        <w:lang w:val="en-AU" w:eastAsia="en-AU" w:bidi="en-AU"/>
      </w:rPr>
    </w:lvl>
    <w:lvl w:ilvl="2" w:tplc="33EA295E">
      <w:numFmt w:val="bullet"/>
      <w:lvlText w:val="•"/>
      <w:lvlJc w:val="left"/>
      <w:pPr>
        <w:ind w:left="2665" w:hanging="358"/>
      </w:pPr>
      <w:rPr>
        <w:rFonts w:hint="default"/>
        <w:lang w:val="en-AU" w:eastAsia="en-AU" w:bidi="en-AU"/>
      </w:rPr>
    </w:lvl>
    <w:lvl w:ilvl="3" w:tplc="71E6EEFC">
      <w:numFmt w:val="bullet"/>
      <w:lvlText w:val="•"/>
      <w:lvlJc w:val="left"/>
      <w:pPr>
        <w:ind w:left="3487" w:hanging="358"/>
      </w:pPr>
      <w:rPr>
        <w:rFonts w:hint="default"/>
        <w:lang w:val="en-AU" w:eastAsia="en-AU" w:bidi="en-AU"/>
      </w:rPr>
    </w:lvl>
    <w:lvl w:ilvl="4" w:tplc="FB9AE25C">
      <w:numFmt w:val="bullet"/>
      <w:lvlText w:val="•"/>
      <w:lvlJc w:val="left"/>
      <w:pPr>
        <w:ind w:left="4310" w:hanging="358"/>
      </w:pPr>
      <w:rPr>
        <w:rFonts w:hint="default"/>
        <w:lang w:val="en-AU" w:eastAsia="en-AU" w:bidi="en-AU"/>
      </w:rPr>
    </w:lvl>
    <w:lvl w:ilvl="5" w:tplc="8DAA28D0">
      <w:numFmt w:val="bullet"/>
      <w:lvlText w:val="•"/>
      <w:lvlJc w:val="left"/>
      <w:pPr>
        <w:ind w:left="5133" w:hanging="358"/>
      </w:pPr>
      <w:rPr>
        <w:rFonts w:hint="default"/>
        <w:lang w:val="en-AU" w:eastAsia="en-AU" w:bidi="en-AU"/>
      </w:rPr>
    </w:lvl>
    <w:lvl w:ilvl="6" w:tplc="FEFEF6A6">
      <w:numFmt w:val="bullet"/>
      <w:lvlText w:val="•"/>
      <w:lvlJc w:val="left"/>
      <w:pPr>
        <w:ind w:left="5955" w:hanging="358"/>
      </w:pPr>
      <w:rPr>
        <w:rFonts w:hint="default"/>
        <w:lang w:val="en-AU" w:eastAsia="en-AU" w:bidi="en-AU"/>
      </w:rPr>
    </w:lvl>
    <w:lvl w:ilvl="7" w:tplc="CB1689E4">
      <w:numFmt w:val="bullet"/>
      <w:lvlText w:val="•"/>
      <w:lvlJc w:val="left"/>
      <w:pPr>
        <w:ind w:left="6778" w:hanging="358"/>
      </w:pPr>
      <w:rPr>
        <w:rFonts w:hint="default"/>
        <w:lang w:val="en-AU" w:eastAsia="en-AU" w:bidi="en-AU"/>
      </w:rPr>
    </w:lvl>
    <w:lvl w:ilvl="8" w:tplc="50B2322A">
      <w:numFmt w:val="bullet"/>
      <w:lvlText w:val="•"/>
      <w:lvlJc w:val="left"/>
      <w:pPr>
        <w:ind w:left="7601" w:hanging="358"/>
      </w:pPr>
      <w:rPr>
        <w:rFonts w:hint="default"/>
        <w:lang w:val="en-AU" w:eastAsia="en-AU" w:bidi="en-AU"/>
      </w:rPr>
    </w:lvl>
  </w:abstractNum>
  <w:abstractNum w:abstractNumId="7" w15:restartNumberingAfterBreak="0">
    <w:nsid w:val="247839C4"/>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0474A23"/>
    <w:multiLevelType w:val="multilevel"/>
    <w:tmpl w:val="50041352"/>
    <w:numStyleLink w:val="ListHeadings"/>
  </w:abstractNum>
  <w:abstractNum w:abstractNumId="9" w15:restartNumberingAfterBreak="0">
    <w:nsid w:val="31F967A3"/>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82E7CDB"/>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A993BC6"/>
    <w:multiLevelType w:val="hybridMultilevel"/>
    <w:tmpl w:val="C9A0A182"/>
    <w:lvl w:ilvl="0" w:tplc="0C090019">
      <w:start w:val="1"/>
      <w:numFmt w:val="lowerLetter"/>
      <w:lvlText w:val="%1."/>
      <w:lvlJc w:val="left"/>
      <w:pPr>
        <w:ind w:left="1338" w:hanging="360"/>
      </w:pPr>
    </w:lvl>
    <w:lvl w:ilvl="1" w:tplc="0C090019" w:tentative="1">
      <w:start w:val="1"/>
      <w:numFmt w:val="lowerLetter"/>
      <w:lvlText w:val="%2."/>
      <w:lvlJc w:val="left"/>
      <w:pPr>
        <w:ind w:left="2058" w:hanging="360"/>
      </w:pPr>
    </w:lvl>
    <w:lvl w:ilvl="2" w:tplc="0C09001B" w:tentative="1">
      <w:start w:val="1"/>
      <w:numFmt w:val="lowerRoman"/>
      <w:lvlText w:val="%3."/>
      <w:lvlJc w:val="right"/>
      <w:pPr>
        <w:ind w:left="2778" w:hanging="180"/>
      </w:pPr>
    </w:lvl>
    <w:lvl w:ilvl="3" w:tplc="0C09000F" w:tentative="1">
      <w:start w:val="1"/>
      <w:numFmt w:val="decimal"/>
      <w:lvlText w:val="%4."/>
      <w:lvlJc w:val="left"/>
      <w:pPr>
        <w:ind w:left="3498" w:hanging="360"/>
      </w:pPr>
    </w:lvl>
    <w:lvl w:ilvl="4" w:tplc="0C090019" w:tentative="1">
      <w:start w:val="1"/>
      <w:numFmt w:val="lowerLetter"/>
      <w:lvlText w:val="%5."/>
      <w:lvlJc w:val="left"/>
      <w:pPr>
        <w:ind w:left="4218" w:hanging="360"/>
      </w:pPr>
    </w:lvl>
    <w:lvl w:ilvl="5" w:tplc="0C09001B" w:tentative="1">
      <w:start w:val="1"/>
      <w:numFmt w:val="lowerRoman"/>
      <w:lvlText w:val="%6."/>
      <w:lvlJc w:val="right"/>
      <w:pPr>
        <w:ind w:left="4938" w:hanging="180"/>
      </w:pPr>
    </w:lvl>
    <w:lvl w:ilvl="6" w:tplc="0C09000F" w:tentative="1">
      <w:start w:val="1"/>
      <w:numFmt w:val="decimal"/>
      <w:lvlText w:val="%7."/>
      <w:lvlJc w:val="left"/>
      <w:pPr>
        <w:ind w:left="5658" w:hanging="360"/>
      </w:pPr>
    </w:lvl>
    <w:lvl w:ilvl="7" w:tplc="0C090019" w:tentative="1">
      <w:start w:val="1"/>
      <w:numFmt w:val="lowerLetter"/>
      <w:lvlText w:val="%8."/>
      <w:lvlJc w:val="left"/>
      <w:pPr>
        <w:ind w:left="6378" w:hanging="360"/>
      </w:pPr>
    </w:lvl>
    <w:lvl w:ilvl="8" w:tplc="0C09001B" w:tentative="1">
      <w:start w:val="1"/>
      <w:numFmt w:val="lowerRoman"/>
      <w:lvlText w:val="%9."/>
      <w:lvlJc w:val="right"/>
      <w:pPr>
        <w:ind w:left="7098" w:hanging="180"/>
      </w:pPr>
    </w:lvl>
  </w:abstractNum>
  <w:abstractNum w:abstractNumId="12" w15:restartNumberingAfterBreak="0">
    <w:nsid w:val="57797DAC"/>
    <w:multiLevelType w:val="hybridMultilevel"/>
    <w:tmpl w:val="FE9A24A8"/>
    <w:lvl w:ilvl="0" w:tplc="266EA1CE">
      <w:start w:val="1"/>
      <w:numFmt w:val="decimal"/>
      <w:pStyle w:val="ToRNumberedPara"/>
      <w:lvlText w:val="%1."/>
      <w:lvlJc w:val="left"/>
      <w:pPr>
        <w:ind w:left="1636" w:hanging="360"/>
      </w:pPr>
    </w:lvl>
    <w:lvl w:ilvl="1" w:tplc="CD5A7FC6">
      <w:start w:val="1"/>
      <w:numFmt w:val="lowerLetter"/>
      <w:pStyle w:val="ToRAlphaPara"/>
      <w:lvlText w:val="%2."/>
      <w:lvlJc w:val="left"/>
      <w:pPr>
        <w:ind w:left="2061"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3" w15:restartNumberingAfterBreak="0">
    <w:nsid w:val="58B73D84"/>
    <w:multiLevelType w:val="multilevel"/>
    <w:tmpl w:val="50041352"/>
    <w:numStyleLink w:val="ListHeadings"/>
  </w:abstractNum>
  <w:abstractNum w:abstractNumId="14" w15:restartNumberingAfterBreak="0">
    <w:nsid w:val="596A0C8C"/>
    <w:multiLevelType w:val="multilevel"/>
    <w:tmpl w:val="97DAEA0E"/>
    <w:numStyleLink w:val="Numbering"/>
  </w:abstractNum>
  <w:abstractNum w:abstractNumId="15" w15:restartNumberingAfterBreak="0">
    <w:nsid w:val="5FD6686E"/>
    <w:multiLevelType w:val="hybridMultilevel"/>
    <w:tmpl w:val="2B70AC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7" w15:restartNumberingAfterBreak="0">
    <w:nsid w:val="6A074A8A"/>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710941C3"/>
    <w:multiLevelType w:val="hybridMultilevel"/>
    <w:tmpl w:val="2A2662B6"/>
    <w:lvl w:ilvl="0" w:tplc="3800C8DC">
      <w:start w:val="1"/>
      <w:numFmt w:val="lowerRoman"/>
      <w:lvlText w:val="(%1)"/>
      <w:lvlJc w:val="left"/>
      <w:pPr>
        <w:ind w:left="666" w:hanging="567"/>
      </w:pPr>
      <w:rPr>
        <w:rFonts w:ascii="Arial" w:eastAsia="Arial" w:hAnsi="Arial" w:cs="Arial" w:hint="default"/>
        <w:spacing w:val="-2"/>
        <w:w w:val="100"/>
        <w:sz w:val="22"/>
        <w:szCs w:val="22"/>
        <w:lang w:val="en-AU" w:eastAsia="en-AU" w:bidi="en-AU"/>
      </w:rPr>
    </w:lvl>
    <w:lvl w:ilvl="1" w:tplc="1642318E">
      <w:start w:val="1"/>
      <w:numFmt w:val="lowerLetter"/>
      <w:lvlText w:val="%2."/>
      <w:lvlJc w:val="left"/>
      <w:pPr>
        <w:ind w:left="1024" w:hanging="358"/>
      </w:pPr>
      <w:rPr>
        <w:rFonts w:ascii="Arial" w:eastAsia="Arial" w:hAnsi="Arial" w:cs="Arial" w:hint="default"/>
        <w:spacing w:val="-1"/>
        <w:w w:val="100"/>
        <w:sz w:val="22"/>
        <w:szCs w:val="22"/>
        <w:lang w:val="en-AU" w:eastAsia="en-AU" w:bidi="en-AU"/>
      </w:rPr>
    </w:lvl>
    <w:lvl w:ilvl="2" w:tplc="69DA31B8">
      <w:numFmt w:val="bullet"/>
      <w:lvlText w:val="•"/>
      <w:lvlJc w:val="left"/>
      <w:pPr>
        <w:ind w:left="1934" w:hanging="358"/>
      </w:pPr>
      <w:rPr>
        <w:rFonts w:hint="default"/>
        <w:lang w:val="en-AU" w:eastAsia="en-AU" w:bidi="en-AU"/>
      </w:rPr>
    </w:lvl>
    <w:lvl w:ilvl="3" w:tplc="DA46282E">
      <w:numFmt w:val="bullet"/>
      <w:lvlText w:val="•"/>
      <w:lvlJc w:val="left"/>
      <w:pPr>
        <w:ind w:left="2848" w:hanging="358"/>
      </w:pPr>
      <w:rPr>
        <w:rFonts w:hint="default"/>
        <w:lang w:val="en-AU" w:eastAsia="en-AU" w:bidi="en-AU"/>
      </w:rPr>
    </w:lvl>
    <w:lvl w:ilvl="4" w:tplc="CDA81A2A">
      <w:numFmt w:val="bullet"/>
      <w:lvlText w:val="•"/>
      <w:lvlJc w:val="left"/>
      <w:pPr>
        <w:ind w:left="3762" w:hanging="358"/>
      </w:pPr>
      <w:rPr>
        <w:rFonts w:hint="default"/>
        <w:lang w:val="en-AU" w:eastAsia="en-AU" w:bidi="en-AU"/>
      </w:rPr>
    </w:lvl>
    <w:lvl w:ilvl="5" w:tplc="0EE84742">
      <w:numFmt w:val="bullet"/>
      <w:lvlText w:val="•"/>
      <w:lvlJc w:val="left"/>
      <w:pPr>
        <w:ind w:left="4676" w:hanging="358"/>
      </w:pPr>
      <w:rPr>
        <w:rFonts w:hint="default"/>
        <w:lang w:val="en-AU" w:eastAsia="en-AU" w:bidi="en-AU"/>
      </w:rPr>
    </w:lvl>
    <w:lvl w:ilvl="6" w:tplc="201076F8">
      <w:numFmt w:val="bullet"/>
      <w:lvlText w:val="•"/>
      <w:lvlJc w:val="left"/>
      <w:pPr>
        <w:ind w:left="5590" w:hanging="358"/>
      </w:pPr>
      <w:rPr>
        <w:rFonts w:hint="default"/>
        <w:lang w:val="en-AU" w:eastAsia="en-AU" w:bidi="en-AU"/>
      </w:rPr>
    </w:lvl>
    <w:lvl w:ilvl="7" w:tplc="8C6C7576">
      <w:numFmt w:val="bullet"/>
      <w:lvlText w:val="•"/>
      <w:lvlJc w:val="left"/>
      <w:pPr>
        <w:ind w:left="6504" w:hanging="358"/>
      </w:pPr>
      <w:rPr>
        <w:rFonts w:hint="default"/>
        <w:lang w:val="en-AU" w:eastAsia="en-AU" w:bidi="en-AU"/>
      </w:rPr>
    </w:lvl>
    <w:lvl w:ilvl="8" w:tplc="A3462572">
      <w:numFmt w:val="bullet"/>
      <w:lvlText w:val="•"/>
      <w:lvlJc w:val="left"/>
      <w:pPr>
        <w:ind w:left="7418" w:hanging="358"/>
      </w:pPr>
      <w:rPr>
        <w:rFonts w:hint="default"/>
        <w:lang w:val="en-AU" w:eastAsia="en-AU" w:bidi="en-AU"/>
      </w:rPr>
    </w:lvl>
  </w:abstractNum>
  <w:num w:numId="1" w16cid:durableId="1842349910">
    <w:abstractNumId w:val="0"/>
  </w:num>
  <w:num w:numId="2" w16cid:durableId="115221628">
    <w:abstractNumId w:val="16"/>
  </w:num>
  <w:num w:numId="3" w16cid:durableId="1075323726">
    <w:abstractNumId w:val="3"/>
  </w:num>
  <w:num w:numId="4" w16cid:durableId="714045642">
    <w:abstractNumId w:val="1"/>
  </w:num>
  <w:num w:numId="5" w16cid:durableId="1107387765">
    <w:abstractNumId w:val="2"/>
  </w:num>
  <w:num w:numId="6" w16cid:durableId="279654443">
    <w:abstractNumId w:val="14"/>
  </w:num>
  <w:num w:numId="7" w16cid:durableId="1198153217">
    <w:abstractNumId w:val="13"/>
  </w:num>
  <w:num w:numId="8" w16cid:durableId="1913075299">
    <w:abstractNumId w:val="5"/>
  </w:num>
  <w:num w:numId="9" w16cid:durableId="1287856561">
    <w:abstractNumId w:val="8"/>
  </w:num>
  <w:num w:numId="10" w16cid:durableId="2119526930">
    <w:abstractNumId w:val="12"/>
  </w:num>
  <w:num w:numId="11" w16cid:durableId="242691488">
    <w:abstractNumId w:val="4"/>
  </w:num>
  <w:num w:numId="12" w16cid:durableId="1549756932">
    <w:abstractNumId w:val="7"/>
  </w:num>
  <w:num w:numId="13" w16cid:durableId="1889342370">
    <w:abstractNumId w:val="10"/>
  </w:num>
  <w:num w:numId="14" w16cid:durableId="1865168591">
    <w:abstractNumId w:val="17"/>
  </w:num>
  <w:num w:numId="15" w16cid:durableId="352732678">
    <w:abstractNumId w:val="9"/>
  </w:num>
  <w:num w:numId="16" w16cid:durableId="85732187">
    <w:abstractNumId w:val="15"/>
  </w:num>
  <w:num w:numId="17" w16cid:durableId="1019743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270943">
    <w:abstractNumId w:val="6"/>
  </w:num>
  <w:num w:numId="19" w16cid:durableId="400760608">
    <w:abstractNumId w:val="18"/>
  </w:num>
  <w:num w:numId="20" w16cid:durableId="34802310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AD"/>
    <w:rsid w:val="00023421"/>
    <w:rsid w:val="00027052"/>
    <w:rsid w:val="000300AF"/>
    <w:rsid w:val="000724AE"/>
    <w:rsid w:val="0008037D"/>
    <w:rsid w:val="000A4E6A"/>
    <w:rsid w:val="000B497F"/>
    <w:rsid w:val="000D7EE8"/>
    <w:rsid w:val="00112E8F"/>
    <w:rsid w:val="001268BC"/>
    <w:rsid w:val="00141C61"/>
    <w:rsid w:val="001661A8"/>
    <w:rsid w:val="001A0D77"/>
    <w:rsid w:val="001A5586"/>
    <w:rsid w:val="001C7835"/>
    <w:rsid w:val="001E4C19"/>
    <w:rsid w:val="001F13C1"/>
    <w:rsid w:val="001F446D"/>
    <w:rsid w:val="001F6314"/>
    <w:rsid w:val="002068CA"/>
    <w:rsid w:val="00215B6B"/>
    <w:rsid w:val="00221AB7"/>
    <w:rsid w:val="00246435"/>
    <w:rsid w:val="00246BCF"/>
    <w:rsid w:val="00270834"/>
    <w:rsid w:val="002814E6"/>
    <w:rsid w:val="002965C0"/>
    <w:rsid w:val="002E0EDA"/>
    <w:rsid w:val="002E7A9E"/>
    <w:rsid w:val="00305171"/>
    <w:rsid w:val="00334882"/>
    <w:rsid w:val="0034680A"/>
    <w:rsid w:val="00363FF8"/>
    <w:rsid w:val="003657EF"/>
    <w:rsid w:val="00374847"/>
    <w:rsid w:val="0037721D"/>
    <w:rsid w:val="0038102A"/>
    <w:rsid w:val="003B2396"/>
    <w:rsid w:val="003C062D"/>
    <w:rsid w:val="003D23A3"/>
    <w:rsid w:val="003D3729"/>
    <w:rsid w:val="003D5856"/>
    <w:rsid w:val="003E7563"/>
    <w:rsid w:val="00404E4F"/>
    <w:rsid w:val="00412CDA"/>
    <w:rsid w:val="0041443B"/>
    <w:rsid w:val="0041673A"/>
    <w:rsid w:val="0042339A"/>
    <w:rsid w:val="0042508F"/>
    <w:rsid w:val="004411F6"/>
    <w:rsid w:val="004635FD"/>
    <w:rsid w:val="004B03A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63012"/>
    <w:rsid w:val="00577E2E"/>
    <w:rsid w:val="00577FBC"/>
    <w:rsid w:val="0058369E"/>
    <w:rsid w:val="00593314"/>
    <w:rsid w:val="00594496"/>
    <w:rsid w:val="005C6618"/>
    <w:rsid w:val="00602C13"/>
    <w:rsid w:val="00603FD5"/>
    <w:rsid w:val="00616DC8"/>
    <w:rsid w:val="00622217"/>
    <w:rsid w:val="0064570B"/>
    <w:rsid w:val="00657FB2"/>
    <w:rsid w:val="0067014A"/>
    <w:rsid w:val="0068724F"/>
    <w:rsid w:val="00693358"/>
    <w:rsid w:val="006A1DEF"/>
    <w:rsid w:val="006A7E14"/>
    <w:rsid w:val="006A7E87"/>
    <w:rsid w:val="006C4AF4"/>
    <w:rsid w:val="006D3F2F"/>
    <w:rsid w:val="006E3536"/>
    <w:rsid w:val="006F5547"/>
    <w:rsid w:val="006F68BC"/>
    <w:rsid w:val="0070342B"/>
    <w:rsid w:val="00714488"/>
    <w:rsid w:val="007254A7"/>
    <w:rsid w:val="007A0363"/>
    <w:rsid w:val="007A2584"/>
    <w:rsid w:val="007C57D9"/>
    <w:rsid w:val="007D1077"/>
    <w:rsid w:val="007E57ED"/>
    <w:rsid w:val="007F5C9C"/>
    <w:rsid w:val="0081533C"/>
    <w:rsid w:val="00847DAB"/>
    <w:rsid w:val="0085439B"/>
    <w:rsid w:val="0089026B"/>
    <w:rsid w:val="008A3370"/>
    <w:rsid w:val="008B05C3"/>
    <w:rsid w:val="008B4965"/>
    <w:rsid w:val="008D1ABD"/>
    <w:rsid w:val="008D341E"/>
    <w:rsid w:val="008F70D1"/>
    <w:rsid w:val="0090137A"/>
    <w:rsid w:val="0091171B"/>
    <w:rsid w:val="009264A2"/>
    <w:rsid w:val="00936068"/>
    <w:rsid w:val="009517CC"/>
    <w:rsid w:val="009615D4"/>
    <w:rsid w:val="00967564"/>
    <w:rsid w:val="00974677"/>
    <w:rsid w:val="009827C2"/>
    <w:rsid w:val="009A2F17"/>
    <w:rsid w:val="009B6F6F"/>
    <w:rsid w:val="009C006B"/>
    <w:rsid w:val="009C5432"/>
    <w:rsid w:val="009D24F5"/>
    <w:rsid w:val="009F1343"/>
    <w:rsid w:val="00A13664"/>
    <w:rsid w:val="00A24EF4"/>
    <w:rsid w:val="00A27FD6"/>
    <w:rsid w:val="00A33747"/>
    <w:rsid w:val="00A90151"/>
    <w:rsid w:val="00A9359B"/>
    <w:rsid w:val="00AA163B"/>
    <w:rsid w:val="00AB5F12"/>
    <w:rsid w:val="00AC0558"/>
    <w:rsid w:val="00AC6527"/>
    <w:rsid w:val="00AF2097"/>
    <w:rsid w:val="00B153EB"/>
    <w:rsid w:val="00B23603"/>
    <w:rsid w:val="00B255CB"/>
    <w:rsid w:val="00B25C36"/>
    <w:rsid w:val="00B32D6C"/>
    <w:rsid w:val="00B3749D"/>
    <w:rsid w:val="00B65DAA"/>
    <w:rsid w:val="00B66B2F"/>
    <w:rsid w:val="00B74F7F"/>
    <w:rsid w:val="00B75B08"/>
    <w:rsid w:val="00B87859"/>
    <w:rsid w:val="00B905A0"/>
    <w:rsid w:val="00B91D47"/>
    <w:rsid w:val="00BA3CB8"/>
    <w:rsid w:val="00BA7623"/>
    <w:rsid w:val="00BD03A0"/>
    <w:rsid w:val="00BF68C8"/>
    <w:rsid w:val="00C01E68"/>
    <w:rsid w:val="00C11924"/>
    <w:rsid w:val="00C1443F"/>
    <w:rsid w:val="00C23927"/>
    <w:rsid w:val="00C326F9"/>
    <w:rsid w:val="00C37A29"/>
    <w:rsid w:val="00C41DED"/>
    <w:rsid w:val="00C55C51"/>
    <w:rsid w:val="00C70EFC"/>
    <w:rsid w:val="00C932F3"/>
    <w:rsid w:val="00CB0DDE"/>
    <w:rsid w:val="00CC53C0"/>
    <w:rsid w:val="00CD42AE"/>
    <w:rsid w:val="00CD61EB"/>
    <w:rsid w:val="00CF02F0"/>
    <w:rsid w:val="00CF389C"/>
    <w:rsid w:val="00D11EBB"/>
    <w:rsid w:val="00D16F74"/>
    <w:rsid w:val="00D567C3"/>
    <w:rsid w:val="00D60649"/>
    <w:rsid w:val="00D61E88"/>
    <w:rsid w:val="00D63085"/>
    <w:rsid w:val="00D82889"/>
    <w:rsid w:val="00D83923"/>
    <w:rsid w:val="00D9419D"/>
    <w:rsid w:val="00D971D5"/>
    <w:rsid w:val="00DA209D"/>
    <w:rsid w:val="00DB2275"/>
    <w:rsid w:val="00DF4E3E"/>
    <w:rsid w:val="00E0453D"/>
    <w:rsid w:val="00E05FA6"/>
    <w:rsid w:val="00E25474"/>
    <w:rsid w:val="00E32F93"/>
    <w:rsid w:val="00E42E3C"/>
    <w:rsid w:val="00E54B2B"/>
    <w:rsid w:val="00E84338"/>
    <w:rsid w:val="00EA1943"/>
    <w:rsid w:val="00EB277C"/>
    <w:rsid w:val="00EB4B35"/>
    <w:rsid w:val="00EE6F14"/>
    <w:rsid w:val="00EF3F23"/>
    <w:rsid w:val="00F162D4"/>
    <w:rsid w:val="00F4010B"/>
    <w:rsid w:val="00F459F3"/>
    <w:rsid w:val="00F4702C"/>
    <w:rsid w:val="00F505B8"/>
    <w:rsid w:val="00F53397"/>
    <w:rsid w:val="00F634F6"/>
    <w:rsid w:val="00F64343"/>
    <w:rsid w:val="00F863F7"/>
    <w:rsid w:val="00F87B07"/>
    <w:rsid w:val="00F93598"/>
    <w:rsid w:val="00F94880"/>
    <w:rsid w:val="00FA031C"/>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41036"/>
  <w15:chartTrackingRefBased/>
  <w15:docId w15:val="{4CA8A8ED-5C60-410B-A9C7-A048F135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2D"/>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5"/>
      </w:numPr>
      <w:contextualSpacing/>
    </w:pPr>
  </w:style>
  <w:style w:type="paragraph" w:styleId="ListBullet2">
    <w:name w:val="List Bullet 2"/>
    <w:basedOn w:val="Normal"/>
    <w:uiPriority w:val="99"/>
    <w:unhideWhenUsed/>
    <w:qFormat/>
    <w:rsid w:val="00D83923"/>
    <w:pPr>
      <w:numPr>
        <w:ilvl w:val="1"/>
        <w:numId w:val="5"/>
      </w:numPr>
      <w:contextualSpacing/>
    </w:pPr>
  </w:style>
  <w:style w:type="paragraph" w:styleId="ListNumber">
    <w:name w:val="List Number"/>
    <w:basedOn w:val="Normal"/>
    <w:uiPriority w:val="99"/>
    <w:unhideWhenUsed/>
    <w:qFormat/>
    <w:rsid w:val="00D16F74"/>
    <w:pPr>
      <w:numPr>
        <w:numId w:val="6"/>
      </w:numPr>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6"/>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link w:val="ListParagraphChar"/>
    <w:uiPriority w:val="1"/>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6"/>
      </w:numPr>
      <w:contextualSpacing/>
    </w:pPr>
  </w:style>
  <w:style w:type="paragraph" w:styleId="ListNumber4">
    <w:name w:val="List Number 4"/>
    <w:basedOn w:val="Normal"/>
    <w:uiPriority w:val="99"/>
    <w:unhideWhenUsed/>
    <w:qFormat/>
    <w:rsid w:val="00D16F74"/>
    <w:pPr>
      <w:numPr>
        <w:ilvl w:val="3"/>
        <w:numId w:val="6"/>
      </w:numPr>
      <w:contextualSpacing/>
    </w:pPr>
  </w:style>
  <w:style w:type="paragraph" w:styleId="ListNumber5">
    <w:name w:val="List Number 5"/>
    <w:basedOn w:val="Normal"/>
    <w:uiPriority w:val="99"/>
    <w:unhideWhenUsed/>
    <w:rsid w:val="00D16F74"/>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7"/>
      </w:numPr>
    </w:pPr>
  </w:style>
  <w:style w:type="paragraph" w:customStyle="1" w:styleId="Heading2-numbered">
    <w:name w:val="Heading 2-numbered"/>
    <w:basedOn w:val="Heading2"/>
    <w:next w:val="Normal"/>
    <w:link w:val="Heading2-numberedChar"/>
    <w:uiPriority w:val="9"/>
    <w:semiHidden/>
    <w:rsid w:val="00D16F74"/>
    <w:pPr>
      <w:numPr>
        <w:ilvl w:val="1"/>
        <w:numId w:val="7"/>
      </w:numPr>
      <w:tabs>
        <w:tab w:val="num" w:pos="360"/>
      </w:tabs>
      <w:ind w:left="0" w:firstLine="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8"/>
      </w:numPr>
      <w:contextualSpacing/>
    </w:pPr>
  </w:style>
  <w:style w:type="paragraph" w:styleId="List2">
    <w:name w:val="List 2"/>
    <w:basedOn w:val="Normal"/>
    <w:uiPriority w:val="99"/>
    <w:unhideWhenUsed/>
    <w:qFormat/>
    <w:rsid w:val="00E25474"/>
    <w:pPr>
      <w:numPr>
        <w:ilvl w:val="1"/>
        <w:numId w:val="8"/>
      </w:numPr>
      <w:contextualSpacing/>
    </w:pPr>
  </w:style>
  <w:style w:type="numbering" w:customStyle="1" w:styleId="LetteredList">
    <w:name w:val="Lettered List"/>
    <w:uiPriority w:val="99"/>
    <w:rsid w:val="00E25474"/>
    <w:pPr>
      <w:numPr>
        <w:numId w:val="8"/>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84338"/>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DB2275"/>
    <w:pPr>
      <w:numPr>
        <w:numId w:val="9"/>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DB2275"/>
    <w:pPr>
      <w:numPr>
        <w:ilvl w:val="1"/>
        <w:numId w:val="9"/>
      </w:numPr>
      <w:ind w:left="567" w:hanging="567"/>
      <w:contextualSpacing/>
    </w:pPr>
  </w:style>
  <w:style w:type="character" w:customStyle="1" w:styleId="Heading1-NumberedChar0">
    <w:name w:val="Heading 1 - Numbered Char"/>
    <w:basedOn w:val="Heading1Char"/>
    <w:link w:val="Heading1-Numbered0"/>
    <w:uiPriority w:val="9"/>
    <w:rsid w:val="00DB2275"/>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DB2275"/>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9"/>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9"/>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tablebodycopy">
    <w:name w:val="table body copy"/>
    <w:rsid w:val="006F68BC"/>
    <w:pPr>
      <w:spacing w:before="40" w:after="40" w:line="240" w:lineRule="auto"/>
    </w:pPr>
    <w:rPr>
      <w:color w:val="000000" w:themeColor="text1"/>
      <w:sz w:val="18"/>
      <w:szCs w:val="18"/>
    </w:rPr>
  </w:style>
  <w:style w:type="character" w:customStyle="1" w:styleId="Guidancenote">
    <w:name w:val="Guidance note"/>
    <w:basedOn w:val="DefaultParagraphFont"/>
    <w:uiPriority w:val="1"/>
    <w:qFormat/>
    <w:rsid w:val="007F5C9C"/>
    <w:rPr>
      <w:color w:val="0000FF"/>
    </w:rPr>
  </w:style>
  <w:style w:type="character" w:styleId="UnresolvedMention">
    <w:name w:val="Unresolved Mention"/>
    <w:basedOn w:val="DefaultParagraphFont"/>
    <w:uiPriority w:val="99"/>
    <w:semiHidden/>
    <w:unhideWhenUsed/>
    <w:rsid w:val="00DB2275"/>
    <w:rPr>
      <w:color w:val="605E5C"/>
      <w:shd w:val="clear" w:color="auto" w:fill="E1DFDD"/>
    </w:rPr>
  </w:style>
  <w:style w:type="paragraph" w:customStyle="1" w:styleId="ToRNumberedPara">
    <w:name w:val="ToR Numbered Para"/>
    <w:basedOn w:val="ListParagraph"/>
    <w:link w:val="ToRNumberedParaChar"/>
    <w:rsid w:val="00AC6527"/>
    <w:pPr>
      <w:numPr>
        <w:numId w:val="10"/>
      </w:numPr>
      <w:spacing w:before="0" w:after="160" w:line="259" w:lineRule="auto"/>
      <w:contextualSpacing w:val="0"/>
      <w:jc w:val="both"/>
    </w:pPr>
    <w:rPr>
      <w:rFonts w:ascii="Arial" w:eastAsia="Times New Roman" w:hAnsi="Arial" w:cs="Arial"/>
      <w:szCs w:val="20"/>
      <w:lang w:eastAsia="en-AU"/>
    </w:rPr>
  </w:style>
  <w:style w:type="paragraph" w:customStyle="1" w:styleId="ToRAlphaPara">
    <w:name w:val="ToR Alpha Para"/>
    <w:basedOn w:val="ToRNumberedPara"/>
    <w:link w:val="ToRAlphaParaChar"/>
    <w:qFormat/>
    <w:rsid w:val="00AC6527"/>
    <w:pPr>
      <w:numPr>
        <w:ilvl w:val="1"/>
      </w:numPr>
      <w:contextualSpacing/>
    </w:pPr>
    <w:rPr>
      <w:rFonts w:eastAsia="Times"/>
    </w:rPr>
  </w:style>
  <w:style w:type="character" w:customStyle="1" w:styleId="ToRNumberedParaChar">
    <w:name w:val="ToR Numbered Para Char"/>
    <w:basedOn w:val="DefaultParagraphFont"/>
    <w:link w:val="ToRNumberedPara"/>
    <w:rsid w:val="00AC6527"/>
    <w:rPr>
      <w:rFonts w:ascii="Arial" w:eastAsia="Times New Roman" w:hAnsi="Arial" w:cs="Arial"/>
      <w:sz w:val="20"/>
      <w:szCs w:val="20"/>
      <w:lang w:eastAsia="en-AU"/>
    </w:rPr>
  </w:style>
  <w:style w:type="paragraph" w:customStyle="1" w:styleId="ToRHeading">
    <w:name w:val="ToR Heading"/>
    <w:link w:val="ToRHeadingChar"/>
    <w:qFormat/>
    <w:rsid w:val="00BD03A0"/>
    <w:pPr>
      <w:keepNext/>
      <w:spacing w:before="240" w:after="120" w:line="240" w:lineRule="auto"/>
    </w:pPr>
    <w:rPr>
      <w:rFonts w:ascii="Arial" w:eastAsia="Times New Roman" w:hAnsi="Arial" w:cs="Arial"/>
      <w:b/>
      <w:noProof/>
      <w:snapToGrid w:val="0"/>
      <w:spacing w:val="-6"/>
      <w:sz w:val="24"/>
      <w:szCs w:val="24"/>
      <w:lang w:eastAsia="en-AU"/>
    </w:rPr>
  </w:style>
  <w:style w:type="character" w:customStyle="1" w:styleId="ListParagraphChar">
    <w:name w:val="List Paragraph Char"/>
    <w:basedOn w:val="DefaultParagraphFont"/>
    <w:link w:val="ListParagraph"/>
    <w:uiPriority w:val="34"/>
    <w:rsid w:val="00BD03A0"/>
    <w:rPr>
      <w:sz w:val="20"/>
    </w:rPr>
  </w:style>
  <w:style w:type="character" w:customStyle="1" w:styleId="ToRAlphaParaChar">
    <w:name w:val="ToR Alpha Para Char"/>
    <w:basedOn w:val="ToRNumberedParaChar"/>
    <w:link w:val="ToRAlphaPara"/>
    <w:rsid w:val="00BD03A0"/>
    <w:rPr>
      <w:rFonts w:ascii="Arial" w:eastAsia="Times" w:hAnsi="Arial" w:cs="Arial"/>
      <w:sz w:val="20"/>
      <w:szCs w:val="20"/>
      <w:lang w:eastAsia="en-AU"/>
    </w:rPr>
  </w:style>
  <w:style w:type="character" w:customStyle="1" w:styleId="ToRHeadingChar">
    <w:name w:val="ToR Heading Char"/>
    <w:basedOn w:val="DefaultParagraphFont"/>
    <w:link w:val="ToRHeading"/>
    <w:rsid w:val="00BD03A0"/>
    <w:rPr>
      <w:rFonts w:ascii="Arial" w:eastAsia="Times New Roman" w:hAnsi="Arial" w:cs="Arial"/>
      <w:b/>
      <w:noProof/>
      <w:snapToGrid w:val="0"/>
      <w:spacing w:val="-6"/>
      <w:sz w:val="24"/>
      <w:szCs w:val="24"/>
      <w:lang w:eastAsia="en-AU"/>
    </w:rPr>
  </w:style>
  <w:style w:type="paragraph" w:customStyle="1" w:styleId="Normalnum">
    <w:name w:val="Normal num"/>
    <w:basedOn w:val="Normal"/>
    <w:rsid w:val="00BD03A0"/>
    <w:pPr>
      <w:numPr>
        <w:numId w:val="11"/>
      </w:numPr>
      <w:spacing w:before="120" w:after="160" w:line="259" w:lineRule="auto"/>
      <w:jc w:val="both"/>
    </w:pPr>
    <w:rPr>
      <w:rFonts w:ascii="Arial" w:eastAsia="Times New Roman" w:hAnsi="Arial" w:cs="Times New Roman"/>
      <w:sz w:val="22"/>
      <w:lang w:eastAsia="en-AU"/>
    </w:rPr>
  </w:style>
  <w:style w:type="paragraph" w:customStyle="1" w:styleId="Parah0letter">
    <w:name w:val="Parah 0 letter"/>
    <w:basedOn w:val="Normal"/>
    <w:rsid w:val="00BD03A0"/>
    <w:pPr>
      <w:numPr>
        <w:ilvl w:val="3"/>
        <w:numId w:val="11"/>
      </w:numPr>
      <w:spacing w:before="120" w:after="160" w:line="259" w:lineRule="auto"/>
      <w:jc w:val="both"/>
    </w:pPr>
    <w:rPr>
      <w:rFonts w:ascii="Palatino Linotype" w:eastAsia="Times New Roman" w:hAnsi="Palatino Linotype" w:cs="Times New Roman"/>
      <w:sz w:val="22"/>
      <w:lang w:eastAsia="en-AU"/>
    </w:rPr>
  </w:style>
  <w:style w:type="paragraph" w:customStyle="1" w:styleId="Parah0number">
    <w:name w:val="Parah 0 number"/>
    <w:basedOn w:val="Normal"/>
    <w:rsid w:val="00BD03A0"/>
    <w:pPr>
      <w:tabs>
        <w:tab w:val="num" w:pos="357"/>
      </w:tabs>
      <w:spacing w:before="0" w:after="60" w:line="259" w:lineRule="auto"/>
      <w:ind w:left="357" w:hanging="357"/>
    </w:pPr>
    <w:rPr>
      <w:rFonts w:ascii="Arial" w:eastAsia="Times New Roman" w:hAnsi="Arial" w:cs="Times New Roman"/>
      <w:sz w:val="22"/>
    </w:rPr>
  </w:style>
  <w:style w:type="paragraph" w:customStyle="1" w:styleId="Default">
    <w:name w:val="Default"/>
    <w:rsid w:val="00BD03A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odyText">
    <w:name w:val="Body Text"/>
    <w:basedOn w:val="Normal"/>
    <w:link w:val="BodyTextChar"/>
    <w:qFormat/>
    <w:rsid w:val="00334882"/>
    <w:pPr>
      <w:spacing w:before="0" w:after="24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334882"/>
    <w:rPr>
      <w:rFonts w:eastAsia="Times New Roman"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nvironment.assessment@delwp.vic.gov.au" TargetMode="External"/><Relationship Id="rId23" Type="http://schemas.openxmlformats.org/officeDocument/2006/relationships/footer" Target="footer4.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Panels@delwp.vic.gov.au" TargetMode="External"/><Relationship Id="rId22" Type="http://schemas.openxmlformats.org/officeDocument/2006/relationships/header" Target="header4.xml"/><Relationship Id="rId27" Type="http://schemas.openxmlformats.org/officeDocument/2006/relationships/customXml" Target="../customXml/item5.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F3128A16746948CFFBFA372400942"/>
        <w:category>
          <w:name w:val="General"/>
          <w:gallery w:val="placeholder"/>
        </w:category>
        <w:types>
          <w:type w:val="bbPlcHdr"/>
        </w:types>
        <w:behaviors>
          <w:behavior w:val="content"/>
        </w:behaviors>
        <w:guid w:val="{7578EA92-6AE7-4C22-A79B-61B903EFAA00}"/>
      </w:docPartPr>
      <w:docPartBody>
        <w:p w:rsidR="00420DFB" w:rsidRDefault="00420DFB">
          <w:pPr>
            <w:pStyle w:val="F91F3128A16746948CFFBFA372400942"/>
          </w:pPr>
          <w:r w:rsidRPr="00F52011">
            <w:rPr>
              <w:rStyle w:val="PlaceholderText"/>
            </w:rPr>
            <w:t>Click or tap here to enter text.</w:t>
          </w:r>
        </w:p>
      </w:docPartBody>
    </w:docPart>
    <w:docPart>
      <w:docPartPr>
        <w:name w:val="C29E85E834E44C7AB311DE34E627781F"/>
        <w:category>
          <w:name w:val="General"/>
          <w:gallery w:val="placeholder"/>
        </w:category>
        <w:types>
          <w:type w:val="bbPlcHdr"/>
        </w:types>
        <w:behaviors>
          <w:behavior w:val="content"/>
        </w:behaviors>
        <w:guid w:val="{1A673692-3497-4D93-911C-A77317633328}"/>
      </w:docPartPr>
      <w:docPartBody>
        <w:p w:rsidR="00420DFB" w:rsidRDefault="00420DFB">
          <w:pPr>
            <w:pStyle w:val="C29E85E834E44C7AB311DE34E627781F"/>
          </w:pPr>
          <w:r w:rsidRPr="000A4E6A">
            <w:rPr>
              <w:rStyle w:val="PlaceholderText"/>
            </w:rPr>
            <w:t>[Title]</w:t>
          </w:r>
        </w:p>
      </w:docPartBody>
    </w:docPart>
    <w:docPart>
      <w:docPartPr>
        <w:name w:val="C8A97B8C8A314900AD852D986244F5E5"/>
        <w:category>
          <w:name w:val="General"/>
          <w:gallery w:val="placeholder"/>
        </w:category>
        <w:types>
          <w:type w:val="bbPlcHdr"/>
        </w:types>
        <w:behaviors>
          <w:behavior w:val="content"/>
        </w:behaviors>
        <w:guid w:val="{0E46AE84-3192-4854-ABC8-4793B7883789}"/>
      </w:docPartPr>
      <w:docPartBody>
        <w:p w:rsidR="00420DFB" w:rsidRDefault="00420DFB">
          <w:pPr>
            <w:pStyle w:val="C8A97B8C8A314900AD852D986244F5E5"/>
          </w:pPr>
          <w:r w:rsidRPr="006F68BC">
            <w:rPr>
              <w:szCs w:val="20"/>
              <w:highlight w:val="lightGray"/>
            </w:rPr>
            <w:t>[Insert this Committee Name]</w:t>
          </w:r>
        </w:p>
      </w:docPartBody>
    </w:docPart>
    <w:docPart>
      <w:docPartPr>
        <w:name w:val="A2277BE5D5024A1DB9774CF36863F65B"/>
        <w:category>
          <w:name w:val="General"/>
          <w:gallery w:val="placeholder"/>
        </w:category>
        <w:types>
          <w:type w:val="bbPlcHdr"/>
        </w:types>
        <w:behaviors>
          <w:behavior w:val="content"/>
        </w:behaviors>
        <w:guid w:val="{63EF09E1-32F0-41D0-A99D-2E7AA192B620}"/>
      </w:docPartPr>
      <w:docPartBody>
        <w:p w:rsidR="00420DFB" w:rsidRDefault="00420DFB">
          <w:pPr>
            <w:pStyle w:val="A2277BE5D5024A1DB9774CF36863F65B"/>
          </w:pPr>
          <w:r w:rsidRPr="006F68BC">
            <w:rPr>
              <w:szCs w:val="20"/>
              <w:highlight w:val="lightGray"/>
            </w:rPr>
            <w:t xml:space="preserve">[Insert </w:t>
          </w:r>
          <w:r>
            <w:rPr>
              <w:szCs w:val="20"/>
              <w:highlight w:val="lightGray"/>
            </w:rPr>
            <w:t>Tier</w:t>
          </w:r>
          <w:r w:rsidRPr="006F68BC">
            <w:rPr>
              <w:szCs w:val="20"/>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FB"/>
    <w:rsid w:val="00420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1F3128A16746948CFFBFA372400942">
    <w:name w:val="F91F3128A16746948CFFBFA372400942"/>
  </w:style>
  <w:style w:type="paragraph" w:customStyle="1" w:styleId="C29E85E834E44C7AB311DE34E627781F">
    <w:name w:val="C29E85E834E44C7AB311DE34E627781F"/>
  </w:style>
  <w:style w:type="paragraph" w:customStyle="1" w:styleId="C8A97B8C8A314900AD852D986244F5E5">
    <w:name w:val="C8A97B8C8A314900AD852D986244F5E5"/>
  </w:style>
  <w:style w:type="paragraph" w:customStyle="1" w:styleId="A2277BE5D5024A1DB9774CF36863F65B">
    <w:name w:val="A2277BE5D5024A1DB9774CF36863F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Internal Operational Agenda" ma:contentTypeID="0x0101002517F445A0F35E449C98AAD631F2B038270061A4F8672B7C254AB950149B92EAA876" ma:contentTypeVersion="20" ma:contentTypeDescription="Use for operational meetings such as Working groups, Project meetings, Ad-hoc Committees, staff Meetings etc. which DO NOT involve decisions about Agency- level policy, strategy, or planning (refer to Functional Agenda)" ma:contentTypeScope="" ma:versionID="225a1857f46b64c8a035dfb683c26998">
  <xsd:schema xmlns:xsd="http://www.w3.org/2001/XMLSchema" xmlns:xs="http://www.w3.org/2001/XMLSchema" xmlns:p="http://schemas.microsoft.com/office/2006/metadata/properties" xmlns:ns1="http://schemas.microsoft.com/sharepoint/v3" xmlns:ns2="a5f32de4-e402-4188-b034-e71ca7d22e54" xmlns:ns3="9fd47c19-1c4a-4d7d-b342-c10cef269344" xmlns:ns4="620f7be9-24d3-411a-9ff1-45df4d42239b" targetNamespace="http://schemas.microsoft.com/office/2006/metadata/properties" ma:root="true" ma:fieldsID="af51bebe6f16f43ce768853476878f8f" ns1:_="" ns2:_="" ns3:_="" ns4:_="">
    <xsd:import namespace="http://schemas.microsoft.com/sharepoint/v3"/>
    <xsd:import namespace="a5f32de4-e402-4188-b034-e71ca7d22e54"/>
    <xsd:import namespace="9fd47c19-1c4a-4d7d-b342-c10cef269344"/>
    <xsd:import namespace="620f7be9-24d3-411a-9ff1-45df4d42239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b9b43b809ea4445880dbf70bb9849525" minOccurs="0"/>
                <xsd:element ref="ns4:k1b0f5431cbd434281f636479f3a1a3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c52be32a-4fb3-4be5-9f80-936ecbd5e83f}"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c52be32a-4fb3-4be5-9f80-936ecbd5e83f}"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Planning Panels Victoria|f7f930e6-b45f-4a5f-abe4-9daa2ee2cc0f"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b9b43b809ea4445880dbf70bb9849525" ma:index="31"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f7be9-24d3-411a-9ff1-45df4d42239b" elementFormDefault="qualified">
    <xsd:import namespace="http://schemas.microsoft.com/office/2006/documentManagement/types"/>
    <xsd:import namespace="http://schemas.microsoft.com/office/infopath/2007/PartnerControls"/>
    <xsd:element name="k1b0f5431cbd434281f636479f3a1a36" ma:index="33" nillable="true" ma:taxonomy="true" ma:internalName="k1b0f5431cbd434281f636479f3a1a36" ma:taxonomyFieldName="Category" ma:displayName="Category" ma:indexed="true" ma:default="" ma:fieldId="{41b0f543-1cbd-4342-81f6-36479f3a1a36}" ma:sspId="797aeec6-0273-40f2-ab3e-beee73212332" ma:termSetId="72408ed4-3c3f-4e0a-92c2-6d1fc641b75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235</Value>
      <Value>7</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b9b43b809ea4445880dbf70bb9849525 xmlns="9fd47c19-1c4a-4d7d-b342-c10cef269344">
      <Terms xmlns="http://schemas.microsoft.com/office/infopath/2007/PartnerControls"/>
    </b9b43b809ea4445880dbf70bb9849525>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Panels Victoria</TermName>
          <TermId xmlns="http://schemas.microsoft.com/office/infopath/2007/PartnerControls">f7f930e6-b45f-4a5f-abe4-9daa2ee2cc0f</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k1b0f5431cbd434281f636479f3a1a36 xmlns="620f7be9-24d3-411a-9ff1-45df4d42239b">
      <Terms xmlns="http://schemas.microsoft.com/office/infopath/2007/PartnerControls">
        <TermInfo xmlns="http://schemas.microsoft.com/office/infopath/2007/PartnerControls">
          <TermName xmlns="http://schemas.microsoft.com/office/infopath/2007/PartnerControls">002. Appointment and ToR</TermName>
          <TermId xmlns="http://schemas.microsoft.com/office/infopath/2007/PartnerControls">861712a6-e5ed-40c4-bdee-d5161fa811f5</TermId>
        </TermInfo>
      </Terms>
    </k1b0f5431cbd434281f636479f3a1a36>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DOCID356-1474602336-19472</_dlc_DocId>
    <_dlc_DocIdUrl xmlns="a5f32de4-e402-4188-b034-e71ca7d22e54">
      <Url>https://delwpvicgovau.sharepoint.com/sites/ecm_356/_layouts/15/DocIdRedir.aspx?ID=DOCID356-1474602336-19472</Url>
      <Description>DOCID356-1474602336-19472</Description>
    </_dlc_DocIdUrl>
  </documentManagement>
</p:properti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27"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B931F6-ADFA-436C-B621-C0EEB72B400B}"/>
</file>

<file path=customXml/itemProps2.xml><?xml version="1.0" encoding="utf-8"?>
<ds:datastoreItem xmlns:ds="http://schemas.openxmlformats.org/officeDocument/2006/customXml" ds:itemID="{98C7FCCA-986D-4D92-BCA4-44C6EAF547FB}">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541C5FCF-B1BD-40F3-A9D6-688156DD6F80}">
  <ds:schemaRefs>
    <ds:schemaRef ds:uri="http://purl.org/dc/elements/1.1/"/>
    <ds:schemaRef ds:uri="http://schemas.microsoft.com/office/2006/metadata/properties"/>
    <ds:schemaRef ds:uri="85f5e956-3bf0-4013-a799-5fa7ad5f22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8124a2-e13e-4137-be54-3007ef9e34c6"/>
    <ds:schemaRef ds:uri="http://www.w3.org/XML/1998/namespace"/>
    <ds:schemaRef ds:uri="http://purl.org/dc/dcmitype/"/>
  </ds:schemaRefs>
</ds:datastoreItem>
</file>

<file path=customXml/itemProps5.xml><?xml version="1.0" encoding="utf-8"?>
<ds:datastoreItem xmlns:ds="http://schemas.openxmlformats.org/officeDocument/2006/customXml" ds:itemID="{0676195B-6A27-4AA1-A660-AE483E328122}"/>
</file>

<file path=customXml/itemProps6.xml><?xml version="1.0" encoding="utf-8"?>
<ds:datastoreItem xmlns:ds="http://schemas.openxmlformats.org/officeDocument/2006/customXml" ds:itemID="{07E2C003-3FC3-4D96-80B5-7381BEA7AE10}"/>
</file>

<file path=customXml/itemProps7.xml><?xml version="1.0" encoding="utf-8"?>
<ds:datastoreItem xmlns:ds="http://schemas.openxmlformats.org/officeDocument/2006/customXml" ds:itemID="{A7C1ED93-A165-4C2F-BD7B-8C18AB42C23C}"/>
</file>

<file path=docProps/app.xml><?xml version="1.0" encoding="utf-8"?>
<Properties xmlns="http://schemas.openxmlformats.org/officeDocument/2006/extended-properties" xmlns:vt="http://schemas.openxmlformats.org/officeDocument/2006/docPropsVTypes">
  <Template>Normal.dotm</Template>
  <TotalTime>5</TotalTime>
  <Pages>10</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Terms of Reference</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Avonbank Mineral Sands Project Inquiry and Advisory Committee</dc:subject>
  <dc:creator>Amy Selvaraj (DELWP)</dc:creator>
  <cp:keywords/>
  <dc:description/>
  <cp:lastModifiedBy>Amy Selvaraj (DEECA)</cp:lastModifiedBy>
  <cp:revision>2</cp:revision>
  <cp:lastPrinted>2023-02-09T03:57:00Z</cp:lastPrinted>
  <dcterms:created xsi:type="dcterms:W3CDTF">2023-02-09T03:50:00Z</dcterms:created>
  <dcterms:modified xsi:type="dcterms:W3CDTF">2023-02-09T03:57:00Z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0x0101002517F445A0F35E449C98AAD631F2B038270061A4F8672B7C254AB950149B92EAA876</vt:lpwstr>
  </property>
  <property fmtid="{D5CDD505-2E9C-101B-9397-08002B2CF9AE}" pid="3" name="MSIP_Label_4257e2ab-f512-40e2-9c9a-c64247360765_Enabled">
    <vt:lpwstr>true</vt:lpwstr>
  </property>
  <property fmtid="{D5CDD505-2E9C-101B-9397-08002B2CF9AE}" pid="4" name="MSIP_Label_4257e2ab-f512-40e2-9c9a-c64247360765_SetDate">
    <vt:lpwstr>2023-02-09T03:57:43Z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6987c03d-4be1-420a-85ea-c9f37f7a6b86</vt:lpwstr>
  </property>
  <property fmtid="{D5CDD505-2E9C-101B-9397-08002B2CF9AE}" pid="9" name="MSIP_Label_4257e2ab-f512-40e2-9c9a-c64247360765_ContentBits">
    <vt:lpwstr>2</vt:lpwstr>
  </property>
  <property fmtid="{D5CDD505-2E9C-101B-9397-08002B2CF9AE}" pid="10" name="Section">
    <vt:lpwstr>7;#All|8270565e-a836-42c0-aa61-1ac7b0ff14aa</vt:lpwstr>
  </property>
  <property fmtid="{D5CDD505-2E9C-101B-9397-08002B2CF9AE}" pid="11" name="Agency">
    <vt:lpwstr>1;#Department of Environment, Land, Water and Planning|607a3f87-1228-4cd9-82a5-076aa8776274</vt:lpwstr>
  </property>
  <property fmtid="{D5CDD505-2E9C-101B-9397-08002B2CF9AE}" pid="12" name="Branch">
    <vt:lpwstr>4;#All|8270565e-a836-42c0-aa61-1ac7b0ff14aa</vt:lpwstr>
  </property>
  <property fmtid="{D5CDD505-2E9C-101B-9397-08002B2CF9AE}" pid="13" name="_dlc_DocIdItemGuid">
    <vt:lpwstr>02c516ce-629c-415b-b0eb-a07d8b9d90c2</vt:lpwstr>
  </property>
  <property fmtid="{D5CDD505-2E9C-101B-9397-08002B2CF9AE}" pid="14" name="Division">
    <vt:lpwstr>5;#Planning Panels Victoria|f7f930e6-b45f-4a5f-abe4-9daa2ee2cc0f</vt:lpwstr>
  </property>
  <property fmtid="{D5CDD505-2E9C-101B-9397-08002B2CF9AE}" pid="15" name="Group1">
    <vt:lpwstr>6;#Planning|a27341dd-7be7-4882-a552-a667d667e276</vt:lpwstr>
  </property>
  <property fmtid="{D5CDD505-2E9C-101B-9397-08002B2CF9AE}" pid="16" name="Dissemination Limiting Marker">
    <vt:lpwstr>2;#FOUO|955eb6fc-b35a-4808-8aa5-31e514fa3f26</vt:lpwstr>
  </property>
  <property fmtid="{D5CDD505-2E9C-101B-9397-08002B2CF9AE}" pid="17" name="Security Classification">
    <vt:lpwstr>3;#Unclassified|7fa379f4-4aba-4692-ab80-7d39d3a23cf4</vt:lpwstr>
  </property>
  <property fmtid="{D5CDD505-2E9C-101B-9397-08002B2CF9AE}" pid="18" name="Order">
    <vt:r8>1947200</vt:r8>
  </property>
  <property fmtid="{D5CDD505-2E9C-101B-9397-08002B2CF9AE}" pid="19" name="Sub-Section">
    <vt:lpwstr/>
  </property>
  <property fmtid="{D5CDD505-2E9C-101B-9397-08002B2CF9AE}" pid="20" name="MediaServiceImageTags">
    <vt:lpwstr/>
  </property>
  <property fmtid="{D5CDD505-2E9C-101B-9397-08002B2CF9AE}" pid="21" name="Reference_x0020_Type">
    <vt:lpwstr/>
  </property>
  <property fmtid="{D5CDD505-2E9C-101B-9397-08002B2CF9AE}" pid="22" name="Location_x0020_Type">
    <vt:lpwstr/>
  </property>
  <property fmtid="{D5CDD505-2E9C-101B-9397-08002B2CF9AE}" pid="23" name="Department Document Type">
    <vt:lpwstr/>
  </property>
  <property fmtid="{D5CDD505-2E9C-101B-9397-08002B2CF9AE}" pid="24" name="o2e611f6ba3e4c8f9a895dfb7980639e">
    <vt:lpwstr/>
  </property>
  <property fmtid="{D5CDD505-2E9C-101B-9397-08002B2CF9AE}" pid="26" name="ld508a88e6264ce89693af80a72862cb">
    <vt:lpwstr/>
  </property>
  <property fmtid="{D5CDD505-2E9C-101B-9397-08002B2CF9AE}" pid="27" name="Category">
    <vt:lpwstr>235;#002. Appointment and ToR|861712a6-e5ed-40c4-bdee-d5161fa811f5</vt:lpwstr>
  </property>
  <property fmtid="{D5CDD505-2E9C-101B-9397-08002B2CF9AE}" pid="28" name="lcf76f155ced4ddcb4097134ff3c332f">
    <vt:lpwstr/>
  </property>
  <property fmtid="{D5CDD505-2E9C-101B-9397-08002B2CF9AE}" pid="29" name="Location Type">
    <vt:lpwstr/>
  </property>
  <property fmtid="{D5CDD505-2E9C-101B-9397-08002B2CF9AE}" pid="31" name="Reference Type">
    <vt:lpwstr/>
  </property>
</Properties>
</file>