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629D" w14:textId="77777777" w:rsidR="00BE3889" w:rsidRDefault="00BE3889" w:rsidP="00BE3889">
      <w:pPr>
        <w:pStyle w:val="Heading1"/>
      </w:pPr>
      <w:r>
        <w:t>Example Statement of Significance</w:t>
      </w:r>
    </w:p>
    <w:tbl>
      <w:tblPr>
        <w:tblStyle w:val="TableGrid"/>
        <w:tblW w:w="10207" w:type="dxa"/>
        <w:tblInd w:w="-7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7"/>
      </w:tblGrid>
      <w:tr w:rsidR="00BE3889" w14:paraId="6A39D9B9" w14:textId="77777777" w:rsidTr="00BE3889">
        <w:tc>
          <w:tcPr>
            <w:tcW w:w="10207" w:type="dxa"/>
          </w:tcPr>
          <w:p w14:paraId="1992103B" w14:textId="77777777" w:rsidR="00BE3889" w:rsidRPr="00057A67" w:rsidRDefault="00BE3889" w:rsidP="00B51E86">
            <w:pPr>
              <w:spacing w:after="0"/>
              <w:jc w:val="center"/>
              <w:rPr>
                <w:rFonts w:ascii="Times" w:hAnsi="Times"/>
                <w:sz w:val="24"/>
                <w:szCs w:val="20"/>
              </w:rPr>
            </w:pPr>
            <w:r w:rsidRPr="00057A67">
              <w:rPr>
                <w:rFonts w:ascii="Times New Roman" w:hAnsi="Times New Roman"/>
                <w:smallCaps/>
                <w:sz w:val="18"/>
                <w:szCs w:val="20"/>
                <w:u w:color="0000FF"/>
              </w:rPr>
              <w:t xml:space="preserve">Gumnut </w:t>
            </w:r>
            <w:r w:rsidRPr="00057A67">
              <w:rPr>
                <w:rFonts w:ascii="Times" w:hAnsi="Times"/>
                <w:smallCaps/>
                <w:sz w:val="18"/>
                <w:szCs w:val="20"/>
              </w:rPr>
              <w:t>Planning Scheme</w:t>
            </w:r>
          </w:p>
          <w:p w14:paraId="13857031" w14:textId="77777777" w:rsidR="00BE3889" w:rsidRDefault="00BE3889" w:rsidP="00B51E86">
            <w:pPr>
              <w:autoSpaceDE w:val="0"/>
              <w:autoSpaceDN w:val="0"/>
              <w:adjustRightInd w:val="0"/>
              <w:spacing w:after="0"/>
              <w:rPr>
                <w:rFonts w:cs="Arial"/>
                <w:b/>
                <w:bCs/>
                <w:sz w:val="30"/>
                <w:szCs w:val="30"/>
              </w:rPr>
            </w:pPr>
          </w:p>
          <w:p w14:paraId="012DC998" w14:textId="77777777" w:rsidR="00BE3889" w:rsidRPr="00FA1D7F" w:rsidRDefault="00BE3889" w:rsidP="00B51E86">
            <w:pPr>
              <w:autoSpaceDE w:val="0"/>
              <w:autoSpaceDN w:val="0"/>
              <w:adjustRightInd w:val="0"/>
              <w:spacing w:after="0"/>
              <w:rPr>
                <w:rFonts w:cs="Arial"/>
                <w:b/>
                <w:bCs/>
                <w:sz w:val="30"/>
                <w:szCs w:val="30"/>
              </w:rPr>
            </w:pPr>
            <w:r w:rsidRPr="00FA1D7F">
              <w:rPr>
                <w:rFonts w:cs="Arial"/>
                <w:b/>
                <w:bCs/>
                <w:sz w:val="30"/>
                <w:szCs w:val="30"/>
              </w:rPr>
              <w:t xml:space="preserve">Wombat Flats Precinct </w:t>
            </w:r>
            <w:r>
              <w:rPr>
                <w:rFonts w:cs="Arial"/>
                <w:b/>
                <w:bCs/>
                <w:sz w:val="30"/>
                <w:szCs w:val="30"/>
              </w:rPr>
              <w:t>Statement of Significance</w:t>
            </w:r>
          </w:p>
          <w:p w14:paraId="549B6BC3" w14:textId="77777777" w:rsidR="00BE3889" w:rsidRPr="00FA1D7F" w:rsidRDefault="00BE3889" w:rsidP="00B51E86">
            <w:pPr>
              <w:autoSpaceDE w:val="0"/>
              <w:autoSpaceDN w:val="0"/>
              <w:adjustRightInd w:val="0"/>
              <w:spacing w:after="0"/>
              <w:rPr>
                <w:rFonts w:cs="Arial"/>
                <w:b/>
                <w:bCs/>
                <w:sz w:val="26"/>
                <w:szCs w:val="26"/>
              </w:rPr>
            </w:pPr>
          </w:p>
          <w:tbl>
            <w:tblPr>
              <w:tblStyle w:val="TableGrid"/>
              <w:tblW w:w="0" w:type="auto"/>
              <w:tblLook w:val="04A0" w:firstRow="1" w:lastRow="0" w:firstColumn="1" w:lastColumn="0" w:noHBand="0" w:noVBand="1"/>
            </w:tblPr>
            <w:tblGrid>
              <w:gridCol w:w="1619"/>
              <w:gridCol w:w="2694"/>
              <w:gridCol w:w="1481"/>
              <w:gridCol w:w="2996"/>
            </w:tblGrid>
            <w:tr w:rsidR="00BE3889" w:rsidRPr="00FA1D7F" w14:paraId="1E6E4EB5" w14:textId="77777777" w:rsidTr="00B51E86">
              <w:tc>
                <w:tcPr>
                  <w:tcW w:w="1668" w:type="dxa"/>
                  <w:tcBorders>
                    <w:top w:val="single" w:sz="4" w:space="0" w:color="auto"/>
                    <w:left w:val="single" w:sz="4" w:space="0" w:color="FFFFFF"/>
                    <w:right w:val="single" w:sz="4" w:space="0" w:color="FFFFFF"/>
                  </w:tcBorders>
                </w:tcPr>
                <w:p w14:paraId="698203BC" w14:textId="77777777" w:rsidR="00BE3889" w:rsidRPr="00FA1D7F" w:rsidRDefault="00BE3889" w:rsidP="00B51E86">
                  <w:pPr>
                    <w:autoSpaceDE w:val="0"/>
                    <w:autoSpaceDN w:val="0"/>
                    <w:adjustRightInd w:val="0"/>
                    <w:spacing w:before="60" w:after="60"/>
                    <w:rPr>
                      <w:rFonts w:cs="Arial"/>
                      <w:b/>
                      <w:bCs/>
                      <w:szCs w:val="20"/>
                    </w:rPr>
                  </w:pPr>
                  <w:r>
                    <w:rPr>
                      <w:rFonts w:cs="Arial"/>
                      <w:b/>
                      <w:bCs/>
                      <w:szCs w:val="20"/>
                    </w:rPr>
                    <w:t>Heritage Place</w:t>
                  </w:r>
                  <w:r w:rsidRPr="00FA1D7F">
                    <w:rPr>
                      <w:rFonts w:cs="Arial"/>
                      <w:b/>
                      <w:bCs/>
                      <w:szCs w:val="20"/>
                    </w:rPr>
                    <w:t>:</w:t>
                  </w:r>
                </w:p>
              </w:tc>
              <w:tc>
                <w:tcPr>
                  <w:tcW w:w="2835" w:type="dxa"/>
                  <w:tcBorders>
                    <w:top w:val="single" w:sz="4" w:space="0" w:color="auto"/>
                    <w:left w:val="single" w:sz="4" w:space="0" w:color="FFFFFF"/>
                  </w:tcBorders>
                </w:tcPr>
                <w:p w14:paraId="3BD63E2E" w14:textId="77777777" w:rsidR="00BE3889" w:rsidRPr="00FA1D7F" w:rsidRDefault="00BE3889" w:rsidP="00B51E86">
                  <w:pPr>
                    <w:autoSpaceDE w:val="0"/>
                    <w:autoSpaceDN w:val="0"/>
                    <w:adjustRightInd w:val="0"/>
                    <w:spacing w:before="60" w:after="60"/>
                    <w:rPr>
                      <w:rFonts w:cs="Arial"/>
                      <w:bCs/>
                      <w:szCs w:val="20"/>
                    </w:rPr>
                  </w:pPr>
                  <w:r w:rsidRPr="00FA1D7F">
                    <w:rPr>
                      <w:rFonts w:cs="Arial"/>
                      <w:szCs w:val="19"/>
                    </w:rPr>
                    <w:t>Wombat Flats Precinct</w:t>
                  </w:r>
                </w:p>
              </w:tc>
              <w:tc>
                <w:tcPr>
                  <w:tcW w:w="1559" w:type="dxa"/>
                  <w:tcBorders>
                    <w:top w:val="single" w:sz="4" w:space="0" w:color="auto"/>
                    <w:right w:val="single" w:sz="4" w:space="0" w:color="FFFFFF"/>
                  </w:tcBorders>
                </w:tcPr>
                <w:p w14:paraId="251C405B" w14:textId="77777777" w:rsidR="00BE3889" w:rsidRPr="00FA1D7F" w:rsidRDefault="00BE3889" w:rsidP="00B51E86">
                  <w:pPr>
                    <w:autoSpaceDE w:val="0"/>
                    <w:autoSpaceDN w:val="0"/>
                    <w:adjustRightInd w:val="0"/>
                    <w:spacing w:before="60" w:after="60"/>
                    <w:rPr>
                      <w:rFonts w:cs="Arial"/>
                      <w:b/>
                      <w:bCs/>
                      <w:szCs w:val="20"/>
                    </w:rPr>
                  </w:pPr>
                  <w:r w:rsidRPr="00FA1D7F">
                    <w:rPr>
                      <w:rFonts w:cs="Arial"/>
                      <w:b/>
                      <w:bCs/>
                      <w:szCs w:val="20"/>
                    </w:rPr>
                    <w:t>PS ref no:</w:t>
                  </w:r>
                </w:p>
              </w:tc>
              <w:tc>
                <w:tcPr>
                  <w:tcW w:w="3180" w:type="dxa"/>
                  <w:tcBorders>
                    <w:top w:val="single" w:sz="4" w:space="0" w:color="auto"/>
                    <w:left w:val="single" w:sz="4" w:space="0" w:color="FFFFFF"/>
                    <w:right w:val="single" w:sz="4" w:space="0" w:color="FFFFFF"/>
                  </w:tcBorders>
                </w:tcPr>
                <w:p w14:paraId="47DDAE23" w14:textId="77777777" w:rsidR="00BE3889" w:rsidRPr="00FA1D7F" w:rsidRDefault="00BE3889" w:rsidP="00B51E86">
                  <w:pPr>
                    <w:autoSpaceDE w:val="0"/>
                    <w:autoSpaceDN w:val="0"/>
                    <w:adjustRightInd w:val="0"/>
                    <w:spacing w:before="60" w:after="60"/>
                    <w:rPr>
                      <w:rFonts w:cs="Arial"/>
                      <w:bCs/>
                      <w:szCs w:val="20"/>
                    </w:rPr>
                  </w:pPr>
                  <w:r w:rsidRPr="00FA1D7F">
                    <w:rPr>
                      <w:rFonts w:cs="Arial"/>
                      <w:bCs/>
                      <w:szCs w:val="20"/>
                    </w:rPr>
                    <w:t>HO26</w:t>
                  </w:r>
                </w:p>
              </w:tc>
            </w:tr>
          </w:tbl>
          <w:p w14:paraId="08CE2F01" w14:textId="77777777" w:rsidR="00BE3889" w:rsidRPr="00FA1D7F" w:rsidRDefault="00BE3889" w:rsidP="00B51E86">
            <w:pPr>
              <w:autoSpaceDE w:val="0"/>
              <w:autoSpaceDN w:val="0"/>
              <w:adjustRightInd w:val="0"/>
              <w:spacing w:after="0"/>
              <w:rPr>
                <w:rFonts w:cs="Arial"/>
                <w:bCs/>
                <w:i/>
                <w:sz w:val="18"/>
                <w:szCs w:val="18"/>
              </w:rPr>
            </w:pPr>
          </w:p>
          <w:p w14:paraId="68EDE425" w14:textId="77777777" w:rsidR="00BE3889" w:rsidRPr="00FA1D7F" w:rsidRDefault="00BE3889" w:rsidP="00B51E86">
            <w:pPr>
              <w:autoSpaceDE w:val="0"/>
              <w:autoSpaceDN w:val="0"/>
              <w:adjustRightInd w:val="0"/>
              <w:spacing w:after="0"/>
              <w:rPr>
                <w:rFonts w:cs="Arial"/>
                <w:bCs/>
                <w:i/>
                <w:szCs w:val="18"/>
              </w:rPr>
            </w:pPr>
            <w:r w:rsidRPr="00FA1D7F">
              <w:rPr>
                <w:rFonts w:cs="Arial"/>
                <w:bCs/>
                <w:i/>
                <w:szCs w:val="18"/>
              </w:rPr>
              <w:t>[Insert photo and or map, if applicable]</w:t>
            </w:r>
          </w:p>
          <w:p w14:paraId="095654C8" w14:textId="77777777" w:rsidR="00BE3889" w:rsidRPr="00FA1D7F" w:rsidRDefault="00BE3889" w:rsidP="00B51E86">
            <w:pPr>
              <w:autoSpaceDE w:val="0"/>
              <w:autoSpaceDN w:val="0"/>
              <w:adjustRightInd w:val="0"/>
              <w:spacing w:after="0"/>
              <w:rPr>
                <w:rFonts w:cs="Arial"/>
                <w:b/>
                <w:bCs/>
                <w:szCs w:val="23"/>
              </w:rPr>
            </w:pPr>
          </w:p>
          <w:p w14:paraId="4FFF415D" w14:textId="77777777" w:rsidR="00BE3889" w:rsidRPr="00FA1D7F" w:rsidRDefault="00BE3889" w:rsidP="00B51E86">
            <w:pPr>
              <w:pBdr>
                <w:bottom w:val="single" w:sz="6" w:space="1" w:color="auto"/>
              </w:pBdr>
              <w:autoSpaceDE w:val="0"/>
              <w:autoSpaceDN w:val="0"/>
              <w:adjustRightInd w:val="0"/>
              <w:spacing w:after="120"/>
              <w:rPr>
                <w:rFonts w:cs="Arial"/>
                <w:b/>
                <w:bCs/>
                <w:szCs w:val="23"/>
              </w:rPr>
            </w:pPr>
            <w:r w:rsidRPr="00FA1D7F">
              <w:rPr>
                <w:rFonts w:cs="Arial"/>
                <w:b/>
                <w:bCs/>
                <w:szCs w:val="23"/>
              </w:rPr>
              <w:t>What is significant?</w:t>
            </w:r>
          </w:p>
          <w:p w14:paraId="0E7B7C48" w14:textId="77777777" w:rsidR="00BE3889" w:rsidRPr="00FA1D7F" w:rsidRDefault="00BE3889" w:rsidP="00B51E86">
            <w:pPr>
              <w:autoSpaceDE w:val="0"/>
              <w:autoSpaceDN w:val="0"/>
              <w:adjustRightInd w:val="0"/>
              <w:spacing w:after="120"/>
              <w:rPr>
                <w:rFonts w:cs="Arial"/>
                <w:szCs w:val="19"/>
              </w:rPr>
            </w:pPr>
            <w:r w:rsidRPr="00FA1D7F">
              <w:rPr>
                <w:rFonts w:cs="Arial"/>
                <w:szCs w:val="19"/>
              </w:rPr>
              <w:t>The following features contribute to the significance of the precinct:</w:t>
            </w:r>
          </w:p>
          <w:p w14:paraId="325B946C" w14:textId="77777777" w:rsidR="00BE3889" w:rsidRPr="00FA1D7F" w:rsidRDefault="00BE3889" w:rsidP="00B51E86">
            <w:pPr>
              <w:autoSpaceDE w:val="0"/>
              <w:autoSpaceDN w:val="0"/>
              <w:adjustRightInd w:val="0"/>
              <w:spacing w:after="120"/>
              <w:rPr>
                <w:rFonts w:cs="Arial"/>
                <w:szCs w:val="19"/>
              </w:rPr>
            </w:pPr>
            <w:r w:rsidRPr="00FA1D7F">
              <w:rPr>
                <w:rFonts w:cs="Arial"/>
                <w:szCs w:val="19"/>
              </w:rPr>
              <w:t>The houses constructed from c.1855 to c.1910, as shown on the precinct map.</w:t>
            </w:r>
          </w:p>
          <w:p w14:paraId="7E59CAE6" w14:textId="77777777" w:rsidR="00BE3889" w:rsidRPr="00FA1D7F" w:rsidRDefault="00BE3889" w:rsidP="00BE3889">
            <w:pPr>
              <w:pStyle w:val="ListParagraph"/>
              <w:numPr>
                <w:ilvl w:val="0"/>
                <w:numId w:val="1"/>
              </w:numPr>
              <w:autoSpaceDE w:val="0"/>
              <w:autoSpaceDN w:val="0"/>
              <w:adjustRightInd w:val="0"/>
              <w:spacing w:after="120" w:line="240" w:lineRule="auto"/>
              <w:rPr>
                <w:rFonts w:ascii="Arial" w:hAnsi="Arial" w:cs="Arial"/>
                <w:sz w:val="20"/>
                <w:szCs w:val="19"/>
              </w:rPr>
            </w:pPr>
            <w:r w:rsidRPr="00FA1D7F">
              <w:rPr>
                <w:rFonts w:ascii="Arial" w:hAnsi="Arial" w:cs="Arial"/>
                <w:sz w:val="20"/>
                <w:szCs w:val="19"/>
              </w:rPr>
              <w:t xml:space="preserve">The overall consistency of housing form (hipped roofs, single storey wall heights), materials and detailing (weatherboard, face brick or stucco external cladding, corrugated metal roofs, wide </w:t>
            </w:r>
            <w:proofErr w:type="spellStart"/>
            <w:r w:rsidRPr="00FA1D7F">
              <w:rPr>
                <w:rFonts w:ascii="Arial" w:hAnsi="Arial" w:cs="Arial"/>
                <w:sz w:val="20"/>
                <w:szCs w:val="19"/>
              </w:rPr>
              <w:t>verandahs</w:t>
            </w:r>
            <w:proofErr w:type="spellEnd"/>
            <w:r w:rsidRPr="00FA1D7F">
              <w:rPr>
                <w:rFonts w:ascii="Arial" w:hAnsi="Arial" w:cs="Arial"/>
                <w:sz w:val="20"/>
                <w:szCs w:val="19"/>
              </w:rPr>
              <w:t xml:space="preserve"> facing the street, brick chimneys), and siting (generous and consistent front and side setbacks).</w:t>
            </w:r>
          </w:p>
          <w:p w14:paraId="55C9C753" w14:textId="77777777" w:rsidR="00BE3889" w:rsidRPr="00FA1D7F" w:rsidRDefault="00BE3889" w:rsidP="00BE3889">
            <w:pPr>
              <w:pStyle w:val="ListParagraph"/>
              <w:numPr>
                <w:ilvl w:val="0"/>
                <w:numId w:val="1"/>
              </w:numPr>
              <w:autoSpaceDE w:val="0"/>
              <w:autoSpaceDN w:val="0"/>
              <w:adjustRightInd w:val="0"/>
              <w:spacing w:after="120" w:line="240" w:lineRule="auto"/>
              <w:rPr>
                <w:rFonts w:ascii="Arial" w:hAnsi="Arial" w:cs="Arial"/>
                <w:sz w:val="20"/>
                <w:szCs w:val="19"/>
              </w:rPr>
            </w:pPr>
            <w:r w:rsidRPr="00FA1D7F">
              <w:rPr>
                <w:rFonts w:ascii="Arial" w:hAnsi="Arial" w:cs="Arial"/>
                <w:sz w:val="20"/>
                <w:szCs w:val="19"/>
              </w:rPr>
              <w:t xml:space="preserve">Streetscape materials such as bluestone kerb and channel and concrete footpaths. Features that do not contribute to the significance of this place include non-original alterations and additions to the contributory buildings shown on the precinct map and the houses at 32, 24 &amp; 36 Wattle Avenue. </w:t>
            </w:r>
          </w:p>
          <w:p w14:paraId="38F0990A" w14:textId="77777777" w:rsidR="00BE3889" w:rsidRPr="00FA1D7F" w:rsidRDefault="00BE3889" w:rsidP="00B51E86">
            <w:pPr>
              <w:autoSpaceDE w:val="0"/>
              <w:autoSpaceDN w:val="0"/>
              <w:adjustRightInd w:val="0"/>
              <w:spacing w:after="120"/>
              <w:rPr>
                <w:rFonts w:cs="Arial"/>
                <w:szCs w:val="20"/>
              </w:rPr>
            </w:pPr>
            <w:r w:rsidRPr="00FA1D7F">
              <w:rPr>
                <w:rFonts w:cs="Arial"/>
                <w:szCs w:val="20"/>
              </w:rPr>
              <w:t xml:space="preserve">Contributory buildings: </w:t>
            </w:r>
          </w:p>
          <w:p w14:paraId="012BDEF7" w14:textId="77777777" w:rsidR="00BE3889" w:rsidRPr="00FA1D7F" w:rsidRDefault="00BE3889" w:rsidP="00B51E86">
            <w:pPr>
              <w:autoSpaceDE w:val="0"/>
              <w:autoSpaceDN w:val="0"/>
              <w:adjustRightInd w:val="0"/>
              <w:spacing w:after="0"/>
              <w:rPr>
                <w:rFonts w:cs="Arial"/>
                <w:szCs w:val="20"/>
              </w:rPr>
            </w:pPr>
            <w:r w:rsidRPr="00FA1D7F">
              <w:rPr>
                <w:rFonts w:cs="Arial"/>
                <w:szCs w:val="20"/>
              </w:rPr>
              <w:t>Wattle Avenue:  3,5,7,9,11,13,15,17,19</w:t>
            </w:r>
          </w:p>
          <w:p w14:paraId="0B156467" w14:textId="77777777" w:rsidR="00BE3889" w:rsidRPr="00FA1D7F" w:rsidRDefault="00BE3889" w:rsidP="00B51E86">
            <w:pPr>
              <w:autoSpaceDE w:val="0"/>
              <w:autoSpaceDN w:val="0"/>
              <w:adjustRightInd w:val="0"/>
              <w:spacing w:after="0"/>
              <w:rPr>
                <w:rFonts w:cs="Arial"/>
                <w:szCs w:val="20"/>
              </w:rPr>
            </w:pPr>
            <w:r w:rsidRPr="00FA1D7F">
              <w:rPr>
                <w:rFonts w:cs="Arial"/>
                <w:szCs w:val="20"/>
              </w:rPr>
              <w:t xml:space="preserve">Myrtle Street: 7,11,12 </w:t>
            </w:r>
          </w:p>
          <w:p w14:paraId="4EB97F83" w14:textId="77777777" w:rsidR="00BE3889" w:rsidRPr="00FA1D7F" w:rsidRDefault="00BE3889" w:rsidP="00B51E86">
            <w:pPr>
              <w:autoSpaceDE w:val="0"/>
              <w:autoSpaceDN w:val="0"/>
              <w:adjustRightInd w:val="0"/>
              <w:spacing w:after="0"/>
              <w:rPr>
                <w:rFonts w:cs="Arial"/>
                <w:szCs w:val="20"/>
              </w:rPr>
            </w:pPr>
          </w:p>
          <w:p w14:paraId="3D5D9D7E" w14:textId="77777777" w:rsidR="00BE3889" w:rsidRPr="00FA1D7F" w:rsidRDefault="00BE3889" w:rsidP="00B51E86">
            <w:pPr>
              <w:autoSpaceDE w:val="0"/>
              <w:autoSpaceDN w:val="0"/>
              <w:adjustRightInd w:val="0"/>
              <w:spacing w:after="120"/>
              <w:rPr>
                <w:rFonts w:cs="Arial"/>
                <w:szCs w:val="20"/>
              </w:rPr>
            </w:pPr>
            <w:r w:rsidRPr="00FA1D7F">
              <w:rPr>
                <w:rFonts w:cs="Garamond"/>
              </w:rPr>
              <w:t>Features that do not contribute to the significance of this place include non-original alterations and additions to the contributory buildings shown on the precinct map and the houses at 32, 24 &amp; 36 Wattle Avenue</w:t>
            </w:r>
          </w:p>
          <w:p w14:paraId="4B6FC549" w14:textId="77777777" w:rsidR="00BE3889" w:rsidRPr="00FA1D7F" w:rsidRDefault="00BE3889" w:rsidP="00B51E86">
            <w:pPr>
              <w:pBdr>
                <w:bottom w:val="single" w:sz="6" w:space="1" w:color="auto"/>
              </w:pBdr>
              <w:autoSpaceDE w:val="0"/>
              <w:autoSpaceDN w:val="0"/>
              <w:adjustRightInd w:val="0"/>
              <w:spacing w:after="120"/>
              <w:rPr>
                <w:rFonts w:cs="Arial"/>
                <w:b/>
                <w:bCs/>
                <w:szCs w:val="23"/>
              </w:rPr>
            </w:pPr>
            <w:r w:rsidRPr="00FA1D7F">
              <w:rPr>
                <w:rFonts w:cs="Arial"/>
                <w:b/>
                <w:bCs/>
                <w:szCs w:val="23"/>
              </w:rPr>
              <w:t>How is it significant?</w:t>
            </w:r>
          </w:p>
          <w:p w14:paraId="19F06B8C" w14:textId="77777777" w:rsidR="00BE3889" w:rsidRPr="00FA1D7F" w:rsidRDefault="00BE3889" w:rsidP="00B51E86">
            <w:pPr>
              <w:autoSpaceDE w:val="0"/>
              <w:autoSpaceDN w:val="0"/>
              <w:adjustRightInd w:val="0"/>
              <w:spacing w:after="120"/>
              <w:rPr>
                <w:rFonts w:cs="Arial"/>
                <w:szCs w:val="19"/>
              </w:rPr>
            </w:pPr>
            <w:r w:rsidRPr="00FA1D7F">
              <w:rPr>
                <w:rFonts w:cs="Arial"/>
                <w:szCs w:val="19"/>
              </w:rPr>
              <w:t xml:space="preserve">The Wombat Flats Precinct is of local, </w:t>
            </w:r>
            <w:proofErr w:type="gramStart"/>
            <w:r w:rsidRPr="00FA1D7F">
              <w:rPr>
                <w:rFonts w:cs="Arial"/>
                <w:szCs w:val="19"/>
              </w:rPr>
              <w:t>historic</w:t>
            </w:r>
            <w:proofErr w:type="gramEnd"/>
            <w:r w:rsidRPr="00FA1D7F">
              <w:rPr>
                <w:rFonts w:cs="Arial"/>
                <w:szCs w:val="19"/>
              </w:rPr>
              <w:t xml:space="preserve"> and aesthetic significance to Gumnut Shire.</w:t>
            </w:r>
          </w:p>
          <w:p w14:paraId="375A8E29" w14:textId="77777777" w:rsidR="00BE3889" w:rsidRPr="00FA1D7F" w:rsidRDefault="00BE3889" w:rsidP="00B51E86">
            <w:pPr>
              <w:autoSpaceDE w:val="0"/>
              <w:autoSpaceDN w:val="0"/>
              <w:adjustRightInd w:val="0"/>
              <w:spacing w:after="0"/>
              <w:rPr>
                <w:rFonts w:cs="Arial"/>
                <w:szCs w:val="19"/>
              </w:rPr>
            </w:pPr>
          </w:p>
          <w:p w14:paraId="280C8C7E" w14:textId="77777777" w:rsidR="00BE3889" w:rsidRPr="00FA1D7F" w:rsidRDefault="00BE3889" w:rsidP="00B51E86">
            <w:pPr>
              <w:pBdr>
                <w:bottom w:val="single" w:sz="6" w:space="1" w:color="auto"/>
              </w:pBdr>
              <w:autoSpaceDE w:val="0"/>
              <w:autoSpaceDN w:val="0"/>
              <w:adjustRightInd w:val="0"/>
              <w:spacing w:after="120"/>
              <w:rPr>
                <w:rFonts w:cs="Arial"/>
                <w:b/>
                <w:bCs/>
                <w:szCs w:val="23"/>
              </w:rPr>
            </w:pPr>
            <w:r w:rsidRPr="00FA1D7F">
              <w:rPr>
                <w:rFonts w:cs="Arial"/>
                <w:b/>
                <w:bCs/>
                <w:szCs w:val="23"/>
              </w:rPr>
              <w:t>Why is it significant?</w:t>
            </w:r>
          </w:p>
          <w:p w14:paraId="04769033" w14:textId="77777777" w:rsidR="00BE3889" w:rsidRPr="00FA1D7F" w:rsidRDefault="00BE3889" w:rsidP="00B51E86">
            <w:pPr>
              <w:autoSpaceDE w:val="0"/>
              <w:autoSpaceDN w:val="0"/>
              <w:adjustRightInd w:val="0"/>
              <w:spacing w:after="120"/>
              <w:rPr>
                <w:rFonts w:cs="Arial"/>
                <w:szCs w:val="19"/>
              </w:rPr>
            </w:pPr>
            <w:r w:rsidRPr="00FA1D7F">
              <w:rPr>
                <w:rFonts w:cs="Arial"/>
                <w:szCs w:val="19"/>
              </w:rPr>
              <w:t xml:space="preserve">Historically, the precinct demonstrates how the gold rush encouraged the residential development of this area in the mid-nineteenth century. The later Victorian and Edwardian housing </w:t>
            </w:r>
            <w:proofErr w:type="gramStart"/>
            <w:r w:rsidRPr="00FA1D7F">
              <w:rPr>
                <w:rFonts w:cs="Arial"/>
                <w:szCs w:val="19"/>
              </w:rPr>
              <w:t>demonstrates</w:t>
            </w:r>
            <w:proofErr w:type="gramEnd"/>
            <w:r w:rsidRPr="00FA1D7F">
              <w:rPr>
                <w:rFonts w:cs="Arial"/>
                <w:szCs w:val="19"/>
              </w:rPr>
              <w:t xml:space="preserve"> the next stage of development, which resulted from the establishment of improved transport links and industries such as the Butterscotch Factory in near-by Lilly </w:t>
            </w:r>
            <w:proofErr w:type="spellStart"/>
            <w:r w:rsidRPr="00FA1D7F">
              <w:rPr>
                <w:rFonts w:cs="Arial"/>
                <w:szCs w:val="19"/>
              </w:rPr>
              <w:t>Pilly</w:t>
            </w:r>
            <w:proofErr w:type="spellEnd"/>
            <w:r w:rsidRPr="00FA1D7F">
              <w:rPr>
                <w:rFonts w:cs="Arial"/>
                <w:szCs w:val="19"/>
              </w:rPr>
              <w:t xml:space="preserve"> Street. (Criterion A)</w:t>
            </w:r>
          </w:p>
          <w:p w14:paraId="5386A082" w14:textId="77777777" w:rsidR="00BE3889" w:rsidRPr="00FA1D7F" w:rsidRDefault="00BE3889" w:rsidP="00B51E86">
            <w:pPr>
              <w:autoSpaceDE w:val="0"/>
              <w:autoSpaceDN w:val="0"/>
              <w:adjustRightInd w:val="0"/>
              <w:spacing w:after="120"/>
              <w:rPr>
                <w:rFonts w:cs="Arial"/>
                <w:szCs w:val="19"/>
              </w:rPr>
            </w:pPr>
            <w:r w:rsidRPr="00FA1D7F">
              <w:rPr>
                <w:rFonts w:cs="Arial"/>
                <w:szCs w:val="19"/>
              </w:rPr>
              <w:t>The precinct is significant for the way it demonstrates the key phases of development prior to World War I, characterised by mid to late Victorian era housing, supplemented by Edwardian infill, set within a nineteenth century subdivision with a regular allotment pattern. It is representative of the way residential areas in Gumnut developed during this era. (Criterion D)</w:t>
            </w:r>
          </w:p>
          <w:p w14:paraId="6EC88CF7" w14:textId="77777777" w:rsidR="00BE3889" w:rsidRPr="00FA1D7F" w:rsidRDefault="00BE3889" w:rsidP="00B51E86">
            <w:pPr>
              <w:autoSpaceDE w:val="0"/>
              <w:autoSpaceDN w:val="0"/>
              <w:adjustRightInd w:val="0"/>
              <w:spacing w:after="120"/>
              <w:rPr>
                <w:rFonts w:cs="Arial"/>
                <w:szCs w:val="19"/>
              </w:rPr>
            </w:pPr>
            <w:r w:rsidRPr="00FA1D7F">
              <w:rPr>
                <w:rFonts w:cs="Arial"/>
                <w:szCs w:val="19"/>
              </w:rPr>
              <w:t>The mid to late Victorian and Federation/Edwardian houses with characteristic form, materials and detailing are complemented by traditional</w:t>
            </w:r>
            <w:r w:rsidRPr="00FA1D7F">
              <w:rPr>
                <w:rFonts w:cs="Garamond"/>
              </w:rPr>
              <w:t xml:space="preserve"> public realm materials such as concrete footpaths and bluestone kerb and channel. (Criterion E)</w:t>
            </w:r>
          </w:p>
          <w:p w14:paraId="1ED4D598" w14:textId="77777777" w:rsidR="00BE3889" w:rsidRPr="00FA1D7F" w:rsidRDefault="00BE3889" w:rsidP="00B51E86">
            <w:pPr>
              <w:autoSpaceDE w:val="0"/>
              <w:autoSpaceDN w:val="0"/>
              <w:adjustRightInd w:val="0"/>
              <w:spacing w:after="0"/>
              <w:rPr>
                <w:rFonts w:cs="Arial"/>
                <w:szCs w:val="19"/>
              </w:rPr>
            </w:pPr>
          </w:p>
          <w:p w14:paraId="6612F76A" w14:textId="77777777" w:rsidR="00BE3889" w:rsidRPr="00FA1D7F" w:rsidRDefault="00BE3889" w:rsidP="00B51E86">
            <w:pPr>
              <w:pBdr>
                <w:bottom w:val="single" w:sz="6" w:space="1" w:color="auto"/>
              </w:pBdr>
              <w:rPr>
                <w:rFonts w:cs="Arial"/>
                <w:b/>
                <w:bCs/>
                <w:szCs w:val="23"/>
              </w:rPr>
            </w:pPr>
            <w:r w:rsidRPr="00FA1D7F">
              <w:rPr>
                <w:rFonts w:cs="Arial"/>
                <w:b/>
                <w:bCs/>
                <w:szCs w:val="23"/>
              </w:rPr>
              <w:t>Primary source</w:t>
            </w:r>
          </w:p>
          <w:p w14:paraId="00AA9D7D" w14:textId="77777777" w:rsidR="00BE3889" w:rsidRPr="00FA1D7F" w:rsidRDefault="00BE3889" w:rsidP="00B51E86">
            <w:pPr>
              <w:autoSpaceDE w:val="0"/>
              <w:autoSpaceDN w:val="0"/>
              <w:adjustRightInd w:val="0"/>
              <w:spacing w:after="0"/>
              <w:rPr>
                <w:rFonts w:cs="Arial"/>
                <w:bCs/>
                <w:i/>
                <w:szCs w:val="18"/>
              </w:rPr>
            </w:pPr>
            <w:r w:rsidRPr="00FA1D7F">
              <w:rPr>
                <w:rFonts w:cs="Arial"/>
                <w:bCs/>
                <w:i/>
                <w:szCs w:val="18"/>
              </w:rPr>
              <w:t>[Insert applicable study and/or citation, if applicable]</w:t>
            </w:r>
          </w:p>
          <w:p w14:paraId="2C68812E" w14:textId="77777777" w:rsidR="00BE3889" w:rsidRPr="00FA1D7F" w:rsidRDefault="00BE3889" w:rsidP="00B51E86">
            <w:pPr>
              <w:autoSpaceDE w:val="0"/>
              <w:autoSpaceDN w:val="0"/>
              <w:adjustRightInd w:val="0"/>
              <w:spacing w:after="0"/>
              <w:rPr>
                <w:rFonts w:cs="Arial"/>
                <w:bCs/>
                <w:i/>
                <w:szCs w:val="18"/>
              </w:rPr>
            </w:pPr>
            <w:r w:rsidRPr="00FA1D7F">
              <w:rPr>
                <w:rFonts w:cs="Arial"/>
                <w:bCs/>
                <w:i/>
                <w:szCs w:val="18"/>
              </w:rPr>
              <w:t>[Insert grading table for large precincts]</w:t>
            </w:r>
          </w:p>
          <w:p w14:paraId="4030811A" w14:textId="77777777" w:rsidR="00BE3889" w:rsidRPr="00FA1D7F" w:rsidRDefault="00BE3889" w:rsidP="00B51E86">
            <w:pPr>
              <w:autoSpaceDE w:val="0"/>
              <w:autoSpaceDN w:val="0"/>
              <w:adjustRightInd w:val="0"/>
              <w:spacing w:after="0"/>
              <w:rPr>
                <w:rFonts w:cs="Arial"/>
                <w:bCs/>
                <w:i/>
                <w:szCs w:val="18"/>
              </w:rPr>
            </w:pPr>
          </w:p>
          <w:tbl>
            <w:tblPr>
              <w:tblStyle w:val="TableGrid"/>
              <w:tblW w:w="0" w:type="auto"/>
              <w:tblLook w:val="04A0" w:firstRow="1" w:lastRow="0" w:firstColumn="1" w:lastColumn="0" w:noHBand="0" w:noVBand="1"/>
            </w:tblPr>
            <w:tblGrid>
              <w:gridCol w:w="2326"/>
              <w:gridCol w:w="3727"/>
              <w:gridCol w:w="2737"/>
            </w:tblGrid>
            <w:tr w:rsidR="00BE3889" w:rsidRPr="00FA1D7F" w14:paraId="54555AA0" w14:textId="77777777" w:rsidTr="00B51E86">
              <w:tc>
                <w:tcPr>
                  <w:tcW w:w="2376" w:type="dxa"/>
                  <w:shd w:val="clear" w:color="auto" w:fill="0000FF"/>
                </w:tcPr>
                <w:p w14:paraId="1FD59B0D" w14:textId="77777777" w:rsidR="00BE3889" w:rsidRPr="00FA1D7F" w:rsidRDefault="00BE3889" w:rsidP="00B51E86">
                  <w:pPr>
                    <w:autoSpaceDE w:val="0"/>
                    <w:autoSpaceDN w:val="0"/>
                    <w:adjustRightInd w:val="0"/>
                    <w:rPr>
                      <w:rFonts w:cs="Arial"/>
                      <w:b/>
                      <w:bCs/>
                      <w:i/>
                      <w:szCs w:val="18"/>
                    </w:rPr>
                  </w:pPr>
                  <w:r w:rsidRPr="00FA1D7F">
                    <w:rPr>
                      <w:rFonts w:cs="Arial"/>
                      <w:b/>
                      <w:bCs/>
                      <w:i/>
                      <w:szCs w:val="18"/>
                    </w:rPr>
                    <w:t>Number</w:t>
                  </w:r>
                </w:p>
              </w:tc>
              <w:tc>
                <w:tcPr>
                  <w:tcW w:w="3828" w:type="dxa"/>
                  <w:shd w:val="clear" w:color="auto" w:fill="0000FF"/>
                </w:tcPr>
                <w:p w14:paraId="60AA005C" w14:textId="77777777" w:rsidR="00BE3889" w:rsidRPr="00FA1D7F" w:rsidRDefault="00BE3889" w:rsidP="00B51E86">
                  <w:pPr>
                    <w:autoSpaceDE w:val="0"/>
                    <w:autoSpaceDN w:val="0"/>
                    <w:adjustRightInd w:val="0"/>
                    <w:rPr>
                      <w:rFonts w:cs="Arial"/>
                      <w:b/>
                      <w:bCs/>
                      <w:i/>
                      <w:szCs w:val="18"/>
                    </w:rPr>
                  </w:pPr>
                  <w:r w:rsidRPr="00FA1D7F">
                    <w:rPr>
                      <w:rFonts w:cs="Arial"/>
                      <w:b/>
                      <w:bCs/>
                      <w:i/>
                      <w:szCs w:val="18"/>
                    </w:rPr>
                    <w:t>Address</w:t>
                  </w:r>
                </w:p>
              </w:tc>
              <w:tc>
                <w:tcPr>
                  <w:tcW w:w="2790" w:type="dxa"/>
                  <w:shd w:val="clear" w:color="auto" w:fill="0000FF"/>
                </w:tcPr>
                <w:p w14:paraId="74DCC3ED" w14:textId="77777777" w:rsidR="00BE3889" w:rsidRPr="00FA1D7F" w:rsidRDefault="00BE3889" w:rsidP="00B51E86">
                  <w:pPr>
                    <w:autoSpaceDE w:val="0"/>
                    <w:autoSpaceDN w:val="0"/>
                    <w:adjustRightInd w:val="0"/>
                    <w:rPr>
                      <w:rFonts w:cs="Arial"/>
                      <w:b/>
                      <w:bCs/>
                      <w:i/>
                      <w:szCs w:val="18"/>
                    </w:rPr>
                  </w:pPr>
                  <w:r w:rsidRPr="00FA1D7F">
                    <w:rPr>
                      <w:rFonts w:cs="Arial"/>
                      <w:b/>
                      <w:bCs/>
                      <w:i/>
                      <w:szCs w:val="18"/>
                    </w:rPr>
                    <w:t xml:space="preserve">Grade </w:t>
                  </w:r>
                </w:p>
              </w:tc>
            </w:tr>
            <w:tr w:rsidR="00BE3889" w:rsidRPr="00FA1D7F" w14:paraId="64D0E1A5" w14:textId="77777777" w:rsidTr="00B51E86">
              <w:tc>
                <w:tcPr>
                  <w:tcW w:w="2376" w:type="dxa"/>
                </w:tcPr>
                <w:p w14:paraId="69828BF5" w14:textId="77777777" w:rsidR="00BE3889" w:rsidRPr="00FA1D7F" w:rsidRDefault="00BE3889" w:rsidP="00B51E86">
                  <w:pPr>
                    <w:autoSpaceDE w:val="0"/>
                    <w:autoSpaceDN w:val="0"/>
                    <w:adjustRightInd w:val="0"/>
                    <w:rPr>
                      <w:rFonts w:cs="Arial"/>
                      <w:bCs/>
                      <w:i/>
                      <w:szCs w:val="18"/>
                    </w:rPr>
                  </w:pPr>
                  <w:r w:rsidRPr="00FA1D7F">
                    <w:rPr>
                      <w:rFonts w:cs="Arial"/>
                      <w:bCs/>
                      <w:i/>
                      <w:szCs w:val="18"/>
                    </w:rPr>
                    <w:t>7</w:t>
                  </w:r>
                </w:p>
              </w:tc>
              <w:tc>
                <w:tcPr>
                  <w:tcW w:w="3828" w:type="dxa"/>
                </w:tcPr>
                <w:p w14:paraId="50401C0E" w14:textId="77777777" w:rsidR="00BE3889" w:rsidRPr="00FA1D7F" w:rsidRDefault="00BE3889" w:rsidP="00B51E86">
                  <w:pPr>
                    <w:autoSpaceDE w:val="0"/>
                    <w:autoSpaceDN w:val="0"/>
                    <w:adjustRightInd w:val="0"/>
                    <w:rPr>
                      <w:rFonts w:cs="Arial"/>
                      <w:bCs/>
                      <w:i/>
                      <w:szCs w:val="18"/>
                    </w:rPr>
                  </w:pPr>
                  <w:r w:rsidRPr="00FA1D7F">
                    <w:rPr>
                      <w:rFonts w:cs="Arial"/>
                      <w:bCs/>
                      <w:i/>
                      <w:szCs w:val="18"/>
                    </w:rPr>
                    <w:t xml:space="preserve">Wattle Avenue </w:t>
                  </w:r>
                </w:p>
              </w:tc>
              <w:tc>
                <w:tcPr>
                  <w:tcW w:w="2790" w:type="dxa"/>
                </w:tcPr>
                <w:p w14:paraId="46812E0F" w14:textId="77777777" w:rsidR="00BE3889" w:rsidRPr="00FA1D7F" w:rsidRDefault="00BE3889" w:rsidP="00B51E86">
                  <w:pPr>
                    <w:autoSpaceDE w:val="0"/>
                    <w:autoSpaceDN w:val="0"/>
                    <w:adjustRightInd w:val="0"/>
                    <w:rPr>
                      <w:rFonts w:cs="Arial"/>
                      <w:bCs/>
                      <w:i/>
                      <w:szCs w:val="18"/>
                    </w:rPr>
                  </w:pPr>
                  <w:r w:rsidRPr="00FA1D7F">
                    <w:rPr>
                      <w:rFonts w:cs="Arial"/>
                      <w:bCs/>
                      <w:i/>
                      <w:szCs w:val="18"/>
                    </w:rPr>
                    <w:t xml:space="preserve">Contributory </w:t>
                  </w:r>
                </w:p>
              </w:tc>
            </w:tr>
          </w:tbl>
          <w:p w14:paraId="3C6D5BDF" w14:textId="77777777" w:rsidR="00BE3889" w:rsidRPr="001F027E" w:rsidRDefault="00BE3889" w:rsidP="00B51E86">
            <w:pPr>
              <w:tabs>
                <w:tab w:val="left" w:pos="3005"/>
              </w:tabs>
              <w:autoSpaceDE w:val="0"/>
              <w:autoSpaceDN w:val="0"/>
              <w:adjustRightInd w:val="0"/>
              <w:spacing w:after="0"/>
              <w:rPr>
                <w:rFonts w:cs="Arial"/>
                <w:bCs/>
                <w:i/>
                <w:color w:val="FF0000"/>
                <w:szCs w:val="18"/>
              </w:rPr>
            </w:pPr>
            <w:r>
              <w:rPr>
                <w:rFonts w:cs="Arial"/>
                <w:bCs/>
                <w:i/>
                <w:color w:val="FF0000"/>
                <w:szCs w:val="18"/>
              </w:rPr>
              <w:tab/>
            </w:r>
          </w:p>
          <w:p w14:paraId="4A6A4730" w14:textId="77777777" w:rsidR="00BE3889" w:rsidRDefault="00BE3889" w:rsidP="00B51E86">
            <w:r w:rsidRPr="000F5662">
              <w:rPr>
                <w:rFonts w:ascii="Times" w:hAnsi="Times" w:cs="Times"/>
                <w:sz w:val="16"/>
              </w:rPr>
              <w:t xml:space="preserve">This document is an incorporated document in the Gumnut Planning Scheme pursuant to section 6(2)(j) of the </w:t>
            </w:r>
            <w:r w:rsidRPr="000F5662">
              <w:rPr>
                <w:rFonts w:ascii="Times" w:hAnsi="Times" w:cs="Times"/>
                <w:i/>
                <w:sz w:val="16"/>
              </w:rPr>
              <w:t>Planning and Environment Act 1987</w:t>
            </w:r>
          </w:p>
        </w:tc>
      </w:tr>
    </w:tbl>
    <w:p w14:paraId="160234EC" w14:textId="77777777" w:rsidR="00B92DE4" w:rsidRDefault="00B92DE4"/>
    <w:sectPr w:rsidR="00B92DE4" w:rsidSect="00BE3889">
      <w:headerReference w:type="even" r:id="rId7"/>
      <w:headerReference w:type="default" r:id="rId8"/>
      <w:footerReference w:type="even" r:id="rId9"/>
      <w:footerReference w:type="default" r:id="rId10"/>
      <w:headerReference w:type="first" r:id="rId11"/>
      <w:footerReference w:type="first" r:id="rId12"/>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6459" w14:textId="77777777" w:rsidR="00BE3889" w:rsidRDefault="00BE3889" w:rsidP="00BE3889">
      <w:pPr>
        <w:spacing w:after="0"/>
      </w:pPr>
      <w:r>
        <w:separator/>
      </w:r>
    </w:p>
  </w:endnote>
  <w:endnote w:type="continuationSeparator" w:id="0">
    <w:p w14:paraId="62ACE9D7" w14:textId="77777777" w:rsidR="00BE3889" w:rsidRDefault="00BE3889" w:rsidP="00BE38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BC0B" w14:textId="77777777" w:rsidR="00BE3889" w:rsidRDefault="00BE3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EFA" w14:textId="23B104E5" w:rsidR="00BE3889" w:rsidRDefault="00BE3889">
    <w:pPr>
      <w:pStyle w:val="Footer"/>
    </w:pPr>
    <w:r>
      <w:rPr>
        <w:noProof/>
      </w:rPr>
      <mc:AlternateContent>
        <mc:Choice Requires="wps">
          <w:drawing>
            <wp:anchor distT="0" distB="0" distL="114300" distR="114300" simplePos="0" relativeHeight="251659264" behindDoc="0" locked="0" layoutInCell="0" allowOverlap="1" wp14:anchorId="59157A9D" wp14:editId="57A797F7">
              <wp:simplePos x="0" y="0"/>
              <wp:positionH relativeFrom="page">
                <wp:posOffset>0</wp:posOffset>
              </wp:positionH>
              <wp:positionV relativeFrom="page">
                <wp:posOffset>10227945</wp:posOffset>
              </wp:positionV>
              <wp:extent cx="7560310" cy="273050"/>
              <wp:effectExtent l="0" t="0" r="0" b="12700"/>
              <wp:wrapNone/>
              <wp:docPr id="1" name="MSIPCM12a242d9b027b62b9f7e24c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E7EE6" w14:textId="17660751" w:rsidR="00BE3889" w:rsidRPr="00BE3889" w:rsidRDefault="00BE3889" w:rsidP="00BE3889">
                          <w:pPr>
                            <w:spacing w:after="0"/>
                            <w:jc w:val="center"/>
                            <w:rPr>
                              <w:rFonts w:ascii="Calibri" w:hAnsi="Calibri" w:cs="Calibri"/>
                              <w:color w:val="000000"/>
                              <w:sz w:val="24"/>
                            </w:rPr>
                          </w:pPr>
                          <w:r w:rsidRPr="00BE388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157A9D" id="_x0000_t202" coordsize="21600,21600" o:spt="202" path="m,l,21600r21600,l21600,xe">
              <v:stroke joinstyle="miter"/>
              <v:path gradientshapeok="t" o:connecttype="rect"/>
            </v:shapetype>
            <v:shape id="MSIPCM12a242d9b027b62b9f7e24c4"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1D9E7EE6" w14:textId="17660751" w:rsidR="00BE3889" w:rsidRPr="00BE3889" w:rsidRDefault="00BE3889" w:rsidP="00BE3889">
                    <w:pPr>
                      <w:spacing w:after="0"/>
                      <w:jc w:val="center"/>
                      <w:rPr>
                        <w:rFonts w:ascii="Calibri" w:hAnsi="Calibri" w:cs="Calibri"/>
                        <w:color w:val="000000"/>
                        <w:sz w:val="24"/>
                      </w:rPr>
                    </w:pPr>
                    <w:r w:rsidRPr="00BE3889">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6E7D" w14:textId="77777777" w:rsidR="00BE3889" w:rsidRDefault="00BE3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67CC" w14:textId="77777777" w:rsidR="00BE3889" w:rsidRDefault="00BE3889" w:rsidP="00BE3889">
      <w:pPr>
        <w:spacing w:after="0"/>
      </w:pPr>
      <w:r>
        <w:separator/>
      </w:r>
    </w:p>
  </w:footnote>
  <w:footnote w:type="continuationSeparator" w:id="0">
    <w:p w14:paraId="695D1357" w14:textId="77777777" w:rsidR="00BE3889" w:rsidRDefault="00BE3889" w:rsidP="00BE38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BD79" w14:textId="77777777" w:rsidR="00BE3889" w:rsidRDefault="00BE3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100" w14:textId="77777777" w:rsidR="00BE3889" w:rsidRDefault="00BE3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3E57" w14:textId="77777777" w:rsidR="00BE3889" w:rsidRDefault="00BE38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F7AD4"/>
    <w:multiLevelType w:val="hybridMultilevel"/>
    <w:tmpl w:val="E9E4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431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89"/>
    <w:rsid w:val="009B49F2"/>
    <w:rsid w:val="00B92DE4"/>
    <w:rsid w:val="00BE3889"/>
    <w:rsid w:val="00E31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04BB6"/>
  <w15:chartTrackingRefBased/>
  <w15:docId w15:val="{6E86EE79-AFA6-4C7D-BD1F-462EBA44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BE3889"/>
    <w:pPr>
      <w:spacing w:after="200" w:line="240" w:lineRule="auto"/>
    </w:pPr>
    <w:rPr>
      <w:rFonts w:ascii="Arial" w:eastAsia="Times New Roman" w:hAnsi="Arial" w:cs="Times New Roman"/>
      <w:sz w:val="20"/>
      <w:szCs w:val="24"/>
      <w:lang w:eastAsia="en-AU"/>
    </w:rPr>
  </w:style>
  <w:style w:type="paragraph" w:styleId="Heading1">
    <w:name w:val="heading 1"/>
    <w:basedOn w:val="Heading2"/>
    <w:next w:val="Normal"/>
    <w:link w:val="Heading1Char"/>
    <w:qFormat/>
    <w:rsid w:val="00BE3889"/>
    <w:pPr>
      <w:keepLines w:val="0"/>
      <w:spacing w:before="0" w:after="120"/>
      <w:outlineLvl w:val="0"/>
    </w:pPr>
    <w:rPr>
      <w:rFonts w:ascii="Arial" w:eastAsia="Times New Roman" w:hAnsi="Arial" w:cs="Arial"/>
      <w:b/>
      <w:bCs/>
      <w:iCs/>
      <w:color w:val="auto"/>
      <w:sz w:val="28"/>
      <w:szCs w:val="28"/>
    </w:rPr>
  </w:style>
  <w:style w:type="paragraph" w:styleId="Heading2">
    <w:name w:val="heading 2"/>
    <w:basedOn w:val="Normal"/>
    <w:next w:val="Normal"/>
    <w:link w:val="Heading2Char"/>
    <w:uiPriority w:val="9"/>
    <w:semiHidden/>
    <w:unhideWhenUsed/>
    <w:qFormat/>
    <w:rsid w:val="00BE38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889"/>
    <w:rPr>
      <w:rFonts w:ascii="Arial" w:eastAsia="Times New Roman" w:hAnsi="Arial" w:cs="Arial"/>
      <w:b/>
      <w:bCs/>
      <w:iCs/>
      <w:sz w:val="28"/>
      <w:szCs w:val="28"/>
      <w:lang w:eastAsia="en-AU"/>
    </w:rPr>
  </w:style>
  <w:style w:type="table" w:styleId="TableGrid">
    <w:name w:val="Table Grid"/>
    <w:basedOn w:val="TableNormal"/>
    <w:uiPriority w:val="59"/>
    <w:rsid w:val="00BE388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3889"/>
    <w:pPr>
      <w:spacing w:line="276" w:lineRule="auto"/>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uiPriority w:val="9"/>
    <w:semiHidden/>
    <w:rsid w:val="00BE3889"/>
    <w:rPr>
      <w:rFonts w:asciiTheme="majorHAnsi" w:eastAsiaTheme="majorEastAsia" w:hAnsiTheme="majorHAnsi" w:cstheme="majorBidi"/>
      <w:color w:val="2F5496" w:themeColor="accent1" w:themeShade="BF"/>
      <w:sz w:val="26"/>
      <w:szCs w:val="26"/>
      <w:lang w:eastAsia="en-AU"/>
    </w:rPr>
  </w:style>
  <w:style w:type="paragraph" w:styleId="Header">
    <w:name w:val="header"/>
    <w:basedOn w:val="Normal"/>
    <w:link w:val="HeaderChar"/>
    <w:uiPriority w:val="99"/>
    <w:unhideWhenUsed/>
    <w:rsid w:val="00BE3889"/>
    <w:pPr>
      <w:tabs>
        <w:tab w:val="center" w:pos="4513"/>
        <w:tab w:val="right" w:pos="9026"/>
      </w:tabs>
      <w:spacing w:after="0"/>
    </w:pPr>
  </w:style>
  <w:style w:type="character" w:customStyle="1" w:styleId="HeaderChar">
    <w:name w:val="Header Char"/>
    <w:basedOn w:val="DefaultParagraphFont"/>
    <w:link w:val="Header"/>
    <w:uiPriority w:val="99"/>
    <w:rsid w:val="00BE3889"/>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BE3889"/>
    <w:pPr>
      <w:tabs>
        <w:tab w:val="center" w:pos="4513"/>
        <w:tab w:val="right" w:pos="9026"/>
      </w:tabs>
      <w:spacing w:after="0"/>
    </w:pPr>
  </w:style>
  <w:style w:type="character" w:customStyle="1" w:styleId="FooterChar">
    <w:name w:val="Footer Char"/>
    <w:basedOn w:val="DefaultParagraphFont"/>
    <w:link w:val="Footer"/>
    <w:uiPriority w:val="99"/>
    <w:rsid w:val="00BE3889"/>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EB29C15C5994DB249047B7D84A18F" ma:contentTypeVersion="18" ma:contentTypeDescription="Create a new document." ma:contentTypeScope="" ma:versionID="a21829979802f5b46d149f1e974b47aa">
  <xsd:schema xmlns:xsd="http://www.w3.org/2001/XMLSchema" xmlns:xs="http://www.w3.org/2001/XMLSchema" xmlns:p="http://schemas.microsoft.com/office/2006/metadata/properties" xmlns:ns2="a5f32de4-e402-4188-b034-e71ca7d22e54" xmlns:ns3="e7862c55-ccb7-47a2-b76b-0498b31a03ca" xmlns:ns4="fb080555-0a01-4356-8f38-888b9e475f80" targetNamespace="http://schemas.microsoft.com/office/2006/metadata/properties" ma:root="true" ma:fieldsID="227bd94a8bb739c92f02d4e76fb717f1" ns2:_="" ns3:_="" ns4:_="">
    <xsd:import namespace="a5f32de4-e402-4188-b034-e71ca7d22e54"/>
    <xsd:import namespace="e7862c55-ccb7-47a2-b76b-0498b31a03ca"/>
    <xsd:import namespace="fb080555-0a01-4356-8f38-888b9e475f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862c55-ccb7-47a2-b76b-0498b31a03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Status" ma:index="21" nillable="true" ma:displayName="Status" ma:default="Review required" ma:format="Dropdown" ma:internalName="Status">
      <xsd:simpleType>
        <xsd:restriction base="dms:Choice">
          <xsd:enumeration value="Review required"/>
          <xsd:enumeration value="Review complete"/>
          <xsd:enumeration value="Deleted"/>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80555-0a01-4356-8f38-888b9e475f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tatus xmlns="e7862c55-ccb7-47a2-b76b-0498b31a03ca">Review required</Status>
  </documentManagement>
</p:properties>
</file>

<file path=customXml/itemProps1.xml><?xml version="1.0" encoding="utf-8"?>
<ds:datastoreItem xmlns:ds="http://schemas.openxmlformats.org/officeDocument/2006/customXml" ds:itemID="{2E2C3CAA-44FE-4730-9668-8B222E4235E3}"/>
</file>

<file path=customXml/itemProps2.xml><?xml version="1.0" encoding="utf-8"?>
<ds:datastoreItem xmlns:ds="http://schemas.openxmlformats.org/officeDocument/2006/customXml" ds:itemID="{92E47EE7-9255-4C9B-9D89-6F35D09CA35C}"/>
</file>

<file path=customXml/itemProps3.xml><?xml version="1.0" encoding="utf-8"?>
<ds:datastoreItem xmlns:ds="http://schemas.openxmlformats.org/officeDocument/2006/customXml" ds:itemID="{D9D65720-85A6-4F1D-AE53-815DBC7836C9}"/>
</file>

<file path=customXml/itemProps4.xml><?xml version="1.0" encoding="utf-8"?>
<ds:datastoreItem xmlns:ds="http://schemas.openxmlformats.org/officeDocument/2006/customXml" ds:itemID="{D398DF31-B66C-40DA-BC2D-126528F7575F}"/>
</file>

<file path=customXml/itemProps5.xml><?xml version="1.0" encoding="utf-8"?>
<ds:datastoreItem xmlns:ds="http://schemas.openxmlformats.org/officeDocument/2006/customXml" ds:itemID="{C1391B26-7968-4670-BDD9-0EF8A56DAE3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Beddall (DEECA)</dc:creator>
  <cp:keywords/>
  <dc:description/>
  <cp:lastModifiedBy>Brooke Beddall (DEECA)</cp:lastModifiedBy>
  <cp:revision>1</cp:revision>
  <dcterms:created xsi:type="dcterms:W3CDTF">2023-03-17T05:35:00Z</dcterms:created>
  <dcterms:modified xsi:type="dcterms:W3CDTF">2023-03-17T05:36:00Z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2023-03-17T05:36:36Z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b7e2cb0a-0a3d-4162-8541-63c1a135c687</vt:lpwstr>
  </property>
  <property fmtid="{D5CDD505-2E9C-101B-9397-08002B2CF9AE}" pid="8" name="MSIP_Label_4257e2ab-f512-40e2-9c9a-c64247360765_ContentBits">
    <vt:lpwstr>2</vt:lpwstr>
  </property>
  <property fmtid="{D5CDD505-2E9C-101B-9397-08002B2CF9AE}" pid="9" name="ContentTypeId">
    <vt:lpwstr>0x0101006E5EB29C15C5994DB249047B7D84A18F</vt:lpwstr>
  </property>
</Properties>
</file>