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176" w:rsidRDefault="003C3E42" w:rsidP="003C3E42">
      <w:pPr>
        <w:pStyle w:val="Title"/>
        <w:rPr>
          <w:sz w:val="48"/>
          <w:szCs w:val="48"/>
        </w:rPr>
      </w:pPr>
      <w:r w:rsidRPr="003C3E42">
        <w:rPr>
          <w:sz w:val="48"/>
          <w:szCs w:val="48"/>
        </w:rPr>
        <w:t>Social Atlas of Melbourne</w:t>
      </w:r>
      <w:r w:rsidR="00F17826">
        <w:rPr>
          <w:sz w:val="48"/>
          <w:szCs w:val="48"/>
        </w:rPr>
        <w:t xml:space="preserve">, </w:t>
      </w:r>
      <w:r w:rsidR="00845B28">
        <w:rPr>
          <w:sz w:val="48"/>
          <w:szCs w:val="48"/>
        </w:rPr>
        <w:t>Greater Geelong</w:t>
      </w:r>
      <w:r w:rsidR="00F17826">
        <w:rPr>
          <w:sz w:val="48"/>
          <w:szCs w:val="48"/>
        </w:rPr>
        <w:t xml:space="preserve"> and Regional Cities</w:t>
      </w:r>
    </w:p>
    <w:p w:rsidR="003C3E42" w:rsidRDefault="003C3E42" w:rsidP="003C3E42"/>
    <w:p w:rsidR="002A66FF" w:rsidRPr="002A66FF" w:rsidRDefault="002A66FF" w:rsidP="002A66FF">
      <w:pPr>
        <w:ind w:left="0"/>
        <w:rPr>
          <w:color w:val="auto"/>
        </w:rPr>
      </w:pPr>
      <w:r>
        <w:rPr>
          <w:color w:val="auto"/>
        </w:rPr>
        <w:t>The map series that form the basis of the 2011 Social Atlas are</w:t>
      </w:r>
      <w:r w:rsidRPr="002A66FF">
        <w:rPr>
          <w:color w:val="auto"/>
        </w:rPr>
        <w:t xml:space="preserve"> based on the 2011 Census first and second data releases. The map series are based on the Social Atlas product that the Australian Bureau of St</w:t>
      </w:r>
      <w:r w:rsidR="00D92F24">
        <w:rPr>
          <w:color w:val="auto"/>
        </w:rPr>
        <w:t>atistics (ABS) released in 2006</w:t>
      </w:r>
      <w:r w:rsidRPr="002A66FF">
        <w:rPr>
          <w:color w:val="auto"/>
        </w:rPr>
        <w:t xml:space="preserve">. </w:t>
      </w:r>
    </w:p>
    <w:p w:rsidR="00052CE3" w:rsidRDefault="002A66FF" w:rsidP="002A66FF">
      <w:pPr>
        <w:ind w:left="0"/>
        <w:rPr>
          <w:color w:val="auto"/>
        </w:rPr>
      </w:pPr>
      <w:r w:rsidRPr="002A66FF">
        <w:rPr>
          <w:color w:val="auto"/>
        </w:rPr>
        <w:t xml:space="preserve">The maps provide a pictorial representation of key themes by showing the 2011 Census data as thematic maps at the Statistical Area 1 (SA1) level. For the purpose </w:t>
      </w:r>
      <w:r w:rsidR="00052CE3">
        <w:rPr>
          <w:color w:val="auto"/>
        </w:rPr>
        <w:t xml:space="preserve">of this map series, the map series currently include </w:t>
      </w:r>
      <w:r w:rsidRPr="002A66FF">
        <w:rPr>
          <w:color w:val="auto"/>
        </w:rPr>
        <w:t>the urbanised area within metropolitan Melbourne</w:t>
      </w:r>
      <w:r w:rsidR="00F17826">
        <w:rPr>
          <w:color w:val="auto"/>
        </w:rPr>
        <w:t xml:space="preserve">, </w:t>
      </w:r>
      <w:r w:rsidR="00052CE3">
        <w:rPr>
          <w:color w:val="auto"/>
        </w:rPr>
        <w:t>the greater Geelong area</w:t>
      </w:r>
      <w:r w:rsidR="00F17826">
        <w:rPr>
          <w:color w:val="auto"/>
        </w:rPr>
        <w:t xml:space="preserve"> and areas with regional cities in Victoria</w:t>
      </w:r>
      <w:r w:rsidRPr="002A66FF">
        <w:rPr>
          <w:color w:val="auto"/>
        </w:rPr>
        <w:t>.</w:t>
      </w:r>
      <w:r w:rsidR="00A40223">
        <w:rPr>
          <w:color w:val="auto"/>
        </w:rPr>
        <w:t xml:space="preserve"> </w:t>
      </w:r>
    </w:p>
    <w:p w:rsidR="002A66FF" w:rsidRPr="002A66FF" w:rsidRDefault="002A66FF" w:rsidP="002A66FF">
      <w:pPr>
        <w:ind w:left="0"/>
        <w:rPr>
          <w:color w:val="auto"/>
        </w:rPr>
      </w:pPr>
      <w:r w:rsidRPr="002A66FF">
        <w:rPr>
          <w:color w:val="auto"/>
        </w:rPr>
        <w:t xml:space="preserve">All data mapped in this Social Atlas series relates to the characteristics of the usual resident population of </w:t>
      </w:r>
      <w:r w:rsidR="00F17826">
        <w:rPr>
          <w:color w:val="auto"/>
        </w:rPr>
        <w:t>Victoria</w:t>
      </w:r>
      <w:r w:rsidRPr="002A66FF">
        <w:rPr>
          <w:color w:val="auto"/>
        </w:rPr>
        <w:t xml:space="preserve"> at the time of the 2011 Census. </w:t>
      </w:r>
    </w:p>
    <w:p w:rsidR="002A66FF" w:rsidRPr="002A66FF" w:rsidRDefault="002A66FF" w:rsidP="002A66FF">
      <w:pPr>
        <w:ind w:left="0"/>
        <w:rPr>
          <w:color w:val="auto"/>
        </w:rPr>
      </w:pPr>
      <w:r w:rsidRPr="002A66FF">
        <w:rPr>
          <w:color w:val="auto"/>
        </w:rPr>
        <w:t>Each map shows t</w:t>
      </w:r>
      <w:r w:rsidR="00052CE3">
        <w:rPr>
          <w:color w:val="auto"/>
        </w:rPr>
        <w:t xml:space="preserve">he SA1 boundaries, major roads and key features such as </w:t>
      </w:r>
      <w:r w:rsidRPr="002A66FF">
        <w:rPr>
          <w:color w:val="auto"/>
        </w:rPr>
        <w:t xml:space="preserve">Melbourne’s Tullamarine Airport and the </w:t>
      </w:r>
      <w:r w:rsidR="00052CE3">
        <w:rPr>
          <w:color w:val="auto"/>
        </w:rPr>
        <w:t xml:space="preserve">Victorian </w:t>
      </w:r>
      <w:r w:rsidR="00F17826">
        <w:rPr>
          <w:color w:val="auto"/>
        </w:rPr>
        <w:t>border</w:t>
      </w:r>
      <w:r w:rsidRPr="002A66FF">
        <w:rPr>
          <w:color w:val="auto"/>
        </w:rPr>
        <w:t>.</w:t>
      </w:r>
    </w:p>
    <w:p w:rsidR="002A66FF" w:rsidRPr="002A66FF" w:rsidRDefault="002A66FF" w:rsidP="002A66FF">
      <w:pPr>
        <w:ind w:left="0"/>
        <w:rPr>
          <w:color w:val="auto"/>
        </w:rPr>
      </w:pPr>
      <w:r w:rsidRPr="002A66FF">
        <w:rPr>
          <w:color w:val="auto"/>
        </w:rPr>
        <w:t xml:space="preserve">The value of these maps lies in their ability to highlight key characteristics of </w:t>
      </w:r>
      <w:r w:rsidR="00052CE3">
        <w:rPr>
          <w:color w:val="auto"/>
        </w:rPr>
        <w:t>Victoria</w:t>
      </w:r>
      <w:r w:rsidRPr="002A66FF">
        <w:rPr>
          <w:color w:val="auto"/>
        </w:rPr>
        <w:t xml:space="preserve">’s population in relation economic, social and housing issues. The pattern of geographic distribution that the maps show provides insight into </w:t>
      </w:r>
      <w:r w:rsidR="00052CE3">
        <w:rPr>
          <w:color w:val="auto"/>
        </w:rPr>
        <w:t xml:space="preserve">metropolitan </w:t>
      </w:r>
      <w:r w:rsidRPr="002A66FF">
        <w:rPr>
          <w:color w:val="auto"/>
        </w:rPr>
        <w:t>Melbourne</w:t>
      </w:r>
      <w:r w:rsidR="00F17826">
        <w:rPr>
          <w:color w:val="auto"/>
        </w:rPr>
        <w:t xml:space="preserve">, </w:t>
      </w:r>
      <w:r w:rsidR="00052CE3">
        <w:rPr>
          <w:color w:val="auto"/>
        </w:rPr>
        <w:t xml:space="preserve">greater Geelong </w:t>
      </w:r>
      <w:r w:rsidR="00F17826">
        <w:rPr>
          <w:color w:val="auto"/>
        </w:rPr>
        <w:t xml:space="preserve"> and regional city </w:t>
      </w:r>
      <w:r w:rsidR="00052CE3">
        <w:rPr>
          <w:color w:val="auto"/>
        </w:rPr>
        <w:t>area</w:t>
      </w:r>
      <w:r w:rsidR="00F17826">
        <w:rPr>
          <w:color w:val="auto"/>
        </w:rPr>
        <w:t>s</w:t>
      </w:r>
      <w:r w:rsidRPr="002A66FF">
        <w:rPr>
          <w:color w:val="auto"/>
        </w:rPr>
        <w:t xml:space="preserve"> as the place where we live, work and play</w:t>
      </w:r>
      <w:r>
        <w:rPr>
          <w:color w:val="auto"/>
        </w:rPr>
        <w:t>,</w:t>
      </w:r>
      <w:r w:rsidRPr="002A66FF">
        <w:rPr>
          <w:color w:val="auto"/>
        </w:rPr>
        <w:t xml:space="preserve"> and each map shows the diversity that exists within the </w:t>
      </w:r>
      <w:r w:rsidR="00052CE3">
        <w:rPr>
          <w:color w:val="auto"/>
        </w:rPr>
        <w:t>specific areas</w:t>
      </w:r>
      <w:r w:rsidRPr="002A66FF">
        <w:rPr>
          <w:color w:val="auto"/>
        </w:rPr>
        <w:t>.</w:t>
      </w:r>
      <w:r>
        <w:rPr>
          <w:color w:val="auto"/>
        </w:rPr>
        <w:t xml:space="preserve"> </w:t>
      </w:r>
    </w:p>
    <w:p w:rsidR="002A66FF" w:rsidRDefault="002A66FF" w:rsidP="002A66FF">
      <w:pPr>
        <w:ind w:left="0"/>
        <w:rPr>
          <w:color w:val="auto"/>
        </w:rPr>
      </w:pPr>
      <w:r w:rsidRPr="002A66FF">
        <w:rPr>
          <w:color w:val="auto"/>
        </w:rPr>
        <w:t xml:space="preserve">The topics covered by the map series includes broad, interrelating themes such as Population, Cultural Diversity, Labour Force, Families and Households, Income, Education and Dwellings. The map series </w:t>
      </w:r>
      <w:r w:rsidR="00F17826">
        <w:rPr>
          <w:color w:val="auto"/>
        </w:rPr>
        <w:t>contains 37 map themes for each area</w:t>
      </w:r>
      <w:r w:rsidRPr="002A66FF">
        <w:rPr>
          <w:color w:val="auto"/>
        </w:rPr>
        <w:t>.</w:t>
      </w:r>
    </w:p>
    <w:p w:rsidR="002A66FF" w:rsidRDefault="00C57CB3" w:rsidP="002A66FF">
      <w:pPr>
        <w:ind w:left="0"/>
        <w:rPr>
          <w:color w:val="auto"/>
        </w:rPr>
      </w:pPr>
      <w:r>
        <w:rPr>
          <w:color w:val="auto"/>
        </w:rPr>
        <w:t>On page #2</w:t>
      </w:r>
      <w:r w:rsidR="002A66FF">
        <w:rPr>
          <w:color w:val="auto"/>
        </w:rPr>
        <w:t xml:space="preserve"> you will find a brief description of each map theme.</w:t>
      </w:r>
      <w:r w:rsidR="00107F18" w:rsidRPr="00107F18">
        <w:rPr>
          <w:color w:val="auto"/>
        </w:rPr>
        <w:t xml:space="preserve"> </w:t>
      </w:r>
      <w:r w:rsidR="00107F18">
        <w:rPr>
          <w:color w:val="auto"/>
        </w:rPr>
        <w:t>You can find the data represented in this map series in the Basic Community Profiles provided by the ABS on the 2011 Census (Catalogue no. 2001.0).</w:t>
      </w:r>
    </w:p>
    <w:p w:rsidR="00107F18" w:rsidRDefault="00107F18" w:rsidP="002A66FF">
      <w:pPr>
        <w:ind w:left="0"/>
        <w:rPr>
          <w:color w:val="auto"/>
        </w:rPr>
      </w:pPr>
      <w:r>
        <w:rPr>
          <w:color w:val="auto"/>
        </w:rPr>
        <w:t>For more information</w:t>
      </w:r>
      <w:r w:rsidR="00C57CB3">
        <w:rPr>
          <w:color w:val="auto"/>
        </w:rPr>
        <w:t xml:space="preserve"> on this catalogue or the data</w:t>
      </w:r>
      <w:r>
        <w:rPr>
          <w:color w:val="auto"/>
        </w:rPr>
        <w:t xml:space="preserve"> </w:t>
      </w:r>
      <w:r w:rsidR="00C57CB3">
        <w:rPr>
          <w:color w:val="auto"/>
        </w:rPr>
        <w:t>please visit the ABS website.</w:t>
      </w:r>
    </w:p>
    <w:p w:rsidR="001A7844" w:rsidRDefault="004210E4" w:rsidP="002A66FF">
      <w:pPr>
        <w:ind w:left="0"/>
        <w:rPr>
          <w:color w:val="auto"/>
        </w:rPr>
      </w:pPr>
      <w:hyperlink r:id="rId6" w:history="1">
        <w:r w:rsidR="001A7844" w:rsidRPr="001A7844">
          <w:rPr>
            <w:rStyle w:val="Hyperlink"/>
          </w:rPr>
          <w:t>http://www.abs.gov.au/ausstats/abs@.nsf/PrimaryMainFeatures/2001.0</w:t>
        </w:r>
      </w:hyperlink>
    </w:p>
    <w:p w:rsidR="00C57CB3" w:rsidRDefault="00C57CB3" w:rsidP="002A66FF">
      <w:pPr>
        <w:ind w:left="0"/>
        <w:rPr>
          <w:color w:val="auto"/>
        </w:rPr>
      </w:pPr>
      <w:r>
        <w:rPr>
          <w:color w:val="auto"/>
        </w:rPr>
        <w:t xml:space="preserve">For more information on this </w:t>
      </w:r>
      <w:r w:rsidR="001A7844">
        <w:rPr>
          <w:color w:val="auto"/>
        </w:rPr>
        <w:t>map series, please contact Spatial Analysis and Research.</w:t>
      </w:r>
    </w:p>
    <w:p w:rsidR="001A7844" w:rsidRDefault="004210E4" w:rsidP="002A66FF">
      <w:pPr>
        <w:ind w:left="0"/>
        <w:rPr>
          <w:color w:val="auto"/>
        </w:rPr>
      </w:pPr>
      <w:hyperlink r:id="rId7" w:history="1">
        <w:r w:rsidR="001A7844" w:rsidRPr="001A7844">
          <w:rPr>
            <w:rStyle w:val="Hyperlink"/>
          </w:rPr>
          <w:t>http://www.dpcd.vic.gov.au/home/publications-and-research/urban-and-regional-research/contact-us</w:t>
        </w:r>
      </w:hyperlink>
    </w:p>
    <w:p w:rsidR="002A66FF" w:rsidRDefault="002A66FF" w:rsidP="002A66FF">
      <w:pPr>
        <w:ind w:left="0"/>
        <w:rPr>
          <w:color w:val="auto"/>
        </w:rPr>
      </w:pPr>
    </w:p>
    <w:p w:rsidR="00C57CB3" w:rsidRDefault="00C57CB3">
      <w:pPr>
        <w:rPr>
          <w:color w:val="auto"/>
        </w:rPr>
      </w:pPr>
      <w:r>
        <w:rPr>
          <w:color w:val="auto"/>
        </w:rPr>
        <w:br w:type="page"/>
      </w:r>
    </w:p>
    <w:p w:rsidR="002A66FF" w:rsidRPr="002A66FF" w:rsidRDefault="007F28F5" w:rsidP="002A66FF">
      <w:pPr>
        <w:pStyle w:val="ListParagraph"/>
        <w:numPr>
          <w:ilvl w:val="0"/>
          <w:numId w:val="1"/>
        </w:numPr>
        <w:rPr>
          <w:color w:val="auto"/>
        </w:rPr>
      </w:pPr>
      <w:r>
        <w:rPr>
          <w:color w:val="auto"/>
        </w:rPr>
        <w:lastRenderedPageBreak/>
        <w:t>POPULATION DENSITY</w:t>
      </w:r>
      <w:r w:rsidR="00300234">
        <w:rPr>
          <w:color w:val="auto"/>
        </w:rPr>
        <w:br/>
      </w:r>
      <w:r w:rsidR="00A40223">
        <w:rPr>
          <w:color w:val="auto"/>
        </w:rPr>
        <w:t xml:space="preserve">This map </w:t>
      </w:r>
      <w:r w:rsidR="00052CE3">
        <w:rPr>
          <w:color w:val="auto"/>
        </w:rPr>
        <w:t xml:space="preserve">shows the population density of the selected area </w:t>
      </w:r>
      <w:r w:rsidR="00A40223">
        <w:rPr>
          <w:color w:val="auto"/>
        </w:rPr>
        <w:t>as at the 2011 Census</w:t>
      </w:r>
      <w:r w:rsidR="00107F18">
        <w:rPr>
          <w:color w:val="auto"/>
        </w:rPr>
        <w:t xml:space="preserve"> at the SA1 geography</w:t>
      </w:r>
      <w:r w:rsidR="00A40223">
        <w:rPr>
          <w:color w:val="auto"/>
        </w:rPr>
        <w:t xml:space="preserve">. The population density is the number of people per square kilometer. </w:t>
      </w:r>
      <w:r w:rsidR="00300234">
        <w:rPr>
          <w:color w:val="auto"/>
        </w:rPr>
        <w:br/>
      </w:r>
      <w:r w:rsidR="00300234">
        <w:rPr>
          <w:color w:val="auto"/>
        </w:rPr>
        <w:br/>
      </w:r>
    </w:p>
    <w:p w:rsidR="002A66FF" w:rsidRPr="002A66FF" w:rsidRDefault="007F28F5" w:rsidP="002A66FF">
      <w:pPr>
        <w:pStyle w:val="ListParagraph"/>
        <w:numPr>
          <w:ilvl w:val="0"/>
          <w:numId w:val="1"/>
        </w:numPr>
        <w:rPr>
          <w:color w:val="auto"/>
        </w:rPr>
      </w:pPr>
      <w:r>
        <w:rPr>
          <w:color w:val="auto"/>
        </w:rPr>
        <w:t>PEOPLE AGED 0 – 4 YEARS</w:t>
      </w:r>
      <w:r w:rsidR="00300234">
        <w:rPr>
          <w:color w:val="auto"/>
        </w:rPr>
        <w:br/>
      </w:r>
      <w:proofErr w:type="gramStart"/>
      <w:r w:rsidR="00107F18">
        <w:rPr>
          <w:color w:val="auto"/>
        </w:rPr>
        <w:t>This</w:t>
      </w:r>
      <w:proofErr w:type="gramEnd"/>
      <w:r w:rsidR="00107F18">
        <w:rPr>
          <w:color w:val="auto"/>
        </w:rPr>
        <w:t xml:space="preserve"> map shows the </w:t>
      </w:r>
      <w:r w:rsidR="008A24A5">
        <w:rPr>
          <w:color w:val="auto"/>
        </w:rPr>
        <w:t>proportion of people in each SA1 that were aged 0-4 years</w:t>
      </w:r>
      <w:r w:rsidR="00107F18">
        <w:rPr>
          <w:color w:val="auto"/>
        </w:rPr>
        <w:t xml:space="preserve"> at the 2011 Census</w:t>
      </w:r>
      <w:r w:rsidR="008A24A5">
        <w:rPr>
          <w:color w:val="auto"/>
        </w:rPr>
        <w:t>, as a percentage of the total population</w:t>
      </w:r>
      <w:r w:rsidR="00107F18">
        <w:rPr>
          <w:color w:val="auto"/>
        </w:rPr>
        <w:t xml:space="preserve">. </w:t>
      </w:r>
      <w:r w:rsidR="00300234">
        <w:rPr>
          <w:color w:val="auto"/>
        </w:rPr>
        <w:br/>
      </w:r>
      <w:r w:rsidR="00300234">
        <w:rPr>
          <w:color w:val="auto"/>
        </w:rPr>
        <w:br/>
      </w:r>
    </w:p>
    <w:p w:rsidR="002A66FF" w:rsidRDefault="007F28F5" w:rsidP="002A66FF">
      <w:pPr>
        <w:pStyle w:val="ListParagraph"/>
        <w:numPr>
          <w:ilvl w:val="0"/>
          <w:numId w:val="1"/>
        </w:numPr>
        <w:rPr>
          <w:color w:val="auto"/>
        </w:rPr>
      </w:pPr>
      <w:r>
        <w:rPr>
          <w:color w:val="auto"/>
        </w:rPr>
        <w:t>PEOPLE AGED 5 – 17 YEARS</w:t>
      </w:r>
      <w:r w:rsidR="00300234">
        <w:rPr>
          <w:color w:val="auto"/>
        </w:rPr>
        <w:br/>
      </w:r>
      <w:r w:rsidR="008B1FF9">
        <w:rPr>
          <w:color w:val="auto"/>
        </w:rPr>
        <w:t>This map shows the proportion of people in each SA1 that were aged 5-17 years at the 2011 Census, as a percentage of the total population.</w:t>
      </w:r>
      <w:r w:rsidR="00300234">
        <w:rPr>
          <w:color w:val="auto"/>
        </w:rPr>
        <w:br/>
      </w:r>
      <w:r w:rsidR="00300234">
        <w:rPr>
          <w:color w:val="auto"/>
        </w:rPr>
        <w:br/>
      </w:r>
    </w:p>
    <w:p w:rsidR="002A66FF" w:rsidRDefault="007F28F5" w:rsidP="002A66FF">
      <w:pPr>
        <w:pStyle w:val="ListParagraph"/>
        <w:numPr>
          <w:ilvl w:val="0"/>
          <w:numId w:val="1"/>
        </w:numPr>
        <w:rPr>
          <w:color w:val="auto"/>
        </w:rPr>
      </w:pPr>
      <w:r>
        <w:rPr>
          <w:color w:val="auto"/>
        </w:rPr>
        <w:t>PEOPLE AGED 18 – 34 YEARS</w:t>
      </w:r>
      <w:r w:rsidR="00300234">
        <w:rPr>
          <w:color w:val="auto"/>
        </w:rPr>
        <w:br/>
      </w:r>
      <w:r w:rsidR="008B1FF9">
        <w:rPr>
          <w:color w:val="auto"/>
        </w:rPr>
        <w:t>This map shows the proportion of people in each SA1 that were aged 18-34 years at the 2011 Census, as a percentage of the total population.</w:t>
      </w:r>
      <w:r w:rsidR="00300234">
        <w:rPr>
          <w:color w:val="auto"/>
        </w:rPr>
        <w:br/>
      </w:r>
      <w:r w:rsidR="00300234">
        <w:rPr>
          <w:color w:val="auto"/>
        </w:rPr>
        <w:br/>
      </w:r>
    </w:p>
    <w:p w:rsidR="002A66FF" w:rsidRDefault="007F28F5" w:rsidP="002A66FF">
      <w:pPr>
        <w:pStyle w:val="ListParagraph"/>
        <w:numPr>
          <w:ilvl w:val="0"/>
          <w:numId w:val="1"/>
        </w:numPr>
        <w:rPr>
          <w:color w:val="auto"/>
        </w:rPr>
      </w:pPr>
      <w:r>
        <w:rPr>
          <w:color w:val="auto"/>
        </w:rPr>
        <w:t>PEOPLE AGED 65 YEARS AND OVER</w:t>
      </w:r>
      <w:r w:rsidR="00300234">
        <w:rPr>
          <w:color w:val="auto"/>
        </w:rPr>
        <w:br/>
      </w:r>
      <w:r w:rsidR="008B1FF9">
        <w:rPr>
          <w:color w:val="auto"/>
        </w:rPr>
        <w:t>This map shows the proportion of people in each SA1 that were aged 65 years and over at the 2011 Census, as a percentage of the total population.</w:t>
      </w:r>
      <w:r w:rsidR="00300234">
        <w:rPr>
          <w:color w:val="auto"/>
        </w:rPr>
        <w:br/>
      </w:r>
      <w:r w:rsidR="00300234">
        <w:rPr>
          <w:color w:val="auto"/>
        </w:rPr>
        <w:br/>
      </w:r>
    </w:p>
    <w:p w:rsidR="002A66FF" w:rsidRDefault="007F28F5" w:rsidP="002A66FF">
      <w:pPr>
        <w:pStyle w:val="ListParagraph"/>
        <w:numPr>
          <w:ilvl w:val="0"/>
          <w:numId w:val="1"/>
        </w:numPr>
        <w:rPr>
          <w:color w:val="auto"/>
        </w:rPr>
      </w:pPr>
      <w:r>
        <w:rPr>
          <w:color w:val="auto"/>
        </w:rPr>
        <w:t>PEOPLE AGED 85 YEARS AND OVER</w:t>
      </w:r>
      <w:r w:rsidR="008B1FF9">
        <w:rPr>
          <w:color w:val="auto"/>
        </w:rPr>
        <w:br/>
      </w:r>
      <w:r w:rsidR="00216DAE">
        <w:rPr>
          <w:color w:val="auto"/>
        </w:rPr>
        <w:t>This map shows the proportion of people in each SA1 that were aged 85 years and over at the 2011 Census, as a percentage of the total population.</w:t>
      </w:r>
      <w:r w:rsidR="008B1FF9">
        <w:rPr>
          <w:color w:val="auto"/>
        </w:rPr>
        <w:br/>
      </w:r>
      <w:r w:rsidR="008B1FF9">
        <w:rPr>
          <w:color w:val="auto"/>
        </w:rPr>
        <w:br/>
      </w:r>
    </w:p>
    <w:p w:rsidR="002A66FF" w:rsidRDefault="007F28F5" w:rsidP="002A66FF">
      <w:pPr>
        <w:pStyle w:val="ListParagraph"/>
        <w:numPr>
          <w:ilvl w:val="0"/>
          <w:numId w:val="1"/>
        </w:numPr>
        <w:rPr>
          <w:color w:val="auto"/>
        </w:rPr>
      </w:pPr>
      <w:r>
        <w:rPr>
          <w:color w:val="auto"/>
        </w:rPr>
        <w:t>INDIGENOUS AUSTRALIANS</w:t>
      </w:r>
      <w:r w:rsidR="00300234">
        <w:rPr>
          <w:color w:val="auto"/>
        </w:rPr>
        <w:br/>
      </w:r>
      <w:proofErr w:type="gramStart"/>
      <w:r w:rsidR="00D12C5F">
        <w:rPr>
          <w:color w:val="auto"/>
        </w:rPr>
        <w:t>This</w:t>
      </w:r>
      <w:proofErr w:type="gramEnd"/>
      <w:r w:rsidR="00D12C5F">
        <w:rPr>
          <w:color w:val="auto"/>
        </w:rPr>
        <w:t xml:space="preserve"> map shows the proportion of people in each SA1 who identified as Aboriginal and / or Torres Strait Islanders at the 2011 Census, as a percentage of the total population.</w:t>
      </w:r>
      <w:r w:rsidR="00300234">
        <w:rPr>
          <w:color w:val="auto"/>
        </w:rPr>
        <w:br/>
      </w:r>
      <w:r w:rsidR="00300234">
        <w:rPr>
          <w:color w:val="auto"/>
        </w:rPr>
        <w:br/>
      </w:r>
    </w:p>
    <w:p w:rsidR="002A66FF" w:rsidRDefault="007F28F5" w:rsidP="002A66FF">
      <w:pPr>
        <w:pStyle w:val="ListParagraph"/>
        <w:numPr>
          <w:ilvl w:val="0"/>
          <w:numId w:val="1"/>
        </w:numPr>
        <w:rPr>
          <w:color w:val="auto"/>
        </w:rPr>
      </w:pPr>
      <w:r>
        <w:rPr>
          <w:color w:val="auto"/>
        </w:rPr>
        <w:t>PEOPLE BORN OVERSEAS</w:t>
      </w:r>
      <w:r w:rsidR="00300234">
        <w:rPr>
          <w:color w:val="auto"/>
        </w:rPr>
        <w:br/>
      </w:r>
      <w:proofErr w:type="gramStart"/>
      <w:r w:rsidR="00BC4F9F">
        <w:rPr>
          <w:color w:val="auto"/>
        </w:rPr>
        <w:t>This</w:t>
      </w:r>
      <w:proofErr w:type="gramEnd"/>
      <w:r w:rsidR="00BC4F9F">
        <w:rPr>
          <w:color w:val="auto"/>
        </w:rPr>
        <w:t xml:space="preserve"> map shows the proportion of people in each SA1 that were born overseas, as a percentage of the total population.</w:t>
      </w:r>
      <w:r w:rsidR="00300234">
        <w:rPr>
          <w:color w:val="auto"/>
        </w:rPr>
        <w:br/>
      </w:r>
      <w:r w:rsidR="00300234">
        <w:rPr>
          <w:color w:val="auto"/>
        </w:rPr>
        <w:br/>
      </w:r>
    </w:p>
    <w:p w:rsidR="002A66FF" w:rsidRDefault="007F28F5" w:rsidP="002A66FF">
      <w:pPr>
        <w:pStyle w:val="ListParagraph"/>
        <w:numPr>
          <w:ilvl w:val="0"/>
          <w:numId w:val="1"/>
        </w:numPr>
        <w:rPr>
          <w:color w:val="auto"/>
        </w:rPr>
      </w:pPr>
      <w:r>
        <w:rPr>
          <w:color w:val="auto"/>
        </w:rPr>
        <w:t>RECENT ARRIVALS</w:t>
      </w:r>
      <w:r w:rsidR="00300234">
        <w:rPr>
          <w:color w:val="auto"/>
        </w:rPr>
        <w:br/>
      </w:r>
      <w:proofErr w:type="gramStart"/>
      <w:r w:rsidR="00BC4F9F">
        <w:rPr>
          <w:color w:val="auto"/>
        </w:rPr>
        <w:t>This</w:t>
      </w:r>
      <w:proofErr w:type="gramEnd"/>
      <w:r w:rsidR="00BC4F9F">
        <w:rPr>
          <w:color w:val="auto"/>
        </w:rPr>
        <w:t xml:space="preserve"> map shows the proportion of people in each SA1 that </w:t>
      </w:r>
      <w:r w:rsidR="000F1F35">
        <w:rPr>
          <w:color w:val="auto"/>
        </w:rPr>
        <w:t>are recent arrivals</w:t>
      </w:r>
      <w:r w:rsidR="00BC4F9F">
        <w:rPr>
          <w:color w:val="auto"/>
        </w:rPr>
        <w:t>, as a percentage of the total population.</w:t>
      </w:r>
      <w:r w:rsidR="000F1F35">
        <w:rPr>
          <w:color w:val="auto"/>
        </w:rPr>
        <w:t xml:space="preserve"> Recent arrivals are people who arrived from overseas between 2006 and 2011 Census night.</w:t>
      </w:r>
      <w:r w:rsidR="00300234">
        <w:rPr>
          <w:color w:val="auto"/>
        </w:rPr>
        <w:br/>
      </w:r>
      <w:r w:rsidR="00300234">
        <w:rPr>
          <w:color w:val="auto"/>
        </w:rPr>
        <w:br/>
      </w:r>
    </w:p>
    <w:p w:rsidR="00D764BB" w:rsidRDefault="007F28F5" w:rsidP="002A66FF">
      <w:pPr>
        <w:pStyle w:val="ListParagraph"/>
        <w:numPr>
          <w:ilvl w:val="0"/>
          <w:numId w:val="1"/>
        </w:numPr>
        <w:rPr>
          <w:color w:val="auto"/>
        </w:rPr>
      </w:pPr>
      <w:r>
        <w:rPr>
          <w:color w:val="auto"/>
        </w:rPr>
        <w:lastRenderedPageBreak/>
        <w:t>PEOPLE NOT FLUENT IN ENGLISH</w:t>
      </w:r>
      <w:r w:rsidR="00300234">
        <w:rPr>
          <w:color w:val="auto"/>
        </w:rPr>
        <w:br/>
      </w:r>
      <w:r w:rsidR="00D52350">
        <w:rPr>
          <w:color w:val="auto"/>
        </w:rPr>
        <w:t>This map shows the proportion of people in each SA1 that were not fluent in English at the 2011 Census, as a percentage of the total population aged five years and over. People not fluent in English are people aged five years and over who did not speak English well or at all.</w:t>
      </w:r>
      <w:r w:rsidR="00D764BB">
        <w:rPr>
          <w:color w:val="auto"/>
        </w:rPr>
        <w:br/>
      </w:r>
      <w:r w:rsidR="00300234">
        <w:rPr>
          <w:color w:val="auto"/>
        </w:rPr>
        <w:br/>
      </w:r>
    </w:p>
    <w:p w:rsidR="00D764BB" w:rsidRDefault="00D764BB" w:rsidP="002A66FF">
      <w:pPr>
        <w:pStyle w:val="ListParagraph"/>
        <w:numPr>
          <w:ilvl w:val="0"/>
          <w:numId w:val="1"/>
        </w:numPr>
        <w:rPr>
          <w:color w:val="auto"/>
        </w:rPr>
      </w:pPr>
      <w:r>
        <w:rPr>
          <w:color w:val="auto"/>
        </w:rPr>
        <w:t>PEOPLE WHO NEEDED ASSISTANCE</w:t>
      </w:r>
      <w:r>
        <w:rPr>
          <w:color w:val="auto"/>
        </w:rPr>
        <w:br/>
        <w:t xml:space="preserve">This map </w:t>
      </w:r>
      <w:proofErr w:type="gramStart"/>
      <w:r>
        <w:rPr>
          <w:color w:val="auto"/>
        </w:rPr>
        <w:t>shows</w:t>
      </w:r>
      <w:proofErr w:type="gramEnd"/>
      <w:r>
        <w:rPr>
          <w:color w:val="auto"/>
        </w:rPr>
        <w:t xml:space="preserve"> the proportion of people in each SA1 that needed assistance, as a percentage of the total population. People who need assistance are defined </w:t>
      </w:r>
      <w:r w:rsidRPr="00E3180F">
        <w:rPr>
          <w:color w:val="auto"/>
        </w:rPr>
        <w:t>as people with a profound or severe disability are defined as those people needing help or assistance in one or more of the three core activity areas of self-care, mobility and communication, because of a disability, long term health condition (lasting six months or more) or old age.</w:t>
      </w:r>
      <w:r>
        <w:rPr>
          <w:color w:val="auto"/>
        </w:rPr>
        <w:br/>
      </w:r>
      <w:r>
        <w:rPr>
          <w:color w:val="auto"/>
        </w:rPr>
        <w:br/>
      </w:r>
    </w:p>
    <w:p w:rsidR="007F28F5" w:rsidRDefault="00D764BB" w:rsidP="002A66FF">
      <w:pPr>
        <w:pStyle w:val="ListParagraph"/>
        <w:numPr>
          <w:ilvl w:val="0"/>
          <w:numId w:val="1"/>
        </w:numPr>
        <w:rPr>
          <w:color w:val="auto"/>
        </w:rPr>
      </w:pPr>
      <w:r>
        <w:rPr>
          <w:color w:val="auto"/>
        </w:rPr>
        <w:t>PEOPLE LIVING ALONE</w:t>
      </w:r>
      <w:r>
        <w:rPr>
          <w:color w:val="auto"/>
        </w:rPr>
        <w:br/>
        <w:t>This map shows the proportion of people in each SA1 that lived alone at the 2011 Census, as a percentage of all households.</w:t>
      </w:r>
      <w:r>
        <w:rPr>
          <w:color w:val="auto"/>
        </w:rPr>
        <w:br/>
      </w:r>
      <w:r w:rsidR="00300234">
        <w:rPr>
          <w:color w:val="auto"/>
        </w:rPr>
        <w:br/>
      </w:r>
    </w:p>
    <w:p w:rsidR="00696488" w:rsidRPr="00D764BB" w:rsidRDefault="00696488" w:rsidP="00D764BB">
      <w:pPr>
        <w:pStyle w:val="ListParagraph"/>
        <w:numPr>
          <w:ilvl w:val="0"/>
          <w:numId w:val="1"/>
        </w:numPr>
        <w:rPr>
          <w:color w:val="auto"/>
        </w:rPr>
      </w:pPr>
      <w:r>
        <w:rPr>
          <w:color w:val="auto"/>
        </w:rPr>
        <w:t>COUPLES WITH NO DEPENDENT CHILDREN</w:t>
      </w:r>
      <w:r w:rsidR="00300234">
        <w:rPr>
          <w:color w:val="auto"/>
        </w:rPr>
        <w:br/>
      </w:r>
      <w:proofErr w:type="gramStart"/>
      <w:r w:rsidR="00C15CFF">
        <w:rPr>
          <w:color w:val="auto"/>
        </w:rPr>
        <w:t>This</w:t>
      </w:r>
      <w:proofErr w:type="gramEnd"/>
      <w:r w:rsidR="00C15CFF">
        <w:rPr>
          <w:color w:val="auto"/>
        </w:rPr>
        <w:t xml:space="preserve"> map shows the proportion of families in each SA1 that were couples with no dependent children at the 2011 Census, as a percentage of all families. A couple without dependent children is a couple </w:t>
      </w:r>
      <w:proofErr w:type="gramStart"/>
      <w:r w:rsidR="00C15CFF">
        <w:rPr>
          <w:color w:val="auto"/>
        </w:rPr>
        <w:t>family</w:t>
      </w:r>
      <w:proofErr w:type="gramEnd"/>
      <w:r w:rsidR="00C15CFF">
        <w:rPr>
          <w:color w:val="auto"/>
        </w:rPr>
        <w:t xml:space="preserve"> with no dependent children usually resident in the family. These couples include families where the children have left home, who are retired, who have decided not to have children or who are yet to have children. It is also important to note that these couples may have non-dependent children still at home.</w:t>
      </w:r>
      <w:r w:rsidR="00300234">
        <w:rPr>
          <w:color w:val="auto"/>
        </w:rPr>
        <w:br/>
      </w:r>
      <w:r w:rsidR="00300234" w:rsidRPr="00D764BB">
        <w:rPr>
          <w:color w:val="auto"/>
        </w:rPr>
        <w:br/>
      </w:r>
    </w:p>
    <w:p w:rsidR="00D764BB" w:rsidRDefault="00696488" w:rsidP="00D764BB">
      <w:pPr>
        <w:pStyle w:val="ListParagraph"/>
        <w:numPr>
          <w:ilvl w:val="0"/>
          <w:numId w:val="1"/>
        </w:numPr>
        <w:rPr>
          <w:color w:val="auto"/>
        </w:rPr>
      </w:pPr>
      <w:r>
        <w:rPr>
          <w:color w:val="auto"/>
        </w:rPr>
        <w:t>ONE-PARENT FAMILIES WITH DEPENDENT CHILDREN</w:t>
      </w:r>
      <w:r w:rsidR="00300234">
        <w:rPr>
          <w:color w:val="auto"/>
        </w:rPr>
        <w:br/>
      </w:r>
      <w:r w:rsidR="00BE5E93">
        <w:rPr>
          <w:color w:val="auto"/>
        </w:rPr>
        <w:t>This map shows the proportion of families in each SA1 that were one-parent families with dependent children at the 2011 Census, as a percentage of all families. Dependent children were those classified as children under the age of 15 and those stated as dependent.</w:t>
      </w:r>
      <w:r w:rsidR="00300234">
        <w:rPr>
          <w:color w:val="auto"/>
        </w:rPr>
        <w:br/>
      </w:r>
      <w:r w:rsidR="00300234">
        <w:rPr>
          <w:color w:val="auto"/>
        </w:rPr>
        <w:br/>
      </w:r>
    </w:p>
    <w:p w:rsidR="00D764BB" w:rsidRDefault="00D764BB" w:rsidP="00D764BB">
      <w:pPr>
        <w:pStyle w:val="ListParagraph"/>
        <w:numPr>
          <w:ilvl w:val="0"/>
          <w:numId w:val="1"/>
        </w:numPr>
        <w:rPr>
          <w:color w:val="auto"/>
        </w:rPr>
      </w:pPr>
      <w:r>
        <w:rPr>
          <w:color w:val="auto"/>
        </w:rPr>
        <w:t>STUDENTS WHO ATTENDED GOVERNMENT SCHOOLS</w:t>
      </w:r>
      <w:r>
        <w:rPr>
          <w:color w:val="auto"/>
        </w:rPr>
        <w:br/>
        <w:t>This map shows the proportion of students who attended government schools in each SA1 at the 2011 Census, as a percentage of all school aged students aged 5 years and over.</w:t>
      </w:r>
      <w:r w:rsidR="00300234" w:rsidRPr="00D764BB">
        <w:rPr>
          <w:color w:val="auto"/>
        </w:rPr>
        <w:br/>
      </w:r>
      <w:r w:rsidR="00300234" w:rsidRPr="00D764BB">
        <w:rPr>
          <w:color w:val="auto"/>
        </w:rPr>
        <w:br/>
      </w:r>
    </w:p>
    <w:p w:rsidR="00D764BB" w:rsidRDefault="00D764BB" w:rsidP="00D764BB">
      <w:pPr>
        <w:pStyle w:val="ListParagraph"/>
        <w:numPr>
          <w:ilvl w:val="0"/>
          <w:numId w:val="1"/>
        </w:numPr>
        <w:rPr>
          <w:color w:val="auto"/>
        </w:rPr>
      </w:pPr>
      <w:r>
        <w:rPr>
          <w:color w:val="auto"/>
        </w:rPr>
        <w:t>PEOPLE WITH A NON-SCHOOL QUALIFICATION: Advanced Diploma and Diploma</w:t>
      </w:r>
      <w:r>
        <w:rPr>
          <w:color w:val="auto"/>
        </w:rPr>
        <w:br/>
        <w:t>This map shows the proportion of people with an advanced diploma and / or diploma (non-school qualification) in each SA1 at the 2011 Census, as a percentage of the population aged 15 years and over with a qualification.</w:t>
      </w:r>
      <w:r>
        <w:rPr>
          <w:color w:val="auto"/>
        </w:rPr>
        <w:br/>
      </w:r>
      <w:r>
        <w:rPr>
          <w:color w:val="auto"/>
        </w:rPr>
        <w:br/>
      </w:r>
    </w:p>
    <w:p w:rsidR="00D764BB" w:rsidRDefault="00D764BB" w:rsidP="00D764BB">
      <w:pPr>
        <w:pStyle w:val="ListParagraph"/>
        <w:numPr>
          <w:ilvl w:val="0"/>
          <w:numId w:val="1"/>
        </w:numPr>
        <w:rPr>
          <w:color w:val="auto"/>
        </w:rPr>
      </w:pPr>
      <w:r>
        <w:rPr>
          <w:color w:val="auto"/>
        </w:rPr>
        <w:t>PEOPLE WITH A NON-SCHOOL QUALIFICATION: Bachelor Degree</w:t>
      </w:r>
      <w:r>
        <w:rPr>
          <w:color w:val="auto"/>
        </w:rPr>
        <w:br/>
        <w:t xml:space="preserve">This map shows the proportion of people with a bachelor degree (non-school qualification) in each </w:t>
      </w:r>
      <w:r>
        <w:rPr>
          <w:color w:val="auto"/>
        </w:rPr>
        <w:lastRenderedPageBreak/>
        <w:t>SA1 at the 2011 Census, as a percentage of the population aged 15 years and over with a qualification.</w:t>
      </w:r>
      <w:r>
        <w:rPr>
          <w:color w:val="auto"/>
        </w:rPr>
        <w:br/>
      </w:r>
      <w:r>
        <w:rPr>
          <w:color w:val="auto"/>
        </w:rPr>
        <w:br/>
      </w:r>
    </w:p>
    <w:p w:rsidR="00D764BB" w:rsidRDefault="00D764BB" w:rsidP="00D764BB">
      <w:pPr>
        <w:pStyle w:val="ListParagraph"/>
        <w:numPr>
          <w:ilvl w:val="0"/>
          <w:numId w:val="1"/>
        </w:numPr>
        <w:rPr>
          <w:color w:val="auto"/>
        </w:rPr>
      </w:pPr>
      <w:r>
        <w:rPr>
          <w:color w:val="auto"/>
        </w:rPr>
        <w:t>PEOPLE WITH A NON-SCHOOL QUALIFICATION: Graduate Diploma &amp; Graduate Certificate</w:t>
      </w:r>
      <w:r>
        <w:rPr>
          <w:color w:val="auto"/>
        </w:rPr>
        <w:br/>
        <w:t>This map shows the proportion of people with a graduate diploma and / or graduate certificate (non-school qualification) in each SA1 at the 2011 Census, as a percentage of the population aged 15 years and over with a qualification.</w:t>
      </w:r>
      <w:r>
        <w:rPr>
          <w:color w:val="auto"/>
        </w:rPr>
        <w:br/>
      </w:r>
      <w:r>
        <w:rPr>
          <w:color w:val="auto"/>
        </w:rPr>
        <w:br/>
      </w:r>
    </w:p>
    <w:p w:rsidR="00D764BB" w:rsidRDefault="00D764BB" w:rsidP="00D764BB">
      <w:pPr>
        <w:pStyle w:val="ListParagraph"/>
        <w:numPr>
          <w:ilvl w:val="0"/>
          <w:numId w:val="1"/>
        </w:numPr>
        <w:rPr>
          <w:color w:val="auto"/>
        </w:rPr>
      </w:pPr>
      <w:r>
        <w:rPr>
          <w:color w:val="auto"/>
        </w:rPr>
        <w:t>PEOPLE WITH A NON-SCHOOL QUALIFICATION: Post Graduate Degree</w:t>
      </w:r>
      <w:r>
        <w:rPr>
          <w:color w:val="auto"/>
        </w:rPr>
        <w:br/>
        <w:t>This map shows the proportion of people with a post graduate degree (non-school qualification) in each SA1 at the 2011 Census, as a percentage of the population aged 15 years and over with a qualification.</w:t>
      </w:r>
      <w:r>
        <w:rPr>
          <w:color w:val="auto"/>
        </w:rPr>
        <w:br/>
      </w:r>
      <w:r>
        <w:rPr>
          <w:color w:val="auto"/>
        </w:rPr>
        <w:br/>
      </w:r>
    </w:p>
    <w:p w:rsidR="00AD1B7A" w:rsidRDefault="00D764BB" w:rsidP="00D764BB">
      <w:pPr>
        <w:pStyle w:val="ListParagraph"/>
        <w:numPr>
          <w:ilvl w:val="0"/>
          <w:numId w:val="1"/>
        </w:numPr>
        <w:rPr>
          <w:color w:val="auto"/>
        </w:rPr>
      </w:pPr>
      <w:r>
        <w:rPr>
          <w:color w:val="auto"/>
        </w:rPr>
        <w:t>PEOPLE AGED 15 – 24 YEARS NOT IN THE LABOUR FORCE NOR IN THE EDUCATION SYSTEM</w:t>
      </w:r>
      <w:r>
        <w:rPr>
          <w:color w:val="auto"/>
        </w:rPr>
        <w:br/>
        <w:t>This map shows the proportion of people aged 15-24 years in each SA1 who were not in the labour force nor in the education system at the 2011 Census, as a percentage of the population aged 15-24 years.</w:t>
      </w:r>
      <w:r>
        <w:rPr>
          <w:color w:val="auto"/>
        </w:rPr>
        <w:br/>
      </w:r>
      <w:r>
        <w:rPr>
          <w:color w:val="auto"/>
        </w:rPr>
        <w:br/>
      </w:r>
    </w:p>
    <w:p w:rsidR="00AD1B7A" w:rsidRDefault="00AD1B7A" w:rsidP="00D764BB">
      <w:pPr>
        <w:pStyle w:val="ListParagraph"/>
        <w:numPr>
          <w:ilvl w:val="0"/>
          <w:numId w:val="1"/>
        </w:numPr>
        <w:rPr>
          <w:color w:val="auto"/>
        </w:rPr>
      </w:pPr>
      <w:r>
        <w:rPr>
          <w:color w:val="auto"/>
        </w:rPr>
        <w:t>UNEMPLOYED PEOPLE</w:t>
      </w:r>
      <w:r>
        <w:rPr>
          <w:color w:val="auto"/>
        </w:rPr>
        <w:br/>
      </w:r>
      <w:proofErr w:type="gramStart"/>
      <w:r>
        <w:rPr>
          <w:color w:val="auto"/>
        </w:rPr>
        <w:t>This</w:t>
      </w:r>
      <w:proofErr w:type="gramEnd"/>
      <w:r>
        <w:rPr>
          <w:color w:val="auto"/>
        </w:rPr>
        <w:t xml:space="preserve"> map shows the proportion of people who were unemployed in each SA1 at the 2011 Census, as a percentage of the labour force.</w:t>
      </w:r>
      <w:r>
        <w:rPr>
          <w:color w:val="auto"/>
        </w:rPr>
        <w:br/>
      </w:r>
      <w:r>
        <w:rPr>
          <w:color w:val="auto"/>
        </w:rPr>
        <w:br/>
      </w:r>
    </w:p>
    <w:p w:rsidR="00AD1B7A" w:rsidRDefault="00AD1B7A" w:rsidP="00AD1B7A">
      <w:pPr>
        <w:pStyle w:val="ListParagraph"/>
        <w:numPr>
          <w:ilvl w:val="0"/>
          <w:numId w:val="1"/>
        </w:numPr>
        <w:rPr>
          <w:color w:val="auto"/>
        </w:rPr>
      </w:pPr>
      <w:r>
        <w:rPr>
          <w:color w:val="auto"/>
        </w:rPr>
        <w:t>PEOPLE EMPLOYED PART-TIME</w:t>
      </w:r>
      <w:r>
        <w:rPr>
          <w:color w:val="auto"/>
        </w:rPr>
        <w:br/>
        <w:t>This map shows the proportion of people who were employed part-time in each SA1 at the 2011 Census, as a percentage of the population aged 15 years and over.</w:t>
      </w:r>
      <w:r>
        <w:rPr>
          <w:color w:val="auto"/>
        </w:rPr>
        <w:br/>
      </w:r>
      <w:r>
        <w:rPr>
          <w:color w:val="auto"/>
        </w:rPr>
        <w:br/>
      </w:r>
    </w:p>
    <w:p w:rsidR="00AD1B7A" w:rsidRDefault="00AD1B7A" w:rsidP="00AD1B7A">
      <w:pPr>
        <w:pStyle w:val="ListParagraph"/>
        <w:numPr>
          <w:ilvl w:val="0"/>
          <w:numId w:val="1"/>
        </w:numPr>
        <w:rPr>
          <w:color w:val="auto"/>
        </w:rPr>
      </w:pPr>
      <w:r w:rsidRPr="00AD1B7A">
        <w:rPr>
          <w:color w:val="auto"/>
        </w:rPr>
        <w:t>PEOPLE EMPLOYED – AWAY FROM WORK</w:t>
      </w:r>
      <w:r w:rsidRPr="00AD1B7A">
        <w:rPr>
          <w:color w:val="auto"/>
        </w:rPr>
        <w:br/>
      </w:r>
      <w:proofErr w:type="gramStart"/>
      <w:r w:rsidRPr="00AD1B7A">
        <w:rPr>
          <w:color w:val="auto"/>
        </w:rPr>
        <w:t>This</w:t>
      </w:r>
      <w:proofErr w:type="gramEnd"/>
      <w:r w:rsidRPr="00AD1B7A">
        <w:rPr>
          <w:color w:val="auto"/>
        </w:rPr>
        <w:t xml:space="preserve"> map shows the proportion of people who were employed but away from work in each SA1 at the 2011 Census, as a percentage of the population aged 15 years and over. People who are classified as away from work are people who did not work any hours in the week before Census night. </w:t>
      </w:r>
      <w:r>
        <w:rPr>
          <w:color w:val="auto"/>
        </w:rPr>
        <w:br/>
      </w:r>
      <w:r>
        <w:rPr>
          <w:color w:val="auto"/>
        </w:rPr>
        <w:br/>
      </w:r>
    </w:p>
    <w:p w:rsidR="00AD1B7A" w:rsidRDefault="00AD1B7A" w:rsidP="00AD1B7A">
      <w:pPr>
        <w:pStyle w:val="ListParagraph"/>
        <w:numPr>
          <w:ilvl w:val="0"/>
          <w:numId w:val="1"/>
        </w:numPr>
        <w:rPr>
          <w:color w:val="auto"/>
        </w:rPr>
      </w:pPr>
      <w:r>
        <w:rPr>
          <w:color w:val="auto"/>
        </w:rPr>
        <w:t>LABOUR FORCE PARTICIPATION</w:t>
      </w:r>
      <w:r>
        <w:rPr>
          <w:color w:val="auto"/>
        </w:rPr>
        <w:br/>
      </w:r>
      <w:proofErr w:type="gramStart"/>
      <w:r>
        <w:rPr>
          <w:color w:val="auto"/>
        </w:rPr>
        <w:t>This</w:t>
      </w:r>
      <w:proofErr w:type="gramEnd"/>
      <w:r>
        <w:rPr>
          <w:color w:val="auto"/>
        </w:rPr>
        <w:t xml:space="preserve"> map shows the labour force participation rate in each SA1 at the 2011 Census, as a percentage of the population aged 15 years and over.</w:t>
      </w:r>
      <w:r w:rsidR="00D863D2">
        <w:rPr>
          <w:color w:val="auto"/>
        </w:rPr>
        <w:br/>
      </w:r>
      <w:r>
        <w:rPr>
          <w:color w:val="auto"/>
        </w:rPr>
        <w:br/>
      </w:r>
    </w:p>
    <w:p w:rsidR="00AD1B7A" w:rsidRDefault="00AD1B7A" w:rsidP="00AD1B7A">
      <w:pPr>
        <w:pStyle w:val="ListParagraph"/>
        <w:numPr>
          <w:ilvl w:val="0"/>
          <w:numId w:val="1"/>
        </w:numPr>
        <w:rPr>
          <w:color w:val="auto"/>
        </w:rPr>
      </w:pPr>
      <w:r>
        <w:rPr>
          <w:color w:val="auto"/>
        </w:rPr>
        <w:t>TECHNICIANS AND TRADE WORKERS</w:t>
      </w:r>
      <w:r>
        <w:rPr>
          <w:color w:val="auto"/>
        </w:rPr>
        <w:br/>
        <w:t>This map shows the proportion of people who were employed as technicians and trades workers in each SA1 at the 2011 Census, as a percentage of the employed population.</w:t>
      </w:r>
      <w:r w:rsidRPr="00AD1B7A">
        <w:rPr>
          <w:color w:val="auto"/>
        </w:rPr>
        <w:t xml:space="preserve"> </w:t>
      </w:r>
      <w:r>
        <w:rPr>
          <w:color w:val="auto"/>
        </w:rPr>
        <w:br/>
      </w:r>
      <w:r>
        <w:rPr>
          <w:color w:val="auto"/>
        </w:rPr>
        <w:lastRenderedPageBreak/>
        <w:br/>
      </w:r>
    </w:p>
    <w:p w:rsidR="00AD1B7A" w:rsidRPr="00AD1B7A" w:rsidRDefault="00AD1B7A" w:rsidP="00AD1B7A">
      <w:pPr>
        <w:pStyle w:val="ListParagraph"/>
        <w:numPr>
          <w:ilvl w:val="0"/>
          <w:numId w:val="1"/>
        </w:numPr>
        <w:rPr>
          <w:color w:val="auto"/>
        </w:rPr>
      </w:pPr>
      <w:r>
        <w:rPr>
          <w:color w:val="auto"/>
        </w:rPr>
        <w:t>PEOPLE WHO TRAVELLED TO WORK BY PUBLIC TRANSPORT</w:t>
      </w:r>
      <w:r>
        <w:rPr>
          <w:color w:val="auto"/>
        </w:rPr>
        <w:br/>
        <w:t>This map shows the proportion of people in each SA1 who travelled to work by public transport for all or part of their journey on the day of the 2011 Census, as a percentage of the employed population.</w:t>
      </w:r>
    </w:p>
    <w:p w:rsidR="00696488" w:rsidRPr="00D764BB" w:rsidRDefault="00A66B81" w:rsidP="00AD1B7A">
      <w:pPr>
        <w:pStyle w:val="ListParagraph"/>
        <w:rPr>
          <w:color w:val="auto"/>
        </w:rPr>
      </w:pPr>
      <w:r>
        <w:rPr>
          <w:color w:val="auto"/>
        </w:rPr>
        <w:br/>
      </w:r>
    </w:p>
    <w:p w:rsidR="00A66B81" w:rsidRDefault="00A51280" w:rsidP="002A66FF">
      <w:pPr>
        <w:pStyle w:val="ListParagraph"/>
        <w:numPr>
          <w:ilvl w:val="0"/>
          <w:numId w:val="1"/>
        </w:numPr>
        <w:rPr>
          <w:color w:val="auto"/>
        </w:rPr>
      </w:pPr>
      <w:r>
        <w:rPr>
          <w:color w:val="auto"/>
        </w:rPr>
        <w:t>PEOPLE WHO UNDERTOOK UNPAID VOLUNTARY WORK</w:t>
      </w:r>
      <w:r w:rsidR="00300234">
        <w:rPr>
          <w:color w:val="auto"/>
        </w:rPr>
        <w:br/>
      </w:r>
      <w:proofErr w:type="gramStart"/>
      <w:r w:rsidR="001C3893">
        <w:rPr>
          <w:color w:val="auto"/>
        </w:rPr>
        <w:t>This</w:t>
      </w:r>
      <w:proofErr w:type="gramEnd"/>
      <w:r w:rsidR="001C3893">
        <w:rPr>
          <w:color w:val="auto"/>
        </w:rPr>
        <w:t xml:space="preserve"> map shows the proportion of people who undertook unpaid voluntary work in each SA1 at the 2011 Census, as a percentage of the population aged 15 years and over.</w:t>
      </w:r>
      <w:r w:rsidR="00300234">
        <w:rPr>
          <w:color w:val="auto"/>
        </w:rPr>
        <w:br/>
      </w:r>
      <w:r w:rsidR="00300234">
        <w:rPr>
          <w:color w:val="auto"/>
        </w:rPr>
        <w:br/>
      </w:r>
    </w:p>
    <w:p w:rsidR="00A66B81" w:rsidRDefault="00A66B81" w:rsidP="002A66FF">
      <w:pPr>
        <w:pStyle w:val="ListParagraph"/>
        <w:numPr>
          <w:ilvl w:val="0"/>
          <w:numId w:val="1"/>
        </w:numPr>
        <w:rPr>
          <w:color w:val="auto"/>
        </w:rPr>
      </w:pPr>
      <w:r>
        <w:rPr>
          <w:color w:val="auto"/>
        </w:rPr>
        <w:t>PEOPLE WHO UNDERTOOK 15 OR MORE HOURS OF UNPAID DOMESTIC WORK</w:t>
      </w:r>
      <w:r>
        <w:rPr>
          <w:color w:val="auto"/>
        </w:rPr>
        <w:br/>
        <w:t>This map shows the proportion of people who undertook 15 or more hours of unpaid domestic work in each SA1 in the week before Census night, as a percentage of the population aged 15 years and over.</w:t>
      </w:r>
      <w:r>
        <w:rPr>
          <w:color w:val="auto"/>
        </w:rPr>
        <w:br/>
      </w:r>
      <w:r>
        <w:rPr>
          <w:color w:val="auto"/>
        </w:rPr>
        <w:br/>
      </w:r>
    </w:p>
    <w:p w:rsidR="00A51280" w:rsidRDefault="00A66B81" w:rsidP="002A66FF">
      <w:pPr>
        <w:pStyle w:val="ListParagraph"/>
        <w:numPr>
          <w:ilvl w:val="0"/>
          <w:numId w:val="1"/>
        </w:numPr>
        <w:rPr>
          <w:color w:val="auto"/>
        </w:rPr>
      </w:pPr>
      <w:r>
        <w:rPr>
          <w:color w:val="auto"/>
        </w:rPr>
        <w:t>PEOPLE WHO SPEAK OTHER LANGUAGE AT HOME</w:t>
      </w:r>
      <w:r>
        <w:rPr>
          <w:color w:val="auto"/>
        </w:rPr>
        <w:br/>
      </w:r>
      <w:proofErr w:type="gramStart"/>
      <w:r>
        <w:rPr>
          <w:color w:val="auto"/>
        </w:rPr>
        <w:t>This</w:t>
      </w:r>
      <w:proofErr w:type="gramEnd"/>
      <w:r>
        <w:rPr>
          <w:color w:val="auto"/>
        </w:rPr>
        <w:t xml:space="preserve"> map shows the proportion of people who spoke another language at home in each SA1 at the 2011 Census, as a percentage of the total population.</w:t>
      </w:r>
      <w:r>
        <w:rPr>
          <w:color w:val="auto"/>
        </w:rPr>
        <w:br/>
      </w:r>
      <w:r>
        <w:rPr>
          <w:color w:val="auto"/>
        </w:rPr>
        <w:br/>
      </w:r>
    </w:p>
    <w:p w:rsidR="00A51280" w:rsidRDefault="00A51280" w:rsidP="002A66FF">
      <w:pPr>
        <w:pStyle w:val="ListParagraph"/>
        <w:numPr>
          <w:ilvl w:val="0"/>
          <w:numId w:val="1"/>
        </w:numPr>
        <w:rPr>
          <w:color w:val="auto"/>
        </w:rPr>
      </w:pPr>
      <w:r>
        <w:rPr>
          <w:color w:val="auto"/>
        </w:rPr>
        <w:t>LOW INCOME HOUSEHOLDS</w:t>
      </w:r>
      <w:r w:rsidR="00300234">
        <w:rPr>
          <w:color w:val="auto"/>
        </w:rPr>
        <w:br/>
      </w:r>
      <w:proofErr w:type="gramStart"/>
      <w:r w:rsidR="00C1511E">
        <w:rPr>
          <w:color w:val="auto"/>
        </w:rPr>
        <w:t>This</w:t>
      </w:r>
      <w:proofErr w:type="gramEnd"/>
      <w:r w:rsidR="00C1511E">
        <w:rPr>
          <w:color w:val="auto"/>
        </w:rPr>
        <w:t xml:space="preserve"> map shows the proportion of low income households in each SA1 at the 2011 Census, as a percentage of all households. Low income households are defined as households with a gross weekly income of less than $600.00.</w:t>
      </w:r>
      <w:r w:rsidR="00300234">
        <w:rPr>
          <w:color w:val="auto"/>
        </w:rPr>
        <w:br/>
      </w:r>
      <w:r w:rsidR="00300234">
        <w:rPr>
          <w:color w:val="auto"/>
        </w:rPr>
        <w:br/>
      </w:r>
    </w:p>
    <w:p w:rsidR="00273DCD" w:rsidRDefault="00A51280" w:rsidP="002A66FF">
      <w:pPr>
        <w:pStyle w:val="ListParagraph"/>
        <w:numPr>
          <w:ilvl w:val="0"/>
          <w:numId w:val="1"/>
        </w:numPr>
        <w:rPr>
          <w:color w:val="auto"/>
        </w:rPr>
      </w:pPr>
      <w:r>
        <w:rPr>
          <w:color w:val="auto"/>
        </w:rPr>
        <w:t>HIGH INCOME HOUSEHOLDS</w:t>
      </w:r>
      <w:r w:rsidR="00300234">
        <w:rPr>
          <w:color w:val="auto"/>
        </w:rPr>
        <w:br/>
      </w:r>
      <w:proofErr w:type="gramStart"/>
      <w:r w:rsidR="00084AFB">
        <w:rPr>
          <w:color w:val="auto"/>
        </w:rPr>
        <w:t>This</w:t>
      </w:r>
      <w:proofErr w:type="gramEnd"/>
      <w:r w:rsidR="00084AFB">
        <w:rPr>
          <w:color w:val="auto"/>
        </w:rPr>
        <w:t xml:space="preserve"> map shows the proportion of high income households in each SA1 at the 2011 Census, as a percentage of all households. High income households are defined as households with a gross weekly income of$2,500 or more.</w:t>
      </w:r>
      <w:r w:rsidR="009E177D">
        <w:rPr>
          <w:color w:val="auto"/>
        </w:rPr>
        <w:br/>
      </w:r>
      <w:r w:rsidR="009E177D">
        <w:rPr>
          <w:color w:val="auto"/>
        </w:rPr>
        <w:br/>
      </w:r>
    </w:p>
    <w:p w:rsidR="00273DCD" w:rsidRDefault="00273DCD" w:rsidP="002A66FF">
      <w:pPr>
        <w:pStyle w:val="ListParagraph"/>
        <w:numPr>
          <w:ilvl w:val="0"/>
          <w:numId w:val="1"/>
        </w:numPr>
        <w:rPr>
          <w:color w:val="auto"/>
        </w:rPr>
      </w:pPr>
      <w:r>
        <w:rPr>
          <w:color w:val="auto"/>
        </w:rPr>
        <w:t>RENTED DWELLINGS</w:t>
      </w:r>
      <w:r>
        <w:rPr>
          <w:color w:val="auto"/>
        </w:rPr>
        <w:br/>
      </w:r>
      <w:proofErr w:type="gramStart"/>
      <w:r>
        <w:rPr>
          <w:color w:val="auto"/>
        </w:rPr>
        <w:t>This</w:t>
      </w:r>
      <w:proofErr w:type="gramEnd"/>
      <w:r>
        <w:rPr>
          <w:color w:val="auto"/>
        </w:rPr>
        <w:t xml:space="preserve"> map shows the proportion of dwellings that are being rented in each SA1 at the 2011 Census, as a percentage of all occupied private dwellings.</w:t>
      </w:r>
      <w:r>
        <w:rPr>
          <w:color w:val="auto"/>
        </w:rPr>
        <w:br/>
      </w:r>
      <w:r>
        <w:rPr>
          <w:color w:val="auto"/>
        </w:rPr>
        <w:br/>
      </w:r>
    </w:p>
    <w:p w:rsidR="00A51280" w:rsidRDefault="00273DCD" w:rsidP="002A66FF">
      <w:pPr>
        <w:pStyle w:val="ListParagraph"/>
        <w:numPr>
          <w:ilvl w:val="0"/>
          <w:numId w:val="1"/>
        </w:numPr>
        <w:rPr>
          <w:color w:val="auto"/>
        </w:rPr>
      </w:pPr>
      <w:r>
        <w:rPr>
          <w:color w:val="auto"/>
        </w:rPr>
        <w:t>DWELLINGS OWNED OUTRIGHT</w:t>
      </w:r>
      <w:r>
        <w:rPr>
          <w:color w:val="auto"/>
        </w:rPr>
        <w:br/>
      </w:r>
      <w:proofErr w:type="gramStart"/>
      <w:r>
        <w:rPr>
          <w:color w:val="auto"/>
        </w:rPr>
        <w:t>This</w:t>
      </w:r>
      <w:proofErr w:type="gramEnd"/>
      <w:r>
        <w:rPr>
          <w:color w:val="auto"/>
        </w:rPr>
        <w:t xml:space="preserve"> map shows the proportion of dwellings that are owned outright in each SA1 at the 2011 Census, as a percentage of all occupied private dwellings.</w:t>
      </w:r>
      <w:r w:rsidR="00300234">
        <w:rPr>
          <w:color w:val="auto"/>
        </w:rPr>
        <w:br/>
      </w:r>
      <w:r w:rsidR="00300234">
        <w:rPr>
          <w:color w:val="auto"/>
        </w:rPr>
        <w:br/>
      </w:r>
    </w:p>
    <w:p w:rsidR="00A51280" w:rsidRPr="007D1853" w:rsidRDefault="00A51280" w:rsidP="007D1853">
      <w:pPr>
        <w:pStyle w:val="ListParagraph"/>
        <w:numPr>
          <w:ilvl w:val="0"/>
          <w:numId w:val="1"/>
        </w:numPr>
        <w:rPr>
          <w:color w:val="auto"/>
        </w:rPr>
      </w:pPr>
      <w:r>
        <w:rPr>
          <w:color w:val="auto"/>
        </w:rPr>
        <w:t>DWELLINGS BEING PURCHASED</w:t>
      </w:r>
      <w:r w:rsidR="00300234">
        <w:rPr>
          <w:color w:val="auto"/>
        </w:rPr>
        <w:br/>
      </w:r>
      <w:r w:rsidR="00EF4DB4">
        <w:rPr>
          <w:color w:val="auto"/>
        </w:rPr>
        <w:t xml:space="preserve">This map shows the proportion of dwellings that are being purchased in each SA1 at the 2011 Census, </w:t>
      </w:r>
      <w:r w:rsidR="00EF4DB4">
        <w:rPr>
          <w:color w:val="auto"/>
        </w:rPr>
        <w:lastRenderedPageBreak/>
        <w:t xml:space="preserve">as a percentage of all occupied private dwellings. </w:t>
      </w:r>
      <w:r w:rsidR="00300234">
        <w:rPr>
          <w:color w:val="auto"/>
        </w:rPr>
        <w:br/>
      </w:r>
      <w:r w:rsidR="00300234">
        <w:rPr>
          <w:color w:val="auto"/>
        </w:rPr>
        <w:br/>
      </w:r>
    </w:p>
    <w:p w:rsidR="00A51280" w:rsidRDefault="00A51280" w:rsidP="002A66FF">
      <w:pPr>
        <w:pStyle w:val="ListParagraph"/>
        <w:numPr>
          <w:ilvl w:val="0"/>
          <w:numId w:val="1"/>
        </w:numPr>
        <w:rPr>
          <w:color w:val="auto"/>
        </w:rPr>
      </w:pPr>
      <w:r>
        <w:rPr>
          <w:color w:val="auto"/>
        </w:rPr>
        <w:t>DWELLINGS WITH THREE OR MORE MOTOR VEHICLES</w:t>
      </w:r>
      <w:r w:rsidR="00300234">
        <w:rPr>
          <w:color w:val="auto"/>
        </w:rPr>
        <w:br/>
      </w:r>
      <w:r w:rsidR="00445BFF">
        <w:rPr>
          <w:color w:val="auto"/>
        </w:rPr>
        <w:t>This map shows the proportion of dwellings with three or more motor vehicles in each SA1 at the 2011 Census, as a percentage of all occupied private dwellings.</w:t>
      </w:r>
      <w:r w:rsidR="00300234">
        <w:rPr>
          <w:color w:val="auto"/>
        </w:rPr>
        <w:br/>
      </w:r>
      <w:r w:rsidR="00300234">
        <w:rPr>
          <w:color w:val="auto"/>
        </w:rPr>
        <w:br/>
      </w:r>
    </w:p>
    <w:p w:rsidR="00A51280" w:rsidRDefault="00A51280" w:rsidP="002A66FF">
      <w:pPr>
        <w:pStyle w:val="ListParagraph"/>
        <w:numPr>
          <w:ilvl w:val="0"/>
          <w:numId w:val="1"/>
        </w:numPr>
        <w:rPr>
          <w:color w:val="auto"/>
        </w:rPr>
      </w:pPr>
      <w:r>
        <w:rPr>
          <w:color w:val="auto"/>
        </w:rPr>
        <w:t>PEOPLE WHO LIVED AT DIFFERENT USUAL ADDRESS 1 YEAR AGO</w:t>
      </w:r>
      <w:r w:rsidR="00300234">
        <w:rPr>
          <w:color w:val="auto"/>
        </w:rPr>
        <w:br/>
      </w:r>
      <w:r w:rsidR="005F7A52">
        <w:rPr>
          <w:color w:val="auto"/>
        </w:rPr>
        <w:t>This map shows the proportion of people who lived at a different usual address one year ago in each SA1 at the 2011 Census, as a percentage of the population aged 1 year and over.</w:t>
      </w:r>
      <w:r w:rsidR="00300234">
        <w:rPr>
          <w:color w:val="auto"/>
        </w:rPr>
        <w:br/>
      </w:r>
      <w:r w:rsidR="00300234">
        <w:rPr>
          <w:color w:val="auto"/>
        </w:rPr>
        <w:br/>
      </w:r>
    </w:p>
    <w:p w:rsidR="00A51280" w:rsidRDefault="00A51280" w:rsidP="002A66FF">
      <w:pPr>
        <w:pStyle w:val="ListParagraph"/>
        <w:numPr>
          <w:ilvl w:val="0"/>
          <w:numId w:val="1"/>
        </w:numPr>
        <w:rPr>
          <w:color w:val="auto"/>
        </w:rPr>
      </w:pPr>
      <w:r>
        <w:rPr>
          <w:color w:val="auto"/>
        </w:rPr>
        <w:t>PEOPLE WHO LIVED AT DIFFERENT USUAL ADDRESS 5 YEARS AGO</w:t>
      </w:r>
      <w:r w:rsidR="005F7A52">
        <w:rPr>
          <w:color w:val="auto"/>
        </w:rPr>
        <w:br/>
        <w:t>This map shows the proportion of people who lived at a different usual address five years ago in each SA1 at the 2011 Census, as a percentage of the population aged 5 years and over.</w:t>
      </w:r>
      <w:r w:rsidR="005F7A52">
        <w:rPr>
          <w:color w:val="auto"/>
        </w:rPr>
        <w:br/>
      </w:r>
      <w:r w:rsidR="005F7A52">
        <w:rPr>
          <w:color w:val="auto"/>
        </w:rPr>
        <w:br/>
      </w:r>
    </w:p>
    <w:p w:rsidR="009812CC" w:rsidRPr="007D1853" w:rsidRDefault="00300234" w:rsidP="007D1853">
      <w:pPr>
        <w:ind w:left="0"/>
        <w:rPr>
          <w:color w:val="auto"/>
        </w:rPr>
      </w:pPr>
      <w:r w:rsidRPr="007D1853">
        <w:rPr>
          <w:color w:val="auto"/>
        </w:rPr>
        <w:br/>
      </w:r>
      <w:r w:rsidRPr="007D1853">
        <w:rPr>
          <w:color w:val="auto"/>
        </w:rPr>
        <w:br/>
      </w:r>
    </w:p>
    <w:p w:rsidR="00F82FDA" w:rsidRPr="00A66B81" w:rsidRDefault="00F43B32" w:rsidP="00A66B81">
      <w:pPr>
        <w:ind w:left="0"/>
        <w:rPr>
          <w:color w:val="auto"/>
        </w:rPr>
      </w:pPr>
      <w:r w:rsidRPr="00A66B81">
        <w:rPr>
          <w:color w:val="auto"/>
        </w:rPr>
        <w:br/>
      </w:r>
      <w:r w:rsidRPr="00A66B81">
        <w:rPr>
          <w:color w:val="auto"/>
        </w:rPr>
        <w:br/>
      </w:r>
    </w:p>
    <w:p w:rsidR="002A66FF" w:rsidRPr="002A66FF" w:rsidRDefault="002A66FF" w:rsidP="002A66FF">
      <w:pPr>
        <w:ind w:left="0"/>
        <w:rPr>
          <w:color w:val="auto"/>
        </w:rPr>
      </w:pPr>
    </w:p>
    <w:sectPr w:rsidR="002A66FF" w:rsidRPr="002A66FF" w:rsidSect="005841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F0853"/>
    <w:multiLevelType w:val="hybridMultilevel"/>
    <w:tmpl w:val="30B01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useFELayout/>
  </w:compat>
  <w:docVars>
    <w:docVar w:name="_AMO_XmlVersion" w:val="Empty"/>
  </w:docVars>
  <w:rsids>
    <w:rsidRoot w:val="003C3E42"/>
    <w:rsid w:val="00007990"/>
    <w:rsid w:val="00015E2E"/>
    <w:rsid w:val="0001780A"/>
    <w:rsid w:val="00030847"/>
    <w:rsid w:val="0004198E"/>
    <w:rsid w:val="00052CE3"/>
    <w:rsid w:val="000639D5"/>
    <w:rsid w:val="00071505"/>
    <w:rsid w:val="00084AFB"/>
    <w:rsid w:val="000A46DD"/>
    <w:rsid w:val="000D7246"/>
    <w:rsid w:val="000E0ECD"/>
    <w:rsid w:val="000F1F35"/>
    <w:rsid w:val="00104905"/>
    <w:rsid w:val="00107F18"/>
    <w:rsid w:val="00112DC8"/>
    <w:rsid w:val="001301A6"/>
    <w:rsid w:val="00137F20"/>
    <w:rsid w:val="00142C03"/>
    <w:rsid w:val="00144913"/>
    <w:rsid w:val="00172989"/>
    <w:rsid w:val="0018087B"/>
    <w:rsid w:val="001A7844"/>
    <w:rsid w:val="001C3893"/>
    <w:rsid w:val="001D2DF0"/>
    <w:rsid w:val="00216DAE"/>
    <w:rsid w:val="00222DE2"/>
    <w:rsid w:val="00242FF5"/>
    <w:rsid w:val="00273DCD"/>
    <w:rsid w:val="00276EAE"/>
    <w:rsid w:val="002A35F9"/>
    <w:rsid w:val="002A66FF"/>
    <w:rsid w:val="002D0808"/>
    <w:rsid w:val="00300234"/>
    <w:rsid w:val="00304FED"/>
    <w:rsid w:val="00310072"/>
    <w:rsid w:val="00313737"/>
    <w:rsid w:val="00345EC1"/>
    <w:rsid w:val="0039552D"/>
    <w:rsid w:val="0039608A"/>
    <w:rsid w:val="003C21C6"/>
    <w:rsid w:val="003C3E42"/>
    <w:rsid w:val="003D523F"/>
    <w:rsid w:val="003E53CD"/>
    <w:rsid w:val="003F77CC"/>
    <w:rsid w:val="00403260"/>
    <w:rsid w:val="00403543"/>
    <w:rsid w:val="004210E4"/>
    <w:rsid w:val="00427742"/>
    <w:rsid w:val="00445BFF"/>
    <w:rsid w:val="00467221"/>
    <w:rsid w:val="00475B17"/>
    <w:rsid w:val="00523160"/>
    <w:rsid w:val="005416A5"/>
    <w:rsid w:val="00560E13"/>
    <w:rsid w:val="00572DA1"/>
    <w:rsid w:val="005762B1"/>
    <w:rsid w:val="0058094D"/>
    <w:rsid w:val="00584176"/>
    <w:rsid w:val="00590DE5"/>
    <w:rsid w:val="005A27A2"/>
    <w:rsid w:val="005C0740"/>
    <w:rsid w:val="005C721D"/>
    <w:rsid w:val="005D7F29"/>
    <w:rsid w:val="005E0BA8"/>
    <w:rsid w:val="005F7A52"/>
    <w:rsid w:val="00605F77"/>
    <w:rsid w:val="00651536"/>
    <w:rsid w:val="006876C8"/>
    <w:rsid w:val="00694C1A"/>
    <w:rsid w:val="00696488"/>
    <w:rsid w:val="006A2FD0"/>
    <w:rsid w:val="006B0F89"/>
    <w:rsid w:val="006B6F02"/>
    <w:rsid w:val="006C7DAC"/>
    <w:rsid w:val="006E1920"/>
    <w:rsid w:val="00710712"/>
    <w:rsid w:val="00730008"/>
    <w:rsid w:val="00735C5E"/>
    <w:rsid w:val="00737F2A"/>
    <w:rsid w:val="0075536D"/>
    <w:rsid w:val="00760AD7"/>
    <w:rsid w:val="007715F2"/>
    <w:rsid w:val="00773E64"/>
    <w:rsid w:val="00794301"/>
    <w:rsid w:val="007A26CE"/>
    <w:rsid w:val="007A3C20"/>
    <w:rsid w:val="007D1853"/>
    <w:rsid w:val="007D6196"/>
    <w:rsid w:val="007E630D"/>
    <w:rsid w:val="007F28F5"/>
    <w:rsid w:val="0081584D"/>
    <w:rsid w:val="00845B28"/>
    <w:rsid w:val="00866C24"/>
    <w:rsid w:val="008763D4"/>
    <w:rsid w:val="00891372"/>
    <w:rsid w:val="008A24A5"/>
    <w:rsid w:val="008B1FF9"/>
    <w:rsid w:val="008E716C"/>
    <w:rsid w:val="009136F7"/>
    <w:rsid w:val="00937A28"/>
    <w:rsid w:val="009464E7"/>
    <w:rsid w:val="0096586D"/>
    <w:rsid w:val="009812CC"/>
    <w:rsid w:val="0099305B"/>
    <w:rsid w:val="00993BF6"/>
    <w:rsid w:val="009E148A"/>
    <w:rsid w:val="009E177D"/>
    <w:rsid w:val="009F79B2"/>
    <w:rsid w:val="00A07E7F"/>
    <w:rsid w:val="00A1775D"/>
    <w:rsid w:val="00A40223"/>
    <w:rsid w:val="00A42289"/>
    <w:rsid w:val="00A45748"/>
    <w:rsid w:val="00A47156"/>
    <w:rsid w:val="00A51280"/>
    <w:rsid w:val="00A66B81"/>
    <w:rsid w:val="00A82FB8"/>
    <w:rsid w:val="00A91C1E"/>
    <w:rsid w:val="00A94B61"/>
    <w:rsid w:val="00AA39A8"/>
    <w:rsid w:val="00AA4A61"/>
    <w:rsid w:val="00AB18E4"/>
    <w:rsid w:val="00AD1B7A"/>
    <w:rsid w:val="00AD2F07"/>
    <w:rsid w:val="00AF65DC"/>
    <w:rsid w:val="00AF70F5"/>
    <w:rsid w:val="00AF7974"/>
    <w:rsid w:val="00B012C0"/>
    <w:rsid w:val="00B22F9D"/>
    <w:rsid w:val="00B84556"/>
    <w:rsid w:val="00B84797"/>
    <w:rsid w:val="00B920FC"/>
    <w:rsid w:val="00B96739"/>
    <w:rsid w:val="00BC3AD8"/>
    <w:rsid w:val="00BC4F9F"/>
    <w:rsid w:val="00BD1F44"/>
    <w:rsid w:val="00BE5E93"/>
    <w:rsid w:val="00C01ED3"/>
    <w:rsid w:val="00C1511E"/>
    <w:rsid w:val="00C15CFF"/>
    <w:rsid w:val="00C22C28"/>
    <w:rsid w:val="00C36F3F"/>
    <w:rsid w:val="00C55D0D"/>
    <w:rsid w:val="00C57CB3"/>
    <w:rsid w:val="00C633F9"/>
    <w:rsid w:val="00C76E15"/>
    <w:rsid w:val="00CC0DAB"/>
    <w:rsid w:val="00CF7E6F"/>
    <w:rsid w:val="00D013CA"/>
    <w:rsid w:val="00D02E12"/>
    <w:rsid w:val="00D12C5F"/>
    <w:rsid w:val="00D2066B"/>
    <w:rsid w:val="00D44E83"/>
    <w:rsid w:val="00D52350"/>
    <w:rsid w:val="00D764BB"/>
    <w:rsid w:val="00D863D2"/>
    <w:rsid w:val="00D92F24"/>
    <w:rsid w:val="00DB0BF6"/>
    <w:rsid w:val="00DD286C"/>
    <w:rsid w:val="00DD48FC"/>
    <w:rsid w:val="00E04415"/>
    <w:rsid w:val="00E06E2B"/>
    <w:rsid w:val="00E3180F"/>
    <w:rsid w:val="00E318EF"/>
    <w:rsid w:val="00E40DED"/>
    <w:rsid w:val="00E47467"/>
    <w:rsid w:val="00E9543D"/>
    <w:rsid w:val="00E96AC5"/>
    <w:rsid w:val="00EC4520"/>
    <w:rsid w:val="00EC47DE"/>
    <w:rsid w:val="00EC783B"/>
    <w:rsid w:val="00ED27B9"/>
    <w:rsid w:val="00EF4DB4"/>
    <w:rsid w:val="00F03E4F"/>
    <w:rsid w:val="00F17826"/>
    <w:rsid w:val="00F20CAD"/>
    <w:rsid w:val="00F361B8"/>
    <w:rsid w:val="00F43B32"/>
    <w:rsid w:val="00F44612"/>
    <w:rsid w:val="00F51AE5"/>
    <w:rsid w:val="00F66B83"/>
    <w:rsid w:val="00F82FDA"/>
    <w:rsid w:val="00FD4498"/>
    <w:rsid w:val="00FF3E10"/>
    <w:rsid w:val="00FF638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E42"/>
    <w:rPr>
      <w:color w:val="5A5A5A" w:themeColor="text1" w:themeTint="A5"/>
    </w:rPr>
  </w:style>
  <w:style w:type="paragraph" w:styleId="Heading1">
    <w:name w:val="heading 1"/>
    <w:basedOn w:val="Normal"/>
    <w:next w:val="Normal"/>
    <w:link w:val="Heading1Char"/>
    <w:uiPriority w:val="9"/>
    <w:qFormat/>
    <w:rsid w:val="003C3E42"/>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3C3E4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3C3E4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3C3E4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3C3E4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3C3E4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3C3E4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3C3E4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3C3E4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3C3E42"/>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3C3E42"/>
    <w:rPr>
      <w:rFonts w:asciiTheme="majorHAnsi" w:eastAsiaTheme="majorEastAsia" w:hAnsiTheme="majorHAnsi" w:cstheme="majorBidi"/>
      <w:smallCaps/>
      <w:color w:val="17365D" w:themeColor="text2" w:themeShade="BF"/>
      <w:spacing w:val="5"/>
      <w:sz w:val="72"/>
      <w:szCs w:val="72"/>
    </w:rPr>
  </w:style>
  <w:style w:type="character" w:customStyle="1" w:styleId="Heading1Char">
    <w:name w:val="Heading 1 Char"/>
    <w:basedOn w:val="DefaultParagraphFont"/>
    <w:link w:val="Heading1"/>
    <w:uiPriority w:val="9"/>
    <w:rsid w:val="003C3E42"/>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3C3E42"/>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3C3E42"/>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3C3E42"/>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3C3E42"/>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3C3E42"/>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3C3E42"/>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3C3E42"/>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3C3E42"/>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3C3E42"/>
    <w:rPr>
      <w:b/>
      <w:bCs/>
      <w:smallCaps/>
      <w:color w:val="1F497D" w:themeColor="text2"/>
      <w:spacing w:val="10"/>
      <w:sz w:val="18"/>
      <w:szCs w:val="18"/>
    </w:rPr>
  </w:style>
  <w:style w:type="paragraph" w:styleId="Subtitle">
    <w:name w:val="Subtitle"/>
    <w:next w:val="Normal"/>
    <w:link w:val="SubtitleChar"/>
    <w:uiPriority w:val="11"/>
    <w:qFormat/>
    <w:rsid w:val="003C3E42"/>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3C3E42"/>
    <w:rPr>
      <w:smallCaps/>
      <w:color w:val="938953" w:themeColor="background2" w:themeShade="7F"/>
      <w:spacing w:val="5"/>
      <w:sz w:val="28"/>
      <w:szCs w:val="28"/>
    </w:rPr>
  </w:style>
  <w:style w:type="character" w:styleId="Strong">
    <w:name w:val="Strong"/>
    <w:uiPriority w:val="22"/>
    <w:qFormat/>
    <w:rsid w:val="003C3E42"/>
    <w:rPr>
      <w:b/>
      <w:bCs/>
      <w:spacing w:val="0"/>
    </w:rPr>
  </w:style>
  <w:style w:type="character" w:styleId="Emphasis">
    <w:name w:val="Emphasis"/>
    <w:uiPriority w:val="20"/>
    <w:qFormat/>
    <w:rsid w:val="003C3E42"/>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3C3E42"/>
    <w:pPr>
      <w:spacing w:after="0" w:line="240" w:lineRule="auto"/>
    </w:pPr>
  </w:style>
  <w:style w:type="character" w:customStyle="1" w:styleId="NoSpacingChar">
    <w:name w:val="No Spacing Char"/>
    <w:basedOn w:val="DefaultParagraphFont"/>
    <w:link w:val="NoSpacing"/>
    <w:uiPriority w:val="1"/>
    <w:rsid w:val="003C3E42"/>
    <w:rPr>
      <w:color w:val="5A5A5A" w:themeColor="text1" w:themeTint="A5"/>
    </w:rPr>
  </w:style>
  <w:style w:type="paragraph" w:styleId="ListParagraph">
    <w:name w:val="List Paragraph"/>
    <w:basedOn w:val="Normal"/>
    <w:uiPriority w:val="34"/>
    <w:qFormat/>
    <w:rsid w:val="003C3E42"/>
    <w:pPr>
      <w:ind w:left="720"/>
      <w:contextualSpacing/>
    </w:pPr>
  </w:style>
  <w:style w:type="paragraph" w:styleId="Quote">
    <w:name w:val="Quote"/>
    <w:basedOn w:val="Normal"/>
    <w:next w:val="Normal"/>
    <w:link w:val="QuoteChar"/>
    <w:uiPriority w:val="29"/>
    <w:qFormat/>
    <w:rsid w:val="003C3E42"/>
    <w:rPr>
      <w:i/>
      <w:iCs/>
    </w:rPr>
  </w:style>
  <w:style w:type="character" w:customStyle="1" w:styleId="QuoteChar">
    <w:name w:val="Quote Char"/>
    <w:basedOn w:val="DefaultParagraphFont"/>
    <w:link w:val="Quote"/>
    <w:uiPriority w:val="29"/>
    <w:rsid w:val="003C3E42"/>
    <w:rPr>
      <w:i/>
      <w:iCs/>
      <w:color w:val="5A5A5A" w:themeColor="text1" w:themeTint="A5"/>
      <w:sz w:val="20"/>
      <w:szCs w:val="20"/>
    </w:rPr>
  </w:style>
  <w:style w:type="paragraph" w:styleId="IntenseQuote">
    <w:name w:val="Intense Quote"/>
    <w:basedOn w:val="Normal"/>
    <w:next w:val="Normal"/>
    <w:link w:val="IntenseQuoteChar"/>
    <w:uiPriority w:val="30"/>
    <w:qFormat/>
    <w:rsid w:val="003C3E4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3C3E42"/>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3C3E42"/>
    <w:rPr>
      <w:smallCaps/>
      <w:dstrike w:val="0"/>
      <w:color w:val="5A5A5A" w:themeColor="text1" w:themeTint="A5"/>
      <w:vertAlign w:val="baseline"/>
    </w:rPr>
  </w:style>
  <w:style w:type="character" w:styleId="IntenseEmphasis">
    <w:name w:val="Intense Emphasis"/>
    <w:uiPriority w:val="21"/>
    <w:qFormat/>
    <w:rsid w:val="003C3E42"/>
    <w:rPr>
      <w:b/>
      <w:bCs/>
      <w:smallCaps/>
      <w:color w:val="4F81BD" w:themeColor="accent1"/>
      <w:spacing w:val="40"/>
    </w:rPr>
  </w:style>
  <w:style w:type="character" w:styleId="SubtleReference">
    <w:name w:val="Subtle Reference"/>
    <w:uiPriority w:val="31"/>
    <w:qFormat/>
    <w:rsid w:val="003C3E42"/>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3C3E42"/>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3C3E42"/>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3C3E42"/>
    <w:pPr>
      <w:outlineLvl w:val="9"/>
    </w:pPr>
  </w:style>
  <w:style w:type="character" w:styleId="Hyperlink">
    <w:name w:val="Hyperlink"/>
    <w:basedOn w:val="DefaultParagraphFont"/>
    <w:uiPriority w:val="99"/>
    <w:unhideWhenUsed/>
    <w:rsid w:val="001A78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pcd.vic.gov.au/home/publications-and-research/urban-and-regional-research/contac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bs.gov.au/ausstats/abs@.nsf/PrimaryMainFeatures/200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F7CE-C130-4AE8-A074-78CB1192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Nardia Smits</dc:creator>
  <cp:lastModifiedBy>Nardia Smits</cp:lastModifiedBy>
  <cp:revision>68</cp:revision>
  <cp:lastPrinted>2012-12-04T00:37:00Z</cp:lastPrinted>
  <dcterms:created xsi:type="dcterms:W3CDTF">2012-12-03T23:04:00Z</dcterms:created>
  <dcterms:modified xsi:type="dcterms:W3CDTF">2013-08-29T04:37:00Z</dcterms:modified>
</cp:coreProperties>
</file>