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50472" w14:textId="77777777" w:rsidR="008116B7" w:rsidRDefault="008116B7" w:rsidP="008116B7">
      <w:pPr>
        <w:jc w:val="center"/>
        <w:rPr>
          <w:rFonts w:ascii="Tahoma" w:hAnsi="Tahoma" w:cs="Tahoma"/>
          <w:b/>
          <w:i/>
          <w:sz w:val="28"/>
        </w:rPr>
      </w:pPr>
    </w:p>
    <w:p w14:paraId="078841EA" w14:textId="77777777" w:rsidR="002E664E" w:rsidRPr="00F079DB" w:rsidRDefault="009E036B" w:rsidP="002E664E">
      <w:pPr>
        <w:rPr>
          <w:rFonts w:ascii="Tahoma" w:hAnsi="Tahoma" w:cs="Tahoma"/>
          <w:b/>
          <w:i/>
          <w:sz w:val="22"/>
          <w:szCs w:val="20"/>
          <w:lang w:eastAsia="en-US"/>
        </w:rPr>
      </w:pPr>
      <w:r w:rsidRPr="00F079DB">
        <w:rPr>
          <w:rFonts w:ascii="Tahoma" w:hAnsi="Tahoma" w:cs="Tahoma"/>
          <w:b/>
          <w:sz w:val="22"/>
          <w:szCs w:val="20"/>
          <w:lang w:eastAsia="en-US"/>
        </w:rPr>
        <w:t xml:space="preserve">REASONS FOR </w:t>
      </w:r>
      <w:r w:rsidR="00AC4E2D">
        <w:rPr>
          <w:rFonts w:ascii="Tahoma" w:hAnsi="Tahoma" w:cs="Tahoma"/>
          <w:b/>
          <w:sz w:val="22"/>
          <w:szCs w:val="20"/>
          <w:lang w:eastAsia="en-US"/>
        </w:rPr>
        <w:t xml:space="preserve">AMENDMENT TO </w:t>
      </w:r>
      <w:r w:rsidR="000A53AC">
        <w:rPr>
          <w:rFonts w:ascii="Tahoma" w:hAnsi="Tahoma" w:cs="Tahoma"/>
          <w:b/>
          <w:sz w:val="22"/>
          <w:szCs w:val="20"/>
          <w:lang w:eastAsia="en-US"/>
        </w:rPr>
        <w:t>ORDER</w:t>
      </w:r>
      <w:r w:rsidR="002E664E" w:rsidRPr="00F079DB">
        <w:rPr>
          <w:rFonts w:ascii="Tahoma" w:hAnsi="Tahoma" w:cs="Tahoma"/>
          <w:b/>
          <w:sz w:val="22"/>
          <w:szCs w:val="20"/>
          <w:lang w:eastAsia="en-US"/>
        </w:rPr>
        <w:t xml:space="preserve"> UNDER</w:t>
      </w:r>
      <w:r w:rsidR="000A53AC">
        <w:rPr>
          <w:rFonts w:ascii="Tahoma" w:hAnsi="Tahoma" w:cs="Tahoma"/>
          <w:b/>
          <w:sz w:val="22"/>
          <w:szCs w:val="20"/>
          <w:lang w:eastAsia="en-US"/>
        </w:rPr>
        <w:t xml:space="preserve"> SECTION 3(1) OF THE</w:t>
      </w:r>
      <w:r w:rsidR="002E664E" w:rsidRPr="00F079DB">
        <w:rPr>
          <w:rFonts w:ascii="Tahoma" w:hAnsi="Tahoma" w:cs="Tahoma"/>
          <w:b/>
          <w:sz w:val="22"/>
          <w:szCs w:val="20"/>
          <w:lang w:eastAsia="en-US"/>
        </w:rPr>
        <w:t xml:space="preserve"> </w:t>
      </w:r>
      <w:r w:rsidR="002E664E" w:rsidRPr="00F079DB">
        <w:rPr>
          <w:rFonts w:ascii="Tahoma" w:hAnsi="Tahoma" w:cs="Tahoma"/>
          <w:b/>
          <w:i/>
          <w:sz w:val="22"/>
          <w:szCs w:val="20"/>
          <w:lang w:eastAsia="en-US"/>
        </w:rPr>
        <w:t>ENVIRONMENT EFFECTS ACT 1978</w:t>
      </w:r>
    </w:p>
    <w:p w14:paraId="11555FD7" w14:textId="77777777" w:rsidR="002E664E" w:rsidRPr="00F079DB" w:rsidRDefault="002E664E" w:rsidP="002E664E">
      <w:pPr>
        <w:rPr>
          <w:rFonts w:ascii="Tahoma" w:hAnsi="Tahoma" w:cs="Tahoma"/>
          <w:b/>
          <w:i/>
          <w:sz w:val="22"/>
          <w:szCs w:val="20"/>
          <w:lang w:eastAsia="en-US"/>
        </w:rPr>
      </w:pPr>
    </w:p>
    <w:p w14:paraId="134A6691" w14:textId="77777777" w:rsidR="009E036B" w:rsidRPr="008116B7" w:rsidRDefault="009E036B" w:rsidP="002E664E">
      <w:pPr>
        <w:rPr>
          <w:rFonts w:ascii="Tahoma" w:hAnsi="Tahoma" w:cs="Tahoma"/>
          <w:b/>
          <w:szCs w:val="20"/>
          <w:lang w:eastAsia="en-US"/>
        </w:rPr>
      </w:pPr>
    </w:p>
    <w:p w14:paraId="284D89A4" w14:textId="77777777" w:rsidR="002E664E" w:rsidRPr="00F079DB" w:rsidRDefault="000A53AC" w:rsidP="00666C2F">
      <w:pPr>
        <w:ind w:left="2880" w:hanging="2880"/>
        <w:rPr>
          <w:rFonts w:ascii="Tahoma" w:hAnsi="Tahoma" w:cs="Tahoma"/>
          <w:b/>
          <w:sz w:val="22"/>
          <w:szCs w:val="22"/>
          <w:lang w:eastAsia="en-US"/>
        </w:rPr>
      </w:pPr>
      <w:r>
        <w:rPr>
          <w:rFonts w:ascii="Tahoma" w:hAnsi="Tahoma" w:cs="Tahoma"/>
          <w:b/>
          <w:sz w:val="22"/>
          <w:szCs w:val="22"/>
          <w:lang w:eastAsia="en-US"/>
        </w:rPr>
        <w:t>Public works</w:t>
      </w:r>
      <w:r w:rsidR="009E036B" w:rsidRPr="00F079DB">
        <w:rPr>
          <w:rFonts w:ascii="Tahoma" w:hAnsi="Tahoma" w:cs="Tahoma"/>
          <w:b/>
          <w:sz w:val="22"/>
          <w:szCs w:val="22"/>
          <w:lang w:eastAsia="en-US"/>
        </w:rPr>
        <w:t>:</w:t>
      </w:r>
      <w:r w:rsidR="002E664E" w:rsidRPr="00F079DB">
        <w:rPr>
          <w:rFonts w:ascii="Tahoma" w:hAnsi="Tahoma" w:cs="Tahoma"/>
          <w:b/>
          <w:sz w:val="22"/>
          <w:szCs w:val="22"/>
          <w:lang w:eastAsia="en-US"/>
        </w:rPr>
        <w:tab/>
      </w:r>
      <w:r w:rsidR="00A332EF">
        <w:rPr>
          <w:rFonts w:ascii="Tahoma" w:hAnsi="Tahoma" w:cs="Tahoma"/>
          <w:b/>
          <w:sz w:val="22"/>
          <w:szCs w:val="22"/>
          <w:lang w:eastAsia="en-US"/>
        </w:rPr>
        <w:t>West Gate Tunnel Project</w:t>
      </w:r>
    </w:p>
    <w:p w14:paraId="41A61E90" w14:textId="77777777" w:rsidR="002E664E" w:rsidRPr="00F079DB" w:rsidRDefault="002E664E" w:rsidP="002E664E">
      <w:pPr>
        <w:rPr>
          <w:rFonts w:ascii="Tahoma" w:hAnsi="Tahoma" w:cs="Tahoma"/>
          <w:b/>
          <w:sz w:val="22"/>
          <w:szCs w:val="22"/>
          <w:lang w:eastAsia="en-US"/>
        </w:rPr>
      </w:pPr>
    </w:p>
    <w:p w14:paraId="1CEF46D1" w14:textId="77777777" w:rsidR="002E664E" w:rsidRPr="00F079DB" w:rsidRDefault="002E664E" w:rsidP="00C737F9">
      <w:pPr>
        <w:ind w:left="2880" w:hanging="2880"/>
        <w:rPr>
          <w:rFonts w:ascii="Tahoma" w:hAnsi="Tahoma" w:cs="Tahoma"/>
          <w:b/>
          <w:sz w:val="22"/>
          <w:szCs w:val="22"/>
          <w:lang w:eastAsia="en-US"/>
        </w:rPr>
      </w:pPr>
      <w:r w:rsidRPr="00F079DB">
        <w:rPr>
          <w:rFonts w:ascii="Tahoma" w:hAnsi="Tahoma" w:cs="Tahoma"/>
          <w:b/>
          <w:sz w:val="22"/>
          <w:szCs w:val="22"/>
          <w:lang w:eastAsia="en-US"/>
        </w:rPr>
        <w:t>Proponent:</w:t>
      </w:r>
      <w:r w:rsidRPr="00F079DB">
        <w:rPr>
          <w:rFonts w:ascii="Tahoma" w:hAnsi="Tahoma" w:cs="Tahoma"/>
          <w:b/>
          <w:sz w:val="22"/>
          <w:szCs w:val="22"/>
          <w:lang w:eastAsia="en-US"/>
        </w:rPr>
        <w:tab/>
      </w:r>
      <w:r w:rsidR="0003696F">
        <w:rPr>
          <w:rFonts w:ascii="Tahoma" w:hAnsi="Tahoma" w:cs="Tahoma"/>
          <w:b/>
          <w:sz w:val="22"/>
          <w:szCs w:val="22"/>
          <w:lang w:eastAsia="en-US"/>
        </w:rPr>
        <w:t xml:space="preserve">Department </w:t>
      </w:r>
      <w:r w:rsidR="00D04914">
        <w:rPr>
          <w:rFonts w:ascii="Tahoma" w:hAnsi="Tahoma" w:cs="Tahoma"/>
          <w:b/>
          <w:sz w:val="22"/>
          <w:szCs w:val="22"/>
          <w:lang w:eastAsia="en-US"/>
        </w:rPr>
        <w:t>of Economic Development, Jobs, T</w:t>
      </w:r>
      <w:r w:rsidR="0003696F">
        <w:rPr>
          <w:rFonts w:ascii="Tahoma" w:hAnsi="Tahoma" w:cs="Tahoma"/>
          <w:b/>
          <w:sz w:val="22"/>
          <w:szCs w:val="22"/>
          <w:lang w:eastAsia="en-US"/>
        </w:rPr>
        <w:t>ransport and Resources</w:t>
      </w:r>
    </w:p>
    <w:p w14:paraId="227C84DD" w14:textId="77777777" w:rsidR="002E664E" w:rsidRPr="00F079DB" w:rsidRDefault="002E664E" w:rsidP="002E664E">
      <w:pPr>
        <w:rPr>
          <w:rFonts w:ascii="Tahoma" w:hAnsi="Tahoma" w:cs="Tahoma"/>
          <w:b/>
          <w:sz w:val="22"/>
          <w:szCs w:val="22"/>
          <w:lang w:eastAsia="en-US"/>
        </w:rPr>
      </w:pPr>
    </w:p>
    <w:p w14:paraId="1E01C9F6" w14:textId="77777777" w:rsidR="002E664E" w:rsidRPr="00F079DB" w:rsidRDefault="002E664E" w:rsidP="002E664E">
      <w:pPr>
        <w:rPr>
          <w:rFonts w:ascii="Tahoma" w:hAnsi="Tahoma" w:cs="Tahoma"/>
          <w:b/>
          <w:sz w:val="22"/>
          <w:szCs w:val="22"/>
          <w:lang w:eastAsia="en-US"/>
        </w:rPr>
      </w:pPr>
      <w:r w:rsidRPr="00F079DB">
        <w:rPr>
          <w:rFonts w:ascii="Tahoma" w:hAnsi="Tahoma" w:cs="Tahoma"/>
          <w:b/>
          <w:sz w:val="22"/>
          <w:szCs w:val="22"/>
          <w:lang w:eastAsia="en-US"/>
        </w:rPr>
        <w:t>Description of Project:</w:t>
      </w:r>
      <w:r w:rsidRPr="00F079DB">
        <w:rPr>
          <w:rFonts w:ascii="Tahoma" w:hAnsi="Tahoma" w:cs="Tahoma"/>
          <w:b/>
          <w:sz w:val="22"/>
          <w:szCs w:val="22"/>
          <w:lang w:eastAsia="en-US"/>
        </w:rPr>
        <w:tab/>
      </w:r>
      <w:bookmarkStart w:id="0" w:name="_GoBack"/>
      <w:bookmarkEnd w:id="0"/>
    </w:p>
    <w:p w14:paraId="45AD9445" w14:textId="77777777" w:rsidR="002E664E" w:rsidRPr="00277185" w:rsidRDefault="00C73970" w:rsidP="00207FE8">
      <w:pPr>
        <w:spacing w:before="120"/>
        <w:rPr>
          <w:rFonts w:ascii="Tahoma" w:hAnsi="Tahoma" w:cs="Tahoma"/>
          <w:sz w:val="22"/>
          <w:szCs w:val="22"/>
          <w:lang w:eastAsia="en-US"/>
        </w:rPr>
      </w:pPr>
      <w:r w:rsidRPr="00277185">
        <w:rPr>
          <w:rFonts w:ascii="Tahoma" w:hAnsi="Tahoma" w:cs="Tahoma"/>
          <w:sz w:val="22"/>
          <w:szCs w:val="22"/>
          <w:lang w:eastAsia="en-US"/>
        </w:rPr>
        <w:t xml:space="preserve">The </w:t>
      </w:r>
      <w:r w:rsidR="000A53AC" w:rsidRPr="00277185">
        <w:rPr>
          <w:rFonts w:ascii="Tahoma" w:hAnsi="Tahoma" w:cs="Tahoma"/>
          <w:sz w:val="22"/>
          <w:szCs w:val="22"/>
          <w:lang w:eastAsia="en-US"/>
        </w:rPr>
        <w:t xml:space="preserve">public works are the works proposed to be undertaken for the purposes of the </w:t>
      </w:r>
      <w:r w:rsidR="0003696F" w:rsidRPr="00277185">
        <w:rPr>
          <w:rFonts w:ascii="Tahoma" w:hAnsi="Tahoma" w:cs="Tahoma"/>
          <w:sz w:val="22"/>
          <w:szCs w:val="22"/>
          <w:lang w:eastAsia="en-US"/>
        </w:rPr>
        <w:t>West</w:t>
      </w:r>
      <w:r w:rsidR="00AC4E2D" w:rsidRPr="00277185">
        <w:rPr>
          <w:rFonts w:ascii="Tahoma" w:hAnsi="Tahoma" w:cs="Tahoma"/>
          <w:sz w:val="22"/>
          <w:szCs w:val="22"/>
          <w:lang w:eastAsia="en-US"/>
        </w:rPr>
        <w:t xml:space="preserve"> Gate Tunnel Project</w:t>
      </w:r>
      <w:r w:rsidR="0003696F" w:rsidRPr="00277185">
        <w:rPr>
          <w:rFonts w:ascii="Tahoma" w:hAnsi="Tahoma" w:cs="Tahoma"/>
          <w:sz w:val="22"/>
          <w:szCs w:val="22"/>
          <w:lang w:eastAsia="en-US"/>
        </w:rPr>
        <w:t xml:space="preserve"> </w:t>
      </w:r>
      <w:r w:rsidR="00AC4E2D" w:rsidRPr="00277185">
        <w:rPr>
          <w:rFonts w:ascii="Tahoma" w:hAnsi="Tahoma" w:cs="Tahoma"/>
          <w:sz w:val="22"/>
          <w:szCs w:val="22"/>
          <w:lang w:eastAsia="en-US"/>
        </w:rPr>
        <w:t xml:space="preserve">(formerly known as the Western </w:t>
      </w:r>
      <w:r w:rsidR="0003696F" w:rsidRPr="00277185">
        <w:rPr>
          <w:rFonts w:ascii="Tahoma" w:hAnsi="Tahoma" w:cs="Tahoma"/>
          <w:sz w:val="22"/>
          <w:szCs w:val="22"/>
          <w:lang w:eastAsia="en-US"/>
        </w:rPr>
        <w:t>Distributor</w:t>
      </w:r>
      <w:r w:rsidRPr="00277185">
        <w:rPr>
          <w:rFonts w:ascii="Tahoma" w:hAnsi="Tahoma" w:cs="Tahoma"/>
          <w:sz w:val="22"/>
          <w:szCs w:val="22"/>
          <w:lang w:eastAsia="en-US"/>
        </w:rPr>
        <w:t xml:space="preserve"> Project</w:t>
      </w:r>
      <w:r w:rsidR="00AC4E2D" w:rsidRPr="00277185">
        <w:rPr>
          <w:rFonts w:ascii="Tahoma" w:hAnsi="Tahoma" w:cs="Tahoma"/>
          <w:sz w:val="22"/>
          <w:szCs w:val="22"/>
          <w:lang w:eastAsia="en-US"/>
        </w:rPr>
        <w:t>)</w:t>
      </w:r>
      <w:r w:rsidR="000A53AC" w:rsidRPr="00277185">
        <w:rPr>
          <w:rFonts w:ascii="Tahoma" w:hAnsi="Tahoma" w:cs="Tahoma"/>
          <w:sz w:val="22"/>
          <w:szCs w:val="22"/>
          <w:lang w:eastAsia="en-US"/>
        </w:rPr>
        <w:t>,</w:t>
      </w:r>
      <w:r w:rsidRPr="00277185">
        <w:rPr>
          <w:rFonts w:ascii="Tahoma" w:hAnsi="Tahoma" w:cs="Tahoma"/>
          <w:sz w:val="22"/>
          <w:szCs w:val="22"/>
          <w:lang w:eastAsia="en-US"/>
        </w:rPr>
        <w:t xml:space="preserve"> </w:t>
      </w:r>
      <w:r w:rsidR="000A53AC" w:rsidRPr="00277185">
        <w:rPr>
          <w:rFonts w:ascii="Tahoma" w:hAnsi="Tahoma" w:cs="Tahoma"/>
          <w:sz w:val="22"/>
          <w:szCs w:val="22"/>
          <w:lang w:eastAsia="en-US"/>
        </w:rPr>
        <w:t>comprising</w:t>
      </w:r>
      <w:r w:rsidRPr="00277185">
        <w:rPr>
          <w:rFonts w:ascii="Tahoma" w:hAnsi="Tahoma" w:cs="Tahoma"/>
          <w:sz w:val="22"/>
          <w:szCs w:val="22"/>
          <w:lang w:eastAsia="en-US"/>
        </w:rPr>
        <w:t xml:space="preserve"> the works for the construction and operation of:</w:t>
      </w:r>
    </w:p>
    <w:p w14:paraId="2F1DF3DC" w14:textId="77777777" w:rsidR="00AC4E2D" w:rsidRPr="00277185" w:rsidRDefault="00AC4E2D" w:rsidP="00AC4E2D">
      <w:pPr>
        <w:numPr>
          <w:ilvl w:val="0"/>
          <w:numId w:val="23"/>
        </w:numPr>
        <w:overflowPunct w:val="0"/>
        <w:autoSpaceDE w:val="0"/>
        <w:autoSpaceDN w:val="0"/>
        <w:adjustRightInd w:val="0"/>
        <w:spacing w:before="60" w:after="60"/>
        <w:jc w:val="both"/>
        <w:textAlignment w:val="baseline"/>
        <w:rPr>
          <w:rFonts w:ascii="Tahoma" w:hAnsi="Tahoma" w:cs="Tahoma"/>
          <w:sz w:val="22"/>
          <w:szCs w:val="22"/>
          <w:lang w:eastAsia="en-US"/>
        </w:rPr>
      </w:pPr>
      <w:r w:rsidRPr="00277185">
        <w:rPr>
          <w:rFonts w:ascii="Tahoma" w:hAnsi="Tahoma" w:cs="Tahoma"/>
          <w:sz w:val="22"/>
          <w:szCs w:val="22"/>
          <w:lang w:eastAsia="en-US"/>
        </w:rPr>
        <w:t xml:space="preserve">Upgrade and widening of the existing West Gate Freeway by two lanes in each direction to generally provide overall capacity of six through lanes each way and auxiliary lanes as required between Williamstown Road and M80 interchange, widening of Princes Freeway between M80 interchange and </w:t>
      </w:r>
      <w:proofErr w:type="spellStart"/>
      <w:r w:rsidRPr="00277185">
        <w:rPr>
          <w:rFonts w:ascii="Tahoma" w:hAnsi="Tahoma" w:cs="Tahoma"/>
          <w:sz w:val="22"/>
          <w:szCs w:val="22"/>
          <w:lang w:eastAsia="en-US"/>
        </w:rPr>
        <w:t>Kororoit</w:t>
      </w:r>
      <w:proofErr w:type="spellEnd"/>
      <w:r w:rsidRPr="00277185">
        <w:rPr>
          <w:rFonts w:ascii="Tahoma" w:hAnsi="Tahoma" w:cs="Tahoma"/>
          <w:sz w:val="22"/>
          <w:szCs w:val="22"/>
          <w:lang w:eastAsia="en-US"/>
        </w:rPr>
        <w:t xml:space="preserve"> Creek Road, collector-distributor carriageways, elevated ramps, structures and surface road connections including new connections to Hyde Street with the westbound freeway on ramp located to the south of the West Gate Bridge via a section of </w:t>
      </w:r>
      <w:proofErr w:type="spellStart"/>
      <w:r w:rsidRPr="00277185">
        <w:rPr>
          <w:rFonts w:ascii="Tahoma" w:hAnsi="Tahoma" w:cs="Tahoma"/>
          <w:sz w:val="22"/>
          <w:szCs w:val="22"/>
          <w:lang w:eastAsia="en-US"/>
        </w:rPr>
        <w:t>Simcock</w:t>
      </w:r>
      <w:proofErr w:type="spellEnd"/>
      <w:r w:rsidRPr="00277185">
        <w:rPr>
          <w:rFonts w:ascii="Tahoma" w:hAnsi="Tahoma" w:cs="Tahoma"/>
          <w:sz w:val="22"/>
          <w:szCs w:val="22"/>
          <w:lang w:eastAsia="en-US"/>
        </w:rPr>
        <w:t xml:space="preserve"> Avenue and the eastbound freeway off ramp located immediately north of the West Gate Bridge;</w:t>
      </w:r>
    </w:p>
    <w:p w14:paraId="2B20FBC4" w14:textId="77777777" w:rsidR="00AC4E2D" w:rsidRPr="00277185" w:rsidRDefault="00AC4E2D" w:rsidP="00AC4E2D">
      <w:pPr>
        <w:pStyle w:val="bodyCopy"/>
        <w:numPr>
          <w:ilvl w:val="0"/>
          <w:numId w:val="23"/>
        </w:numPr>
        <w:spacing w:after="0"/>
        <w:jc w:val="both"/>
        <w:rPr>
          <w:rFonts w:cs="Tahoma"/>
          <w:color w:val="auto"/>
          <w:sz w:val="22"/>
          <w:szCs w:val="22"/>
        </w:rPr>
      </w:pPr>
      <w:r w:rsidRPr="00277185">
        <w:rPr>
          <w:rFonts w:cs="Tahoma"/>
          <w:color w:val="auto"/>
          <w:sz w:val="22"/>
          <w:szCs w:val="22"/>
        </w:rPr>
        <w:t xml:space="preserve">Two bored tunnels ultimately catering for three traffic lanes in both directions, with: </w:t>
      </w:r>
    </w:p>
    <w:p w14:paraId="2B675490" w14:textId="77777777" w:rsidR="00AC4E2D" w:rsidRPr="00277185" w:rsidRDefault="00AC4E2D" w:rsidP="00AC4E2D">
      <w:pPr>
        <w:pStyle w:val="bodyCopy"/>
        <w:numPr>
          <w:ilvl w:val="1"/>
          <w:numId w:val="23"/>
        </w:numPr>
        <w:spacing w:after="0"/>
        <w:jc w:val="both"/>
        <w:rPr>
          <w:rFonts w:cs="Tahoma"/>
          <w:color w:val="auto"/>
          <w:sz w:val="22"/>
          <w:szCs w:val="22"/>
        </w:rPr>
      </w:pPr>
      <w:r w:rsidRPr="00277185">
        <w:rPr>
          <w:rFonts w:cs="Tahoma"/>
          <w:color w:val="auto"/>
          <w:sz w:val="22"/>
          <w:szCs w:val="22"/>
        </w:rPr>
        <w:t>the eastbound tunnel having a length of approximately 2.8 kilometres commencing from the southern portal approximately 300 metres to the west of Williamstown Road and extending to the northern portal located east of the intersection of Whitehall Street and Harris Street;</w:t>
      </w:r>
    </w:p>
    <w:p w14:paraId="3623E14B" w14:textId="77777777" w:rsidR="00AC4E2D" w:rsidRPr="00277185" w:rsidRDefault="00AC4E2D" w:rsidP="00AC4E2D">
      <w:pPr>
        <w:pStyle w:val="bodyCopy"/>
        <w:numPr>
          <w:ilvl w:val="1"/>
          <w:numId w:val="23"/>
        </w:numPr>
        <w:spacing w:after="0"/>
        <w:jc w:val="both"/>
        <w:rPr>
          <w:rFonts w:cs="Tahoma"/>
          <w:color w:val="auto"/>
          <w:sz w:val="22"/>
          <w:szCs w:val="22"/>
        </w:rPr>
      </w:pPr>
      <w:r w:rsidRPr="00277185">
        <w:rPr>
          <w:rFonts w:cs="Tahoma"/>
          <w:color w:val="auto"/>
          <w:sz w:val="22"/>
          <w:szCs w:val="22"/>
        </w:rPr>
        <w:t xml:space="preserve">the westbound tunnel having a length of approximately 4 kilometres commencing from the northern portal located east of the intersection of Whitehall Street and Harris Street and extending to the southern portal located approximately 250 metres to the west of the Newport railway line on the south side of the existing West Gate Freeway; and </w:t>
      </w:r>
    </w:p>
    <w:p w14:paraId="1986D0F1" w14:textId="77777777" w:rsidR="00AC4E2D" w:rsidRPr="00277185" w:rsidRDefault="00AC4E2D" w:rsidP="00AC4E2D">
      <w:pPr>
        <w:pStyle w:val="bodyCopy"/>
        <w:numPr>
          <w:ilvl w:val="1"/>
          <w:numId w:val="23"/>
        </w:numPr>
        <w:spacing w:after="0"/>
        <w:jc w:val="both"/>
        <w:rPr>
          <w:rFonts w:cs="Tahoma"/>
          <w:color w:val="auto"/>
          <w:sz w:val="22"/>
          <w:szCs w:val="22"/>
        </w:rPr>
      </w:pPr>
      <w:r w:rsidRPr="00277185">
        <w:rPr>
          <w:rFonts w:cs="Tahoma"/>
          <w:color w:val="auto"/>
          <w:sz w:val="22"/>
          <w:szCs w:val="22"/>
        </w:rPr>
        <w:t>the eastbound tunnel ventilation structure located approximately 60 metres east of Whitehall street and 250 metres north of Somerville Road, and the westbound tunnel ventilation structure located in the widened West Gate Freeway approximately 150 metres west of the Newport railway line, and;</w:t>
      </w:r>
    </w:p>
    <w:p w14:paraId="640A6718" w14:textId="77777777" w:rsidR="00AC4E2D" w:rsidRPr="00277185" w:rsidRDefault="00AC4E2D" w:rsidP="00AC4E2D">
      <w:pPr>
        <w:pStyle w:val="bodyCopy"/>
        <w:numPr>
          <w:ilvl w:val="0"/>
          <w:numId w:val="23"/>
        </w:numPr>
        <w:spacing w:after="0"/>
        <w:jc w:val="both"/>
        <w:rPr>
          <w:rFonts w:cs="Tahoma"/>
          <w:color w:val="auto"/>
          <w:sz w:val="22"/>
          <w:szCs w:val="22"/>
        </w:rPr>
      </w:pPr>
      <w:r w:rsidRPr="00277185">
        <w:rPr>
          <w:rFonts w:cs="Tahoma"/>
          <w:color w:val="auto"/>
          <w:sz w:val="22"/>
          <w:szCs w:val="22"/>
        </w:rPr>
        <w:t xml:space="preserve">Bridges across the Maribyrnong River including a central carriageway connecting the tunnels with twin viaducts above Footscray Road and separate on and off ramps to the Port of Melbourne via Mackenzie Road, new off-ramp to Appleton Dock Road and outbound on-ramp from Footscray Road to the viaduct, twin viaducts above Footscray Road and connections to </w:t>
      </w:r>
      <w:proofErr w:type="spellStart"/>
      <w:r w:rsidRPr="00277185">
        <w:rPr>
          <w:rFonts w:cs="Tahoma"/>
          <w:color w:val="auto"/>
          <w:sz w:val="22"/>
          <w:szCs w:val="22"/>
        </w:rPr>
        <w:t>CityLink</w:t>
      </w:r>
      <w:proofErr w:type="spellEnd"/>
      <w:r w:rsidRPr="00277185">
        <w:rPr>
          <w:rFonts w:cs="Tahoma"/>
          <w:color w:val="auto"/>
          <w:sz w:val="22"/>
          <w:szCs w:val="22"/>
        </w:rPr>
        <w:t xml:space="preserve">, </w:t>
      </w:r>
      <w:proofErr w:type="spellStart"/>
      <w:r w:rsidRPr="00277185">
        <w:rPr>
          <w:rFonts w:cs="Tahoma"/>
          <w:color w:val="auto"/>
          <w:sz w:val="22"/>
          <w:szCs w:val="22"/>
        </w:rPr>
        <w:t>Dynon</w:t>
      </w:r>
      <w:proofErr w:type="spellEnd"/>
      <w:r w:rsidRPr="00277185">
        <w:rPr>
          <w:rFonts w:cs="Tahoma"/>
          <w:color w:val="auto"/>
          <w:sz w:val="22"/>
          <w:szCs w:val="22"/>
        </w:rPr>
        <w:t xml:space="preserve"> Road and an extension of Wurundjeri Way to Dynon Road and widening to Flinders Street; </w:t>
      </w:r>
    </w:p>
    <w:p w14:paraId="7E21F0BC" w14:textId="77777777" w:rsidR="00AC4E2D" w:rsidRPr="00277185" w:rsidRDefault="00AC4E2D" w:rsidP="00AC4E2D">
      <w:pPr>
        <w:pStyle w:val="bodyCopy"/>
        <w:numPr>
          <w:ilvl w:val="0"/>
          <w:numId w:val="23"/>
        </w:numPr>
        <w:spacing w:after="0"/>
        <w:jc w:val="both"/>
        <w:rPr>
          <w:rFonts w:cs="Tahoma"/>
          <w:color w:val="auto"/>
          <w:sz w:val="22"/>
          <w:szCs w:val="22"/>
        </w:rPr>
      </w:pPr>
      <w:r w:rsidRPr="00277185">
        <w:rPr>
          <w:rFonts w:cs="Tahoma"/>
          <w:color w:val="auto"/>
          <w:sz w:val="22"/>
          <w:szCs w:val="22"/>
        </w:rPr>
        <w:t>Relocation of major services infrastructure including relocation of high voltage electricity lines and the North Yarra Main Sewer;</w:t>
      </w:r>
    </w:p>
    <w:p w14:paraId="771D6783" w14:textId="77777777" w:rsidR="00AC4E2D" w:rsidRPr="00277185" w:rsidRDefault="00AC4E2D" w:rsidP="00AC4E2D">
      <w:pPr>
        <w:pStyle w:val="bodyCopy"/>
        <w:numPr>
          <w:ilvl w:val="0"/>
          <w:numId w:val="23"/>
        </w:numPr>
        <w:spacing w:after="0"/>
        <w:jc w:val="both"/>
        <w:rPr>
          <w:rFonts w:cs="Tahoma"/>
          <w:color w:val="auto"/>
          <w:sz w:val="22"/>
          <w:szCs w:val="22"/>
        </w:rPr>
      </w:pPr>
      <w:r w:rsidRPr="00277185">
        <w:rPr>
          <w:rFonts w:cs="Tahoma"/>
          <w:color w:val="auto"/>
          <w:sz w:val="22"/>
          <w:szCs w:val="22"/>
        </w:rPr>
        <w:t>Improvements to the shared pedestrian and bicycle network;</w:t>
      </w:r>
    </w:p>
    <w:p w14:paraId="3E18F950" w14:textId="77777777" w:rsidR="00AC4E2D" w:rsidRPr="00277185" w:rsidRDefault="00AC4E2D" w:rsidP="00AC4E2D">
      <w:pPr>
        <w:pStyle w:val="bodyCopy"/>
        <w:numPr>
          <w:ilvl w:val="0"/>
          <w:numId w:val="23"/>
        </w:numPr>
        <w:spacing w:after="0"/>
        <w:jc w:val="both"/>
        <w:rPr>
          <w:rFonts w:cs="Tahoma"/>
          <w:color w:val="auto"/>
          <w:sz w:val="22"/>
          <w:szCs w:val="22"/>
        </w:rPr>
      </w:pPr>
      <w:r w:rsidRPr="00277185">
        <w:rPr>
          <w:rFonts w:cs="Tahoma"/>
          <w:color w:val="auto"/>
          <w:sz w:val="22"/>
          <w:szCs w:val="22"/>
        </w:rPr>
        <w:lastRenderedPageBreak/>
        <w:t xml:space="preserve">Upgrades to pedestrian infrastructure and links including replacing existing pedestrian bridges in the vicinity of Wembley Avenue and </w:t>
      </w:r>
      <w:proofErr w:type="spellStart"/>
      <w:r w:rsidRPr="00277185">
        <w:rPr>
          <w:rFonts w:cs="Tahoma"/>
          <w:color w:val="auto"/>
          <w:sz w:val="22"/>
          <w:szCs w:val="22"/>
        </w:rPr>
        <w:t>Rosala</w:t>
      </w:r>
      <w:proofErr w:type="spellEnd"/>
      <w:r w:rsidRPr="00277185">
        <w:rPr>
          <w:rFonts w:cs="Tahoma"/>
          <w:color w:val="auto"/>
          <w:sz w:val="22"/>
          <w:szCs w:val="22"/>
        </w:rPr>
        <w:t xml:space="preserve"> Avenue, a new </w:t>
      </w:r>
      <w:proofErr w:type="spellStart"/>
      <w:r w:rsidRPr="00277185">
        <w:rPr>
          <w:rFonts w:cs="Tahoma"/>
          <w:color w:val="auto"/>
          <w:sz w:val="22"/>
          <w:szCs w:val="22"/>
        </w:rPr>
        <w:t>veloway</w:t>
      </w:r>
      <w:proofErr w:type="spellEnd"/>
      <w:r w:rsidRPr="00277185">
        <w:rPr>
          <w:rFonts w:cs="Tahoma"/>
          <w:color w:val="auto"/>
          <w:sz w:val="22"/>
          <w:szCs w:val="22"/>
        </w:rPr>
        <w:t xml:space="preserve"> over Footscray Road and new pedestrian bridges over Whitehall Street, Moonee Ponds Creek, Footscray Road and the new Footscray Road connection to the east of </w:t>
      </w:r>
      <w:proofErr w:type="spellStart"/>
      <w:r w:rsidRPr="00277185">
        <w:rPr>
          <w:rFonts w:cs="Tahoma"/>
          <w:color w:val="auto"/>
          <w:sz w:val="22"/>
          <w:szCs w:val="22"/>
        </w:rPr>
        <w:t>CityLink</w:t>
      </w:r>
      <w:proofErr w:type="spellEnd"/>
      <w:r w:rsidRPr="00277185">
        <w:rPr>
          <w:rFonts w:cs="Tahoma"/>
          <w:color w:val="auto"/>
          <w:sz w:val="22"/>
          <w:szCs w:val="22"/>
        </w:rPr>
        <w:t>; and</w:t>
      </w:r>
    </w:p>
    <w:p w14:paraId="5F213B1E" w14:textId="77777777" w:rsidR="00AC4E2D" w:rsidRPr="00277185" w:rsidRDefault="00AC4E2D" w:rsidP="00AC4E2D">
      <w:pPr>
        <w:pStyle w:val="bodyCopy"/>
        <w:numPr>
          <w:ilvl w:val="0"/>
          <w:numId w:val="23"/>
        </w:numPr>
        <w:spacing w:after="0"/>
        <w:jc w:val="both"/>
        <w:rPr>
          <w:rFonts w:cs="Tahoma"/>
          <w:color w:val="auto"/>
          <w:sz w:val="22"/>
          <w:szCs w:val="22"/>
        </w:rPr>
      </w:pPr>
      <w:r w:rsidRPr="00277185">
        <w:rPr>
          <w:rFonts w:cs="Tahoma"/>
          <w:color w:val="auto"/>
          <w:sz w:val="22"/>
          <w:szCs w:val="22"/>
        </w:rPr>
        <w:t>Creation of new public open space areas of approximately 9 hectares.</w:t>
      </w:r>
    </w:p>
    <w:p w14:paraId="18E5CB90" w14:textId="77777777" w:rsidR="002E664E" w:rsidRPr="00277185" w:rsidRDefault="002E664E" w:rsidP="002E664E">
      <w:pPr>
        <w:rPr>
          <w:rFonts w:ascii="Tahoma" w:hAnsi="Tahoma" w:cs="Tahoma"/>
          <w:sz w:val="22"/>
          <w:szCs w:val="22"/>
          <w:lang w:eastAsia="en-US"/>
        </w:rPr>
      </w:pPr>
    </w:p>
    <w:p w14:paraId="42BF08BD" w14:textId="49CBCAD1" w:rsidR="00396D7A" w:rsidRPr="00DB78D3" w:rsidRDefault="00B90DA4" w:rsidP="00E933EB">
      <w:pPr>
        <w:spacing w:before="120"/>
        <w:jc w:val="both"/>
        <w:rPr>
          <w:rFonts w:ascii="Tahoma" w:hAnsi="Tahoma" w:cs="Tahoma"/>
          <w:sz w:val="22"/>
          <w:szCs w:val="22"/>
          <w:lang w:eastAsia="en-US"/>
        </w:rPr>
      </w:pPr>
      <w:r w:rsidRPr="00277185">
        <w:rPr>
          <w:rFonts w:ascii="Tahoma" w:hAnsi="Tahoma" w:cs="Tahoma"/>
          <w:sz w:val="22"/>
          <w:szCs w:val="22"/>
          <w:lang w:eastAsia="en-US"/>
        </w:rPr>
        <w:t>The Minister for Planning</w:t>
      </w:r>
      <w:r w:rsidR="0093071B" w:rsidRPr="00277185">
        <w:rPr>
          <w:rFonts w:ascii="Tahoma" w:hAnsi="Tahoma" w:cs="Tahoma"/>
          <w:sz w:val="22"/>
          <w:szCs w:val="22"/>
          <w:lang w:eastAsia="en-US"/>
        </w:rPr>
        <w:t xml:space="preserve">, being satisfied that works proposed </w:t>
      </w:r>
      <w:r w:rsidR="0036513B" w:rsidRPr="00277185">
        <w:rPr>
          <w:rFonts w:ascii="Tahoma" w:hAnsi="Tahoma" w:cs="Tahoma"/>
          <w:sz w:val="22"/>
          <w:szCs w:val="22"/>
          <w:lang w:eastAsia="en-US"/>
        </w:rPr>
        <w:t>to be undertaken for the purposes of</w:t>
      </w:r>
      <w:r w:rsidR="0093071B" w:rsidRPr="00277185">
        <w:rPr>
          <w:rFonts w:ascii="Tahoma" w:hAnsi="Tahoma" w:cs="Tahoma"/>
          <w:sz w:val="22"/>
          <w:szCs w:val="22"/>
          <w:lang w:eastAsia="en-US"/>
        </w:rPr>
        <w:t xml:space="preserve"> the </w:t>
      </w:r>
      <w:r w:rsidR="00603751" w:rsidRPr="00277185">
        <w:rPr>
          <w:rFonts w:ascii="Tahoma" w:hAnsi="Tahoma" w:cs="Tahoma"/>
          <w:sz w:val="22"/>
          <w:szCs w:val="22"/>
          <w:lang w:eastAsia="en-US"/>
        </w:rPr>
        <w:t>West</w:t>
      </w:r>
      <w:r w:rsidR="00ED48EC" w:rsidRPr="00277185">
        <w:rPr>
          <w:rFonts w:ascii="Tahoma" w:hAnsi="Tahoma" w:cs="Tahoma"/>
          <w:sz w:val="22"/>
          <w:szCs w:val="22"/>
          <w:lang w:eastAsia="en-US"/>
        </w:rPr>
        <w:t>ern Distributor Project and now known as the West Gate Tunnel Project</w:t>
      </w:r>
      <w:r w:rsidR="0093071B" w:rsidRPr="00277185">
        <w:rPr>
          <w:rFonts w:ascii="Tahoma" w:hAnsi="Tahoma" w:cs="Tahoma"/>
          <w:sz w:val="22"/>
          <w:szCs w:val="22"/>
          <w:lang w:eastAsia="en-US"/>
        </w:rPr>
        <w:t xml:space="preserve"> could reasonably be considered to have or be capable of having a significant effect on the environment, has declared the works </w:t>
      </w:r>
      <w:r w:rsidR="0036513B" w:rsidRPr="00277185">
        <w:rPr>
          <w:rFonts w:ascii="Tahoma" w:hAnsi="Tahoma" w:cs="Tahoma"/>
          <w:sz w:val="22"/>
          <w:szCs w:val="22"/>
          <w:lang w:eastAsia="en-US"/>
        </w:rPr>
        <w:t>to be</w:t>
      </w:r>
      <w:r w:rsidR="0093071B" w:rsidRPr="00277185">
        <w:rPr>
          <w:rFonts w:ascii="Tahoma" w:hAnsi="Tahoma" w:cs="Tahoma"/>
          <w:sz w:val="22"/>
          <w:szCs w:val="22"/>
          <w:lang w:eastAsia="en-US"/>
        </w:rPr>
        <w:t xml:space="preserve"> public works </w:t>
      </w:r>
      <w:r w:rsidR="0036513B" w:rsidRPr="00277185">
        <w:rPr>
          <w:rFonts w:ascii="Tahoma" w:hAnsi="Tahoma" w:cs="Tahoma"/>
          <w:sz w:val="22"/>
          <w:szCs w:val="22"/>
          <w:lang w:eastAsia="en-US"/>
        </w:rPr>
        <w:t>for the purposes of</w:t>
      </w:r>
      <w:r w:rsidR="0093071B" w:rsidRPr="00277185">
        <w:rPr>
          <w:rFonts w:ascii="Tahoma" w:hAnsi="Tahoma" w:cs="Tahoma"/>
          <w:sz w:val="22"/>
          <w:szCs w:val="22"/>
          <w:lang w:eastAsia="en-US"/>
        </w:rPr>
        <w:t xml:space="preserve"> the </w:t>
      </w:r>
      <w:r w:rsidR="0093071B" w:rsidRPr="00277185">
        <w:rPr>
          <w:rFonts w:ascii="Tahoma" w:hAnsi="Tahoma" w:cs="Tahoma"/>
          <w:i/>
          <w:sz w:val="22"/>
          <w:szCs w:val="22"/>
          <w:lang w:eastAsia="en-US"/>
        </w:rPr>
        <w:t xml:space="preserve">Environment Effects Act </w:t>
      </w:r>
      <w:r w:rsidR="0036513B" w:rsidRPr="00277185">
        <w:rPr>
          <w:rFonts w:ascii="Tahoma" w:hAnsi="Tahoma" w:cs="Tahoma"/>
          <w:i/>
          <w:sz w:val="22"/>
          <w:szCs w:val="22"/>
          <w:lang w:eastAsia="en-US"/>
        </w:rPr>
        <w:t>1978</w:t>
      </w:r>
      <w:r w:rsidR="0036513B" w:rsidRPr="00277185">
        <w:rPr>
          <w:rFonts w:ascii="Tahoma" w:hAnsi="Tahoma" w:cs="Tahoma"/>
          <w:sz w:val="22"/>
          <w:szCs w:val="22"/>
          <w:lang w:eastAsia="en-US"/>
        </w:rPr>
        <w:t xml:space="preserve">, by Order published in </w:t>
      </w:r>
      <w:r w:rsidR="0036513B" w:rsidRPr="00277185">
        <w:rPr>
          <w:rFonts w:ascii="Tahoma" w:hAnsi="Tahoma" w:cs="Tahoma"/>
          <w:i/>
          <w:sz w:val="22"/>
          <w:szCs w:val="22"/>
          <w:lang w:eastAsia="en-US"/>
        </w:rPr>
        <w:t>The Government Gazette</w:t>
      </w:r>
      <w:r w:rsidR="0036513B" w:rsidRPr="00277185">
        <w:rPr>
          <w:rFonts w:ascii="Tahoma" w:hAnsi="Tahoma" w:cs="Tahoma"/>
          <w:sz w:val="22"/>
          <w:szCs w:val="22"/>
          <w:lang w:eastAsia="en-US"/>
        </w:rPr>
        <w:t xml:space="preserve"> on </w:t>
      </w:r>
      <w:r w:rsidR="00E47EDF" w:rsidRPr="00277185">
        <w:rPr>
          <w:rFonts w:ascii="Tahoma" w:hAnsi="Tahoma" w:cs="Tahoma"/>
          <w:sz w:val="22"/>
          <w:szCs w:val="22"/>
          <w:lang w:eastAsia="en-US"/>
        </w:rPr>
        <w:t>23 December 2015</w:t>
      </w:r>
      <w:r w:rsidR="007B0318">
        <w:rPr>
          <w:rFonts w:ascii="Tahoma" w:hAnsi="Tahoma" w:cs="Tahoma"/>
          <w:sz w:val="22"/>
          <w:szCs w:val="22"/>
          <w:lang w:eastAsia="en-US"/>
        </w:rPr>
        <w:t>.</w:t>
      </w:r>
    </w:p>
    <w:p w14:paraId="35BF01B1" w14:textId="77777777" w:rsidR="002E664E" w:rsidRPr="008116B7" w:rsidRDefault="002E664E" w:rsidP="002E664E">
      <w:pPr>
        <w:rPr>
          <w:rFonts w:ascii="Tahoma" w:hAnsi="Tahoma" w:cs="Tahoma"/>
          <w:b/>
          <w:szCs w:val="20"/>
          <w:lang w:eastAsia="en-US"/>
        </w:rPr>
      </w:pPr>
    </w:p>
    <w:p w14:paraId="7BB0C4A1" w14:textId="77777777" w:rsidR="002E664E" w:rsidRPr="00F079DB" w:rsidRDefault="002E664E" w:rsidP="002E664E">
      <w:pPr>
        <w:rPr>
          <w:rFonts w:ascii="Tahoma" w:hAnsi="Tahoma" w:cs="Tahoma"/>
          <w:b/>
          <w:sz w:val="22"/>
          <w:szCs w:val="20"/>
          <w:lang w:eastAsia="en-US"/>
        </w:rPr>
      </w:pPr>
      <w:r w:rsidRPr="00F079DB">
        <w:rPr>
          <w:rFonts w:ascii="Tahoma" w:hAnsi="Tahoma" w:cs="Tahoma"/>
          <w:b/>
          <w:sz w:val="22"/>
          <w:szCs w:val="20"/>
          <w:lang w:eastAsia="en-US"/>
        </w:rPr>
        <w:t xml:space="preserve">Reasons for </w:t>
      </w:r>
      <w:r w:rsidR="00F077B3">
        <w:rPr>
          <w:rFonts w:ascii="Tahoma" w:hAnsi="Tahoma" w:cs="Tahoma"/>
          <w:b/>
          <w:sz w:val="22"/>
          <w:szCs w:val="20"/>
          <w:lang w:eastAsia="en-US"/>
        </w:rPr>
        <w:t>Order</w:t>
      </w:r>
      <w:r w:rsidRPr="00F079DB">
        <w:rPr>
          <w:rFonts w:ascii="Tahoma" w:hAnsi="Tahoma" w:cs="Tahoma"/>
          <w:b/>
          <w:sz w:val="22"/>
          <w:szCs w:val="20"/>
          <w:lang w:eastAsia="en-US"/>
        </w:rPr>
        <w:t>:</w:t>
      </w:r>
    </w:p>
    <w:p w14:paraId="477452D1" w14:textId="054914F3" w:rsidR="003E3469" w:rsidRDefault="00D24BCD" w:rsidP="00AF7E80">
      <w:pPr>
        <w:numPr>
          <w:ilvl w:val="0"/>
          <w:numId w:val="14"/>
        </w:numPr>
        <w:spacing w:before="180"/>
        <w:ind w:left="714" w:hanging="357"/>
        <w:rPr>
          <w:rFonts w:ascii="Tahoma" w:hAnsi="Tahoma" w:cs="Tahoma"/>
          <w:sz w:val="22"/>
          <w:szCs w:val="22"/>
          <w:lang w:eastAsia="en-US"/>
        </w:rPr>
      </w:pPr>
      <w:r w:rsidRPr="000647AA">
        <w:rPr>
          <w:rFonts w:ascii="Tahoma" w:hAnsi="Tahoma" w:cs="Tahoma"/>
          <w:sz w:val="22"/>
          <w:szCs w:val="22"/>
          <w:lang w:eastAsia="en-US"/>
        </w:rPr>
        <w:t xml:space="preserve">The </w:t>
      </w:r>
      <w:r w:rsidR="00277185">
        <w:rPr>
          <w:rFonts w:ascii="Tahoma" w:hAnsi="Tahoma" w:cs="Tahoma"/>
          <w:sz w:val="22"/>
          <w:szCs w:val="22"/>
          <w:lang w:eastAsia="en-US"/>
        </w:rPr>
        <w:t xml:space="preserve">West Gate Tunnel Project </w:t>
      </w:r>
      <w:r w:rsidRPr="000647AA">
        <w:rPr>
          <w:rFonts w:ascii="Tahoma" w:hAnsi="Tahoma" w:cs="Tahoma"/>
          <w:sz w:val="22"/>
          <w:szCs w:val="22"/>
          <w:lang w:eastAsia="en-US"/>
        </w:rPr>
        <w:t xml:space="preserve">is a large-scale </w:t>
      </w:r>
      <w:r w:rsidR="00F84B0B">
        <w:rPr>
          <w:rFonts w:ascii="Tahoma" w:hAnsi="Tahoma" w:cs="Tahoma"/>
          <w:sz w:val="22"/>
          <w:szCs w:val="22"/>
          <w:lang w:eastAsia="en-US"/>
        </w:rPr>
        <w:t>road infrastructure project</w:t>
      </w:r>
      <w:r w:rsidR="007244D2">
        <w:rPr>
          <w:rFonts w:ascii="Tahoma" w:hAnsi="Tahoma" w:cs="Tahoma"/>
          <w:sz w:val="22"/>
          <w:szCs w:val="22"/>
          <w:lang w:eastAsia="en-US"/>
        </w:rPr>
        <w:t xml:space="preserve">, </w:t>
      </w:r>
      <w:r w:rsidR="00D04914">
        <w:rPr>
          <w:rFonts w:ascii="Tahoma" w:hAnsi="Tahoma" w:cs="Tahoma"/>
          <w:sz w:val="22"/>
          <w:szCs w:val="22"/>
          <w:lang w:eastAsia="en-US"/>
        </w:rPr>
        <w:t>set</w:t>
      </w:r>
      <w:r w:rsidR="002E3021">
        <w:rPr>
          <w:rFonts w:ascii="Tahoma" w:hAnsi="Tahoma" w:cs="Tahoma"/>
          <w:sz w:val="22"/>
          <w:szCs w:val="22"/>
          <w:lang w:eastAsia="en-US"/>
        </w:rPr>
        <w:t xml:space="preserve"> in</w:t>
      </w:r>
      <w:r w:rsidR="003E3469">
        <w:rPr>
          <w:rFonts w:ascii="Tahoma" w:hAnsi="Tahoma" w:cs="Tahoma"/>
          <w:sz w:val="22"/>
          <w:szCs w:val="22"/>
          <w:lang w:eastAsia="en-US"/>
        </w:rPr>
        <w:t xml:space="preserve"> </w:t>
      </w:r>
      <w:r w:rsidR="003E3469" w:rsidRPr="000647AA">
        <w:rPr>
          <w:rFonts w:ascii="Tahoma" w:hAnsi="Tahoma" w:cs="Tahoma"/>
          <w:sz w:val="22"/>
          <w:szCs w:val="22"/>
          <w:lang w:eastAsia="en-US"/>
        </w:rPr>
        <w:t>an intensively developed area</w:t>
      </w:r>
      <w:r w:rsidR="00D04914">
        <w:rPr>
          <w:rFonts w:ascii="Tahoma" w:hAnsi="Tahoma" w:cs="Tahoma"/>
          <w:sz w:val="22"/>
          <w:szCs w:val="22"/>
          <w:lang w:eastAsia="en-US"/>
        </w:rPr>
        <w:t xml:space="preserve"> </w:t>
      </w:r>
      <w:r w:rsidR="003E3469">
        <w:rPr>
          <w:rFonts w:ascii="Tahoma" w:hAnsi="Tahoma" w:cs="Tahoma"/>
          <w:sz w:val="22"/>
          <w:szCs w:val="22"/>
          <w:lang w:eastAsia="en-US"/>
        </w:rPr>
        <w:t>that is used as a major west-east road link for cross-city and cross-state travel</w:t>
      </w:r>
      <w:r w:rsidR="00D34AAB">
        <w:rPr>
          <w:rFonts w:ascii="Tahoma" w:hAnsi="Tahoma" w:cs="Tahoma"/>
          <w:sz w:val="22"/>
          <w:szCs w:val="22"/>
          <w:lang w:eastAsia="en-US"/>
        </w:rPr>
        <w:t xml:space="preserve">.  With its </w:t>
      </w:r>
      <w:r w:rsidR="00D04914">
        <w:rPr>
          <w:rFonts w:ascii="Tahoma" w:hAnsi="Tahoma" w:cs="Tahoma"/>
          <w:sz w:val="22"/>
          <w:szCs w:val="22"/>
          <w:lang w:eastAsia="en-US"/>
        </w:rPr>
        <w:t>construction effects to extend</w:t>
      </w:r>
      <w:r w:rsidR="00D34AAB" w:rsidRPr="00AF7E80">
        <w:rPr>
          <w:rFonts w:ascii="Tahoma" w:hAnsi="Tahoma" w:cs="Tahoma"/>
          <w:sz w:val="22"/>
          <w:szCs w:val="22"/>
          <w:lang w:eastAsia="en-US"/>
        </w:rPr>
        <w:t xml:space="preserve"> over several years and some potential effects lasting beyond the </w:t>
      </w:r>
      <w:r w:rsidR="00D34AAB">
        <w:rPr>
          <w:rFonts w:ascii="Tahoma" w:hAnsi="Tahoma" w:cs="Tahoma"/>
          <w:sz w:val="22"/>
          <w:szCs w:val="22"/>
          <w:lang w:eastAsia="en-US"/>
        </w:rPr>
        <w:t>construction period</w:t>
      </w:r>
      <w:r w:rsidR="00030725">
        <w:rPr>
          <w:rFonts w:ascii="Tahoma" w:hAnsi="Tahoma" w:cs="Tahoma"/>
          <w:sz w:val="22"/>
          <w:szCs w:val="22"/>
          <w:lang w:eastAsia="en-US"/>
        </w:rPr>
        <w:t>,</w:t>
      </w:r>
      <w:r w:rsidR="00D34AAB">
        <w:rPr>
          <w:rFonts w:ascii="Tahoma" w:hAnsi="Tahoma" w:cs="Tahoma"/>
          <w:sz w:val="22"/>
          <w:szCs w:val="22"/>
          <w:lang w:eastAsia="en-US"/>
        </w:rPr>
        <w:t xml:space="preserve"> the project can potentially affect </w:t>
      </w:r>
      <w:r w:rsidR="00D34AAB" w:rsidRPr="00AF7E80">
        <w:rPr>
          <w:rFonts w:ascii="Tahoma" w:hAnsi="Tahoma" w:cs="Tahoma"/>
          <w:sz w:val="22"/>
          <w:szCs w:val="22"/>
          <w:lang w:eastAsia="en-US"/>
        </w:rPr>
        <w:t xml:space="preserve">a range of industrial, commercial and residential land uses immediately adjacent to the </w:t>
      </w:r>
      <w:r w:rsidR="00D34AAB">
        <w:rPr>
          <w:rFonts w:ascii="Tahoma" w:hAnsi="Tahoma" w:cs="Tahoma"/>
          <w:sz w:val="22"/>
          <w:szCs w:val="22"/>
          <w:lang w:eastAsia="en-US"/>
        </w:rPr>
        <w:t>p</w:t>
      </w:r>
      <w:r w:rsidR="00D34AAB" w:rsidRPr="00AF7E80">
        <w:rPr>
          <w:rFonts w:ascii="Tahoma" w:hAnsi="Tahoma" w:cs="Tahoma"/>
          <w:sz w:val="22"/>
          <w:szCs w:val="22"/>
          <w:lang w:eastAsia="en-US"/>
        </w:rPr>
        <w:t>roject c</w:t>
      </w:r>
      <w:r w:rsidR="0017259A">
        <w:rPr>
          <w:rFonts w:ascii="Tahoma" w:hAnsi="Tahoma" w:cs="Tahoma"/>
          <w:sz w:val="22"/>
          <w:szCs w:val="22"/>
          <w:lang w:eastAsia="en-US"/>
        </w:rPr>
        <w:t>orridor</w:t>
      </w:r>
      <w:r w:rsidR="00376A7A">
        <w:rPr>
          <w:rFonts w:ascii="Tahoma" w:hAnsi="Tahoma" w:cs="Tahoma"/>
          <w:sz w:val="22"/>
          <w:szCs w:val="22"/>
          <w:lang w:eastAsia="en-US"/>
        </w:rPr>
        <w:t>.</w:t>
      </w:r>
    </w:p>
    <w:p w14:paraId="5499FF5B" w14:textId="48ACCE7D" w:rsidR="00BA07AA" w:rsidRDefault="00BA07AA" w:rsidP="00BA07AA">
      <w:pPr>
        <w:numPr>
          <w:ilvl w:val="0"/>
          <w:numId w:val="14"/>
        </w:numPr>
        <w:spacing w:before="180"/>
        <w:ind w:left="714" w:hanging="357"/>
        <w:rPr>
          <w:rFonts w:ascii="Tahoma" w:hAnsi="Tahoma" w:cs="Tahoma"/>
          <w:sz w:val="22"/>
          <w:szCs w:val="22"/>
          <w:lang w:eastAsia="en-US"/>
        </w:rPr>
      </w:pPr>
      <w:r>
        <w:rPr>
          <w:rFonts w:ascii="Tahoma" w:hAnsi="Tahoma" w:cs="Tahoma"/>
          <w:sz w:val="22"/>
          <w:szCs w:val="22"/>
          <w:lang w:eastAsia="en-US"/>
        </w:rPr>
        <w:t xml:space="preserve">On </w:t>
      </w:r>
      <w:r w:rsidR="00875939">
        <w:rPr>
          <w:rFonts w:ascii="Tahoma" w:hAnsi="Tahoma" w:cs="Tahoma"/>
          <w:sz w:val="22"/>
          <w:szCs w:val="22"/>
          <w:lang w:eastAsia="en-US"/>
        </w:rPr>
        <w:t>18</w:t>
      </w:r>
      <w:r>
        <w:rPr>
          <w:rFonts w:ascii="Tahoma" w:hAnsi="Tahoma" w:cs="Tahoma"/>
          <w:sz w:val="22"/>
          <w:szCs w:val="22"/>
          <w:lang w:eastAsia="en-US"/>
        </w:rPr>
        <w:t xml:space="preserve"> December 2015, I </w:t>
      </w:r>
      <w:r w:rsidR="00875939">
        <w:rPr>
          <w:rFonts w:ascii="Tahoma" w:hAnsi="Tahoma" w:cs="Tahoma"/>
          <w:sz w:val="22"/>
          <w:szCs w:val="22"/>
          <w:lang w:eastAsia="en-US"/>
        </w:rPr>
        <w:t xml:space="preserve">approved the </w:t>
      </w:r>
      <w:r>
        <w:rPr>
          <w:rFonts w:ascii="Tahoma" w:hAnsi="Tahoma" w:cs="Tahoma"/>
          <w:sz w:val="22"/>
          <w:szCs w:val="22"/>
          <w:lang w:eastAsia="en-US"/>
        </w:rPr>
        <w:t xml:space="preserve">order under </w:t>
      </w:r>
      <w:r w:rsidRPr="00BA07AA">
        <w:rPr>
          <w:rFonts w:ascii="Tahoma" w:hAnsi="Tahoma" w:cs="Tahoma"/>
          <w:sz w:val="22"/>
          <w:szCs w:val="22"/>
          <w:lang w:eastAsia="en-US"/>
        </w:rPr>
        <w:t xml:space="preserve">section 3(1) of the </w:t>
      </w:r>
      <w:r w:rsidRPr="00BA07AA">
        <w:rPr>
          <w:rFonts w:ascii="Tahoma" w:hAnsi="Tahoma" w:cs="Tahoma"/>
          <w:i/>
          <w:sz w:val="22"/>
          <w:szCs w:val="22"/>
          <w:lang w:eastAsia="en-US"/>
        </w:rPr>
        <w:t>Environment Effects Act 1978</w:t>
      </w:r>
      <w:r w:rsidRPr="00BA07AA">
        <w:rPr>
          <w:rFonts w:ascii="Tahoma" w:hAnsi="Tahoma" w:cs="Tahoma"/>
          <w:sz w:val="22"/>
          <w:szCs w:val="22"/>
          <w:lang w:eastAsia="en-US"/>
        </w:rPr>
        <w:t xml:space="preserve"> (</w:t>
      </w:r>
      <w:r w:rsidRPr="00BA07AA">
        <w:rPr>
          <w:rFonts w:ascii="Tahoma" w:hAnsi="Tahoma" w:cs="Tahoma"/>
          <w:b/>
          <w:sz w:val="22"/>
          <w:szCs w:val="22"/>
          <w:lang w:eastAsia="en-US"/>
        </w:rPr>
        <w:t>EE Act</w:t>
      </w:r>
      <w:r w:rsidRPr="00BA07AA">
        <w:rPr>
          <w:rFonts w:ascii="Tahoma" w:hAnsi="Tahoma" w:cs="Tahoma"/>
          <w:sz w:val="22"/>
          <w:szCs w:val="22"/>
          <w:lang w:eastAsia="en-US"/>
        </w:rPr>
        <w:t xml:space="preserve">) </w:t>
      </w:r>
      <w:r w:rsidR="00890AC8">
        <w:rPr>
          <w:rFonts w:ascii="Tahoma" w:hAnsi="Tahoma" w:cs="Tahoma"/>
          <w:sz w:val="22"/>
          <w:szCs w:val="22"/>
          <w:lang w:eastAsia="en-US"/>
        </w:rPr>
        <w:t xml:space="preserve">declaring </w:t>
      </w:r>
      <w:r w:rsidRPr="00BA07AA">
        <w:rPr>
          <w:rFonts w:ascii="Tahoma" w:hAnsi="Tahoma" w:cs="Tahoma"/>
          <w:sz w:val="22"/>
          <w:szCs w:val="22"/>
          <w:lang w:eastAsia="en-US"/>
        </w:rPr>
        <w:t>that the works proposed to be undertaken by the Department of Economic Development, Jobs, Transport and Resources for the purposes of the Western Distributor Project (</w:t>
      </w:r>
      <w:r w:rsidRPr="00BA07AA">
        <w:rPr>
          <w:rFonts w:ascii="Tahoma" w:hAnsi="Tahoma" w:cs="Tahoma"/>
          <w:b/>
          <w:sz w:val="22"/>
          <w:szCs w:val="22"/>
          <w:lang w:eastAsia="en-US"/>
        </w:rPr>
        <w:t>Project</w:t>
      </w:r>
      <w:r w:rsidRPr="00BA07AA">
        <w:rPr>
          <w:rFonts w:ascii="Tahoma" w:hAnsi="Tahoma" w:cs="Tahoma"/>
          <w:sz w:val="22"/>
          <w:szCs w:val="22"/>
          <w:lang w:eastAsia="en-US"/>
        </w:rPr>
        <w:t xml:space="preserve">) to be Public Works for the purposes of the EE Act.  </w:t>
      </w:r>
      <w:r w:rsidR="001F126C" w:rsidRPr="00BA07AA">
        <w:rPr>
          <w:rFonts w:ascii="Tahoma" w:hAnsi="Tahoma" w:cs="Tahoma"/>
          <w:sz w:val="22"/>
          <w:szCs w:val="22"/>
          <w:lang w:eastAsia="en-US"/>
        </w:rPr>
        <w:t>(</w:t>
      </w:r>
      <w:r w:rsidR="001F126C" w:rsidRPr="003C78C4">
        <w:rPr>
          <w:rFonts w:ascii="Tahoma" w:hAnsi="Tahoma" w:cs="Tahoma"/>
          <w:b/>
          <w:sz w:val="22"/>
          <w:szCs w:val="22"/>
          <w:lang w:eastAsia="en-US"/>
        </w:rPr>
        <w:t>Order</w:t>
      </w:r>
      <w:r w:rsidR="001F126C" w:rsidRPr="00BA07AA">
        <w:rPr>
          <w:rFonts w:ascii="Tahoma" w:hAnsi="Tahoma" w:cs="Tahoma"/>
          <w:sz w:val="22"/>
          <w:szCs w:val="22"/>
          <w:lang w:eastAsia="en-US"/>
        </w:rPr>
        <w:t>)</w:t>
      </w:r>
    </w:p>
    <w:p w14:paraId="32E62153" w14:textId="77777777" w:rsidR="00BA07AA" w:rsidRPr="00BA07AA" w:rsidRDefault="00BA07AA" w:rsidP="00BA07AA">
      <w:pPr>
        <w:numPr>
          <w:ilvl w:val="0"/>
          <w:numId w:val="14"/>
        </w:numPr>
        <w:spacing w:before="180"/>
        <w:ind w:left="714" w:hanging="357"/>
        <w:rPr>
          <w:rFonts w:ascii="Tahoma" w:hAnsi="Tahoma" w:cs="Tahoma"/>
          <w:sz w:val="22"/>
          <w:szCs w:val="22"/>
          <w:lang w:eastAsia="en-US"/>
        </w:rPr>
      </w:pPr>
      <w:r w:rsidRPr="00BA07AA">
        <w:rPr>
          <w:rFonts w:ascii="Tahoma" w:hAnsi="Tahoma" w:cs="Tahoma"/>
          <w:sz w:val="22"/>
          <w:szCs w:val="22"/>
          <w:lang w:eastAsia="en-US"/>
        </w:rPr>
        <w:t>At the time that the Order was released, the Project was a market-led proposal and in a</w:t>
      </w:r>
      <w:r w:rsidR="00ED48EC">
        <w:rPr>
          <w:rFonts w:ascii="Tahoma" w:hAnsi="Tahoma" w:cs="Tahoma"/>
          <w:sz w:val="22"/>
          <w:szCs w:val="22"/>
          <w:lang w:eastAsia="en-US"/>
        </w:rPr>
        <w:t xml:space="preserve">n unrefined </w:t>
      </w:r>
      <w:r w:rsidRPr="00BA07AA">
        <w:rPr>
          <w:rFonts w:ascii="Tahoma" w:hAnsi="Tahoma" w:cs="Tahoma"/>
          <w:sz w:val="22"/>
          <w:szCs w:val="22"/>
          <w:lang w:eastAsia="en-US"/>
        </w:rPr>
        <w:t>format, and therefore the definition of Public Works in the Or</w:t>
      </w:r>
      <w:r w:rsidR="00ED48EC">
        <w:rPr>
          <w:rFonts w:ascii="Tahoma" w:hAnsi="Tahoma" w:cs="Tahoma"/>
          <w:sz w:val="22"/>
          <w:szCs w:val="22"/>
          <w:lang w:eastAsia="en-US"/>
        </w:rPr>
        <w:t>der was broad</w:t>
      </w:r>
      <w:r w:rsidR="00277185">
        <w:rPr>
          <w:rFonts w:ascii="Tahoma" w:hAnsi="Tahoma" w:cs="Tahoma"/>
          <w:sz w:val="22"/>
          <w:szCs w:val="22"/>
          <w:lang w:eastAsia="en-US"/>
        </w:rPr>
        <w:t>,</w:t>
      </w:r>
      <w:r w:rsidR="00ED48EC">
        <w:rPr>
          <w:rFonts w:ascii="Tahoma" w:hAnsi="Tahoma" w:cs="Tahoma"/>
          <w:sz w:val="22"/>
          <w:szCs w:val="22"/>
          <w:lang w:eastAsia="en-US"/>
        </w:rPr>
        <w:t xml:space="preserve"> permitting investigations into the ultimate r</w:t>
      </w:r>
      <w:r w:rsidRPr="00BA07AA">
        <w:rPr>
          <w:rFonts w:ascii="Tahoma" w:hAnsi="Tahoma" w:cs="Tahoma"/>
          <w:sz w:val="22"/>
          <w:szCs w:val="22"/>
          <w:lang w:eastAsia="en-US"/>
        </w:rPr>
        <w:t>oute of the Project</w:t>
      </w:r>
      <w:r w:rsidR="00ED48EC">
        <w:rPr>
          <w:rFonts w:ascii="Tahoma" w:hAnsi="Tahoma" w:cs="Tahoma"/>
          <w:sz w:val="22"/>
          <w:szCs w:val="22"/>
          <w:lang w:eastAsia="en-US"/>
        </w:rPr>
        <w:t>.</w:t>
      </w:r>
      <w:r w:rsidRPr="00BA07AA">
        <w:rPr>
          <w:rFonts w:ascii="Tahoma" w:hAnsi="Tahoma" w:cs="Tahoma"/>
          <w:sz w:val="22"/>
          <w:szCs w:val="22"/>
          <w:lang w:eastAsia="en-US"/>
        </w:rPr>
        <w:t xml:space="preserve">  </w:t>
      </w:r>
    </w:p>
    <w:p w14:paraId="419929C5" w14:textId="6BB15ECF" w:rsidR="00ED48EC" w:rsidRPr="00ED48EC" w:rsidRDefault="00ED48EC" w:rsidP="00ED48EC">
      <w:pPr>
        <w:numPr>
          <w:ilvl w:val="0"/>
          <w:numId w:val="14"/>
        </w:numPr>
        <w:spacing w:before="180"/>
        <w:ind w:left="714" w:hanging="357"/>
        <w:rPr>
          <w:rFonts w:ascii="Tahoma" w:hAnsi="Tahoma" w:cs="Tahoma"/>
          <w:sz w:val="22"/>
          <w:szCs w:val="22"/>
          <w:lang w:eastAsia="en-US"/>
        </w:rPr>
      </w:pPr>
      <w:r w:rsidRPr="00ED48EC">
        <w:rPr>
          <w:rFonts w:ascii="Tahoma" w:hAnsi="Tahoma" w:cs="Tahoma"/>
          <w:sz w:val="22"/>
          <w:szCs w:val="22"/>
          <w:lang w:eastAsia="en-US"/>
        </w:rPr>
        <w:t>Since this time, the Project has progressed through various stages of refinement</w:t>
      </w:r>
      <w:r w:rsidR="007B4CF0">
        <w:rPr>
          <w:rFonts w:ascii="Tahoma" w:hAnsi="Tahoma" w:cs="Tahoma"/>
          <w:sz w:val="22"/>
          <w:szCs w:val="22"/>
          <w:lang w:eastAsia="en-US"/>
        </w:rPr>
        <w:t xml:space="preserve"> </w:t>
      </w:r>
      <w:r w:rsidRPr="00ED48EC">
        <w:rPr>
          <w:rFonts w:ascii="Tahoma" w:hAnsi="Tahoma" w:cs="Tahoma"/>
          <w:sz w:val="22"/>
          <w:szCs w:val="22"/>
          <w:lang w:eastAsia="en-US"/>
        </w:rPr>
        <w:t>and on</w:t>
      </w:r>
      <w:r w:rsidR="007B0318">
        <w:rPr>
          <w:rFonts w:ascii="Tahoma" w:hAnsi="Tahoma" w:cs="Tahoma"/>
          <w:sz w:val="22"/>
          <w:szCs w:val="22"/>
          <w:lang w:eastAsia="en-US"/>
        </w:rPr>
        <w:t xml:space="preserve"> 2 April</w:t>
      </w:r>
      <w:r w:rsidRPr="00ED48EC">
        <w:rPr>
          <w:rFonts w:ascii="Tahoma" w:hAnsi="Tahoma" w:cs="Tahoma"/>
          <w:sz w:val="22"/>
          <w:szCs w:val="22"/>
          <w:lang w:eastAsia="en-US"/>
        </w:rPr>
        <w:t xml:space="preserve"> 2017, following a competitive tender </w:t>
      </w:r>
      <w:proofErr w:type="gramStart"/>
      <w:r w:rsidRPr="00ED48EC">
        <w:rPr>
          <w:rFonts w:ascii="Tahoma" w:hAnsi="Tahoma" w:cs="Tahoma"/>
          <w:sz w:val="22"/>
          <w:szCs w:val="22"/>
          <w:lang w:eastAsia="en-US"/>
        </w:rPr>
        <w:t>process</w:t>
      </w:r>
      <w:r w:rsidR="00277185">
        <w:rPr>
          <w:rFonts w:ascii="Tahoma" w:hAnsi="Tahoma" w:cs="Tahoma"/>
          <w:sz w:val="22"/>
          <w:szCs w:val="22"/>
          <w:lang w:eastAsia="en-US"/>
        </w:rPr>
        <w:t>,</w:t>
      </w:r>
      <w:proofErr w:type="gramEnd"/>
      <w:r w:rsidRPr="00ED48EC">
        <w:rPr>
          <w:rFonts w:ascii="Tahoma" w:hAnsi="Tahoma" w:cs="Tahoma"/>
          <w:sz w:val="22"/>
          <w:szCs w:val="22"/>
          <w:lang w:eastAsia="en-US"/>
        </w:rPr>
        <w:t xml:space="preserve"> the Government selected a design and construction tender for the Project, which included the selection of an identified design for the Project.  </w:t>
      </w:r>
    </w:p>
    <w:p w14:paraId="2BE44262" w14:textId="79EED3D6" w:rsidR="00ED48EC" w:rsidRDefault="00ED48EC" w:rsidP="00ED48EC">
      <w:pPr>
        <w:numPr>
          <w:ilvl w:val="0"/>
          <w:numId w:val="14"/>
        </w:numPr>
        <w:spacing w:before="180"/>
        <w:ind w:left="714" w:hanging="357"/>
        <w:rPr>
          <w:rFonts w:ascii="Tahoma" w:hAnsi="Tahoma" w:cs="Tahoma"/>
          <w:sz w:val="22"/>
          <w:szCs w:val="22"/>
          <w:lang w:eastAsia="en-US"/>
        </w:rPr>
      </w:pPr>
      <w:r w:rsidRPr="00ED48EC">
        <w:rPr>
          <w:rFonts w:ascii="Tahoma" w:hAnsi="Tahoma" w:cs="Tahoma"/>
          <w:sz w:val="22"/>
          <w:szCs w:val="22"/>
          <w:lang w:eastAsia="en-US"/>
        </w:rPr>
        <w:t xml:space="preserve">It is this design which will be subject of investigation in the EES required by the Order.  </w:t>
      </w:r>
      <w:r w:rsidR="001F126C">
        <w:rPr>
          <w:rFonts w:ascii="Tahoma" w:hAnsi="Tahoma" w:cs="Tahoma"/>
          <w:sz w:val="22"/>
          <w:szCs w:val="22"/>
          <w:lang w:eastAsia="en-US"/>
        </w:rPr>
        <w:t>This will facilitate the more targeted and efficient assessment of the environmental effects of the Project.</w:t>
      </w:r>
    </w:p>
    <w:p w14:paraId="6ED37EF1" w14:textId="77777777" w:rsidR="00BA07AA" w:rsidRPr="00277185" w:rsidRDefault="00277185" w:rsidP="00E16152">
      <w:pPr>
        <w:numPr>
          <w:ilvl w:val="0"/>
          <w:numId w:val="14"/>
        </w:numPr>
        <w:spacing w:before="180"/>
        <w:ind w:left="714" w:hanging="357"/>
        <w:rPr>
          <w:rFonts w:ascii="Tahoma" w:hAnsi="Tahoma" w:cs="Tahoma"/>
          <w:sz w:val="22"/>
          <w:szCs w:val="22"/>
          <w:lang w:eastAsia="en-US"/>
        </w:rPr>
      </w:pPr>
      <w:r w:rsidRPr="00277185">
        <w:rPr>
          <w:rFonts w:ascii="Tahoma" w:hAnsi="Tahoma" w:cs="Tahoma"/>
          <w:sz w:val="22"/>
          <w:szCs w:val="22"/>
          <w:lang w:eastAsia="en-US"/>
        </w:rPr>
        <w:t xml:space="preserve">I consider that the Order under </w:t>
      </w:r>
      <w:proofErr w:type="gramStart"/>
      <w:r w:rsidRPr="00277185">
        <w:rPr>
          <w:rFonts w:ascii="Tahoma" w:hAnsi="Tahoma" w:cs="Tahoma"/>
          <w:sz w:val="22"/>
          <w:szCs w:val="22"/>
          <w:lang w:eastAsia="en-US"/>
        </w:rPr>
        <w:t>s3(</w:t>
      </w:r>
      <w:proofErr w:type="gramEnd"/>
      <w:r w:rsidRPr="00277185">
        <w:rPr>
          <w:rFonts w:ascii="Tahoma" w:hAnsi="Tahoma" w:cs="Tahoma"/>
          <w:sz w:val="22"/>
          <w:szCs w:val="22"/>
          <w:lang w:eastAsia="en-US"/>
        </w:rPr>
        <w:t xml:space="preserve">1) of the Act should be amended </w:t>
      </w:r>
      <w:r w:rsidR="00BA07AA" w:rsidRPr="00277185">
        <w:rPr>
          <w:rFonts w:ascii="Tahoma" w:hAnsi="Tahoma" w:cs="Tahoma"/>
          <w:sz w:val="22"/>
          <w:szCs w:val="22"/>
          <w:lang w:eastAsia="en-US"/>
        </w:rPr>
        <w:t xml:space="preserve">to reflect the selected design. </w:t>
      </w:r>
    </w:p>
    <w:p w14:paraId="42B9DF7B" w14:textId="77777777" w:rsidR="00ED48EC" w:rsidRDefault="00ED48EC" w:rsidP="00ED48EC">
      <w:pPr>
        <w:numPr>
          <w:ilvl w:val="0"/>
          <w:numId w:val="14"/>
        </w:numPr>
        <w:spacing w:before="180"/>
        <w:ind w:left="714" w:hanging="357"/>
        <w:rPr>
          <w:rFonts w:ascii="Tahoma" w:hAnsi="Tahoma" w:cs="Tahoma"/>
          <w:sz w:val="22"/>
          <w:szCs w:val="22"/>
          <w:lang w:eastAsia="en-US"/>
        </w:rPr>
      </w:pPr>
      <w:r>
        <w:rPr>
          <w:rFonts w:ascii="Tahoma" w:hAnsi="Tahoma" w:cs="Tahoma"/>
          <w:sz w:val="22"/>
          <w:szCs w:val="22"/>
          <w:lang w:eastAsia="en-US"/>
        </w:rPr>
        <w:t>I have therefore approved an amendment to the Order which:</w:t>
      </w:r>
    </w:p>
    <w:p w14:paraId="6FBF5C4E" w14:textId="77777777" w:rsidR="00ED48EC" w:rsidRDefault="00ED48EC" w:rsidP="00ED48EC">
      <w:pPr>
        <w:numPr>
          <w:ilvl w:val="1"/>
          <w:numId w:val="14"/>
        </w:numPr>
        <w:spacing w:before="180"/>
        <w:rPr>
          <w:rFonts w:ascii="Tahoma" w:hAnsi="Tahoma" w:cs="Tahoma"/>
          <w:sz w:val="22"/>
          <w:szCs w:val="22"/>
          <w:lang w:eastAsia="en-US"/>
        </w:rPr>
      </w:pPr>
      <w:r w:rsidRPr="00BA07AA">
        <w:rPr>
          <w:rFonts w:ascii="Tahoma" w:hAnsi="Tahoma" w:cs="Tahoma"/>
          <w:sz w:val="22"/>
          <w:szCs w:val="22"/>
          <w:lang w:eastAsia="en-US"/>
        </w:rPr>
        <w:t>Updates t</w:t>
      </w:r>
      <w:r>
        <w:rPr>
          <w:rFonts w:ascii="Tahoma" w:hAnsi="Tahoma" w:cs="Tahoma"/>
          <w:sz w:val="22"/>
          <w:szCs w:val="22"/>
          <w:lang w:eastAsia="en-US"/>
        </w:rPr>
        <w:t xml:space="preserve">he description of public works and the </w:t>
      </w:r>
      <w:r w:rsidRPr="00BA07AA">
        <w:rPr>
          <w:rFonts w:ascii="Tahoma" w:hAnsi="Tahoma" w:cs="Tahoma"/>
          <w:sz w:val="22"/>
          <w:szCs w:val="22"/>
          <w:lang w:eastAsia="en-US"/>
        </w:rPr>
        <w:t xml:space="preserve">Project </w:t>
      </w:r>
      <w:r>
        <w:rPr>
          <w:rFonts w:ascii="Tahoma" w:hAnsi="Tahoma" w:cs="Tahoma"/>
          <w:sz w:val="22"/>
          <w:szCs w:val="22"/>
          <w:lang w:eastAsia="en-US"/>
        </w:rPr>
        <w:t>name</w:t>
      </w:r>
      <w:r w:rsidRPr="00BA07AA">
        <w:rPr>
          <w:rFonts w:ascii="Tahoma" w:hAnsi="Tahoma" w:cs="Tahoma"/>
          <w:sz w:val="22"/>
          <w:szCs w:val="22"/>
          <w:lang w:eastAsia="en-US"/>
        </w:rPr>
        <w:t xml:space="preserve">. </w:t>
      </w:r>
    </w:p>
    <w:p w14:paraId="53DD516C" w14:textId="77777777" w:rsidR="007B0318" w:rsidRDefault="007B0318" w:rsidP="007B0318">
      <w:pPr>
        <w:spacing w:before="180"/>
        <w:ind w:left="1440"/>
        <w:rPr>
          <w:rFonts w:ascii="Tahoma" w:hAnsi="Tahoma" w:cs="Tahoma"/>
          <w:sz w:val="22"/>
          <w:szCs w:val="22"/>
          <w:lang w:eastAsia="en-US"/>
        </w:rPr>
      </w:pPr>
    </w:p>
    <w:p w14:paraId="6C8983DC" w14:textId="77777777" w:rsidR="007B0318" w:rsidRPr="00ED48EC" w:rsidRDefault="007B0318" w:rsidP="007B0318">
      <w:pPr>
        <w:spacing w:before="180"/>
        <w:ind w:left="1440"/>
        <w:rPr>
          <w:rFonts w:ascii="Tahoma" w:hAnsi="Tahoma" w:cs="Tahoma"/>
          <w:sz w:val="22"/>
          <w:szCs w:val="22"/>
          <w:lang w:eastAsia="en-US"/>
        </w:rPr>
      </w:pPr>
    </w:p>
    <w:p w14:paraId="1B450863" w14:textId="3D6249BE" w:rsidR="00ED48EC" w:rsidRDefault="00ED48EC" w:rsidP="00BA07AA">
      <w:pPr>
        <w:numPr>
          <w:ilvl w:val="1"/>
          <w:numId w:val="14"/>
        </w:numPr>
        <w:spacing w:before="180"/>
        <w:rPr>
          <w:rFonts w:ascii="Tahoma" w:hAnsi="Tahoma" w:cs="Tahoma"/>
          <w:sz w:val="22"/>
          <w:szCs w:val="22"/>
          <w:lang w:eastAsia="en-US"/>
        </w:rPr>
      </w:pPr>
      <w:r>
        <w:rPr>
          <w:rFonts w:ascii="Tahoma" w:hAnsi="Tahoma" w:cs="Tahoma"/>
          <w:sz w:val="22"/>
          <w:szCs w:val="22"/>
          <w:lang w:eastAsia="en-US"/>
        </w:rPr>
        <w:lastRenderedPageBreak/>
        <w:t>Confirm</w:t>
      </w:r>
      <w:r w:rsidR="001F126C">
        <w:rPr>
          <w:rFonts w:ascii="Tahoma" w:hAnsi="Tahoma" w:cs="Tahoma"/>
          <w:sz w:val="22"/>
          <w:szCs w:val="22"/>
          <w:lang w:eastAsia="en-US"/>
        </w:rPr>
        <w:t>s</w:t>
      </w:r>
      <w:r>
        <w:rPr>
          <w:rFonts w:ascii="Tahoma" w:hAnsi="Tahoma" w:cs="Tahoma"/>
          <w:sz w:val="22"/>
          <w:szCs w:val="22"/>
          <w:lang w:eastAsia="en-US"/>
        </w:rPr>
        <w:t xml:space="preserve"> that the Scoping Requirements </w:t>
      </w:r>
      <w:r w:rsidR="007B0318">
        <w:rPr>
          <w:rFonts w:ascii="Tahoma" w:hAnsi="Tahoma" w:cs="Tahoma"/>
          <w:sz w:val="22"/>
          <w:szCs w:val="22"/>
          <w:lang w:eastAsia="en-US"/>
        </w:rPr>
        <w:t xml:space="preserve">approved by me April 2016 </w:t>
      </w:r>
      <w:r w:rsidR="00277185">
        <w:rPr>
          <w:rFonts w:ascii="Tahoma" w:hAnsi="Tahoma" w:cs="Tahoma"/>
          <w:sz w:val="22"/>
          <w:szCs w:val="22"/>
          <w:lang w:eastAsia="en-US"/>
        </w:rPr>
        <w:t>for the Western Distributor Project continue to apply to the assessment of the Environment Effects Statement for the West Gate Tunnel Project</w:t>
      </w:r>
      <w:r w:rsidR="001F126C">
        <w:rPr>
          <w:rFonts w:ascii="Tahoma" w:hAnsi="Tahoma" w:cs="Tahoma"/>
          <w:sz w:val="22"/>
          <w:szCs w:val="22"/>
          <w:lang w:eastAsia="en-US"/>
        </w:rPr>
        <w:t>,</w:t>
      </w:r>
      <w:r w:rsidR="00277185">
        <w:rPr>
          <w:rFonts w:ascii="Tahoma" w:hAnsi="Tahoma" w:cs="Tahoma"/>
          <w:sz w:val="22"/>
          <w:szCs w:val="22"/>
          <w:lang w:eastAsia="en-US"/>
        </w:rPr>
        <w:t xml:space="preserve"> as appropriate.</w:t>
      </w:r>
    </w:p>
    <w:p w14:paraId="425F6EBE" w14:textId="77777777" w:rsidR="00277185" w:rsidRPr="00277185" w:rsidRDefault="00277185" w:rsidP="00277185">
      <w:pPr>
        <w:numPr>
          <w:ilvl w:val="1"/>
          <w:numId w:val="14"/>
        </w:numPr>
        <w:spacing w:before="180"/>
        <w:rPr>
          <w:rFonts w:ascii="Tahoma" w:hAnsi="Tahoma" w:cs="Tahoma"/>
          <w:sz w:val="22"/>
          <w:szCs w:val="22"/>
          <w:lang w:eastAsia="en-US"/>
        </w:rPr>
      </w:pPr>
      <w:r w:rsidRPr="00BA07AA">
        <w:rPr>
          <w:rFonts w:ascii="Tahoma" w:hAnsi="Tahoma" w:cs="Tahoma"/>
          <w:sz w:val="22"/>
          <w:szCs w:val="22"/>
          <w:lang w:eastAsia="en-US"/>
        </w:rPr>
        <w:t>Update</w:t>
      </w:r>
      <w:r>
        <w:rPr>
          <w:rFonts w:ascii="Tahoma" w:hAnsi="Tahoma" w:cs="Tahoma"/>
          <w:sz w:val="22"/>
          <w:szCs w:val="22"/>
          <w:lang w:eastAsia="en-US"/>
        </w:rPr>
        <w:t>s</w:t>
      </w:r>
      <w:r w:rsidRPr="00BA07AA">
        <w:rPr>
          <w:rFonts w:ascii="Tahoma" w:hAnsi="Tahoma" w:cs="Tahoma"/>
          <w:sz w:val="22"/>
          <w:szCs w:val="22"/>
          <w:lang w:eastAsia="en-US"/>
        </w:rPr>
        <w:t xml:space="preserve"> the reference to the EES requirements in relation to design alternatives</w:t>
      </w:r>
      <w:r>
        <w:rPr>
          <w:rFonts w:ascii="Tahoma" w:hAnsi="Tahoma" w:cs="Tahoma"/>
          <w:sz w:val="22"/>
          <w:szCs w:val="22"/>
          <w:lang w:eastAsia="en-US"/>
        </w:rPr>
        <w:t>,</w:t>
      </w:r>
      <w:r w:rsidRPr="00BA07AA">
        <w:rPr>
          <w:rFonts w:ascii="Tahoma" w:hAnsi="Tahoma" w:cs="Tahoma"/>
          <w:sz w:val="22"/>
          <w:szCs w:val="22"/>
          <w:lang w:eastAsia="en-US"/>
        </w:rPr>
        <w:t xml:space="preserve"> consistent with the language in the Ministerial Guidelines for Assessment of Environmental Effects.</w:t>
      </w:r>
    </w:p>
    <w:p w14:paraId="62285260" w14:textId="77777777" w:rsidR="009E036B" w:rsidRPr="000647AA" w:rsidRDefault="009E036B" w:rsidP="002E664E">
      <w:pPr>
        <w:rPr>
          <w:rFonts w:ascii="Tahoma" w:hAnsi="Tahoma" w:cs="Tahoma"/>
          <w:b/>
          <w:sz w:val="22"/>
          <w:szCs w:val="22"/>
          <w:lang w:eastAsia="en-US"/>
        </w:rPr>
      </w:pPr>
    </w:p>
    <w:p w14:paraId="3FED2788" w14:textId="77777777" w:rsidR="000647AA" w:rsidRDefault="000647AA" w:rsidP="002E664E">
      <w:pPr>
        <w:rPr>
          <w:rFonts w:ascii="Tahoma" w:hAnsi="Tahoma" w:cs="Tahoma"/>
          <w:b/>
          <w:sz w:val="22"/>
          <w:szCs w:val="22"/>
          <w:lang w:eastAsia="en-US"/>
        </w:rPr>
      </w:pPr>
    </w:p>
    <w:p w14:paraId="08127383" w14:textId="77777777" w:rsidR="00963A11" w:rsidRDefault="00963A11" w:rsidP="00603751">
      <w:pPr>
        <w:spacing w:before="120"/>
        <w:rPr>
          <w:rFonts w:ascii="Tahoma" w:hAnsi="Tahoma" w:cs="Tahoma"/>
          <w:sz w:val="22"/>
          <w:szCs w:val="22"/>
          <w:lang w:eastAsia="en-US"/>
        </w:rPr>
      </w:pPr>
    </w:p>
    <w:p w14:paraId="46E619AB" w14:textId="77777777" w:rsidR="000647AA" w:rsidRDefault="000647AA" w:rsidP="002E664E">
      <w:pPr>
        <w:rPr>
          <w:rFonts w:ascii="Tahoma" w:hAnsi="Tahoma" w:cs="Tahoma"/>
          <w:b/>
          <w:sz w:val="22"/>
          <w:szCs w:val="22"/>
          <w:lang w:eastAsia="en-US"/>
        </w:rPr>
      </w:pPr>
    </w:p>
    <w:p w14:paraId="04738DFD" w14:textId="77777777" w:rsidR="00963A11" w:rsidRDefault="00963A11" w:rsidP="002E664E">
      <w:pPr>
        <w:rPr>
          <w:rFonts w:ascii="Tahoma" w:hAnsi="Tahoma" w:cs="Tahoma"/>
          <w:b/>
          <w:sz w:val="22"/>
          <w:szCs w:val="22"/>
          <w:lang w:eastAsia="en-US"/>
        </w:rPr>
      </w:pPr>
    </w:p>
    <w:p w14:paraId="601AE6B8" w14:textId="77777777" w:rsidR="002E664E" w:rsidRPr="000647AA" w:rsidRDefault="002E664E" w:rsidP="002E664E">
      <w:pPr>
        <w:rPr>
          <w:rFonts w:ascii="Tahoma" w:hAnsi="Tahoma" w:cs="Tahoma"/>
          <w:b/>
          <w:sz w:val="22"/>
          <w:szCs w:val="22"/>
          <w:lang w:eastAsia="en-US"/>
        </w:rPr>
      </w:pPr>
    </w:p>
    <w:p w14:paraId="03120973" w14:textId="77777777" w:rsidR="000647AA" w:rsidRDefault="000647AA" w:rsidP="002E664E">
      <w:pPr>
        <w:rPr>
          <w:rFonts w:ascii="Tahoma" w:hAnsi="Tahoma" w:cs="Tahoma"/>
          <w:b/>
          <w:sz w:val="22"/>
          <w:szCs w:val="20"/>
          <w:lang w:eastAsia="en-US"/>
        </w:rPr>
      </w:pPr>
      <w:r>
        <w:rPr>
          <w:rFonts w:ascii="Tahoma" w:hAnsi="Tahoma" w:cs="Tahoma"/>
          <w:b/>
          <w:sz w:val="22"/>
          <w:szCs w:val="20"/>
          <w:lang w:eastAsia="en-US"/>
        </w:rPr>
        <w:t>Hon Richard Wynne MP</w:t>
      </w:r>
    </w:p>
    <w:p w14:paraId="660123C4" w14:textId="77777777" w:rsidR="000647AA" w:rsidRDefault="000647AA" w:rsidP="002E664E">
      <w:pPr>
        <w:rPr>
          <w:rFonts w:ascii="Tahoma" w:hAnsi="Tahoma" w:cs="Tahoma"/>
          <w:b/>
          <w:sz w:val="22"/>
          <w:szCs w:val="20"/>
          <w:lang w:eastAsia="en-US"/>
        </w:rPr>
      </w:pPr>
      <w:r>
        <w:rPr>
          <w:rFonts w:ascii="Tahoma" w:hAnsi="Tahoma" w:cs="Tahoma"/>
          <w:b/>
          <w:sz w:val="22"/>
          <w:szCs w:val="20"/>
          <w:lang w:eastAsia="en-US"/>
        </w:rPr>
        <w:t>Minister for Planning</w:t>
      </w:r>
    </w:p>
    <w:p w14:paraId="54C60FBD" w14:textId="77777777" w:rsidR="000647AA" w:rsidRDefault="000647AA" w:rsidP="002E664E">
      <w:pPr>
        <w:rPr>
          <w:rFonts w:ascii="Tahoma" w:hAnsi="Tahoma" w:cs="Tahoma"/>
          <w:b/>
          <w:sz w:val="22"/>
          <w:szCs w:val="20"/>
          <w:lang w:eastAsia="en-US"/>
        </w:rPr>
      </w:pPr>
    </w:p>
    <w:p w14:paraId="4D56A7F7" w14:textId="77777777" w:rsidR="00B76483" w:rsidRPr="00F079DB" w:rsidRDefault="002E664E" w:rsidP="002E664E">
      <w:pPr>
        <w:rPr>
          <w:rFonts w:ascii="Tahoma" w:hAnsi="Tahoma" w:cs="Tahoma"/>
          <w:b/>
          <w:sz w:val="22"/>
          <w:szCs w:val="20"/>
          <w:lang w:eastAsia="en-US"/>
        </w:rPr>
      </w:pPr>
      <w:r w:rsidRPr="00F079DB">
        <w:rPr>
          <w:rFonts w:ascii="Tahoma" w:hAnsi="Tahoma" w:cs="Tahoma"/>
          <w:b/>
          <w:sz w:val="22"/>
          <w:szCs w:val="20"/>
          <w:lang w:eastAsia="en-US"/>
        </w:rPr>
        <w:t>Date:</w:t>
      </w:r>
      <w:r w:rsidR="00EC4D2F" w:rsidRPr="00F079DB">
        <w:rPr>
          <w:rFonts w:ascii="Tahoma" w:hAnsi="Tahoma" w:cs="Tahoma"/>
          <w:b/>
          <w:sz w:val="22"/>
          <w:szCs w:val="20"/>
          <w:lang w:eastAsia="en-US"/>
        </w:rPr>
        <w:tab/>
      </w:r>
      <w:r w:rsidR="00877176" w:rsidRPr="00A22A76">
        <w:rPr>
          <w:rFonts w:ascii="Tahoma" w:hAnsi="Tahoma" w:cs="Tahoma"/>
          <w:color w:val="4F81BD"/>
          <w:sz w:val="22"/>
          <w:szCs w:val="20"/>
          <w:lang w:eastAsia="en-US"/>
        </w:rPr>
        <w:t xml:space="preserve"> </w:t>
      </w:r>
    </w:p>
    <w:p w14:paraId="10769490" w14:textId="77777777" w:rsidR="00B76483" w:rsidRDefault="00B76483" w:rsidP="00B76483">
      <w:pPr>
        <w:rPr>
          <w:lang w:eastAsia="en-US"/>
        </w:rPr>
      </w:pPr>
    </w:p>
    <w:p w14:paraId="302E0605" w14:textId="77777777" w:rsidR="00877176" w:rsidRDefault="00877176" w:rsidP="00B76483">
      <w:pPr>
        <w:rPr>
          <w:lang w:eastAsia="en-US"/>
        </w:rPr>
      </w:pPr>
    </w:p>
    <w:p w14:paraId="70A9C003" w14:textId="77777777" w:rsidR="00877176" w:rsidRDefault="00877176" w:rsidP="00B76483">
      <w:pPr>
        <w:rPr>
          <w:lang w:eastAsia="en-US"/>
        </w:rPr>
      </w:pPr>
    </w:p>
    <w:p w14:paraId="3B3816E5" w14:textId="77777777" w:rsidR="00877176" w:rsidRDefault="00877176" w:rsidP="00B76483">
      <w:pPr>
        <w:rPr>
          <w:lang w:eastAsia="en-US"/>
        </w:rPr>
      </w:pPr>
    </w:p>
    <w:p w14:paraId="71D326EE" w14:textId="77777777" w:rsidR="00877176" w:rsidRDefault="00877176" w:rsidP="00B76483">
      <w:pPr>
        <w:rPr>
          <w:lang w:eastAsia="en-US"/>
        </w:rPr>
      </w:pPr>
    </w:p>
    <w:p w14:paraId="4C896D33" w14:textId="77777777" w:rsidR="00877176" w:rsidRDefault="00877176" w:rsidP="00B76483">
      <w:pPr>
        <w:rPr>
          <w:lang w:eastAsia="en-US"/>
        </w:rPr>
      </w:pPr>
    </w:p>
    <w:p w14:paraId="4F2F175E" w14:textId="77777777" w:rsidR="00877176" w:rsidRDefault="00877176" w:rsidP="00B76483">
      <w:pPr>
        <w:rPr>
          <w:lang w:eastAsia="en-US"/>
        </w:rPr>
      </w:pPr>
    </w:p>
    <w:p w14:paraId="5CA042D2" w14:textId="77777777" w:rsidR="00877176" w:rsidRDefault="00877176" w:rsidP="00B76483">
      <w:pPr>
        <w:rPr>
          <w:lang w:eastAsia="en-US"/>
        </w:rPr>
      </w:pPr>
    </w:p>
    <w:p w14:paraId="0B304BAF" w14:textId="77777777" w:rsidR="00877176" w:rsidRDefault="00877176" w:rsidP="00B76483">
      <w:pPr>
        <w:rPr>
          <w:lang w:eastAsia="en-US"/>
        </w:rPr>
      </w:pPr>
    </w:p>
    <w:p w14:paraId="56D4206F" w14:textId="77777777" w:rsidR="00877176" w:rsidRDefault="00877176" w:rsidP="00B76483">
      <w:pPr>
        <w:rPr>
          <w:lang w:eastAsia="en-US"/>
        </w:rPr>
      </w:pPr>
    </w:p>
    <w:p w14:paraId="22ED3471" w14:textId="77777777" w:rsidR="00877176" w:rsidRDefault="00877176" w:rsidP="00B76483">
      <w:pPr>
        <w:rPr>
          <w:lang w:eastAsia="en-US"/>
        </w:rPr>
      </w:pPr>
    </w:p>
    <w:p w14:paraId="01019F08" w14:textId="77777777" w:rsidR="00877176" w:rsidRDefault="00877176" w:rsidP="00B76483">
      <w:pPr>
        <w:rPr>
          <w:lang w:eastAsia="en-US"/>
        </w:rPr>
      </w:pPr>
    </w:p>
    <w:p w14:paraId="363EB06D" w14:textId="77777777" w:rsidR="00877176" w:rsidRDefault="00877176" w:rsidP="00B76483">
      <w:pPr>
        <w:rPr>
          <w:lang w:eastAsia="en-US"/>
        </w:rPr>
      </w:pPr>
    </w:p>
    <w:p w14:paraId="1E031A1F" w14:textId="77777777" w:rsidR="004B0421" w:rsidRDefault="004B0421" w:rsidP="00B76483">
      <w:pPr>
        <w:rPr>
          <w:lang w:eastAsia="en-US"/>
        </w:rPr>
      </w:pPr>
    </w:p>
    <w:p w14:paraId="780DD201" w14:textId="77777777" w:rsidR="00877176" w:rsidRPr="00877176" w:rsidRDefault="00877176" w:rsidP="0093071B">
      <w:pPr>
        <w:pStyle w:val="Particulars"/>
        <w:ind w:left="0" w:right="-45"/>
      </w:pPr>
    </w:p>
    <w:sectPr w:rsidR="00877176" w:rsidRPr="00877176" w:rsidSect="007B0318">
      <w:footerReference w:type="first" r:id="rId9"/>
      <w:pgSz w:w="11907" w:h="16840" w:code="9"/>
      <w:pgMar w:top="1843" w:right="1440" w:bottom="1702"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0"/>
      <w:cols w:space="720"/>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53E5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79621" w14:textId="77777777" w:rsidR="00DA4067" w:rsidRDefault="00DA4067">
      <w:r>
        <w:separator/>
      </w:r>
    </w:p>
  </w:endnote>
  <w:endnote w:type="continuationSeparator" w:id="0">
    <w:p w14:paraId="4B5D8469" w14:textId="77777777" w:rsidR="00DA4067" w:rsidRDefault="00DA4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1333EC" w14:textId="77777777" w:rsidR="008116B7" w:rsidRPr="008116B7" w:rsidRDefault="008116B7" w:rsidP="008116B7">
    <w:pPr>
      <w:tabs>
        <w:tab w:val="center" w:pos="4513"/>
        <w:tab w:val="right" w:pos="9026"/>
      </w:tabs>
      <w:jc w:val="right"/>
      <w:rPr>
        <w:rFonts w:ascii="Calibri" w:eastAsia="Calibri" w:hAnsi="Calibri"/>
        <w:sz w:val="22"/>
        <w:szCs w:val="22"/>
        <w:lang w:eastAsia="en-US"/>
      </w:rPr>
    </w:pPr>
  </w:p>
  <w:p w14:paraId="27BB93DE" w14:textId="77777777" w:rsidR="008116B7" w:rsidRPr="008116B7" w:rsidRDefault="008116B7" w:rsidP="008116B7">
    <w:pPr>
      <w:tabs>
        <w:tab w:val="center" w:pos="4513"/>
        <w:tab w:val="right" w:pos="9026"/>
      </w:tabs>
      <w:rPr>
        <w:rFonts w:ascii="Calibri" w:eastAsia="Calibri" w:hAnsi="Calibri"/>
        <w:sz w:val="22"/>
        <w:szCs w:val="22"/>
        <w:lang w:eastAsia="en-US"/>
      </w:rPr>
    </w:pPr>
  </w:p>
  <w:p w14:paraId="622468CA" w14:textId="77777777" w:rsidR="008116B7" w:rsidRDefault="00811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4F49A" w14:textId="77777777" w:rsidR="00DA4067" w:rsidRDefault="00DA4067">
      <w:r>
        <w:separator/>
      </w:r>
    </w:p>
  </w:footnote>
  <w:footnote w:type="continuationSeparator" w:id="0">
    <w:p w14:paraId="63D270FA" w14:textId="77777777" w:rsidR="00DA4067" w:rsidRDefault="00DA40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D1488"/>
    <w:multiLevelType w:val="hybridMultilevel"/>
    <w:tmpl w:val="9626BA8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
    <w:nsid w:val="15A05D2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nsid w:val="195B7B30"/>
    <w:multiLevelType w:val="hybridMultilevel"/>
    <w:tmpl w:val="459E2E90"/>
    <w:lvl w:ilvl="0" w:tplc="FFFFFFFF">
      <w:start w:val="1"/>
      <w:numFmt w:val="bullet"/>
      <w:lvlText w:val=""/>
      <w:lvlJc w:val="left"/>
      <w:pPr>
        <w:tabs>
          <w:tab w:val="num" w:pos="1080"/>
        </w:tabs>
        <w:ind w:left="1080" w:hanging="360"/>
      </w:pPr>
      <w:rPr>
        <w:rFonts w:ascii="Wingdings" w:hAnsi="Wingdings"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3">
    <w:nsid w:val="33AD3853"/>
    <w:multiLevelType w:val="hybridMultilevel"/>
    <w:tmpl w:val="325A0D12"/>
    <w:lvl w:ilvl="0" w:tplc="0C090005">
      <w:start w:val="1"/>
      <w:numFmt w:val="bullet"/>
      <w:lvlText w:val=""/>
      <w:lvlJc w:val="left"/>
      <w:pPr>
        <w:tabs>
          <w:tab w:val="num" w:pos="1080"/>
        </w:tabs>
        <w:ind w:left="1080" w:hanging="360"/>
      </w:pPr>
      <w:rPr>
        <w:rFonts w:ascii="Wingdings" w:hAnsi="Wingdings"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
    <w:nsid w:val="36B90C3A"/>
    <w:multiLevelType w:val="singleLevel"/>
    <w:tmpl w:val="9D7C19B6"/>
    <w:lvl w:ilvl="0">
      <w:start w:val="1"/>
      <w:numFmt w:val="bullet"/>
      <w:lvlText w:val=""/>
      <w:lvlJc w:val="left"/>
      <w:pPr>
        <w:tabs>
          <w:tab w:val="num" w:pos="360"/>
        </w:tabs>
        <w:ind w:left="360" w:hanging="360"/>
      </w:pPr>
      <w:rPr>
        <w:rFonts w:ascii="Symbol" w:hAnsi="Symbol" w:hint="default"/>
        <w:color w:val="auto"/>
        <w:sz w:val="20"/>
      </w:rPr>
    </w:lvl>
  </w:abstractNum>
  <w:abstractNum w:abstractNumId="5">
    <w:nsid w:val="37032D92"/>
    <w:multiLevelType w:val="hybridMultilevel"/>
    <w:tmpl w:val="E8D25B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40693598"/>
    <w:multiLevelType w:val="multilevel"/>
    <w:tmpl w:val="907A1B72"/>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443"/>
        </w:tabs>
        <w:ind w:left="1443" w:hanging="360"/>
      </w:pPr>
      <w:rPr>
        <w:rFonts w:ascii="Courier New" w:hAnsi="Courier New" w:cs="Courier New" w:hint="default"/>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7">
    <w:nsid w:val="416B6A8C"/>
    <w:multiLevelType w:val="hybridMultilevel"/>
    <w:tmpl w:val="4BFC6A06"/>
    <w:lvl w:ilvl="0" w:tplc="FF5C29D0">
      <w:start w:val="1"/>
      <w:numFmt w:val="decimal"/>
      <w:lvlText w:val="%1."/>
      <w:lvlJc w:val="left"/>
      <w:pPr>
        <w:tabs>
          <w:tab w:val="num" w:pos="536"/>
        </w:tabs>
        <w:ind w:left="536" w:hanging="360"/>
      </w:pPr>
      <w:rPr>
        <w:rFonts w:asciiTheme="minorHAnsi" w:hAnsiTheme="minorHAnsi" w:hint="default"/>
        <w:b w:val="0"/>
        <w:i w:val="0"/>
        <w:sz w:val="24"/>
      </w:rPr>
    </w:lvl>
    <w:lvl w:ilvl="1" w:tplc="7988CDCE">
      <w:start w:val="1"/>
      <w:numFmt w:val="lowerLetter"/>
      <w:lvlText w:val="%2."/>
      <w:lvlJc w:val="left"/>
      <w:pPr>
        <w:tabs>
          <w:tab w:val="num" w:pos="1256"/>
        </w:tabs>
        <w:ind w:left="1256" w:hanging="360"/>
      </w:pPr>
      <w:rPr>
        <w:b w:val="0"/>
        <w:i w:val="0"/>
      </w:rPr>
    </w:lvl>
    <w:lvl w:ilvl="2" w:tplc="0C09001B">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8">
    <w:nsid w:val="44B81191"/>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9">
    <w:nsid w:val="476C3961"/>
    <w:multiLevelType w:val="multilevel"/>
    <w:tmpl w:val="4A40ED50"/>
    <w:lvl w:ilvl="0">
      <w:start w:val="3"/>
      <w:numFmt w:val="decimal"/>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nsid w:val="49051ACB"/>
    <w:multiLevelType w:val="hybridMultilevel"/>
    <w:tmpl w:val="062056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AE569F9"/>
    <w:multiLevelType w:val="singleLevel"/>
    <w:tmpl w:val="80E8B87E"/>
    <w:lvl w:ilvl="0">
      <w:start w:val="1"/>
      <w:numFmt w:val="decimal"/>
      <w:pStyle w:val="NumberedText"/>
      <w:lvlText w:val="%1."/>
      <w:lvlJc w:val="left"/>
      <w:pPr>
        <w:tabs>
          <w:tab w:val="num" w:pos="360"/>
        </w:tabs>
        <w:ind w:left="360" w:hanging="360"/>
      </w:pPr>
    </w:lvl>
  </w:abstractNum>
  <w:abstractNum w:abstractNumId="12">
    <w:nsid w:val="4D36640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nsid w:val="56872E30"/>
    <w:multiLevelType w:val="singleLevel"/>
    <w:tmpl w:val="7AF6CB6E"/>
    <w:lvl w:ilvl="0">
      <w:numFmt w:val="bullet"/>
      <w:lvlText w:val="-"/>
      <w:lvlJc w:val="left"/>
      <w:pPr>
        <w:tabs>
          <w:tab w:val="num" w:pos="720"/>
        </w:tabs>
        <w:ind w:left="720" w:hanging="360"/>
      </w:pPr>
      <w:rPr>
        <w:rFonts w:hint="default"/>
      </w:rPr>
    </w:lvl>
  </w:abstractNum>
  <w:abstractNum w:abstractNumId="14">
    <w:nsid w:val="56D14793"/>
    <w:multiLevelType w:val="hybridMultilevel"/>
    <w:tmpl w:val="250C8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AD024F8"/>
    <w:multiLevelType w:val="hybridMultilevel"/>
    <w:tmpl w:val="EA263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BAD467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7">
    <w:nsid w:val="699D7697"/>
    <w:multiLevelType w:val="hybridMultilevel"/>
    <w:tmpl w:val="9C40B770"/>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9D97A74"/>
    <w:multiLevelType w:val="hybridMultilevel"/>
    <w:tmpl w:val="4F480F8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EFA31A8"/>
    <w:multiLevelType w:val="hybridMultilevel"/>
    <w:tmpl w:val="5EAEA5C4"/>
    <w:lvl w:ilvl="0" w:tplc="FFFFFFFF">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20">
    <w:nsid w:val="79766CC7"/>
    <w:multiLevelType w:val="singleLevel"/>
    <w:tmpl w:val="69FE8BEC"/>
    <w:lvl w:ilvl="0">
      <w:start w:val="1"/>
      <w:numFmt w:val="decimal"/>
      <w:lvlText w:val="%1."/>
      <w:lvlJc w:val="left"/>
      <w:pPr>
        <w:tabs>
          <w:tab w:val="num" w:pos="360"/>
        </w:tabs>
        <w:ind w:left="360" w:hanging="360"/>
      </w:pPr>
      <w:rPr>
        <w:rFonts w:cs="Times New Roman"/>
      </w:rPr>
    </w:lvl>
  </w:abstractNum>
  <w:abstractNum w:abstractNumId="21">
    <w:nsid w:val="7A445562"/>
    <w:multiLevelType w:val="hybridMultilevel"/>
    <w:tmpl w:val="C842015C"/>
    <w:lvl w:ilvl="0" w:tplc="73167F44">
      <w:start w:val="1"/>
      <w:numFmt w:val="decimal"/>
      <w:lvlText w:val="%1."/>
      <w:lvlJc w:val="left"/>
      <w:pPr>
        <w:ind w:left="360" w:hanging="360"/>
      </w:pPr>
      <w:rPr>
        <w:i w:val="0"/>
        <w:color w:val="auto"/>
      </w:rPr>
    </w:lvl>
    <w:lvl w:ilvl="1" w:tplc="81180072">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6"/>
  </w:num>
  <w:num w:numId="2">
    <w:abstractNumId w:val="12"/>
  </w:num>
  <w:num w:numId="3">
    <w:abstractNumId w:val="2"/>
  </w:num>
  <w:num w:numId="4">
    <w:abstractNumId w:val="9"/>
  </w:num>
  <w:num w:numId="5">
    <w:abstractNumId w:val="19"/>
  </w:num>
  <w:num w:numId="6">
    <w:abstractNumId w:val="1"/>
  </w:num>
  <w:num w:numId="7">
    <w:abstractNumId w:val="13"/>
  </w:num>
  <w:num w:numId="8">
    <w:abstractNumId w:val="20"/>
  </w:num>
  <w:num w:numId="9">
    <w:abstractNumId w:val="4"/>
  </w:num>
  <w:num w:numId="10">
    <w:abstractNumId w:val="11"/>
  </w:num>
  <w:num w:numId="11">
    <w:abstractNumId w:val="6"/>
  </w:num>
  <w:num w:numId="12">
    <w:abstractNumId w:val="8"/>
  </w:num>
  <w:num w:numId="13">
    <w:abstractNumId w:val="3"/>
  </w:num>
  <w:num w:numId="14">
    <w:abstractNumId w:val="17"/>
  </w:num>
  <w:num w:numId="15">
    <w:abstractNumId w:val="5"/>
  </w:num>
  <w:num w:numId="16">
    <w:abstractNumId w:val="0"/>
  </w:num>
  <w:num w:numId="17">
    <w:abstractNumId w:val="18"/>
  </w:num>
  <w:num w:numId="18">
    <w:abstractNumId w:val="0"/>
  </w:num>
  <w:num w:numId="19">
    <w:abstractNumId w:val="14"/>
  </w:num>
  <w:num w:numId="20">
    <w:abstractNumId w:val="7"/>
  </w:num>
  <w:num w:numId="21">
    <w:abstractNumId w:val="15"/>
  </w:num>
  <w:num w:numId="22">
    <w:abstractNumId w:val="21"/>
  </w:num>
  <w:num w:numId="2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WP LEGAL SERVICES">
    <w15:presenceInfo w15:providerId="None" w15:userId="DELWP LEGAL SERVIC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64E"/>
    <w:rsid w:val="00005D79"/>
    <w:rsid w:val="00024702"/>
    <w:rsid w:val="00025F57"/>
    <w:rsid w:val="00026458"/>
    <w:rsid w:val="00030725"/>
    <w:rsid w:val="0003696F"/>
    <w:rsid w:val="00050F4B"/>
    <w:rsid w:val="00055CF8"/>
    <w:rsid w:val="000647AA"/>
    <w:rsid w:val="00071011"/>
    <w:rsid w:val="00086380"/>
    <w:rsid w:val="00093233"/>
    <w:rsid w:val="00096190"/>
    <w:rsid w:val="000A53AC"/>
    <w:rsid w:val="000C22D1"/>
    <w:rsid w:val="0012303B"/>
    <w:rsid w:val="00147339"/>
    <w:rsid w:val="0017259A"/>
    <w:rsid w:val="0019050D"/>
    <w:rsid w:val="001F126C"/>
    <w:rsid w:val="001F486B"/>
    <w:rsid w:val="00207FE8"/>
    <w:rsid w:val="00277185"/>
    <w:rsid w:val="002A063F"/>
    <w:rsid w:val="002A798E"/>
    <w:rsid w:val="002E3021"/>
    <w:rsid w:val="002E664E"/>
    <w:rsid w:val="00303676"/>
    <w:rsid w:val="0031652C"/>
    <w:rsid w:val="00322DA1"/>
    <w:rsid w:val="0032465E"/>
    <w:rsid w:val="003571C5"/>
    <w:rsid w:val="0036513B"/>
    <w:rsid w:val="00376A7A"/>
    <w:rsid w:val="0038672F"/>
    <w:rsid w:val="00390623"/>
    <w:rsid w:val="00396D7A"/>
    <w:rsid w:val="003A3B1D"/>
    <w:rsid w:val="003C6208"/>
    <w:rsid w:val="003C78C4"/>
    <w:rsid w:val="003E3469"/>
    <w:rsid w:val="003E36F8"/>
    <w:rsid w:val="00423E66"/>
    <w:rsid w:val="00435476"/>
    <w:rsid w:val="00461E83"/>
    <w:rsid w:val="004632F1"/>
    <w:rsid w:val="0048710B"/>
    <w:rsid w:val="00487AF7"/>
    <w:rsid w:val="004B0421"/>
    <w:rsid w:val="004D09FA"/>
    <w:rsid w:val="004E20BF"/>
    <w:rsid w:val="005016E9"/>
    <w:rsid w:val="0058319A"/>
    <w:rsid w:val="005916A7"/>
    <w:rsid w:val="005A3A2B"/>
    <w:rsid w:val="005B0ACD"/>
    <w:rsid w:val="005B0AE3"/>
    <w:rsid w:val="005B4068"/>
    <w:rsid w:val="005C1A81"/>
    <w:rsid w:val="00603751"/>
    <w:rsid w:val="00607D41"/>
    <w:rsid w:val="00622583"/>
    <w:rsid w:val="00666C2F"/>
    <w:rsid w:val="00677C32"/>
    <w:rsid w:val="007244D2"/>
    <w:rsid w:val="007B0318"/>
    <w:rsid w:val="007B1605"/>
    <w:rsid w:val="007B4CF0"/>
    <w:rsid w:val="008116B7"/>
    <w:rsid w:val="00875939"/>
    <w:rsid w:val="00877176"/>
    <w:rsid w:val="00877812"/>
    <w:rsid w:val="00890AC8"/>
    <w:rsid w:val="008A3FE6"/>
    <w:rsid w:val="008A4A5C"/>
    <w:rsid w:val="008C3510"/>
    <w:rsid w:val="008D490F"/>
    <w:rsid w:val="00903ED9"/>
    <w:rsid w:val="00904114"/>
    <w:rsid w:val="00914BBE"/>
    <w:rsid w:val="00916285"/>
    <w:rsid w:val="0093071B"/>
    <w:rsid w:val="009319BB"/>
    <w:rsid w:val="00943CB1"/>
    <w:rsid w:val="00950B65"/>
    <w:rsid w:val="00963A11"/>
    <w:rsid w:val="009715A6"/>
    <w:rsid w:val="009D0513"/>
    <w:rsid w:val="009D22C5"/>
    <w:rsid w:val="009E036B"/>
    <w:rsid w:val="00A105A6"/>
    <w:rsid w:val="00A20F6A"/>
    <w:rsid w:val="00A22A76"/>
    <w:rsid w:val="00A23EAF"/>
    <w:rsid w:val="00A332EF"/>
    <w:rsid w:val="00A4539D"/>
    <w:rsid w:val="00A46CE9"/>
    <w:rsid w:val="00A60FD7"/>
    <w:rsid w:val="00A72E7B"/>
    <w:rsid w:val="00AA29FA"/>
    <w:rsid w:val="00AC2222"/>
    <w:rsid w:val="00AC4E2D"/>
    <w:rsid w:val="00AD1C2D"/>
    <w:rsid w:val="00AD5BB3"/>
    <w:rsid w:val="00AF7E80"/>
    <w:rsid w:val="00B0262D"/>
    <w:rsid w:val="00B14284"/>
    <w:rsid w:val="00B45295"/>
    <w:rsid w:val="00B50488"/>
    <w:rsid w:val="00B50FC6"/>
    <w:rsid w:val="00B76483"/>
    <w:rsid w:val="00B90DA4"/>
    <w:rsid w:val="00BA07AA"/>
    <w:rsid w:val="00BF77E4"/>
    <w:rsid w:val="00C0568D"/>
    <w:rsid w:val="00C26AD9"/>
    <w:rsid w:val="00C55427"/>
    <w:rsid w:val="00C70D80"/>
    <w:rsid w:val="00C737F9"/>
    <w:rsid w:val="00C73970"/>
    <w:rsid w:val="00CB1B7D"/>
    <w:rsid w:val="00D03663"/>
    <w:rsid w:val="00D04914"/>
    <w:rsid w:val="00D24BCD"/>
    <w:rsid w:val="00D34AAB"/>
    <w:rsid w:val="00D87814"/>
    <w:rsid w:val="00DA3277"/>
    <w:rsid w:val="00DA4067"/>
    <w:rsid w:val="00DA682B"/>
    <w:rsid w:val="00DB78D3"/>
    <w:rsid w:val="00DC3E46"/>
    <w:rsid w:val="00E47EDF"/>
    <w:rsid w:val="00E933EB"/>
    <w:rsid w:val="00EC2AAE"/>
    <w:rsid w:val="00EC3788"/>
    <w:rsid w:val="00EC4D2F"/>
    <w:rsid w:val="00ED3DF5"/>
    <w:rsid w:val="00ED48EC"/>
    <w:rsid w:val="00F077B3"/>
    <w:rsid w:val="00F079DB"/>
    <w:rsid w:val="00F07E14"/>
    <w:rsid w:val="00F11F7D"/>
    <w:rsid w:val="00F457F1"/>
    <w:rsid w:val="00F50D84"/>
    <w:rsid w:val="00F549C6"/>
    <w:rsid w:val="00F57CDC"/>
    <w:rsid w:val="00F621C5"/>
    <w:rsid w:val="00F73BCE"/>
    <w:rsid w:val="00F84B0B"/>
    <w:rsid w:val="00F87E3E"/>
    <w:rsid w:val="00F94DED"/>
    <w:rsid w:val="00FA7D55"/>
    <w:rsid w:val="00FB69F6"/>
    <w:rsid w:val="00FC6A17"/>
    <w:rsid w:val="00FE60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D58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Paragraph">
    <w:name w:val="List Paragraph"/>
    <w:basedOn w:val="Normal"/>
    <w:uiPriority w:val="34"/>
    <w:qFormat/>
    <w:rsid w:val="00603751"/>
    <w:pPr>
      <w:spacing w:after="200" w:line="276" w:lineRule="auto"/>
      <w:ind w:left="720"/>
      <w:contextualSpacing/>
    </w:pPr>
    <w:rPr>
      <w:rFonts w:ascii="Calibri" w:hAnsi="Calibri"/>
      <w:sz w:val="22"/>
      <w:szCs w:val="22"/>
    </w:rPr>
  </w:style>
  <w:style w:type="paragraph" w:customStyle="1" w:styleId="ReplyLet">
    <w:name w:val="ReplyLet"/>
    <w:basedOn w:val="Normal"/>
    <w:link w:val="ReplyLetChar"/>
    <w:qFormat/>
    <w:rsid w:val="00BA07AA"/>
    <w:pPr>
      <w:jc w:val="both"/>
    </w:pPr>
    <w:rPr>
      <w:rFonts w:ascii="Calibri" w:hAnsi="Calibri" w:cs="Calibri"/>
      <w:sz w:val="23"/>
      <w:szCs w:val="22"/>
      <w:lang w:eastAsia="en-US"/>
    </w:rPr>
  </w:style>
  <w:style w:type="character" w:customStyle="1" w:styleId="ReplyLetChar">
    <w:name w:val="ReplyLet Char"/>
    <w:link w:val="ReplyLet"/>
    <w:rsid w:val="00BA07AA"/>
    <w:rPr>
      <w:rFonts w:ascii="Calibri" w:hAnsi="Calibri" w:cs="Calibri"/>
      <w:sz w:val="23"/>
      <w:szCs w:val="22"/>
      <w:lang w:eastAsia="en-US"/>
    </w:rPr>
  </w:style>
  <w:style w:type="paragraph" w:customStyle="1" w:styleId="bodyCopy">
    <w:name w:val="#  body Copy"/>
    <w:basedOn w:val="Normal"/>
    <w:rsid w:val="00AC4E2D"/>
    <w:pPr>
      <w:spacing w:before="120" w:after="200"/>
    </w:pPr>
    <w:rPr>
      <w:rFonts w:ascii="Tahoma" w:hAnsi="Tahoma"/>
      <w:color w:val="00000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2E664E"/>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E664E"/>
    <w:pPr>
      <w:tabs>
        <w:tab w:val="center" w:pos="4153"/>
        <w:tab w:val="right" w:pos="8306"/>
      </w:tabs>
    </w:pPr>
    <w:rPr>
      <w:sz w:val="20"/>
      <w:szCs w:val="20"/>
      <w:lang w:eastAsia="en-US"/>
    </w:rPr>
  </w:style>
  <w:style w:type="paragraph" w:styleId="BodyText">
    <w:name w:val="Body Text"/>
    <w:basedOn w:val="Normal"/>
    <w:rsid w:val="002E664E"/>
    <w:pPr>
      <w:spacing w:after="120"/>
    </w:pPr>
    <w:rPr>
      <w:lang w:eastAsia="en-US"/>
    </w:rPr>
  </w:style>
  <w:style w:type="paragraph" w:styleId="BodyText2">
    <w:name w:val="Body Text 2"/>
    <w:basedOn w:val="Normal"/>
    <w:rsid w:val="009D22C5"/>
    <w:pPr>
      <w:spacing w:after="120" w:line="480" w:lineRule="auto"/>
    </w:pPr>
  </w:style>
  <w:style w:type="paragraph" w:customStyle="1" w:styleId="NumberedText">
    <w:name w:val="Numbered Text"/>
    <w:basedOn w:val="Normal"/>
    <w:rsid w:val="009D22C5"/>
    <w:pPr>
      <w:numPr>
        <w:numId w:val="10"/>
      </w:numPr>
      <w:jc w:val="both"/>
    </w:pPr>
  </w:style>
  <w:style w:type="paragraph" w:styleId="Footer">
    <w:name w:val="footer"/>
    <w:basedOn w:val="Normal"/>
    <w:rsid w:val="00B76483"/>
    <w:pPr>
      <w:tabs>
        <w:tab w:val="center" w:pos="4153"/>
        <w:tab w:val="right" w:pos="8306"/>
      </w:tabs>
    </w:pPr>
  </w:style>
  <w:style w:type="paragraph" w:styleId="NoSpacing">
    <w:name w:val="No Spacing"/>
    <w:link w:val="NoSpacingChar"/>
    <w:uiPriority w:val="1"/>
    <w:qFormat/>
    <w:rsid w:val="008116B7"/>
    <w:rPr>
      <w:rFonts w:ascii="Calibri" w:eastAsia="MS Mincho" w:hAnsi="Calibri" w:cs="Arial"/>
      <w:sz w:val="22"/>
      <w:szCs w:val="22"/>
      <w:lang w:val="en-US" w:eastAsia="ja-JP"/>
    </w:rPr>
  </w:style>
  <w:style w:type="character" w:customStyle="1" w:styleId="NoSpacingChar">
    <w:name w:val="No Spacing Char"/>
    <w:link w:val="NoSpacing"/>
    <w:uiPriority w:val="1"/>
    <w:rsid w:val="008116B7"/>
    <w:rPr>
      <w:rFonts w:ascii="Calibri" w:eastAsia="MS Mincho" w:hAnsi="Calibri" w:cs="Arial"/>
      <w:sz w:val="22"/>
      <w:szCs w:val="22"/>
      <w:lang w:val="en-US" w:eastAsia="ja-JP"/>
    </w:rPr>
  </w:style>
  <w:style w:type="paragraph" w:styleId="BalloonText">
    <w:name w:val="Balloon Text"/>
    <w:basedOn w:val="Normal"/>
    <w:link w:val="BalloonTextChar"/>
    <w:rsid w:val="008116B7"/>
    <w:rPr>
      <w:rFonts w:ascii="Tahoma" w:hAnsi="Tahoma" w:cs="Tahoma"/>
      <w:sz w:val="16"/>
      <w:szCs w:val="16"/>
    </w:rPr>
  </w:style>
  <w:style w:type="character" w:customStyle="1" w:styleId="BalloonTextChar">
    <w:name w:val="Balloon Text Char"/>
    <w:link w:val="BalloonText"/>
    <w:rsid w:val="008116B7"/>
    <w:rPr>
      <w:rFonts w:ascii="Tahoma" w:hAnsi="Tahoma" w:cs="Tahoma"/>
      <w:sz w:val="16"/>
      <w:szCs w:val="16"/>
    </w:rPr>
  </w:style>
  <w:style w:type="table" w:customStyle="1" w:styleId="TableGrid1">
    <w:name w:val="Table Grid1"/>
    <w:basedOn w:val="TableNormal"/>
    <w:next w:val="TableGrid"/>
    <w:uiPriority w:val="59"/>
    <w:rsid w:val="008116B7"/>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11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malltext">
    <w:name w:val="Table small text"/>
    <w:basedOn w:val="Normal"/>
    <w:qFormat/>
    <w:rsid w:val="008116B7"/>
    <w:pPr>
      <w:spacing w:before="40" w:after="40" w:line="240" w:lineRule="atLeast"/>
    </w:pPr>
    <w:rPr>
      <w:rFonts w:ascii="Arial" w:hAnsi="Arial"/>
      <w:sz w:val="16"/>
      <w:lang w:eastAsia="en-US"/>
    </w:rPr>
  </w:style>
  <w:style w:type="paragraph" w:customStyle="1" w:styleId="Tablesmallheading">
    <w:name w:val="Table small heading"/>
    <w:basedOn w:val="Normal"/>
    <w:qFormat/>
    <w:rsid w:val="008116B7"/>
    <w:pPr>
      <w:keepNext/>
      <w:spacing w:before="60" w:after="60" w:line="240" w:lineRule="atLeast"/>
    </w:pPr>
    <w:rPr>
      <w:rFonts w:ascii="Arial" w:hAnsi="Arial"/>
      <w:b/>
      <w:sz w:val="16"/>
      <w:lang w:eastAsia="en-US"/>
    </w:rPr>
  </w:style>
  <w:style w:type="paragraph" w:styleId="Title">
    <w:name w:val="Title"/>
    <w:basedOn w:val="Normal"/>
    <w:next w:val="Normal"/>
    <w:link w:val="TitleChar"/>
    <w:qFormat/>
    <w:rsid w:val="008116B7"/>
    <w:pPr>
      <w:spacing w:before="240" w:after="60"/>
      <w:jc w:val="center"/>
      <w:outlineLvl w:val="0"/>
    </w:pPr>
    <w:rPr>
      <w:rFonts w:ascii="Cambria" w:hAnsi="Cambria"/>
      <w:b/>
      <w:bCs/>
      <w:kern w:val="28"/>
      <w:sz w:val="32"/>
      <w:szCs w:val="32"/>
    </w:rPr>
  </w:style>
  <w:style w:type="character" w:customStyle="1" w:styleId="TitleChar">
    <w:name w:val="Title Char"/>
    <w:link w:val="Title"/>
    <w:rsid w:val="008116B7"/>
    <w:rPr>
      <w:rFonts w:ascii="Cambria" w:eastAsia="Times New Roman" w:hAnsi="Cambria" w:cs="Times New Roman"/>
      <w:b/>
      <w:bCs/>
      <w:kern w:val="28"/>
      <w:sz w:val="32"/>
      <w:szCs w:val="32"/>
    </w:rPr>
  </w:style>
  <w:style w:type="paragraph" w:customStyle="1" w:styleId="Particulars">
    <w:name w:val="Particulars"/>
    <w:basedOn w:val="NormalIndent"/>
    <w:rsid w:val="00877176"/>
    <w:pPr>
      <w:spacing w:after="240"/>
      <w:ind w:left="1080" w:right="1080"/>
    </w:pPr>
    <w:rPr>
      <w:rFonts w:ascii="Arial" w:hAnsi="Arial"/>
      <w:sz w:val="22"/>
      <w:szCs w:val="20"/>
      <w:lang w:val="en-US" w:eastAsia="en-US"/>
    </w:rPr>
  </w:style>
  <w:style w:type="character" w:styleId="IntenseReference">
    <w:name w:val="Intense Reference"/>
    <w:uiPriority w:val="32"/>
    <w:qFormat/>
    <w:rsid w:val="00877176"/>
    <w:rPr>
      <w:b/>
      <w:bCs/>
      <w:smallCaps/>
      <w:color w:val="C0504D"/>
      <w:spacing w:val="5"/>
      <w:u w:val="single"/>
    </w:rPr>
  </w:style>
  <w:style w:type="paragraph" w:styleId="NormalIndent">
    <w:name w:val="Normal Indent"/>
    <w:basedOn w:val="Normal"/>
    <w:rsid w:val="00877176"/>
    <w:pPr>
      <w:ind w:left="720"/>
    </w:pPr>
  </w:style>
  <w:style w:type="character" w:styleId="CommentReference">
    <w:name w:val="annotation reference"/>
    <w:rsid w:val="00AD5BB3"/>
    <w:rPr>
      <w:sz w:val="16"/>
      <w:szCs w:val="16"/>
    </w:rPr>
  </w:style>
  <w:style w:type="paragraph" w:styleId="CommentText">
    <w:name w:val="annotation text"/>
    <w:basedOn w:val="Normal"/>
    <w:link w:val="CommentTextChar"/>
    <w:rsid w:val="00AD5BB3"/>
    <w:rPr>
      <w:sz w:val="20"/>
      <w:szCs w:val="20"/>
    </w:rPr>
  </w:style>
  <w:style w:type="character" w:customStyle="1" w:styleId="CommentTextChar">
    <w:name w:val="Comment Text Char"/>
    <w:basedOn w:val="DefaultParagraphFont"/>
    <w:link w:val="CommentText"/>
    <w:rsid w:val="00AD5BB3"/>
  </w:style>
  <w:style w:type="paragraph" w:styleId="CommentSubject">
    <w:name w:val="annotation subject"/>
    <w:basedOn w:val="CommentText"/>
    <w:next w:val="CommentText"/>
    <w:link w:val="CommentSubjectChar"/>
    <w:rsid w:val="00AD5BB3"/>
    <w:rPr>
      <w:b/>
      <w:bCs/>
    </w:rPr>
  </w:style>
  <w:style w:type="character" w:customStyle="1" w:styleId="CommentSubjectChar">
    <w:name w:val="Comment Subject Char"/>
    <w:link w:val="CommentSubject"/>
    <w:rsid w:val="00AD5BB3"/>
    <w:rPr>
      <w:b/>
      <w:bCs/>
    </w:rPr>
  </w:style>
  <w:style w:type="paragraph" w:styleId="ListParagraph">
    <w:name w:val="List Paragraph"/>
    <w:basedOn w:val="Normal"/>
    <w:uiPriority w:val="34"/>
    <w:qFormat/>
    <w:rsid w:val="00603751"/>
    <w:pPr>
      <w:spacing w:after="200" w:line="276" w:lineRule="auto"/>
      <w:ind w:left="720"/>
      <w:contextualSpacing/>
    </w:pPr>
    <w:rPr>
      <w:rFonts w:ascii="Calibri" w:hAnsi="Calibri"/>
      <w:sz w:val="22"/>
      <w:szCs w:val="22"/>
    </w:rPr>
  </w:style>
  <w:style w:type="paragraph" w:customStyle="1" w:styleId="ReplyLet">
    <w:name w:val="ReplyLet"/>
    <w:basedOn w:val="Normal"/>
    <w:link w:val="ReplyLetChar"/>
    <w:qFormat/>
    <w:rsid w:val="00BA07AA"/>
    <w:pPr>
      <w:jc w:val="both"/>
    </w:pPr>
    <w:rPr>
      <w:rFonts w:ascii="Calibri" w:hAnsi="Calibri" w:cs="Calibri"/>
      <w:sz w:val="23"/>
      <w:szCs w:val="22"/>
      <w:lang w:eastAsia="en-US"/>
    </w:rPr>
  </w:style>
  <w:style w:type="character" w:customStyle="1" w:styleId="ReplyLetChar">
    <w:name w:val="ReplyLet Char"/>
    <w:link w:val="ReplyLet"/>
    <w:rsid w:val="00BA07AA"/>
    <w:rPr>
      <w:rFonts w:ascii="Calibri" w:hAnsi="Calibri" w:cs="Calibri"/>
      <w:sz w:val="23"/>
      <w:szCs w:val="22"/>
      <w:lang w:eastAsia="en-US"/>
    </w:rPr>
  </w:style>
  <w:style w:type="paragraph" w:customStyle="1" w:styleId="bodyCopy">
    <w:name w:val="#  body Copy"/>
    <w:basedOn w:val="Normal"/>
    <w:rsid w:val="00AC4E2D"/>
    <w:pPr>
      <w:spacing w:before="120" w:after="200"/>
    </w:pPr>
    <w:rPr>
      <w:rFonts w:ascii="Tahoma" w:hAnsi="Tahoma"/>
      <w:color w:val="00000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5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D81F-A281-4D6E-B47F-60F457E44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908</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RECOMMENDATION FOR DECISION ON PROJECT REFERRED UNDER ENVIRONMENT EFFECTS ACT 1978</vt:lpstr>
    </vt:vector>
  </TitlesOfParts>
  <Company>DSE/DPI</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FOR DECISION ON PROJECT REFERRED UNDER ENVIRONMENT EFFECTS ACT 1978</dc:title>
  <dc:creator>tb37</dc:creator>
  <cp:lastModifiedBy>Bruce Abernethy</cp:lastModifiedBy>
  <cp:revision>2</cp:revision>
  <cp:lastPrinted>2017-05-08T03:46:00Z</cp:lastPrinted>
  <dcterms:created xsi:type="dcterms:W3CDTF">2017-05-09T23:58:00Z</dcterms:created>
  <dcterms:modified xsi:type="dcterms:W3CDTF">2017-05-09T23:58:00Z</dcterms:modified>
</cp:coreProperties>
</file>