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953F" w14:textId="77777777" w:rsidR="001C34F3" w:rsidRDefault="001C34F3">
      <w:pPr>
        <w:rPr>
          <w:rFonts w:ascii="Arial" w:hAnsi="Arial"/>
          <w:b/>
          <w:sz w:val="24"/>
        </w:rPr>
      </w:pPr>
      <w:bookmarkStart w:id="0" w:name="_Hlk13216272"/>
      <w:r>
        <w:rPr>
          <w:rFonts w:ascii="Arial" w:hAnsi="Arial"/>
          <w:b/>
          <w:sz w:val="24"/>
        </w:rPr>
        <w:t>PART 1   PROPONENT DETAILS, PROJECT DESCRIPTION &amp; LOCATION</w:t>
      </w:r>
    </w:p>
    <w:bookmarkEnd w:id="0"/>
    <w:p w14:paraId="11E14D62" w14:textId="77777777" w:rsidR="001C34F3" w:rsidRDefault="001C34F3">
      <w:pPr>
        <w:tabs>
          <w:tab w:val="left" w:pos="2904"/>
          <w:tab w:val="left" w:pos="3907"/>
          <w:tab w:val="left" w:pos="4910"/>
          <w:tab w:val="left" w:pos="5913"/>
          <w:tab w:val="left" w:pos="6916"/>
        </w:tabs>
        <w:ind w:left="93"/>
        <w:rPr>
          <w:rFonts w:ascii="Arial" w:hAnsi="Arial"/>
          <w:b/>
          <w:sz w:val="22"/>
        </w:rPr>
      </w:pPr>
    </w:p>
    <w:p w14:paraId="0B62649F" w14:textId="77777777" w:rsidR="001C34F3" w:rsidRDefault="001C34F3">
      <w:pPr>
        <w:tabs>
          <w:tab w:val="left" w:pos="2904"/>
          <w:tab w:val="left" w:pos="3907"/>
          <w:tab w:val="left" w:pos="4910"/>
          <w:tab w:val="left" w:pos="5913"/>
          <w:tab w:val="left" w:pos="6916"/>
        </w:tabs>
        <w:ind w:left="93"/>
        <w:rPr>
          <w:rFonts w:ascii="Arial" w:hAnsi="Arial"/>
        </w:rPr>
      </w:pPr>
      <w:bookmarkStart w:id="1" w:name="_Hlk13216280"/>
      <w:r>
        <w:rPr>
          <w:rFonts w:ascii="Arial" w:hAnsi="Arial"/>
          <w:b/>
          <w:sz w:val="22"/>
        </w:rPr>
        <w:t>1</w:t>
      </w:r>
      <w:r w:rsidR="00731F1C">
        <w:rPr>
          <w:rFonts w:ascii="Arial" w:hAnsi="Arial"/>
          <w:b/>
          <w:sz w:val="22"/>
        </w:rPr>
        <w:t xml:space="preserve">.  </w:t>
      </w:r>
      <w:r>
        <w:rPr>
          <w:rFonts w:ascii="Arial" w:hAnsi="Arial"/>
          <w:b/>
          <w:sz w:val="22"/>
        </w:rPr>
        <w:t>Information on proponent and person making Referral</w:t>
      </w:r>
      <w:bookmarkEnd w:id="1"/>
      <w:r>
        <w:rPr>
          <w:rFonts w:ascii="Arial" w:hAnsi="Arial"/>
          <w:b/>
          <w:sz w:val="22"/>
        </w:rPr>
        <w:tab/>
      </w:r>
      <w:r>
        <w:rPr>
          <w:rFonts w:ascii="Arial" w:hAnsi="Arial"/>
        </w:rPr>
        <w:tab/>
      </w:r>
      <w:r>
        <w:rPr>
          <w:rFonts w:ascii="Arial" w:hAnsi="Arial"/>
        </w:rPr>
        <w:tab/>
      </w:r>
      <w:r>
        <w:rPr>
          <w:rFonts w:ascii="Arial" w:hAnsi="Arial"/>
        </w:rPr>
        <w:tab/>
      </w:r>
    </w:p>
    <w:p w14:paraId="58BAEE31" w14:textId="77777777" w:rsidR="001C34F3" w:rsidRDefault="001C34F3">
      <w:pPr>
        <w:tabs>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8895" w:type="dxa"/>
        <w:tblBorders>
          <w:top w:val="single" w:sz="4" w:space="0" w:color="auto"/>
          <w:left w:val="single" w:sz="4" w:space="0" w:color="auto"/>
          <w:bottom w:val="single" w:sz="4" w:space="0" w:color="auto"/>
          <w:right w:val="single" w:sz="4" w:space="0" w:color="auto"/>
        </w:tblBorders>
        <w:tblLayout w:type="fixed"/>
        <w:tblCellMar>
          <w:top w:w="28" w:type="dxa"/>
          <w:left w:w="0" w:type="dxa"/>
          <w:bottom w:w="28" w:type="dxa"/>
          <w:right w:w="85" w:type="dxa"/>
        </w:tblCellMar>
        <w:tblLook w:val="0620" w:firstRow="1" w:lastRow="0" w:firstColumn="0" w:lastColumn="0" w:noHBand="1" w:noVBand="1"/>
      </w:tblPr>
      <w:tblGrid>
        <w:gridCol w:w="3495"/>
        <w:gridCol w:w="5400"/>
      </w:tblGrid>
      <w:tr w:rsidR="004D5649" w14:paraId="3CD9455C" w14:textId="77777777" w:rsidTr="00D02516">
        <w:trPr>
          <w:cantSplit/>
        </w:trPr>
        <w:tc>
          <w:tcPr>
            <w:tcW w:w="3495" w:type="dxa"/>
            <w:shd w:val="clear" w:color="auto" w:fill="auto"/>
          </w:tcPr>
          <w:p w14:paraId="37ACC698" w14:textId="1167FC13" w:rsidR="004D5649" w:rsidRPr="00E356A3" w:rsidRDefault="004D5649" w:rsidP="004D5649">
            <w:pPr>
              <w:tabs>
                <w:tab w:val="left" w:pos="2904"/>
                <w:tab w:val="left" w:pos="3907"/>
                <w:tab w:val="left" w:pos="4910"/>
                <w:tab w:val="left" w:pos="5913"/>
                <w:tab w:val="left" w:pos="6916"/>
              </w:tabs>
              <w:spacing w:before="120"/>
              <w:rPr>
                <w:rFonts w:ascii="Arial" w:hAnsi="Arial"/>
                <w:b/>
              </w:rPr>
            </w:pPr>
            <w:r>
              <w:rPr>
                <w:rFonts w:ascii="Arial" w:hAnsi="Arial"/>
                <w:b/>
              </w:rPr>
              <w:t>Name of proponent</w:t>
            </w:r>
          </w:p>
        </w:tc>
        <w:tc>
          <w:tcPr>
            <w:tcW w:w="5400" w:type="dxa"/>
            <w:shd w:val="clear" w:color="auto" w:fill="auto"/>
          </w:tcPr>
          <w:p w14:paraId="7A4B7BCC" w14:textId="4C6AC141" w:rsidR="004D5649" w:rsidRPr="00E356A3" w:rsidRDefault="004D5649" w:rsidP="004D5649">
            <w:pPr>
              <w:tabs>
                <w:tab w:val="left" w:pos="2904"/>
                <w:tab w:val="left" w:pos="3907"/>
                <w:tab w:val="left" w:pos="4910"/>
                <w:tab w:val="left" w:pos="5913"/>
                <w:tab w:val="left" w:pos="6916"/>
              </w:tabs>
              <w:spacing w:before="120"/>
              <w:rPr>
                <w:rFonts w:ascii="Arial" w:hAnsi="Arial"/>
              </w:rPr>
            </w:pPr>
            <w:r>
              <w:rPr>
                <w:rFonts w:ascii="Arial" w:hAnsi="Arial"/>
              </w:rPr>
              <w:t>Iluka Resources Limited (Iluka)</w:t>
            </w:r>
          </w:p>
        </w:tc>
      </w:tr>
      <w:tr w:rsidR="004D5649" w14:paraId="0A2BAEDC" w14:textId="77777777" w:rsidTr="00D02516">
        <w:trPr>
          <w:cantSplit/>
        </w:trPr>
        <w:tc>
          <w:tcPr>
            <w:tcW w:w="3495" w:type="dxa"/>
            <w:shd w:val="clear" w:color="auto" w:fill="auto"/>
          </w:tcPr>
          <w:p w14:paraId="33805F1B" w14:textId="1A0D2339" w:rsidR="004D5649" w:rsidRPr="00E356A3" w:rsidRDefault="004D5649" w:rsidP="004D5649">
            <w:pPr>
              <w:tabs>
                <w:tab w:val="left" w:pos="2904"/>
                <w:tab w:val="left" w:pos="3907"/>
                <w:tab w:val="left" w:pos="4910"/>
                <w:tab w:val="left" w:pos="5913"/>
                <w:tab w:val="left" w:pos="6916"/>
              </w:tabs>
              <w:spacing w:before="120"/>
              <w:rPr>
                <w:rFonts w:ascii="Arial" w:hAnsi="Arial"/>
                <w:b/>
              </w:rPr>
            </w:pPr>
            <w:bookmarkStart w:id="2" w:name="_Hlk13216290"/>
            <w:r w:rsidRPr="00E356A3">
              <w:rPr>
                <w:rFonts w:ascii="Arial" w:hAnsi="Arial"/>
                <w:b/>
              </w:rPr>
              <w:t>Authorised person for proponent</w:t>
            </w:r>
          </w:p>
        </w:tc>
        <w:tc>
          <w:tcPr>
            <w:tcW w:w="5400" w:type="dxa"/>
            <w:shd w:val="clear" w:color="auto" w:fill="auto"/>
          </w:tcPr>
          <w:p w14:paraId="5ECD6F17"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Marcus Little</w:t>
            </w:r>
          </w:p>
        </w:tc>
      </w:tr>
      <w:tr w:rsidR="004D5649" w:rsidRPr="005A1497" w14:paraId="5CE9E1F4" w14:textId="77777777" w:rsidTr="00D02516">
        <w:tc>
          <w:tcPr>
            <w:tcW w:w="3495" w:type="dxa"/>
            <w:shd w:val="clear" w:color="auto" w:fill="auto"/>
          </w:tcPr>
          <w:p w14:paraId="48DFD7CE" w14:textId="050D0EE3"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Position</w:t>
            </w:r>
          </w:p>
        </w:tc>
        <w:tc>
          <w:tcPr>
            <w:tcW w:w="5400" w:type="dxa"/>
            <w:shd w:val="clear" w:color="auto" w:fill="auto"/>
          </w:tcPr>
          <w:p w14:paraId="4E66E848"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Principal Environmental Specialist &amp; Radiation Safety Officer, Murray Basin</w:t>
            </w:r>
          </w:p>
        </w:tc>
      </w:tr>
      <w:tr w:rsidR="004D5649" w:rsidRPr="005A1497" w14:paraId="6C05AE9D" w14:textId="77777777" w:rsidTr="00D02516">
        <w:tc>
          <w:tcPr>
            <w:tcW w:w="3495" w:type="dxa"/>
            <w:shd w:val="clear" w:color="auto" w:fill="auto"/>
          </w:tcPr>
          <w:p w14:paraId="138E38A4" w14:textId="6100D163"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Postal address</w:t>
            </w:r>
            <w:r w:rsidRPr="00E356A3">
              <w:rPr>
                <w:rFonts w:ascii="Arial" w:hAnsi="Arial"/>
                <w:b/>
              </w:rPr>
              <w:tab/>
            </w:r>
          </w:p>
        </w:tc>
        <w:tc>
          <w:tcPr>
            <w:tcW w:w="5400" w:type="dxa"/>
            <w:shd w:val="clear" w:color="auto" w:fill="auto"/>
          </w:tcPr>
          <w:p w14:paraId="521FADBD"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Iluka Resources Limited (Iluka)</w:t>
            </w:r>
          </w:p>
          <w:p w14:paraId="24591469"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Locked Bag 1001</w:t>
            </w:r>
          </w:p>
          <w:p w14:paraId="0870D771"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Hamilton Vic 3300</w:t>
            </w:r>
          </w:p>
        </w:tc>
      </w:tr>
      <w:tr w:rsidR="004D5649" w14:paraId="6850EEC1" w14:textId="77777777" w:rsidTr="00D02516">
        <w:tc>
          <w:tcPr>
            <w:tcW w:w="3495" w:type="dxa"/>
            <w:shd w:val="clear" w:color="auto" w:fill="auto"/>
          </w:tcPr>
          <w:p w14:paraId="3108AF74" w14:textId="43F73311"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Email address</w:t>
            </w:r>
            <w:r w:rsidRPr="00E356A3">
              <w:rPr>
                <w:rFonts w:ascii="Arial" w:hAnsi="Arial"/>
                <w:b/>
              </w:rPr>
              <w:tab/>
            </w:r>
          </w:p>
        </w:tc>
        <w:tc>
          <w:tcPr>
            <w:tcW w:w="5400" w:type="dxa"/>
            <w:shd w:val="clear" w:color="auto" w:fill="auto"/>
          </w:tcPr>
          <w:p w14:paraId="353FB6B4"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Marcus.Little@Iluka.com</w:t>
            </w:r>
          </w:p>
        </w:tc>
      </w:tr>
      <w:tr w:rsidR="004D5649" w:rsidRPr="005A1497" w14:paraId="4702B310" w14:textId="77777777" w:rsidTr="00D02516">
        <w:tc>
          <w:tcPr>
            <w:tcW w:w="3495" w:type="dxa"/>
            <w:shd w:val="clear" w:color="auto" w:fill="auto"/>
          </w:tcPr>
          <w:p w14:paraId="03E45A61" w14:textId="7D6EF2B5"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Phone number</w:t>
            </w:r>
          </w:p>
        </w:tc>
        <w:tc>
          <w:tcPr>
            <w:tcW w:w="5400" w:type="dxa"/>
            <w:shd w:val="clear" w:color="auto" w:fill="auto"/>
          </w:tcPr>
          <w:p w14:paraId="6A6BDCCE"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+61 3 5551 2360</w:t>
            </w:r>
          </w:p>
        </w:tc>
      </w:tr>
      <w:tr w:rsidR="004D5649" w:rsidRPr="005A1497" w14:paraId="19B4C1EA" w14:textId="77777777" w:rsidTr="00D02516">
        <w:tc>
          <w:tcPr>
            <w:tcW w:w="3495" w:type="dxa"/>
            <w:shd w:val="clear" w:color="auto" w:fill="auto"/>
          </w:tcPr>
          <w:p w14:paraId="4D9C39B0" w14:textId="2461FA4C"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Facsimile number</w:t>
            </w:r>
          </w:p>
        </w:tc>
        <w:tc>
          <w:tcPr>
            <w:tcW w:w="5400" w:type="dxa"/>
            <w:shd w:val="clear" w:color="auto" w:fill="auto"/>
          </w:tcPr>
          <w:p w14:paraId="7D5DFCB6"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+ 61 3 5551 2417</w:t>
            </w:r>
          </w:p>
        </w:tc>
      </w:tr>
      <w:tr w:rsidR="004D5649" w14:paraId="7A52CACB" w14:textId="77777777" w:rsidTr="00D02516">
        <w:tc>
          <w:tcPr>
            <w:tcW w:w="3495" w:type="dxa"/>
            <w:shd w:val="clear" w:color="auto" w:fill="auto"/>
          </w:tcPr>
          <w:p w14:paraId="467FE1C8" w14:textId="777C8BD4"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 xml:space="preserve">Person who prepared </w:t>
            </w:r>
            <w:r>
              <w:rPr>
                <w:rFonts w:ascii="Arial" w:hAnsi="Arial"/>
                <w:b/>
              </w:rPr>
              <w:t>r</w:t>
            </w:r>
            <w:r w:rsidRPr="00E356A3">
              <w:rPr>
                <w:rFonts w:ascii="Arial" w:hAnsi="Arial"/>
                <w:b/>
              </w:rPr>
              <w:t>eferral</w:t>
            </w:r>
          </w:p>
        </w:tc>
        <w:tc>
          <w:tcPr>
            <w:tcW w:w="5400" w:type="dxa"/>
            <w:shd w:val="clear" w:color="auto" w:fill="auto"/>
          </w:tcPr>
          <w:p w14:paraId="3305A334" w14:textId="6A2FC27D"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Phil</w:t>
            </w:r>
            <w:r>
              <w:rPr>
                <w:rFonts w:ascii="Arial" w:hAnsi="Arial"/>
              </w:rPr>
              <w:t>ip</w:t>
            </w:r>
            <w:r w:rsidRPr="00E356A3">
              <w:rPr>
                <w:rFonts w:ascii="Arial" w:hAnsi="Arial"/>
              </w:rPr>
              <w:t xml:space="preserve"> Towler</w:t>
            </w:r>
          </w:p>
        </w:tc>
      </w:tr>
      <w:tr w:rsidR="004D5649" w:rsidRPr="009655B3" w14:paraId="6B37D06D" w14:textId="77777777" w:rsidTr="00D02516">
        <w:tc>
          <w:tcPr>
            <w:tcW w:w="3495" w:type="dxa"/>
            <w:shd w:val="clear" w:color="auto" w:fill="auto"/>
          </w:tcPr>
          <w:p w14:paraId="553AC3D5" w14:textId="000D2ECB"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Position</w:t>
            </w:r>
          </w:p>
        </w:tc>
        <w:tc>
          <w:tcPr>
            <w:tcW w:w="5400" w:type="dxa"/>
            <w:shd w:val="clear" w:color="auto" w:fill="auto"/>
          </w:tcPr>
          <w:p w14:paraId="4A77A668"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 xml:space="preserve">Associate Director </w:t>
            </w:r>
          </w:p>
        </w:tc>
      </w:tr>
      <w:tr w:rsidR="004D5649" w:rsidRPr="009655B3" w14:paraId="744AAA78" w14:textId="77777777" w:rsidTr="00D02516">
        <w:tc>
          <w:tcPr>
            <w:tcW w:w="3495" w:type="dxa"/>
            <w:shd w:val="clear" w:color="auto" w:fill="auto"/>
          </w:tcPr>
          <w:p w14:paraId="5743CDF9" w14:textId="14C8CF15"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Organisation</w:t>
            </w:r>
          </w:p>
        </w:tc>
        <w:tc>
          <w:tcPr>
            <w:tcW w:w="5400" w:type="dxa"/>
            <w:shd w:val="clear" w:color="auto" w:fill="auto"/>
          </w:tcPr>
          <w:p w14:paraId="5F41A458"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EMM Consulting Pty Limited</w:t>
            </w:r>
          </w:p>
        </w:tc>
      </w:tr>
      <w:tr w:rsidR="004D5649" w14:paraId="59ECDADB" w14:textId="77777777" w:rsidTr="00D02516">
        <w:tc>
          <w:tcPr>
            <w:tcW w:w="3495" w:type="dxa"/>
            <w:shd w:val="clear" w:color="auto" w:fill="auto"/>
          </w:tcPr>
          <w:p w14:paraId="6F7AAA03" w14:textId="76BD07FB"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Postal address</w:t>
            </w:r>
            <w:r w:rsidRPr="00E356A3">
              <w:rPr>
                <w:rFonts w:ascii="Arial" w:hAnsi="Arial"/>
                <w:b/>
              </w:rPr>
              <w:tab/>
            </w:r>
          </w:p>
        </w:tc>
        <w:tc>
          <w:tcPr>
            <w:tcW w:w="5400" w:type="dxa"/>
            <w:shd w:val="clear" w:color="auto" w:fill="auto"/>
          </w:tcPr>
          <w:p w14:paraId="4FD92EFF"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 xml:space="preserve">20 </w:t>
            </w:r>
            <w:proofErr w:type="spellStart"/>
            <w:r w:rsidRPr="00E356A3">
              <w:rPr>
                <w:rFonts w:ascii="Arial" w:hAnsi="Arial"/>
              </w:rPr>
              <w:t>Chandos</w:t>
            </w:r>
            <w:proofErr w:type="spellEnd"/>
            <w:r w:rsidRPr="00E356A3">
              <w:rPr>
                <w:rFonts w:ascii="Arial" w:hAnsi="Arial"/>
              </w:rPr>
              <w:t xml:space="preserve"> Street </w:t>
            </w:r>
            <w:r w:rsidRPr="00E356A3">
              <w:rPr>
                <w:rFonts w:ascii="Arial" w:hAnsi="Arial"/>
              </w:rPr>
              <w:br/>
              <w:t>St Leonards NSW 2065</w:t>
            </w:r>
          </w:p>
        </w:tc>
      </w:tr>
      <w:tr w:rsidR="004D5649" w:rsidRPr="00636A69" w14:paraId="627FA335" w14:textId="77777777" w:rsidTr="00BA0483">
        <w:trPr>
          <w:trHeight w:val="507"/>
        </w:trPr>
        <w:tc>
          <w:tcPr>
            <w:tcW w:w="3495" w:type="dxa"/>
            <w:shd w:val="clear" w:color="auto" w:fill="auto"/>
          </w:tcPr>
          <w:p w14:paraId="6E94E4D0" w14:textId="02431DA7"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Email address</w:t>
            </w:r>
          </w:p>
        </w:tc>
        <w:tc>
          <w:tcPr>
            <w:tcW w:w="5400" w:type="dxa"/>
            <w:shd w:val="clear" w:color="auto" w:fill="auto"/>
          </w:tcPr>
          <w:p w14:paraId="611AF6EC"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hyperlink r:id="rId8" w:history="1">
              <w:r w:rsidRPr="00E356A3">
                <w:rPr>
                  <w:rFonts w:ascii="Arial" w:hAnsi="Arial"/>
                </w:rPr>
                <w:t>ptowler@emmconsulting.com.au</w:t>
              </w:r>
            </w:hyperlink>
          </w:p>
        </w:tc>
      </w:tr>
      <w:tr w:rsidR="004D5649" w:rsidRPr="00A83E62" w14:paraId="73F0045F" w14:textId="77777777" w:rsidTr="00D02516">
        <w:tc>
          <w:tcPr>
            <w:tcW w:w="3495" w:type="dxa"/>
            <w:shd w:val="clear" w:color="auto" w:fill="auto"/>
          </w:tcPr>
          <w:p w14:paraId="55A52289" w14:textId="63D53F52"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Phone number</w:t>
            </w:r>
          </w:p>
        </w:tc>
        <w:tc>
          <w:tcPr>
            <w:tcW w:w="5400" w:type="dxa"/>
            <w:shd w:val="clear" w:color="auto" w:fill="auto"/>
          </w:tcPr>
          <w:p w14:paraId="3B2ACC65" w14:textId="6B2241F2"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+61 2 9493 95</w:t>
            </w:r>
            <w:r>
              <w:rPr>
                <w:rFonts w:ascii="Arial" w:hAnsi="Arial"/>
              </w:rPr>
              <w:t>00</w:t>
            </w:r>
          </w:p>
        </w:tc>
      </w:tr>
      <w:tr w:rsidR="004D5649" w:rsidRPr="00A83E62" w14:paraId="4DF28F95" w14:textId="77777777" w:rsidTr="00D02516">
        <w:tc>
          <w:tcPr>
            <w:tcW w:w="3495" w:type="dxa"/>
            <w:shd w:val="clear" w:color="auto" w:fill="auto"/>
          </w:tcPr>
          <w:p w14:paraId="59E4ADDE" w14:textId="06EB1AB7"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Facsimile number</w:t>
            </w:r>
          </w:p>
        </w:tc>
        <w:tc>
          <w:tcPr>
            <w:tcW w:w="5400" w:type="dxa"/>
            <w:shd w:val="clear" w:color="auto" w:fill="auto"/>
          </w:tcPr>
          <w:p w14:paraId="34EEF325" w14:textId="77777777" w:rsidR="004D5649" w:rsidRPr="00E356A3" w:rsidRDefault="004D5649" w:rsidP="004D5649">
            <w:pPr>
              <w:tabs>
                <w:tab w:val="left" w:pos="2904"/>
                <w:tab w:val="left" w:pos="3907"/>
                <w:tab w:val="left" w:pos="4910"/>
                <w:tab w:val="left" w:pos="5913"/>
                <w:tab w:val="left" w:pos="6916"/>
              </w:tabs>
              <w:spacing w:before="120"/>
              <w:rPr>
                <w:rFonts w:ascii="Arial" w:hAnsi="Arial"/>
              </w:rPr>
            </w:pPr>
            <w:r w:rsidRPr="00E356A3">
              <w:rPr>
                <w:rFonts w:ascii="Arial" w:hAnsi="Arial"/>
              </w:rPr>
              <w:t>NA</w:t>
            </w:r>
          </w:p>
        </w:tc>
      </w:tr>
      <w:tr w:rsidR="004D5649" w:rsidRPr="00AC087D" w14:paraId="0633FCCA" w14:textId="77777777" w:rsidTr="00D02516">
        <w:tc>
          <w:tcPr>
            <w:tcW w:w="3495" w:type="dxa"/>
            <w:shd w:val="clear" w:color="auto" w:fill="auto"/>
          </w:tcPr>
          <w:p w14:paraId="6D7B295C" w14:textId="5489F147" w:rsidR="004D5649" w:rsidRPr="00E96A1F" w:rsidRDefault="004D5649" w:rsidP="004D5649">
            <w:pPr>
              <w:tabs>
                <w:tab w:val="left" w:pos="2904"/>
                <w:tab w:val="left" w:pos="3907"/>
                <w:tab w:val="left" w:pos="4910"/>
                <w:tab w:val="left" w:pos="5913"/>
                <w:tab w:val="left" w:pos="6916"/>
              </w:tabs>
              <w:spacing w:before="120"/>
              <w:rPr>
                <w:rFonts w:ascii="Arial" w:hAnsi="Arial"/>
                <w:b/>
                <w:bCs/>
              </w:rPr>
            </w:pPr>
            <w:r w:rsidRPr="00E96A1F">
              <w:rPr>
                <w:rFonts w:ascii="Arial" w:hAnsi="Arial"/>
                <w:b/>
                <w:bCs/>
              </w:rPr>
              <w:t>Available industry</w:t>
            </w:r>
            <w:r>
              <w:rPr>
                <w:rFonts w:ascii="Arial" w:hAnsi="Arial"/>
                <w:b/>
                <w:bCs/>
              </w:rPr>
              <w:t xml:space="preserve"> and</w:t>
            </w:r>
            <w:r w:rsidRPr="00E96A1F">
              <w:rPr>
                <w:rFonts w:ascii="Arial" w:hAnsi="Arial"/>
                <w:b/>
                <w:bCs/>
              </w:rPr>
              <w:t xml:space="preserve"> environmental expertise</w:t>
            </w:r>
          </w:p>
        </w:tc>
        <w:tc>
          <w:tcPr>
            <w:tcW w:w="5400" w:type="dxa"/>
            <w:shd w:val="clear" w:color="auto" w:fill="auto"/>
          </w:tcPr>
          <w:p w14:paraId="28EE8D48" w14:textId="4AFA1785"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Iluka Resources Limited (proponent)</w:t>
            </w:r>
          </w:p>
          <w:p w14:paraId="62AEDB7F" w14:textId="77777777" w:rsidR="004D5649" w:rsidRPr="00E356A3" w:rsidRDefault="004D5649" w:rsidP="004D5649">
            <w:pPr>
              <w:tabs>
                <w:tab w:val="left" w:pos="2904"/>
                <w:tab w:val="left" w:pos="3907"/>
                <w:tab w:val="left" w:pos="4910"/>
                <w:tab w:val="left" w:pos="5913"/>
                <w:tab w:val="left" w:pos="6916"/>
              </w:tabs>
              <w:spacing w:before="120"/>
              <w:jc w:val="both"/>
              <w:rPr>
                <w:rFonts w:ascii="Arial" w:hAnsi="Arial"/>
              </w:rPr>
            </w:pPr>
            <w:r w:rsidRPr="00E356A3">
              <w:rPr>
                <w:rFonts w:ascii="Arial" w:hAnsi="Arial"/>
              </w:rPr>
              <w:t>Iluka is an</w:t>
            </w:r>
            <w:r>
              <w:rPr>
                <w:rFonts w:ascii="Arial" w:hAnsi="Arial"/>
              </w:rPr>
              <w:t xml:space="preserve"> Australian-owned, </w:t>
            </w:r>
            <w:r w:rsidRPr="00E356A3">
              <w:rPr>
                <w:rFonts w:ascii="Arial" w:hAnsi="Arial"/>
              </w:rPr>
              <w:t>international mineral sands company with expertise in exploration, development, mining, processing, marketing and rehabilitation. The company has over 60 years’ experience in the mineral sands industry.</w:t>
            </w:r>
          </w:p>
          <w:p w14:paraId="692776E5" w14:textId="77777777" w:rsidR="004D5649" w:rsidRPr="00E356A3" w:rsidRDefault="004D5649" w:rsidP="004D5649">
            <w:pPr>
              <w:tabs>
                <w:tab w:val="left" w:pos="2904"/>
                <w:tab w:val="left" w:pos="3907"/>
                <w:tab w:val="left" w:pos="4910"/>
                <w:tab w:val="left" w:pos="5913"/>
                <w:tab w:val="left" w:pos="6916"/>
              </w:tabs>
              <w:spacing w:before="120"/>
              <w:jc w:val="both"/>
              <w:rPr>
                <w:rFonts w:ascii="Arial" w:hAnsi="Arial"/>
              </w:rPr>
            </w:pPr>
            <w:r w:rsidRPr="00E356A3">
              <w:rPr>
                <w:rFonts w:ascii="Arial" w:hAnsi="Arial"/>
              </w:rPr>
              <w:t>Iluka’s portfolio includes operations in Australia and Sierra Leone; projects in Australia, Sierra Leone and Sri Lanka; and a globally integrated marketing and distribution network. </w:t>
            </w:r>
          </w:p>
          <w:p w14:paraId="2A090E47" w14:textId="77777777" w:rsidR="004D5649" w:rsidRPr="00E356A3" w:rsidRDefault="004D5649" w:rsidP="004D5649">
            <w:pPr>
              <w:tabs>
                <w:tab w:val="left" w:pos="2904"/>
                <w:tab w:val="left" w:pos="3907"/>
                <w:tab w:val="left" w:pos="4910"/>
                <w:tab w:val="left" w:pos="5913"/>
                <w:tab w:val="left" w:pos="6916"/>
              </w:tabs>
              <w:spacing w:before="120"/>
              <w:jc w:val="both"/>
              <w:rPr>
                <w:rFonts w:ascii="Arial" w:hAnsi="Arial"/>
              </w:rPr>
            </w:pPr>
            <w:r w:rsidRPr="00E356A3">
              <w:rPr>
                <w:rFonts w:ascii="Arial" w:hAnsi="Arial"/>
              </w:rPr>
              <w:t xml:space="preserve">Iluka has invested over $1 billion in Victoria since 2005. </w:t>
            </w:r>
          </w:p>
          <w:p w14:paraId="0ED08081" w14:textId="77652447" w:rsidR="004D5649" w:rsidRPr="00E356A3" w:rsidRDefault="004D5649" w:rsidP="004D5649">
            <w:pPr>
              <w:tabs>
                <w:tab w:val="left" w:pos="2904"/>
                <w:tab w:val="left" w:pos="3907"/>
                <w:tab w:val="left" w:pos="4910"/>
                <w:tab w:val="left" w:pos="5913"/>
                <w:tab w:val="left" w:pos="6916"/>
              </w:tabs>
              <w:spacing w:before="120"/>
              <w:rPr>
                <w:rFonts w:ascii="Arial" w:hAnsi="Arial"/>
                <w:b/>
              </w:rPr>
            </w:pPr>
            <w:r w:rsidRPr="00E356A3">
              <w:rPr>
                <w:rFonts w:ascii="Arial" w:hAnsi="Arial"/>
                <w:b/>
              </w:rPr>
              <w:t>Consultants</w:t>
            </w:r>
          </w:p>
          <w:p w14:paraId="6FDE96F3" w14:textId="104F990F"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Environmental approvals: EMM Consulting</w:t>
            </w:r>
            <w:r>
              <w:rPr>
                <w:rFonts w:ascii="Arial" w:hAnsi="Arial"/>
              </w:rPr>
              <w:t>;</w:t>
            </w:r>
          </w:p>
          <w:p w14:paraId="4951CA0F" w14:textId="58AFA153"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Heritage: GHD</w:t>
            </w:r>
            <w:r>
              <w:rPr>
                <w:rFonts w:ascii="Arial" w:hAnsi="Arial"/>
              </w:rPr>
              <w:t>;</w:t>
            </w:r>
          </w:p>
          <w:p w14:paraId="61C17CEF" w14:textId="64CCD4ED"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Biodiversity: Cardno</w:t>
            </w:r>
            <w:r>
              <w:rPr>
                <w:rFonts w:ascii="Arial" w:hAnsi="Arial"/>
              </w:rPr>
              <w:t>;</w:t>
            </w:r>
          </w:p>
          <w:p w14:paraId="56E2D4B5" w14:textId="211177E5"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jc w:val="both"/>
              <w:rPr>
                <w:rFonts w:ascii="Arial" w:hAnsi="Arial"/>
              </w:rPr>
            </w:pPr>
            <w:r w:rsidRPr="00D02516">
              <w:rPr>
                <w:rFonts w:ascii="Arial" w:hAnsi="Arial"/>
              </w:rPr>
              <w:t>Noise and vibration: GHD</w:t>
            </w:r>
            <w:r>
              <w:rPr>
                <w:rFonts w:ascii="Arial" w:hAnsi="Arial"/>
              </w:rPr>
              <w:t>;</w:t>
            </w:r>
          </w:p>
          <w:p w14:paraId="57071592" w14:textId="36313FF8"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Meteorology: GHD</w:t>
            </w:r>
            <w:r>
              <w:rPr>
                <w:rFonts w:ascii="Arial" w:hAnsi="Arial"/>
              </w:rPr>
              <w:t>;</w:t>
            </w:r>
          </w:p>
          <w:p w14:paraId="45D35882" w14:textId="1A6FD447"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Groundwater: Jacobs</w:t>
            </w:r>
            <w:r>
              <w:rPr>
                <w:rFonts w:ascii="Arial" w:hAnsi="Arial"/>
              </w:rPr>
              <w:t>;</w:t>
            </w:r>
          </w:p>
          <w:p w14:paraId="57F73E3B" w14:textId="4F2F70B3"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Surface water: Water Technology</w:t>
            </w:r>
            <w:r>
              <w:rPr>
                <w:rFonts w:ascii="Arial" w:hAnsi="Arial"/>
              </w:rPr>
              <w:t>;</w:t>
            </w:r>
          </w:p>
          <w:p w14:paraId="431B3074" w14:textId="635EDF20"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Radiation: Safe Radiation</w:t>
            </w:r>
            <w:r>
              <w:rPr>
                <w:rFonts w:ascii="Arial" w:hAnsi="Arial"/>
              </w:rPr>
              <w:t>; and</w:t>
            </w:r>
          </w:p>
          <w:p w14:paraId="051EB5E0" w14:textId="77777777" w:rsidR="004D5649" w:rsidRPr="00D02516" w:rsidRDefault="004D5649" w:rsidP="004D5649">
            <w:pPr>
              <w:pStyle w:val="ListParagraph"/>
              <w:numPr>
                <w:ilvl w:val="0"/>
                <w:numId w:val="34"/>
              </w:numPr>
              <w:tabs>
                <w:tab w:val="left" w:pos="2904"/>
                <w:tab w:val="left" w:pos="3907"/>
                <w:tab w:val="left" w:pos="4910"/>
                <w:tab w:val="left" w:pos="5913"/>
                <w:tab w:val="left" w:pos="6916"/>
              </w:tabs>
              <w:spacing w:before="120"/>
              <w:rPr>
                <w:rFonts w:ascii="Arial" w:hAnsi="Arial"/>
              </w:rPr>
            </w:pPr>
            <w:r w:rsidRPr="00D02516">
              <w:rPr>
                <w:rFonts w:ascii="Arial" w:hAnsi="Arial"/>
              </w:rPr>
              <w:t>Soil: Meridian Agriculture</w:t>
            </w:r>
            <w:r>
              <w:rPr>
                <w:rFonts w:ascii="Arial" w:hAnsi="Arial"/>
              </w:rPr>
              <w:t>.</w:t>
            </w:r>
          </w:p>
        </w:tc>
      </w:tr>
      <w:bookmarkEnd w:id="2"/>
    </w:tbl>
    <w:p w14:paraId="155FC053" w14:textId="77777777" w:rsidR="00013847" w:rsidRDefault="00013847">
      <w:pPr>
        <w:tabs>
          <w:tab w:val="left" w:pos="2904"/>
          <w:tab w:val="left" w:pos="3907"/>
          <w:tab w:val="left" w:pos="4910"/>
          <w:tab w:val="left" w:pos="5913"/>
          <w:tab w:val="left" w:pos="6916"/>
        </w:tabs>
        <w:ind w:left="93"/>
        <w:rPr>
          <w:rFonts w:ascii="Arial" w:hAnsi="Arial"/>
          <w:b/>
          <w:sz w:val="22"/>
        </w:rPr>
      </w:pPr>
    </w:p>
    <w:p w14:paraId="43C9020F" w14:textId="77777777" w:rsidR="007508CC" w:rsidRDefault="007508CC">
      <w:pPr>
        <w:tabs>
          <w:tab w:val="left" w:pos="2904"/>
          <w:tab w:val="left" w:pos="3907"/>
          <w:tab w:val="left" w:pos="4910"/>
          <w:tab w:val="left" w:pos="5913"/>
          <w:tab w:val="left" w:pos="6916"/>
        </w:tabs>
        <w:ind w:left="93"/>
        <w:rPr>
          <w:rFonts w:ascii="Arial" w:hAnsi="Arial"/>
          <w:b/>
          <w:sz w:val="22"/>
        </w:rPr>
      </w:pPr>
      <w:bookmarkStart w:id="3" w:name="_Hlk13216300"/>
    </w:p>
    <w:p w14:paraId="15620007" w14:textId="16227AAD" w:rsidR="001C34F3" w:rsidRDefault="001C34F3">
      <w:pPr>
        <w:tabs>
          <w:tab w:val="left" w:pos="2904"/>
          <w:tab w:val="left" w:pos="3907"/>
          <w:tab w:val="left" w:pos="4910"/>
          <w:tab w:val="left" w:pos="5913"/>
          <w:tab w:val="left" w:pos="6916"/>
        </w:tabs>
        <w:ind w:left="93"/>
        <w:rPr>
          <w:rFonts w:ascii="Arial" w:hAnsi="Arial"/>
        </w:rPr>
      </w:pPr>
      <w:r>
        <w:rPr>
          <w:rFonts w:ascii="Arial" w:hAnsi="Arial"/>
          <w:b/>
          <w:sz w:val="22"/>
        </w:rPr>
        <w:t>2</w:t>
      </w:r>
      <w:r w:rsidR="00731F1C">
        <w:rPr>
          <w:rFonts w:ascii="Arial" w:hAnsi="Arial"/>
          <w:b/>
          <w:sz w:val="22"/>
        </w:rPr>
        <w:t xml:space="preserve">.  </w:t>
      </w:r>
      <w:r>
        <w:rPr>
          <w:rFonts w:ascii="Arial" w:hAnsi="Arial"/>
          <w:b/>
          <w:sz w:val="22"/>
        </w:rPr>
        <w:t>Project – brief outline</w:t>
      </w:r>
      <w:r>
        <w:rPr>
          <w:rFonts w:ascii="Arial" w:hAnsi="Arial"/>
          <w:b/>
        </w:rPr>
        <w:tab/>
      </w:r>
      <w:r>
        <w:rPr>
          <w:rFonts w:ascii="Arial" w:hAnsi="Arial"/>
        </w:rPr>
        <w:tab/>
      </w:r>
      <w:r>
        <w:rPr>
          <w:rFonts w:ascii="Arial" w:hAnsi="Arial"/>
        </w:rPr>
        <w:tab/>
      </w:r>
      <w:r>
        <w:rPr>
          <w:rFonts w:ascii="Arial" w:hAnsi="Arial"/>
        </w:rPr>
        <w:tab/>
      </w:r>
      <w:r>
        <w:rPr>
          <w:rFonts w:ascii="Arial" w:hAnsi="Arial"/>
        </w:rPr>
        <w:tab/>
      </w:r>
    </w:p>
    <w:bookmarkEnd w:id="3"/>
    <w:p w14:paraId="6BA7D825" w14:textId="77777777" w:rsidR="001C34F3" w:rsidRDefault="001C34F3">
      <w:pPr>
        <w:tabs>
          <w:tab w:val="left" w:pos="2904"/>
          <w:tab w:val="left" w:pos="3907"/>
          <w:tab w:val="left" w:pos="4910"/>
          <w:tab w:val="left" w:pos="5913"/>
          <w:tab w:val="left" w:pos="6916"/>
        </w:tabs>
        <w:ind w:left="93"/>
        <w:rPr>
          <w:rFonts w:ascii="Arial" w:hAnsi="Arial"/>
        </w:rPr>
      </w:pPr>
    </w:p>
    <w:tbl>
      <w:tblPr>
        <w:tblW w:w="89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3"/>
      </w:tblGrid>
      <w:tr w:rsidR="001C34F3" w14:paraId="469A3298" w14:textId="77777777" w:rsidTr="00055608">
        <w:tc>
          <w:tcPr>
            <w:tcW w:w="8993" w:type="dxa"/>
            <w:tcBorders>
              <w:bottom w:val="nil"/>
            </w:tcBorders>
          </w:tcPr>
          <w:p w14:paraId="211BE7D9" w14:textId="1C48C625" w:rsidR="001C34F3" w:rsidRDefault="004F5EA3">
            <w:pPr>
              <w:tabs>
                <w:tab w:val="left" w:pos="2904"/>
                <w:tab w:val="left" w:pos="3907"/>
                <w:tab w:val="left" w:pos="4910"/>
                <w:tab w:val="left" w:pos="5913"/>
                <w:tab w:val="left" w:pos="6916"/>
              </w:tabs>
              <w:rPr>
                <w:rFonts w:ascii="Arial" w:hAnsi="Arial"/>
                <w:b/>
              </w:rPr>
            </w:pPr>
            <w:bookmarkStart w:id="4" w:name="_Hlk13216313"/>
            <w:r>
              <w:rPr>
                <w:rFonts w:ascii="Arial" w:hAnsi="Arial"/>
                <w:b/>
              </w:rPr>
              <w:t xml:space="preserve">2.1 </w:t>
            </w:r>
            <w:r w:rsidR="001C34F3">
              <w:rPr>
                <w:rFonts w:ascii="Arial" w:hAnsi="Arial"/>
                <w:b/>
              </w:rPr>
              <w:t>Project title</w:t>
            </w:r>
            <w:bookmarkEnd w:id="4"/>
          </w:p>
        </w:tc>
      </w:tr>
      <w:tr w:rsidR="001C34F3" w14:paraId="11B28D83" w14:textId="77777777" w:rsidTr="00055608">
        <w:tc>
          <w:tcPr>
            <w:tcW w:w="8993" w:type="dxa"/>
            <w:tcBorders>
              <w:top w:val="nil"/>
              <w:bottom w:val="single" w:sz="4" w:space="0" w:color="auto"/>
            </w:tcBorders>
          </w:tcPr>
          <w:p w14:paraId="2493C4FE" w14:textId="77777777" w:rsidR="00013847" w:rsidRPr="0060050D" w:rsidRDefault="00013847" w:rsidP="0060050D">
            <w:pPr>
              <w:tabs>
                <w:tab w:val="left" w:pos="2904"/>
                <w:tab w:val="left" w:pos="3907"/>
                <w:tab w:val="left" w:pos="4910"/>
                <w:tab w:val="left" w:pos="5913"/>
                <w:tab w:val="left" w:pos="6916"/>
              </w:tabs>
              <w:spacing w:before="120"/>
              <w:rPr>
                <w:rFonts w:ascii="Arial" w:hAnsi="Arial"/>
              </w:rPr>
            </w:pPr>
            <w:bookmarkStart w:id="5" w:name="_Hlk13216324"/>
            <w:r w:rsidRPr="0060050D">
              <w:rPr>
                <w:rFonts w:ascii="Arial" w:hAnsi="Arial"/>
              </w:rPr>
              <w:t>Wimmera Project.</w:t>
            </w:r>
          </w:p>
          <w:bookmarkEnd w:id="5"/>
          <w:p w14:paraId="53F8FA98" w14:textId="77777777" w:rsidR="001C34F3" w:rsidRDefault="001C34F3">
            <w:pPr>
              <w:tabs>
                <w:tab w:val="left" w:pos="2904"/>
                <w:tab w:val="left" w:pos="3907"/>
                <w:tab w:val="left" w:pos="4910"/>
                <w:tab w:val="left" w:pos="5913"/>
                <w:tab w:val="left" w:pos="6916"/>
              </w:tabs>
              <w:rPr>
                <w:rFonts w:ascii="Arial" w:hAnsi="Arial"/>
              </w:rPr>
            </w:pPr>
          </w:p>
        </w:tc>
      </w:tr>
      <w:tr w:rsidR="001C34F3" w14:paraId="2C2BFA0F" w14:textId="77777777" w:rsidTr="00055608">
        <w:tc>
          <w:tcPr>
            <w:tcW w:w="8993" w:type="dxa"/>
            <w:tcBorders>
              <w:bottom w:val="nil"/>
            </w:tcBorders>
          </w:tcPr>
          <w:p w14:paraId="09EB8A79" w14:textId="65241FBD" w:rsidR="001C34F3" w:rsidRDefault="004F5EA3" w:rsidP="00B61A22">
            <w:pPr>
              <w:tabs>
                <w:tab w:val="left" w:pos="2904"/>
                <w:tab w:val="left" w:pos="3907"/>
                <w:tab w:val="left" w:pos="4910"/>
                <w:tab w:val="left" w:pos="5913"/>
                <w:tab w:val="left" w:pos="6916"/>
              </w:tabs>
              <w:jc w:val="both"/>
              <w:rPr>
                <w:rFonts w:ascii="Arial" w:hAnsi="Arial"/>
              </w:rPr>
            </w:pPr>
            <w:bookmarkStart w:id="6" w:name="_Hlk13216331"/>
            <w:r>
              <w:rPr>
                <w:rFonts w:ascii="Arial" w:hAnsi="Arial"/>
                <w:b/>
              </w:rPr>
              <w:t xml:space="preserve">2.2 </w:t>
            </w:r>
            <w:r w:rsidR="001C34F3">
              <w:rPr>
                <w:rFonts w:ascii="Arial" w:hAnsi="Arial"/>
                <w:b/>
              </w:rPr>
              <w:t>Project location</w:t>
            </w:r>
            <w:bookmarkEnd w:id="6"/>
          </w:p>
        </w:tc>
      </w:tr>
      <w:tr w:rsidR="001C34F3" w14:paraId="5D9BD7A8" w14:textId="77777777" w:rsidTr="00055608">
        <w:tc>
          <w:tcPr>
            <w:tcW w:w="8993" w:type="dxa"/>
            <w:tcBorders>
              <w:top w:val="nil"/>
              <w:bottom w:val="single" w:sz="4" w:space="0" w:color="auto"/>
            </w:tcBorders>
          </w:tcPr>
          <w:p w14:paraId="2443BFDE" w14:textId="3895262E" w:rsidR="00013847" w:rsidRPr="00013847" w:rsidRDefault="00013847" w:rsidP="00B61A22">
            <w:pPr>
              <w:tabs>
                <w:tab w:val="left" w:pos="2904"/>
                <w:tab w:val="left" w:pos="3907"/>
                <w:tab w:val="left" w:pos="4910"/>
                <w:tab w:val="left" w:pos="5913"/>
                <w:tab w:val="left" w:pos="6916"/>
              </w:tabs>
              <w:spacing w:before="120"/>
              <w:jc w:val="both"/>
              <w:rPr>
                <w:rFonts w:ascii="Arial" w:hAnsi="Arial"/>
              </w:rPr>
            </w:pPr>
            <w:bookmarkStart w:id="7" w:name="_Hlk13216342"/>
            <w:r w:rsidRPr="00013847">
              <w:rPr>
                <w:rFonts w:ascii="Arial" w:hAnsi="Arial"/>
              </w:rPr>
              <w:t xml:space="preserve">The Project site is located at the locality of </w:t>
            </w:r>
            <w:proofErr w:type="spellStart"/>
            <w:r w:rsidRPr="00013847">
              <w:rPr>
                <w:rFonts w:ascii="Arial" w:hAnsi="Arial"/>
              </w:rPr>
              <w:t>Jallumba</w:t>
            </w:r>
            <w:proofErr w:type="spellEnd"/>
            <w:r w:rsidRPr="00013847">
              <w:rPr>
                <w:rFonts w:ascii="Arial" w:hAnsi="Arial"/>
              </w:rPr>
              <w:t>, a</w:t>
            </w:r>
            <w:r w:rsidR="00D35513">
              <w:rPr>
                <w:rFonts w:ascii="Arial" w:hAnsi="Arial"/>
              </w:rPr>
              <w:t>pproximately</w:t>
            </w:r>
            <w:r w:rsidRPr="00013847">
              <w:rPr>
                <w:rFonts w:ascii="Arial" w:hAnsi="Arial"/>
              </w:rPr>
              <w:t xml:space="preserve"> 40 kilometres (km) south-west of Horsham, 35 km north-east of Balmoral in the </w:t>
            </w:r>
            <w:r w:rsidR="00D35513">
              <w:rPr>
                <w:rFonts w:ascii="Arial" w:hAnsi="Arial"/>
              </w:rPr>
              <w:t>S</w:t>
            </w:r>
            <w:r w:rsidRPr="00013847">
              <w:rPr>
                <w:rFonts w:ascii="Arial" w:hAnsi="Arial"/>
              </w:rPr>
              <w:t xml:space="preserve">outhern Wimmera </w:t>
            </w:r>
            <w:r w:rsidR="00D35513">
              <w:rPr>
                <w:rFonts w:ascii="Arial" w:hAnsi="Arial"/>
              </w:rPr>
              <w:t>R</w:t>
            </w:r>
            <w:r w:rsidRPr="00013847">
              <w:rPr>
                <w:rFonts w:ascii="Arial" w:hAnsi="Arial"/>
              </w:rPr>
              <w:t xml:space="preserve">egion </w:t>
            </w:r>
            <w:r w:rsidR="00D35513">
              <w:rPr>
                <w:rFonts w:ascii="Arial" w:hAnsi="Arial"/>
              </w:rPr>
              <w:t xml:space="preserve">in </w:t>
            </w:r>
            <w:r w:rsidRPr="00013847">
              <w:rPr>
                <w:rFonts w:ascii="Arial" w:hAnsi="Arial"/>
              </w:rPr>
              <w:t xml:space="preserve">Western Victoria. It is approximately 325 km west of Melbourne </w:t>
            </w:r>
            <w:r w:rsidR="00D35513">
              <w:rPr>
                <w:rFonts w:ascii="Arial" w:hAnsi="Arial"/>
              </w:rPr>
              <w:t>C</w:t>
            </w:r>
            <w:r w:rsidRPr="00013847">
              <w:rPr>
                <w:rFonts w:ascii="Arial" w:hAnsi="Arial"/>
              </w:rPr>
              <w:t xml:space="preserve">entral </w:t>
            </w:r>
            <w:r w:rsidR="00D35513">
              <w:rPr>
                <w:rFonts w:ascii="Arial" w:hAnsi="Arial"/>
              </w:rPr>
              <w:t>B</w:t>
            </w:r>
            <w:r w:rsidRPr="00013847">
              <w:rPr>
                <w:rFonts w:ascii="Arial" w:hAnsi="Arial"/>
              </w:rPr>
              <w:t xml:space="preserve">usiness </w:t>
            </w:r>
            <w:r w:rsidR="00D35513">
              <w:rPr>
                <w:rFonts w:ascii="Arial" w:hAnsi="Arial"/>
              </w:rPr>
              <w:t>D</w:t>
            </w:r>
            <w:r w:rsidRPr="00013847">
              <w:rPr>
                <w:rFonts w:ascii="Arial" w:hAnsi="Arial"/>
              </w:rPr>
              <w:t>istrict (Figure 1).</w:t>
            </w:r>
          </w:p>
          <w:p w14:paraId="18BE4312" w14:textId="77777777" w:rsidR="00D87784" w:rsidRPr="00013847" w:rsidRDefault="00013847" w:rsidP="00D87784">
            <w:pPr>
              <w:tabs>
                <w:tab w:val="left" w:pos="2904"/>
                <w:tab w:val="left" w:pos="3907"/>
                <w:tab w:val="left" w:pos="4910"/>
                <w:tab w:val="left" w:pos="5913"/>
                <w:tab w:val="left" w:pos="6916"/>
              </w:tabs>
              <w:spacing w:before="120"/>
              <w:jc w:val="both"/>
              <w:rPr>
                <w:rFonts w:ascii="Arial" w:hAnsi="Arial"/>
              </w:rPr>
            </w:pPr>
            <w:r w:rsidRPr="00013847">
              <w:rPr>
                <w:rFonts w:ascii="Arial" w:hAnsi="Arial"/>
              </w:rPr>
              <w:t>The Project site is located just to the north of the Toolondo Reservoir and the associated small settlement of Toolondo (Figure 2).</w:t>
            </w:r>
            <w:r w:rsidR="00D87784">
              <w:rPr>
                <w:rFonts w:ascii="Arial" w:hAnsi="Arial"/>
              </w:rPr>
              <w:t xml:space="preserve"> </w:t>
            </w:r>
            <w:r w:rsidR="00D87784" w:rsidRPr="00013847">
              <w:rPr>
                <w:rFonts w:ascii="Arial" w:hAnsi="Arial"/>
              </w:rPr>
              <w:t>Nearby towns and localities are shown in Figure 3.</w:t>
            </w:r>
          </w:p>
          <w:p w14:paraId="4E32B07E" w14:textId="4C7FB582" w:rsidR="00013847" w:rsidRDefault="00013847" w:rsidP="00B61A22">
            <w:pPr>
              <w:tabs>
                <w:tab w:val="left" w:pos="2904"/>
                <w:tab w:val="left" w:pos="3907"/>
                <w:tab w:val="left" w:pos="4910"/>
                <w:tab w:val="left" w:pos="5913"/>
                <w:tab w:val="left" w:pos="6916"/>
              </w:tabs>
              <w:spacing w:before="120"/>
              <w:jc w:val="both"/>
              <w:rPr>
                <w:rFonts w:ascii="Arial" w:hAnsi="Arial"/>
              </w:rPr>
            </w:pPr>
            <w:r w:rsidRPr="00013847">
              <w:rPr>
                <w:rFonts w:ascii="Arial" w:hAnsi="Arial"/>
              </w:rPr>
              <w:t>The Iluka Echo and Douglas mines are approximately 5 km to the east and 20 km to the south-west of the Project site respectively (Figure 1).</w:t>
            </w:r>
          </w:p>
          <w:p w14:paraId="09A9A77F" w14:textId="7D9B1CFF" w:rsidR="00B61A22" w:rsidRPr="00384063" w:rsidRDefault="00E258BE" w:rsidP="00384063">
            <w:pPr>
              <w:tabs>
                <w:tab w:val="left" w:pos="2904"/>
                <w:tab w:val="left" w:pos="3907"/>
                <w:tab w:val="left" w:pos="4910"/>
                <w:tab w:val="left" w:pos="5913"/>
                <w:tab w:val="left" w:pos="6916"/>
              </w:tabs>
              <w:spacing w:before="120" w:after="120"/>
              <w:jc w:val="both"/>
              <w:rPr>
                <w:rFonts w:ascii="Arial" w:hAnsi="Arial" w:cs="Arial"/>
              </w:rPr>
            </w:pPr>
            <w:r w:rsidRPr="00384063">
              <w:rPr>
                <w:rFonts w:ascii="Arial" w:hAnsi="Arial" w:cs="Arial"/>
              </w:rPr>
              <w:t>The Echo mine development wa</w:t>
            </w:r>
            <w:r w:rsidR="004214AF" w:rsidRPr="00384063">
              <w:rPr>
                <w:rFonts w:ascii="Arial" w:hAnsi="Arial" w:cs="Arial"/>
              </w:rPr>
              <w:t>s undertaken in accordance with</w:t>
            </w:r>
            <w:r w:rsidR="00384063" w:rsidRPr="00384063">
              <w:rPr>
                <w:rFonts w:ascii="Arial" w:hAnsi="Arial" w:cs="Arial"/>
              </w:rPr>
              <w:t xml:space="preserve"> </w:t>
            </w:r>
            <w:r w:rsidRPr="00384063">
              <w:rPr>
                <w:rFonts w:ascii="Arial" w:hAnsi="Arial" w:cs="Arial"/>
              </w:rPr>
              <w:t xml:space="preserve">a Mining Licence (MIN5506) and Mine Work Plan </w:t>
            </w:r>
            <w:r w:rsidR="004214AF" w:rsidRPr="00384063">
              <w:rPr>
                <w:rFonts w:ascii="Arial" w:hAnsi="Arial" w:cs="Arial"/>
              </w:rPr>
              <w:t>approved</w:t>
            </w:r>
            <w:r w:rsidRPr="00384063">
              <w:rPr>
                <w:rFonts w:ascii="Arial" w:hAnsi="Arial" w:cs="Arial"/>
              </w:rPr>
              <w:t xml:space="preserve"> under the </w:t>
            </w:r>
            <w:r w:rsidRPr="00384063">
              <w:rPr>
                <w:rFonts w:ascii="Arial" w:hAnsi="Arial" w:cs="Arial"/>
                <w:i/>
              </w:rPr>
              <w:t>Mineral Resources (Sustainable Development) Act 1990</w:t>
            </w:r>
            <w:r w:rsidR="00384063" w:rsidRPr="00384063">
              <w:rPr>
                <w:rFonts w:ascii="Arial" w:hAnsi="Arial" w:cs="Arial"/>
              </w:rPr>
              <w:t xml:space="preserve">, </w:t>
            </w:r>
            <w:r w:rsidRPr="00384063">
              <w:rPr>
                <w:rFonts w:ascii="Arial" w:hAnsi="Arial" w:cs="Arial"/>
              </w:rPr>
              <w:t>Planning Permit</w:t>
            </w:r>
            <w:r w:rsidR="004214AF" w:rsidRPr="00384063">
              <w:rPr>
                <w:rFonts w:ascii="Arial" w:hAnsi="Arial" w:cs="Arial"/>
              </w:rPr>
              <w:t xml:space="preserve"> </w:t>
            </w:r>
            <w:r w:rsidR="00B61A22" w:rsidRPr="00384063">
              <w:rPr>
                <w:rFonts w:ascii="Arial" w:hAnsi="Arial" w:cs="Arial"/>
              </w:rPr>
              <w:t>08-244</w:t>
            </w:r>
            <w:r w:rsidR="00B61A22" w:rsidRPr="00384063">
              <w:rPr>
                <w:rFonts w:ascii="Arial" w:hAnsi="Arial" w:cs="Arial"/>
                <w:b/>
              </w:rPr>
              <w:t xml:space="preserve"> </w:t>
            </w:r>
            <w:r w:rsidR="004214AF" w:rsidRPr="00384063">
              <w:rPr>
                <w:rFonts w:ascii="Arial" w:hAnsi="Arial" w:cs="Arial"/>
              </w:rPr>
              <w:t xml:space="preserve">issued under the </w:t>
            </w:r>
            <w:r w:rsidR="004214AF" w:rsidRPr="00384063">
              <w:rPr>
                <w:rFonts w:ascii="Arial" w:hAnsi="Arial" w:cs="Arial"/>
                <w:i/>
              </w:rPr>
              <w:t>Planning and Environment Act 1987</w:t>
            </w:r>
            <w:r w:rsidR="00384063" w:rsidRPr="00384063">
              <w:rPr>
                <w:rFonts w:ascii="Arial" w:hAnsi="Arial" w:cs="Arial"/>
              </w:rPr>
              <w:t>, and various other licences and permits</w:t>
            </w:r>
            <w:r w:rsidRPr="00384063">
              <w:rPr>
                <w:rFonts w:ascii="Arial" w:hAnsi="Arial" w:cs="Arial"/>
              </w:rPr>
              <w:t>.</w:t>
            </w:r>
            <w:r w:rsidR="00384063" w:rsidRPr="00384063">
              <w:rPr>
                <w:rFonts w:ascii="Arial" w:hAnsi="Arial" w:cs="Arial"/>
              </w:rPr>
              <w:t xml:space="preserve"> </w:t>
            </w:r>
            <w:r w:rsidR="00B61A22" w:rsidRPr="00384063">
              <w:rPr>
                <w:rFonts w:ascii="Arial" w:hAnsi="Arial" w:cs="Arial"/>
              </w:rPr>
              <w:t xml:space="preserve">The Douglas mine development was </w:t>
            </w:r>
            <w:r w:rsidR="008139BD">
              <w:rPr>
                <w:rFonts w:ascii="Arial" w:hAnsi="Arial" w:cs="Arial"/>
              </w:rPr>
              <w:t>assessed via an Environment</w:t>
            </w:r>
            <w:r w:rsidR="00384063" w:rsidRPr="00384063">
              <w:rPr>
                <w:rFonts w:ascii="Arial" w:hAnsi="Arial" w:cs="Arial"/>
              </w:rPr>
              <w:t xml:space="preserve"> Effects Statement under the </w:t>
            </w:r>
            <w:r w:rsidR="008139BD">
              <w:rPr>
                <w:rFonts w:ascii="Arial" w:hAnsi="Arial" w:cs="Arial"/>
                <w:i/>
              </w:rPr>
              <w:t>Environment</w:t>
            </w:r>
            <w:r w:rsidR="00384063" w:rsidRPr="00384063">
              <w:rPr>
                <w:rFonts w:ascii="Arial" w:hAnsi="Arial" w:cs="Arial"/>
                <w:i/>
              </w:rPr>
              <w:t xml:space="preserve"> Effects Act 1978</w:t>
            </w:r>
            <w:r w:rsidR="00D02516">
              <w:rPr>
                <w:rFonts w:ascii="Arial" w:hAnsi="Arial" w:cs="Arial"/>
                <w:i/>
              </w:rPr>
              <w:t xml:space="preserve"> </w:t>
            </w:r>
            <w:r w:rsidR="00384063" w:rsidRPr="00384063">
              <w:rPr>
                <w:rFonts w:ascii="Arial" w:hAnsi="Arial" w:cs="Arial"/>
                <w:i/>
              </w:rPr>
              <w:t xml:space="preserve">and was </w:t>
            </w:r>
            <w:r w:rsidR="00B61A22" w:rsidRPr="00384063">
              <w:rPr>
                <w:rFonts w:ascii="Arial" w:hAnsi="Arial" w:cs="Arial"/>
              </w:rPr>
              <w:t>undertaken in accordance with</w:t>
            </w:r>
            <w:r w:rsidR="00384063" w:rsidRPr="00384063">
              <w:rPr>
                <w:rFonts w:ascii="Arial" w:hAnsi="Arial" w:cs="Arial"/>
              </w:rPr>
              <w:t xml:space="preserve"> </w:t>
            </w:r>
            <w:r w:rsidR="00B61A22" w:rsidRPr="00384063">
              <w:rPr>
                <w:rFonts w:ascii="Arial" w:hAnsi="Arial" w:cs="Arial"/>
              </w:rPr>
              <w:t>a Mining Licence (MIN</w:t>
            </w:r>
            <w:r w:rsidR="004C243D" w:rsidRPr="00384063">
              <w:rPr>
                <w:rFonts w:ascii="Arial" w:hAnsi="Arial" w:cs="Arial"/>
                <w:b/>
              </w:rPr>
              <w:t>5367</w:t>
            </w:r>
            <w:r w:rsidR="00B61A22" w:rsidRPr="00384063">
              <w:rPr>
                <w:rFonts w:ascii="Arial" w:hAnsi="Arial" w:cs="Arial"/>
              </w:rPr>
              <w:t xml:space="preserve">) and Mine Work Plan approved under the </w:t>
            </w:r>
            <w:r w:rsidR="00B61A22" w:rsidRPr="00384063">
              <w:rPr>
                <w:rFonts w:ascii="Arial" w:hAnsi="Arial" w:cs="Arial"/>
                <w:i/>
              </w:rPr>
              <w:t>Mineral Resources (Sustainable Development) Act 1990</w:t>
            </w:r>
            <w:r w:rsidR="00384063" w:rsidRPr="00384063">
              <w:rPr>
                <w:rFonts w:ascii="Arial" w:hAnsi="Arial" w:cs="Arial"/>
              </w:rPr>
              <w:t>, and various other licences and permits</w:t>
            </w:r>
            <w:r w:rsidR="00B61A22" w:rsidRPr="00384063">
              <w:rPr>
                <w:rFonts w:ascii="Arial" w:hAnsi="Arial" w:cs="Arial"/>
              </w:rPr>
              <w:t>.</w:t>
            </w:r>
          </w:p>
          <w:p w14:paraId="19C17429" w14:textId="7B21B579" w:rsidR="001C34F3" w:rsidRDefault="00013847" w:rsidP="00B61A22">
            <w:pPr>
              <w:tabs>
                <w:tab w:val="left" w:pos="2904"/>
                <w:tab w:val="left" w:pos="3907"/>
                <w:tab w:val="left" w:pos="4910"/>
                <w:tab w:val="left" w:pos="5913"/>
                <w:tab w:val="left" w:pos="6916"/>
              </w:tabs>
              <w:spacing w:before="120"/>
              <w:jc w:val="both"/>
              <w:rPr>
                <w:rFonts w:ascii="Arial" w:hAnsi="Arial"/>
              </w:rPr>
            </w:pPr>
            <w:r w:rsidRPr="00013847">
              <w:rPr>
                <w:rFonts w:ascii="Arial" w:hAnsi="Arial"/>
              </w:rPr>
              <w:t>The Project coordinates are provided in Table</w:t>
            </w:r>
            <w:r w:rsidR="003A303A">
              <w:rPr>
                <w:rFonts w:ascii="Arial" w:hAnsi="Arial"/>
              </w:rPr>
              <w:t xml:space="preserve"> 2.1</w:t>
            </w:r>
            <w:r w:rsidRPr="00013847">
              <w:rPr>
                <w:rFonts w:ascii="Arial" w:hAnsi="Arial"/>
              </w:rPr>
              <w:t>.</w:t>
            </w:r>
          </w:p>
          <w:p w14:paraId="2D920284" w14:textId="63EB2CFC" w:rsidR="00C33CD3" w:rsidRPr="00D85635" w:rsidRDefault="00C33CD3" w:rsidP="00C33CD3">
            <w:pPr>
              <w:pStyle w:val="TableCaption"/>
              <w:rPr>
                <w:rFonts w:ascii="Arial" w:hAnsi="Arial" w:cs="Arial"/>
                <w:sz w:val="18"/>
                <w:szCs w:val="16"/>
              </w:rPr>
            </w:pPr>
            <w:bookmarkStart w:id="8" w:name="_Toc5611100"/>
            <w:bookmarkStart w:id="9" w:name="_Toc7770331"/>
            <w:bookmarkStart w:id="10" w:name="_Toc7787936"/>
            <w:bookmarkStart w:id="11" w:name="_Toc8032019"/>
            <w:bookmarkStart w:id="12" w:name="_Toc8400188"/>
            <w:r w:rsidRPr="00D85635">
              <w:rPr>
                <w:rFonts w:ascii="Arial" w:hAnsi="Arial" w:cs="Arial"/>
                <w:sz w:val="18"/>
                <w:szCs w:val="16"/>
              </w:rPr>
              <w:t xml:space="preserve">Table </w:t>
            </w:r>
            <w:r w:rsidR="00D349EB" w:rsidRPr="00D85635">
              <w:rPr>
                <w:rFonts w:ascii="Arial" w:hAnsi="Arial" w:cs="Arial"/>
                <w:sz w:val="18"/>
                <w:szCs w:val="16"/>
              </w:rPr>
              <w:t>2</w:t>
            </w:r>
            <w:r w:rsidRPr="00D85635">
              <w:rPr>
                <w:rFonts w:ascii="Arial" w:hAnsi="Arial" w:cs="Arial"/>
                <w:sz w:val="18"/>
                <w:szCs w:val="16"/>
              </w:rPr>
              <w:t>.</w:t>
            </w:r>
            <w:r w:rsidRPr="00D85635">
              <w:rPr>
                <w:rFonts w:ascii="Arial" w:hAnsi="Arial" w:cs="Arial"/>
                <w:sz w:val="18"/>
                <w:szCs w:val="16"/>
              </w:rPr>
              <w:fldChar w:fldCharType="begin"/>
            </w:r>
            <w:r w:rsidRPr="00D85635">
              <w:rPr>
                <w:rFonts w:ascii="Arial" w:hAnsi="Arial" w:cs="Arial"/>
                <w:sz w:val="18"/>
                <w:szCs w:val="16"/>
              </w:rPr>
              <w:instrText xml:space="preserve"> SEQ Table \* ARABIC \s 1 </w:instrText>
            </w:r>
            <w:r w:rsidRPr="00D85635">
              <w:rPr>
                <w:rFonts w:ascii="Arial" w:hAnsi="Arial" w:cs="Arial"/>
                <w:sz w:val="18"/>
                <w:szCs w:val="16"/>
              </w:rPr>
              <w:fldChar w:fldCharType="separate"/>
            </w:r>
            <w:r w:rsidR="001E3FB4" w:rsidRPr="00D85635">
              <w:rPr>
                <w:rFonts w:ascii="Arial" w:hAnsi="Arial" w:cs="Arial"/>
                <w:noProof/>
                <w:sz w:val="18"/>
                <w:szCs w:val="16"/>
              </w:rPr>
              <w:t>1</w:t>
            </w:r>
            <w:r w:rsidRPr="00D85635">
              <w:rPr>
                <w:rFonts w:ascii="Arial" w:hAnsi="Arial" w:cs="Arial"/>
                <w:noProof/>
                <w:sz w:val="18"/>
                <w:szCs w:val="16"/>
              </w:rPr>
              <w:fldChar w:fldCharType="end"/>
            </w:r>
            <w:r w:rsidRPr="00D85635">
              <w:rPr>
                <w:rFonts w:ascii="Arial" w:hAnsi="Arial" w:cs="Arial"/>
                <w:sz w:val="18"/>
                <w:szCs w:val="16"/>
              </w:rPr>
              <w:tab/>
              <w:t>Project coordinates</w:t>
            </w:r>
            <w:bookmarkEnd w:id="8"/>
            <w:bookmarkEnd w:id="9"/>
            <w:bookmarkEnd w:id="10"/>
            <w:bookmarkEnd w:id="11"/>
            <w:bookmarkEnd w:id="12"/>
          </w:p>
          <w:tbl>
            <w:tblPr>
              <w:tblW w:w="8127" w:type="dxa"/>
              <w:tblLayout w:type="fixed"/>
              <w:tblLook w:val="04A0" w:firstRow="1" w:lastRow="0" w:firstColumn="1" w:lastColumn="0" w:noHBand="0" w:noVBand="1"/>
            </w:tblPr>
            <w:tblGrid>
              <w:gridCol w:w="1039"/>
              <w:gridCol w:w="993"/>
              <w:gridCol w:w="992"/>
              <w:gridCol w:w="1417"/>
              <w:gridCol w:w="1134"/>
              <w:gridCol w:w="993"/>
              <w:gridCol w:w="1559"/>
            </w:tblGrid>
            <w:tr w:rsidR="00C33CD3" w:rsidRPr="00C33CD3" w14:paraId="53F28D83" w14:textId="77777777" w:rsidTr="00C33CD3">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74F94"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 </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34C17F"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Latitude</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F01215"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Longitude</w:t>
                  </w:r>
                </w:p>
              </w:tc>
            </w:tr>
            <w:tr w:rsidR="00C33CD3" w:rsidRPr="00C33CD3" w14:paraId="087C5BC2" w14:textId="77777777" w:rsidTr="00C33CD3">
              <w:trPr>
                <w:trHeight w:val="3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1B2BCB49"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Location</w:t>
                  </w:r>
                </w:p>
                <w:p w14:paraId="7A226A2F"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point</w:t>
                  </w:r>
                </w:p>
              </w:tc>
              <w:tc>
                <w:tcPr>
                  <w:tcW w:w="993" w:type="dxa"/>
                  <w:tcBorders>
                    <w:top w:val="nil"/>
                    <w:left w:val="nil"/>
                    <w:bottom w:val="single" w:sz="4" w:space="0" w:color="auto"/>
                    <w:right w:val="single" w:sz="4" w:space="0" w:color="auto"/>
                  </w:tcBorders>
                  <w:shd w:val="clear" w:color="auto" w:fill="auto"/>
                  <w:noWrap/>
                  <w:vAlign w:val="bottom"/>
                  <w:hideMark/>
                </w:tcPr>
                <w:p w14:paraId="155095E5"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Degrees</w:t>
                  </w:r>
                </w:p>
              </w:tc>
              <w:tc>
                <w:tcPr>
                  <w:tcW w:w="992" w:type="dxa"/>
                  <w:tcBorders>
                    <w:top w:val="nil"/>
                    <w:left w:val="nil"/>
                    <w:bottom w:val="single" w:sz="4" w:space="0" w:color="auto"/>
                    <w:right w:val="single" w:sz="4" w:space="0" w:color="auto"/>
                  </w:tcBorders>
                  <w:shd w:val="clear" w:color="auto" w:fill="auto"/>
                  <w:noWrap/>
                  <w:vAlign w:val="bottom"/>
                  <w:hideMark/>
                </w:tcPr>
                <w:p w14:paraId="4F933FBE"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Minutes</w:t>
                  </w:r>
                </w:p>
              </w:tc>
              <w:tc>
                <w:tcPr>
                  <w:tcW w:w="1417" w:type="dxa"/>
                  <w:tcBorders>
                    <w:top w:val="nil"/>
                    <w:left w:val="nil"/>
                    <w:bottom w:val="single" w:sz="4" w:space="0" w:color="auto"/>
                    <w:right w:val="single" w:sz="4" w:space="0" w:color="auto"/>
                  </w:tcBorders>
                  <w:shd w:val="clear" w:color="auto" w:fill="auto"/>
                  <w:noWrap/>
                  <w:vAlign w:val="bottom"/>
                  <w:hideMark/>
                </w:tcPr>
                <w:p w14:paraId="5F0135C9"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Seconds</w:t>
                  </w:r>
                </w:p>
              </w:tc>
              <w:tc>
                <w:tcPr>
                  <w:tcW w:w="1134" w:type="dxa"/>
                  <w:tcBorders>
                    <w:top w:val="nil"/>
                    <w:left w:val="nil"/>
                    <w:bottom w:val="single" w:sz="4" w:space="0" w:color="auto"/>
                    <w:right w:val="single" w:sz="4" w:space="0" w:color="auto"/>
                  </w:tcBorders>
                  <w:shd w:val="clear" w:color="auto" w:fill="auto"/>
                  <w:noWrap/>
                  <w:vAlign w:val="bottom"/>
                  <w:hideMark/>
                </w:tcPr>
                <w:p w14:paraId="4C795116"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Degrees</w:t>
                  </w:r>
                </w:p>
              </w:tc>
              <w:tc>
                <w:tcPr>
                  <w:tcW w:w="993" w:type="dxa"/>
                  <w:tcBorders>
                    <w:top w:val="nil"/>
                    <w:left w:val="nil"/>
                    <w:bottom w:val="single" w:sz="4" w:space="0" w:color="auto"/>
                    <w:right w:val="single" w:sz="4" w:space="0" w:color="auto"/>
                  </w:tcBorders>
                  <w:shd w:val="clear" w:color="auto" w:fill="auto"/>
                  <w:noWrap/>
                  <w:vAlign w:val="bottom"/>
                  <w:hideMark/>
                </w:tcPr>
                <w:p w14:paraId="65289680"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Minutes</w:t>
                  </w:r>
                </w:p>
              </w:tc>
              <w:tc>
                <w:tcPr>
                  <w:tcW w:w="1559" w:type="dxa"/>
                  <w:tcBorders>
                    <w:top w:val="nil"/>
                    <w:left w:val="nil"/>
                    <w:bottom w:val="single" w:sz="4" w:space="0" w:color="auto"/>
                    <w:right w:val="single" w:sz="4" w:space="0" w:color="auto"/>
                  </w:tcBorders>
                  <w:shd w:val="clear" w:color="auto" w:fill="auto"/>
                  <w:noWrap/>
                  <w:vAlign w:val="bottom"/>
                  <w:hideMark/>
                </w:tcPr>
                <w:p w14:paraId="6122A0B6" w14:textId="77777777" w:rsidR="00C33CD3" w:rsidRPr="00D85635" w:rsidRDefault="00C33CD3" w:rsidP="00C33CD3">
                  <w:pPr>
                    <w:pStyle w:val="BodyText"/>
                    <w:rPr>
                      <w:rFonts w:ascii="Arial" w:hAnsi="Arial" w:cs="Arial"/>
                      <w:sz w:val="18"/>
                      <w:szCs w:val="18"/>
                    </w:rPr>
                  </w:pPr>
                  <w:r w:rsidRPr="00D85635">
                    <w:rPr>
                      <w:rFonts w:ascii="Arial" w:hAnsi="Arial" w:cs="Arial"/>
                      <w:sz w:val="18"/>
                      <w:szCs w:val="18"/>
                    </w:rPr>
                    <w:t>Seconds</w:t>
                  </w:r>
                </w:p>
              </w:tc>
            </w:tr>
            <w:tr w:rsidR="00C33CD3" w:rsidRPr="00C33CD3" w14:paraId="4FF3BC80" w14:textId="77777777" w:rsidTr="00C33CD3">
              <w:trPr>
                <w:trHeight w:val="3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25D8DBB3"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hideMark/>
                </w:tcPr>
                <w:p w14:paraId="0B711AAD"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36</w:t>
                  </w:r>
                </w:p>
              </w:tc>
              <w:tc>
                <w:tcPr>
                  <w:tcW w:w="992" w:type="dxa"/>
                  <w:tcBorders>
                    <w:top w:val="nil"/>
                    <w:left w:val="nil"/>
                    <w:bottom w:val="single" w:sz="4" w:space="0" w:color="auto"/>
                    <w:right w:val="single" w:sz="4" w:space="0" w:color="auto"/>
                  </w:tcBorders>
                  <w:shd w:val="clear" w:color="auto" w:fill="auto"/>
                  <w:noWrap/>
                  <w:vAlign w:val="bottom"/>
                  <w:hideMark/>
                </w:tcPr>
                <w:p w14:paraId="0D191E9D"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59</w:t>
                  </w:r>
                </w:p>
              </w:tc>
              <w:tc>
                <w:tcPr>
                  <w:tcW w:w="1417" w:type="dxa"/>
                  <w:tcBorders>
                    <w:top w:val="nil"/>
                    <w:left w:val="nil"/>
                    <w:bottom w:val="single" w:sz="4" w:space="0" w:color="auto"/>
                    <w:right w:val="single" w:sz="4" w:space="0" w:color="auto"/>
                  </w:tcBorders>
                  <w:shd w:val="clear" w:color="auto" w:fill="auto"/>
                  <w:noWrap/>
                  <w:vAlign w:val="bottom"/>
                  <w:hideMark/>
                </w:tcPr>
                <w:p w14:paraId="17B8369E"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20.26S</w:t>
                  </w:r>
                </w:p>
              </w:tc>
              <w:tc>
                <w:tcPr>
                  <w:tcW w:w="1134" w:type="dxa"/>
                  <w:tcBorders>
                    <w:top w:val="nil"/>
                    <w:left w:val="nil"/>
                    <w:bottom w:val="single" w:sz="4" w:space="0" w:color="auto"/>
                    <w:right w:val="single" w:sz="4" w:space="0" w:color="auto"/>
                  </w:tcBorders>
                  <w:shd w:val="clear" w:color="auto" w:fill="auto"/>
                  <w:noWrap/>
                  <w:vAlign w:val="bottom"/>
                  <w:hideMark/>
                </w:tcPr>
                <w:p w14:paraId="11140D1D"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141</w:t>
                  </w:r>
                </w:p>
              </w:tc>
              <w:tc>
                <w:tcPr>
                  <w:tcW w:w="993" w:type="dxa"/>
                  <w:tcBorders>
                    <w:top w:val="nil"/>
                    <w:left w:val="nil"/>
                    <w:bottom w:val="single" w:sz="4" w:space="0" w:color="auto"/>
                    <w:right w:val="single" w:sz="4" w:space="0" w:color="auto"/>
                  </w:tcBorders>
                  <w:shd w:val="clear" w:color="auto" w:fill="auto"/>
                  <w:noWrap/>
                  <w:vAlign w:val="bottom"/>
                  <w:hideMark/>
                </w:tcPr>
                <w:p w14:paraId="4947D07A"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54</w:t>
                  </w:r>
                </w:p>
              </w:tc>
              <w:tc>
                <w:tcPr>
                  <w:tcW w:w="1559" w:type="dxa"/>
                  <w:tcBorders>
                    <w:top w:val="nil"/>
                    <w:left w:val="nil"/>
                    <w:bottom w:val="single" w:sz="4" w:space="0" w:color="auto"/>
                    <w:right w:val="single" w:sz="4" w:space="0" w:color="auto"/>
                  </w:tcBorders>
                  <w:shd w:val="clear" w:color="auto" w:fill="auto"/>
                  <w:noWrap/>
                  <w:vAlign w:val="bottom"/>
                  <w:hideMark/>
                </w:tcPr>
                <w:p w14:paraId="6315A1F9"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39.68E</w:t>
                  </w:r>
                </w:p>
              </w:tc>
            </w:tr>
            <w:tr w:rsidR="00C33CD3" w:rsidRPr="00C33CD3" w14:paraId="05D38DE7" w14:textId="77777777" w:rsidTr="00C33CD3">
              <w:trPr>
                <w:trHeight w:val="3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54935BAE"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hideMark/>
                </w:tcPr>
                <w:p w14:paraId="3431129B"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36</w:t>
                  </w:r>
                </w:p>
              </w:tc>
              <w:tc>
                <w:tcPr>
                  <w:tcW w:w="992" w:type="dxa"/>
                  <w:tcBorders>
                    <w:top w:val="nil"/>
                    <w:left w:val="nil"/>
                    <w:bottom w:val="single" w:sz="4" w:space="0" w:color="auto"/>
                    <w:right w:val="single" w:sz="4" w:space="0" w:color="auto"/>
                  </w:tcBorders>
                  <w:shd w:val="clear" w:color="auto" w:fill="auto"/>
                  <w:noWrap/>
                  <w:vAlign w:val="bottom"/>
                  <w:hideMark/>
                </w:tcPr>
                <w:p w14:paraId="59A38977"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52</w:t>
                  </w:r>
                </w:p>
              </w:tc>
              <w:tc>
                <w:tcPr>
                  <w:tcW w:w="1417" w:type="dxa"/>
                  <w:tcBorders>
                    <w:top w:val="nil"/>
                    <w:left w:val="nil"/>
                    <w:bottom w:val="single" w:sz="4" w:space="0" w:color="auto"/>
                    <w:right w:val="single" w:sz="4" w:space="0" w:color="auto"/>
                  </w:tcBorders>
                  <w:shd w:val="clear" w:color="auto" w:fill="auto"/>
                  <w:noWrap/>
                  <w:vAlign w:val="bottom"/>
                  <w:hideMark/>
                </w:tcPr>
                <w:p w14:paraId="71DD8D2B"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24.59S</w:t>
                  </w:r>
                </w:p>
              </w:tc>
              <w:tc>
                <w:tcPr>
                  <w:tcW w:w="1134" w:type="dxa"/>
                  <w:tcBorders>
                    <w:top w:val="nil"/>
                    <w:left w:val="nil"/>
                    <w:bottom w:val="single" w:sz="4" w:space="0" w:color="auto"/>
                    <w:right w:val="single" w:sz="4" w:space="0" w:color="auto"/>
                  </w:tcBorders>
                  <w:shd w:val="clear" w:color="auto" w:fill="auto"/>
                  <w:noWrap/>
                  <w:vAlign w:val="bottom"/>
                  <w:hideMark/>
                </w:tcPr>
                <w:p w14:paraId="5B7D9CE3"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141</w:t>
                  </w:r>
                </w:p>
              </w:tc>
              <w:tc>
                <w:tcPr>
                  <w:tcW w:w="993" w:type="dxa"/>
                  <w:tcBorders>
                    <w:top w:val="nil"/>
                    <w:left w:val="nil"/>
                    <w:bottom w:val="single" w:sz="4" w:space="0" w:color="auto"/>
                    <w:right w:val="single" w:sz="4" w:space="0" w:color="auto"/>
                  </w:tcBorders>
                  <w:shd w:val="clear" w:color="auto" w:fill="auto"/>
                  <w:noWrap/>
                  <w:vAlign w:val="bottom"/>
                  <w:hideMark/>
                </w:tcPr>
                <w:p w14:paraId="7CF88A73"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55</w:t>
                  </w:r>
                </w:p>
              </w:tc>
              <w:tc>
                <w:tcPr>
                  <w:tcW w:w="1559" w:type="dxa"/>
                  <w:tcBorders>
                    <w:top w:val="nil"/>
                    <w:left w:val="nil"/>
                    <w:bottom w:val="single" w:sz="4" w:space="0" w:color="auto"/>
                    <w:right w:val="single" w:sz="4" w:space="0" w:color="auto"/>
                  </w:tcBorders>
                  <w:shd w:val="clear" w:color="auto" w:fill="auto"/>
                  <w:noWrap/>
                  <w:vAlign w:val="bottom"/>
                  <w:hideMark/>
                </w:tcPr>
                <w:p w14:paraId="65E463BF"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44.92E</w:t>
                  </w:r>
                </w:p>
              </w:tc>
            </w:tr>
            <w:tr w:rsidR="00C33CD3" w:rsidRPr="00C33CD3" w14:paraId="3BDF111F" w14:textId="77777777" w:rsidTr="00C33CD3">
              <w:trPr>
                <w:trHeight w:val="3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1FF77F88"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hideMark/>
                </w:tcPr>
                <w:p w14:paraId="74E4491D"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36</w:t>
                  </w:r>
                </w:p>
              </w:tc>
              <w:tc>
                <w:tcPr>
                  <w:tcW w:w="992" w:type="dxa"/>
                  <w:tcBorders>
                    <w:top w:val="nil"/>
                    <w:left w:val="nil"/>
                    <w:bottom w:val="single" w:sz="4" w:space="0" w:color="auto"/>
                    <w:right w:val="single" w:sz="4" w:space="0" w:color="auto"/>
                  </w:tcBorders>
                  <w:shd w:val="clear" w:color="auto" w:fill="auto"/>
                  <w:noWrap/>
                  <w:vAlign w:val="bottom"/>
                  <w:hideMark/>
                </w:tcPr>
                <w:p w14:paraId="74D5CD07"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52</w:t>
                  </w:r>
                </w:p>
              </w:tc>
              <w:tc>
                <w:tcPr>
                  <w:tcW w:w="1417" w:type="dxa"/>
                  <w:tcBorders>
                    <w:top w:val="nil"/>
                    <w:left w:val="nil"/>
                    <w:bottom w:val="single" w:sz="4" w:space="0" w:color="auto"/>
                    <w:right w:val="single" w:sz="4" w:space="0" w:color="auto"/>
                  </w:tcBorders>
                  <w:shd w:val="clear" w:color="auto" w:fill="auto"/>
                  <w:noWrap/>
                  <w:vAlign w:val="bottom"/>
                  <w:hideMark/>
                </w:tcPr>
                <w:p w14:paraId="49276A2C"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58.23S</w:t>
                  </w:r>
                </w:p>
              </w:tc>
              <w:tc>
                <w:tcPr>
                  <w:tcW w:w="1134" w:type="dxa"/>
                  <w:tcBorders>
                    <w:top w:val="nil"/>
                    <w:left w:val="nil"/>
                    <w:bottom w:val="single" w:sz="4" w:space="0" w:color="auto"/>
                    <w:right w:val="single" w:sz="4" w:space="0" w:color="auto"/>
                  </w:tcBorders>
                  <w:shd w:val="clear" w:color="auto" w:fill="auto"/>
                  <w:noWrap/>
                  <w:vAlign w:val="bottom"/>
                  <w:hideMark/>
                </w:tcPr>
                <w:p w14:paraId="0820F1BB"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142</w:t>
                  </w:r>
                </w:p>
              </w:tc>
              <w:tc>
                <w:tcPr>
                  <w:tcW w:w="993" w:type="dxa"/>
                  <w:tcBorders>
                    <w:top w:val="nil"/>
                    <w:left w:val="nil"/>
                    <w:bottom w:val="single" w:sz="4" w:space="0" w:color="auto"/>
                    <w:right w:val="single" w:sz="4" w:space="0" w:color="auto"/>
                  </w:tcBorders>
                  <w:shd w:val="clear" w:color="auto" w:fill="auto"/>
                  <w:noWrap/>
                  <w:vAlign w:val="bottom"/>
                  <w:hideMark/>
                </w:tcPr>
                <w:p w14:paraId="72E63AF1"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14:paraId="05702F9B"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19.68E</w:t>
                  </w:r>
                </w:p>
              </w:tc>
            </w:tr>
            <w:tr w:rsidR="00C33CD3" w:rsidRPr="00C33CD3" w14:paraId="6256CDAA" w14:textId="77777777" w:rsidTr="00C33CD3">
              <w:trPr>
                <w:trHeight w:val="3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7A0947F"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hideMark/>
                </w:tcPr>
                <w:p w14:paraId="666DBBDA"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36</w:t>
                  </w:r>
                </w:p>
              </w:tc>
              <w:tc>
                <w:tcPr>
                  <w:tcW w:w="992" w:type="dxa"/>
                  <w:tcBorders>
                    <w:top w:val="nil"/>
                    <w:left w:val="nil"/>
                    <w:bottom w:val="single" w:sz="4" w:space="0" w:color="auto"/>
                    <w:right w:val="single" w:sz="4" w:space="0" w:color="auto"/>
                  </w:tcBorders>
                  <w:shd w:val="clear" w:color="auto" w:fill="auto"/>
                  <w:noWrap/>
                  <w:vAlign w:val="bottom"/>
                  <w:hideMark/>
                </w:tcPr>
                <w:p w14:paraId="1ACC93CE"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58</w:t>
                  </w:r>
                </w:p>
              </w:tc>
              <w:tc>
                <w:tcPr>
                  <w:tcW w:w="1417" w:type="dxa"/>
                  <w:tcBorders>
                    <w:top w:val="nil"/>
                    <w:left w:val="nil"/>
                    <w:bottom w:val="single" w:sz="4" w:space="0" w:color="auto"/>
                    <w:right w:val="single" w:sz="4" w:space="0" w:color="auto"/>
                  </w:tcBorders>
                  <w:shd w:val="clear" w:color="auto" w:fill="auto"/>
                  <w:noWrap/>
                  <w:vAlign w:val="bottom"/>
                  <w:hideMark/>
                </w:tcPr>
                <w:p w14:paraId="354F181C"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29.02S</w:t>
                  </w:r>
                </w:p>
              </w:tc>
              <w:tc>
                <w:tcPr>
                  <w:tcW w:w="1134" w:type="dxa"/>
                  <w:tcBorders>
                    <w:top w:val="nil"/>
                    <w:left w:val="nil"/>
                    <w:bottom w:val="single" w:sz="4" w:space="0" w:color="auto"/>
                    <w:right w:val="single" w:sz="4" w:space="0" w:color="auto"/>
                  </w:tcBorders>
                  <w:shd w:val="clear" w:color="auto" w:fill="auto"/>
                  <w:noWrap/>
                  <w:vAlign w:val="bottom"/>
                  <w:hideMark/>
                </w:tcPr>
                <w:p w14:paraId="365CAE95"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141</w:t>
                  </w:r>
                </w:p>
              </w:tc>
              <w:tc>
                <w:tcPr>
                  <w:tcW w:w="993" w:type="dxa"/>
                  <w:tcBorders>
                    <w:top w:val="nil"/>
                    <w:left w:val="nil"/>
                    <w:bottom w:val="single" w:sz="4" w:space="0" w:color="auto"/>
                    <w:right w:val="single" w:sz="4" w:space="0" w:color="auto"/>
                  </w:tcBorders>
                  <w:shd w:val="clear" w:color="auto" w:fill="auto"/>
                  <w:noWrap/>
                  <w:vAlign w:val="bottom"/>
                  <w:hideMark/>
                </w:tcPr>
                <w:p w14:paraId="1CA25DC0"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59</w:t>
                  </w:r>
                </w:p>
              </w:tc>
              <w:tc>
                <w:tcPr>
                  <w:tcW w:w="1559" w:type="dxa"/>
                  <w:tcBorders>
                    <w:top w:val="nil"/>
                    <w:left w:val="nil"/>
                    <w:bottom w:val="single" w:sz="4" w:space="0" w:color="auto"/>
                    <w:right w:val="single" w:sz="4" w:space="0" w:color="auto"/>
                  </w:tcBorders>
                  <w:shd w:val="clear" w:color="auto" w:fill="auto"/>
                  <w:noWrap/>
                  <w:vAlign w:val="bottom"/>
                  <w:hideMark/>
                </w:tcPr>
                <w:p w14:paraId="1BF35D81"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42.15E</w:t>
                  </w:r>
                </w:p>
              </w:tc>
            </w:tr>
            <w:tr w:rsidR="00C33CD3" w:rsidRPr="00C33CD3" w14:paraId="345DAF6A" w14:textId="77777777" w:rsidTr="00C33CD3">
              <w:trPr>
                <w:trHeight w:val="3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371CEE9D"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hideMark/>
                </w:tcPr>
                <w:p w14:paraId="6BFAE08A"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36</w:t>
                  </w:r>
                </w:p>
              </w:tc>
              <w:tc>
                <w:tcPr>
                  <w:tcW w:w="992" w:type="dxa"/>
                  <w:tcBorders>
                    <w:top w:val="nil"/>
                    <w:left w:val="nil"/>
                    <w:bottom w:val="single" w:sz="4" w:space="0" w:color="auto"/>
                    <w:right w:val="single" w:sz="4" w:space="0" w:color="auto"/>
                  </w:tcBorders>
                  <w:shd w:val="clear" w:color="auto" w:fill="auto"/>
                  <w:noWrap/>
                  <w:vAlign w:val="bottom"/>
                  <w:hideMark/>
                </w:tcPr>
                <w:p w14:paraId="1284F05E"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59</w:t>
                  </w:r>
                </w:p>
              </w:tc>
              <w:tc>
                <w:tcPr>
                  <w:tcW w:w="1417" w:type="dxa"/>
                  <w:tcBorders>
                    <w:top w:val="nil"/>
                    <w:left w:val="nil"/>
                    <w:bottom w:val="single" w:sz="4" w:space="0" w:color="auto"/>
                    <w:right w:val="single" w:sz="4" w:space="0" w:color="auto"/>
                  </w:tcBorders>
                  <w:shd w:val="clear" w:color="auto" w:fill="auto"/>
                  <w:noWrap/>
                  <w:vAlign w:val="bottom"/>
                  <w:hideMark/>
                </w:tcPr>
                <w:p w14:paraId="1105FEB9"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15.61S</w:t>
                  </w:r>
                </w:p>
              </w:tc>
              <w:tc>
                <w:tcPr>
                  <w:tcW w:w="1134" w:type="dxa"/>
                  <w:tcBorders>
                    <w:top w:val="nil"/>
                    <w:left w:val="nil"/>
                    <w:bottom w:val="single" w:sz="4" w:space="0" w:color="auto"/>
                    <w:right w:val="single" w:sz="4" w:space="0" w:color="auto"/>
                  </w:tcBorders>
                  <w:shd w:val="clear" w:color="auto" w:fill="auto"/>
                  <w:noWrap/>
                  <w:vAlign w:val="bottom"/>
                  <w:hideMark/>
                </w:tcPr>
                <w:p w14:paraId="2E09B801"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141</w:t>
                  </w:r>
                </w:p>
              </w:tc>
              <w:tc>
                <w:tcPr>
                  <w:tcW w:w="993" w:type="dxa"/>
                  <w:tcBorders>
                    <w:top w:val="nil"/>
                    <w:left w:val="nil"/>
                    <w:bottom w:val="single" w:sz="4" w:space="0" w:color="auto"/>
                    <w:right w:val="single" w:sz="4" w:space="0" w:color="auto"/>
                  </w:tcBorders>
                  <w:shd w:val="clear" w:color="auto" w:fill="auto"/>
                  <w:noWrap/>
                  <w:vAlign w:val="bottom"/>
                  <w:hideMark/>
                </w:tcPr>
                <w:p w14:paraId="45E4CC10"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58</w:t>
                  </w:r>
                </w:p>
              </w:tc>
              <w:tc>
                <w:tcPr>
                  <w:tcW w:w="1559" w:type="dxa"/>
                  <w:tcBorders>
                    <w:top w:val="nil"/>
                    <w:left w:val="nil"/>
                    <w:bottom w:val="single" w:sz="4" w:space="0" w:color="auto"/>
                    <w:right w:val="single" w:sz="4" w:space="0" w:color="auto"/>
                  </w:tcBorders>
                  <w:shd w:val="clear" w:color="auto" w:fill="auto"/>
                  <w:noWrap/>
                  <w:vAlign w:val="bottom"/>
                  <w:hideMark/>
                </w:tcPr>
                <w:p w14:paraId="75756983"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42.12E</w:t>
                  </w:r>
                </w:p>
              </w:tc>
            </w:tr>
            <w:tr w:rsidR="00C33CD3" w:rsidRPr="00C33CD3" w14:paraId="482AAE18" w14:textId="77777777" w:rsidTr="00C33CD3">
              <w:trPr>
                <w:trHeight w:val="3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091F53D9"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6</w:t>
                  </w:r>
                </w:p>
              </w:tc>
              <w:tc>
                <w:tcPr>
                  <w:tcW w:w="993" w:type="dxa"/>
                  <w:tcBorders>
                    <w:top w:val="nil"/>
                    <w:left w:val="nil"/>
                    <w:bottom w:val="single" w:sz="4" w:space="0" w:color="auto"/>
                    <w:right w:val="single" w:sz="4" w:space="0" w:color="auto"/>
                  </w:tcBorders>
                  <w:shd w:val="clear" w:color="auto" w:fill="auto"/>
                  <w:noWrap/>
                  <w:vAlign w:val="bottom"/>
                  <w:hideMark/>
                </w:tcPr>
                <w:p w14:paraId="11E0533F"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36</w:t>
                  </w:r>
                </w:p>
              </w:tc>
              <w:tc>
                <w:tcPr>
                  <w:tcW w:w="992" w:type="dxa"/>
                  <w:tcBorders>
                    <w:top w:val="nil"/>
                    <w:left w:val="nil"/>
                    <w:bottom w:val="single" w:sz="4" w:space="0" w:color="auto"/>
                    <w:right w:val="single" w:sz="4" w:space="0" w:color="auto"/>
                  </w:tcBorders>
                  <w:shd w:val="clear" w:color="auto" w:fill="auto"/>
                  <w:noWrap/>
                  <w:vAlign w:val="bottom"/>
                  <w:hideMark/>
                </w:tcPr>
                <w:p w14:paraId="65E66031"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59</w:t>
                  </w:r>
                </w:p>
              </w:tc>
              <w:tc>
                <w:tcPr>
                  <w:tcW w:w="1417" w:type="dxa"/>
                  <w:tcBorders>
                    <w:top w:val="nil"/>
                    <w:left w:val="nil"/>
                    <w:bottom w:val="single" w:sz="4" w:space="0" w:color="auto"/>
                    <w:right w:val="single" w:sz="4" w:space="0" w:color="auto"/>
                  </w:tcBorders>
                  <w:shd w:val="clear" w:color="auto" w:fill="auto"/>
                  <w:noWrap/>
                  <w:vAlign w:val="bottom"/>
                  <w:hideMark/>
                </w:tcPr>
                <w:p w14:paraId="52051C81"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29.64S</w:t>
                  </w:r>
                </w:p>
              </w:tc>
              <w:tc>
                <w:tcPr>
                  <w:tcW w:w="1134" w:type="dxa"/>
                  <w:tcBorders>
                    <w:top w:val="nil"/>
                    <w:left w:val="nil"/>
                    <w:bottom w:val="single" w:sz="4" w:space="0" w:color="auto"/>
                    <w:right w:val="single" w:sz="4" w:space="0" w:color="auto"/>
                  </w:tcBorders>
                  <w:shd w:val="clear" w:color="auto" w:fill="auto"/>
                  <w:noWrap/>
                  <w:vAlign w:val="bottom"/>
                  <w:hideMark/>
                </w:tcPr>
                <w:p w14:paraId="29235F80"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141</w:t>
                  </w:r>
                </w:p>
              </w:tc>
              <w:tc>
                <w:tcPr>
                  <w:tcW w:w="993" w:type="dxa"/>
                  <w:tcBorders>
                    <w:top w:val="nil"/>
                    <w:left w:val="nil"/>
                    <w:bottom w:val="single" w:sz="4" w:space="0" w:color="auto"/>
                    <w:right w:val="single" w:sz="4" w:space="0" w:color="auto"/>
                  </w:tcBorders>
                  <w:shd w:val="clear" w:color="auto" w:fill="auto"/>
                  <w:noWrap/>
                  <w:vAlign w:val="bottom"/>
                  <w:hideMark/>
                </w:tcPr>
                <w:p w14:paraId="4D1374C9"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56</w:t>
                  </w:r>
                </w:p>
              </w:tc>
              <w:tc>
                <w:tcPr>
                  <w:tcW w:w="1559" w:type="dxa"/>
                  <w:tcBorders>
                    <w:top w:val="nil"/>
                    <w:left w:val="nil"/>
                    <w:bottom w:val="single" w:sz="4" w:space="0" w:color="auto"/>
                    <w:right w:val="single" w:sz="4" w:space="0" w:color="auto"/>
                  </w:tcBorders>
                  <w:shd w:val="clear" w:color="auto" w:fill="auto"/>
                  <w:noWrap/>
                  <w:vAlign w:val="bottom"/>
                  <w:hideMark/>
                </w:tcPr>
                <w:p w14:paraId="7E742133" w14:textId="77777777" w:rsidR="00C33CD3" w:rsidRPr="00D85635" w:rsidRDefault="00C33CD3" w:rsidP="00C33CD3">
                  <w:pPr>
                    <w:pStyle w:val="BodyText"/>
                    <w:rPr>
                      <w:rFonts w:ascii="Arial" w:hAnsi="Arial" w:cs="Arial"/>
                      <w:b w:val="0"/>
                      <w:sz w:val="18"/>
                      <w:szCs w:val="18"/>
                    </w:rPr>
                  </w:pPr>
                  <w:r w:rsidRPr="00D85635">
                    <w:rPr>
                      <w:rFonts w:ascii="Arial" w:hAnsi="Arial" w:cs="Arial"/>
                      <w:b w:val="0"/>
                      <w:sz w:val="18"/>
                      <w:szCs w:val="18"/>
                    </w:rPr>
                    <w:t>09.10E</w:t>
                  </w:r>
                </w:p>
              </w:tc>
            </w:tr>
          </w:tbl>
          <w:p w14:paraId="28659F45" w14:textId="77777777" w:rsidR="00C33CD3" w:rsidRPr="00013847" w:rsidRDefault="00C33CD3" w:rsidP="00013847">
            <w:pPr>
              <w:tabs>
                <w:tab w:val="left" w:pos="2904"/>
                <w:tab w:val="left" w:pos="3907"/>
                <w:tab w:val="left" w:pos="4910"/>
                <w:tab w:val="left" w:pos="5913"/>
                <w:tab w:val="left" w:pos="6916"/>
              </w:tabs>
              <w:spacing w:before="120"/>
              <w:rPr>
                <w:rFonts w:ascii="Arial" w:hAnsi="Arial"/>
              </w:rPr>
            </w:pPr>
          </w:p>
        </w:tc>
      </w:tr>
      <w:tr w:rsidR="001C34F3" w14:paraId="14BF6541" w14:textId="77777777" w:rsidTr="00055608">
        <w:tc>
          <w:tcPr>
            <w:tcW w:w="8993" w:type="dxa"/>
            <w:tcBorders>
              <w:bottom w:val="nil"/>
            </w:tcBorders>
          </w:tcPr>
          <w:p w14:paraId="54FAB28B" w14:textId="77777777" w:rsidR="00BA0483" w:rsidRDefault="00BA0483" w:rsidP="00013847">
            <w:pPr>
              <w:tabs>
                <w:tab w:val="left" w:pos="2904"/>
                <w:tab w:val="left" w:pos="3907"/>
                <w:tab w:val="left" w:pos="4910"/>
                <w:tab w:val="left" w:pos="5913"/>
                <w:tab w:val="left" w:pos="6916"/>
              </w:tabs>
              <w:spacing w:before="120"/>
              <w:rPr>
                <w:rFonts w:ascii="Arial" w:hAnsi="Arial"/>
                <w:b/>
              </w:rPr>
            </w:pPr>
            <w:bookmarkStart w:id="13" w:name="_Hlk13216415"/>
            <w:bookmarkEnd w:id="7"/>
          </w:p>
          <w:p w14:paraId="3EAD2DB6" w14:textId="39CBA80C" w:rsidR="001C34F3" w:rsidRPr="00013847" w:rsidRDefault="004F5EA3" w:rsidP="00013847">
            <w:pPr>
              <w:tabs>
                <w:tab w:val="left" w:pos="2904"/>
                <w:tab w:val="left" w:pos="3907"/>
                <w:tab w:val="left" w:pos="4910"/>
                <w:tab w:val="left" w:pos="5913"/>
                <w:tab w:val="left" w:pos="6916"/>
              </w:tabs>
              <w:spacing w:before="120"/>
              <w:rPr>
                <w:rFonts w:ascii="Arial" w:hAnsi="Arial"/>
              </w:rPr>
            </w:pPr>
            <w:r>
              <w:rPr>
                <w:rFonts w:ascii="Arial" w:hAnsi="Arial"/>
                <w:b/>
              </w:rPr>
              <w:t xml:space="preserve">2.3 </w:t>
            </w:r>
            <w:r w:rsidR="001C34F3" w:rsidRPr="00013847">
              <w:rPr>
                <w:rFonts w:ascii="Arial" w:hAnsi="Arial"/>
                <w:b/>
              </w:rPr>
              <w:t>Short project description</w:t>
            </w:r>
            <w:r w:rsidR="001C34F3" w:rsidRPr="00013847">
              <w:rPr>
                <w:rFonts w:ascii="Arial" w:hAnsi="Arial"/>
              </w:rPr>
              <w:tab/>
            </w:r>
            <w:bookmarkEnd w:id="13"/>
            <w:r w:rsidR="001C34F3" w:rsidRPr="00013847">
              <w:rPr>
                <w:rFonts w:ascii="Arial" w:hAnsi="Arial"/>
              </w:rPr>
              <w:tab/>
            </w:r>
          </w:p>
        </w:tc>
      </w:tr>
      <w:tr w:rsidR="001C34F3" w14:paraId="105C9037" w14:textId="77777777" w:rsidTr="00055608">
        <w:tc>
          <w:tcPr>
            <w:tcW w:w="8993" w:type="dxa"/>
            <w:tcBorders>
              <w:top w:val="nil"/>
              <w:bottom w:val="single" w:sz="4" w:space="0" w:color="auto"/>
            </w:tcBorders>
          </w:tcPr>
          <w:p w14:paraId="6B1C3482" w14:textId="77777777" w:rsidR="003A303A" w:rsidRPr="00D02516" w:rsidRDefault="003A303A" w:rsidP="00D02516">
            <w:pPr>
              <w:tabs>
                <w:tab w:val="left" w:pos="2904"/>
                <w:tab w:val="left" w:pos="3907"/>
                <w:tab w:val="left" w:pos="4910"/>
                <w:tab w:val="left" w:pos="5913"/>
                <w:tab w:val="left" w:pos="6916"/>
              </w:tabs>
              <w:spacing w:before="120"/>
              <w:jc w:val="both"/>
              <w:rPr>
                <w:rFonts w:ascii="Arial" w:hAnsi="Arial"/>
              </w:rPr>
            </w:pPr>
            <w:bookmarkStart w:id="14" w:name="_Hlk13216425"/>
            <w:r w:rsidRPr="00D02516">
              <w:rPr>
                <w:rFonts w:ascii="Arial" w:hAnsi="Arial"/>
              </w:rPr>
              <w:t>Iluka Resources Limited (Iluka) propose to develop the Wimmera Project, a mine and processing plant to extract mineral sands from the WIM100 deposit (Victorian Exploration Licence (EL) 4282) and refine them onsite to produce zircon, titanium dioxide and rare earth products.</w:t>
            </w:r>
          </w:p>
          <w:p w14:paraId="5C335FAC" w14:textId="1A1F3621" w:rsidR="00013847" w:rsidRDefault="00013847" w:rsidP="00B7198A">
            <w:pPr>
              <w:tabs>
                <w:tab w:val="left" w:pos="2904"/>
                <w:tab w:val="left" w:pos="3907"/>
                <w:tab w:val="left" w:pos="4910"/>
                <w:tab w:val="left" w:pos="5913"/>
                <w:tab w:val="left" w:pos="6916"/>
              </w:tabs>
              <w:spacing w:before="120"/>
              <w:jc w:val="both"/>
              <w:rPr>
                <w:rFonts w:ascii="Arial" w:hAnsi="Arial"/>
              </w:rPr>
            </w:pPr>
            <w:r w:rsidRPr="00013847">
              <w:rPr>
                <w:rFonts w:ascii="Arial" w:hAnsi="Arial"/>
              </w:rPr>
              <w:t xml:space="preserve">Project activities include construction, mineral sand mining, processing, refining, decommissioning and rehabilitation of the mineral sands and rare earths mine and associated infrastructure. </w:t>
            </w:r>
          </w:p>
          <w:p w14:paraId="618934E0" w14:textId="77777777" w:rsidR="00D87784" w:rsidRPr="00D87784" w:rsidRDefault="00D87784" w:rsidP="00D87784">
            <w:pPr>
              <w:tabs>
                <w:tab w:val="left" w:pos="2904"/>
                <w:tab w:val="left" w:pos="3907"/>
                <w:tab w:val="left" w:pos="4910"/>
                <w:tab w:val="left" w:pos="5913"/>
                <w:tab w:val="left" w:pos="6916"/>
              </w:tabs>
              <w:spacing w:before="120"/>
              <w:jc w:val="both"/>
              <w:rPr>
                <w:rFonts w:ascii="Arial" w:hAnsi="Arial"/>
              </w:rPr>
            </w:pPr>
            <w:bookmarkStart w:id="15" w:name="_Hlk5099878"/>
            <w:bookmarkEnd w:id="14"/>
            <w:r w:rsidRPr="00D87784">
              <w:rPr>
                <w:rFonts w:ascii="Arial" w:hAnsi="Arial"/>
              </w:rPr>
              <w:t xml:space="preserve">The WIM100 deposit contains approximately 12 million tonnes of heavy mineral sands ore. From this it is estimated that the Project will produce 192 </w:t>
            </w:r>
            <w:proofErr w:type="spellStart"/>
            <w:r w:rsidRPr="00D87784">
              <w:rPr>
                <w:rFonts w:ascii="Arial" w:hAnsi="Arial"/>
              </w:rPr>
              <w:t>kilotonnes</w:t>
            </w:r>
            <w:proofErr w:type="spellEnd"/>
            <w:r w:rsidRPr="00D87784">
              <w:rPr>
                <w:rFonts w:ascii="Arial" w:hAnsi="Arial"/>
              </w:rPr>
              <w:t xml:space="preserve"> per annum (</w:t>
            </w:r>
            <w:proofErr w:type="spellStart"/>
            <w:r w:rsidRPr="00D87784">
              <w:rPr>
                <w:rFonts w:ascii="Arial" w:hAnsi="Arial"/>
              </w:rPr>
              <w:t>ktpa</w:t>
            </w:r>
            <w:proofErr w:type="spellEnd"/>
            <w:r w:rsidRPr="00D87784">
              <w:rPr>
                <w:rFonts w:ascii="Arial" w:hAnsi="Arial"/>
              </w:rPr>
              <w:t>) of recoverable mineral product, comprising of the following:</w:t>
            </w:r>
          </w:p>
          <w:p w14:paraId="67BE6B89" w14:textId="77777777" w:rsidR="00D87784" w:rsidRPr="00697DFF" w:rsidRDefault="00D87784" w:rsidP="00C70314">
            <w:pPr>
              <w:pStyle w:val="ListBullet"/>
              <w:numPr>
                <w:ilvl w:val="0"/>
                <w:numId w:val="43"/>
              </w:numPr>
              <w:jc w:val="both"/>
              <w:rPr>
                <w:b w:val="0"/>
                <w:bCs w:val="0"/>
              </w:rPr>
            </w:pPr>
            <w:r w:rsidRPr="00697DFF">
              <w:rPr>
                <w:b w:val="0"/>
                <w:bCs w:val="0"/>
              </w:rPr>
              <w:t xml:space="preserve">zircon product (approximately 60 </w:t>
            </w:r>
            <w:proofErr w:type="spellStart"/>
            <w:r w:rsidRPr="00697DFF">
              <w:rPr>
                <w:b w:val="0"/>
                <w:bCs w:val="0"/>
              </w:rPr>
              <w:t>ktpa</w:t>
            </w:r>
            <w:proofErr w:type="spellEnd"/>
            <w:r w:rsidRPr="00697DFF">
              <w:rPr>
                <w:b w:val="0"/>
                <w:bCs w:val="0"/>
              </w:rPr>
              <w:t>);</w:t>
            </w:r>
          </w:p>
          <w:p w14:paraId="0F3051C5" w14:textId="77777777" w:rsidR="00D87784" w:rsidRPr="00697DFF" w:rsidRDefault="00D87784" w:rsidP="00C70314">
            <w:pPr>
              <w:pStyle w:val="ListBullet"/>
              <w:numPr>
                <w:ilvl w:val="0"/>
                <w:numId w:val="43"/>
              </w:numPr>
              <w:jc w:val="both"/>
              <w:rPr>
                <w:b w:val="0"/>
                <w:bCs w:val="0"/>
              </w:rPr>
            </w:pPr>
            <w:r w:rsidRPr="00697DFF">
              <w:rPr>
                <w:b w:val="0"/>
                <w:bCs w:val="0"/>
              </w:rPr>
              <w:t xml:space="preserve">titanium dioxide mineral products (approximately 125 </w:t>
            </w:r>
            <w:proofErr w:type="spellStart"/>
            <w:r w:rsidRPr="00697DFF">
              <w:rPr>
                <w:b w:val="0"/>
                <w:bCs w:val="0"/>
              </w:rPr>
              <w:t>ktpa</w:t>
            </w:r>
            <w:proofErr w:type="spellEnd"/>
            <w:r w:rsidRPr="00697DFF">
              <w:rPr>
                <w:b w:val="0"/>
                <w:bCs w:val="0"/>
              </w:rPr>
              <w:t xml:space="preserve">); and </w:t>
            </w:r>
          </w:p>
          <w:p w14:paraId="4BBDB4BA" w14:textId="3419DFCB" w:rsidR="00D87784" w:rsidRPr="00697DFF" w:rsidRDefault="00D87784" w:rsidP="00C70314">
            <w:pPr>
              <w:pStyle w:val="ListBullet"/>
              <w:numPr>
                <w:ilvl w:val="0"/>
                <w:numId w:val="43"/>
              </w:numPr>
              <w:jc w:val="both"/>
              <w:rPr>
                <w:b w:val="0"/>
                <w:bCs w:val="0"/>
              </w:rPr>
            </w:pPr>
            <w:r w:rsidRPr="00697DFF">
              <w:rPr>
                <w:b w:val="0"/>
                <w:bCs w:val="0"/>
              </w:rPr>
              <w:t xml:space="preserve">rare earth oxide equivalent as a mixed concentrate (approximately 7 </w:t>
            </w:r>
            <w:proofErr w:type="spellStart"/>
            <w:r w:rsidRPr="00697DFF">
              <w:rPr>
                <w:b w:val="0"/>
                <w:bCs w:val="0"/>
              </w:rPr>
              <w:t>ktpa</w:t>
            </w:r>
            <w:proofErr w:type="spellEnd"/>
            <w:r w:rsidRPr="00697DFF">
              <w:rPr>
                <w:b w:val="0"/>
                <w:bCs w:val="0"/>
              </w:rPr>
              <w:t>).</w:t>
            </w:r>
          </w:p>
          <w:bookmarkEnd w:id="15"/>
          <w:p w14:paraId="0E4BE353" w14:textId="53D30D54" w:rsidR="001C34F3" w:rsidRPr="00013847" w:rsidRDefault="00D87784" w:rsidP="00D87784">
            <w:pPr>
              <w:tabs>
                <w:tab w:val="left" w:pos="2904"/>
                <w:tab w:val="left" w:pos="3907"/>
                <w:tab w:val="left" w:pos="4910"/>
                <w:tab w:val="left" w:pos="5913"/>
                <w:tab w:val="left" w:pos="6916"/>
              </w:tabs>
              <w:spacing w:before="120"/>
              <w:jc w:val="both"/>
              <w:rPr>
                <w:rFonts w:ascii="Arial" w:hAnsi="Arial"/>
              </w:rPr>
            </w:pPr>
            <w:r w:rsidRPr="00D87784">
              <w:rPr>
                <w:rFonts w:ascii="Arial" w:hAnsi="Arial"/>
              </w:rPr>
              <w:t xml:space="preserve">The mine life is estimated at 25 years. The proposed mine and associated mineral processing and refining is a stand-alone Project. </w:t>
            </w:r>
          </w:p>
        </w:tc>
      </w:tr>
      <w:tr w:rsidR="001C34F3" w14:paraId="707D1291" w14:textId="77777777" w:rsidTr="00055608">
        <w:tc>
          <w:tcPr>
            <w:tcW w:w="8993" w:type="dxa"/>
            <w:tcBorders>
              <w:top w:val="single" w:sz="4" w:space="0" w:color="auto"/>
            </w:tcBorders>
          </w:tcPr>
          <w:p w14:paraId="4A155623" w14:textId="77777777" w:rsidR="00013847" w:rsidRPr="00013847" w:rsidRDefault="004F5EA3" w:rsidP="00013847">
            <w:pPr>
              <w:pStyle w:val="Heading2"/>
              <w:keepLines/>
              <w:numPr>
                <w:ilvl w:val="1"/>
                <w:numId w:val="0"/>
              </w:numPr>
              <w:tabs>
                <w:tab w:val="clear" w:pos="2904"/>
                <w:tab w:val="clear" w:pos="3907"/>
                <w:tab w:val="clear" w:pos="4910"/>
                <w:tab w:val="clear" w:pos="5913"/>
                <w:tab w:val="clear" w:pos="6916"/>
              </w:tabs>
              <w:spacing w:before="240" w:after="240"/>
              <w:ind w:left="851" w:hanging="851"/>
              <w:jc w:val="both"/>
              <w:rPr>
                <w:rFonts w:eastAsia="Calibri"/>
              </w:rPr>
            </w:pPr>
            <w:bookmarkStart w:id="16" w:name="_Hlk13216440"/>
            <w:bookmarkStart w:id="17" w:name="_Hlk8110514"/>
            <w:r>
              <w:rPr>
                <w:rFonts w:eastAsia="Calibri"/>
              </w:rPr>
              <w:lastRenderedPageBreak/>
              <w:t xml:space="preserve">2.4 </w:t>
            </w:r>
            <w:r w:rsidR="00013847" w:rsidRPr="00013847">
              <w:rPr>
                <w:rFonts w:eastAsia="Calibri"/>
              </w:rPr>
              <w:t xml:space="preserve">Project </w:t>
            </w:r>
            <w:r w:rsidR="002B4BD8">
              <w:rPr>
                <w:rFonts w:eastAsia="Calibri"/>
              </w:rPr>
              <w:t>area definitions</w:t>
            </w:r>
          </w:p>
          <w:p w14:paraId="2F96537C" w14:textId="29876A80" w:rsidR="00013847" w:rsidRPr="00013847" w:rsidRDefault="00013847" w:rsidP="0091316B">
            <w:pPr>
              <w:tabs>
                <w:tab w:val="left" w:pos="2904"/>
                <w:tab w:val="left" w:pos="3907"/>
                <w:tab w:val="left" w:pos="4910"/>
                <w:tab w:val="left" w:pos="5913"/>
                <w:tab w:val="left" w:pos="6916"/>
              </w:tabs>
              <w:spacing w:before="120"/>
              <w:jc w:val="both"/>
              <w:rPr>
                <w:rFonts w:ascii="Arial" w:hAnsi="Arial"/>
              </w:rPr>
            </w:pPr>
            <w:r w:rsidRPr="00013847">
              <w:rPr>
                <w:rFonts w:ascii="Arial" w:hAnsi="Arial"/>
              </w:rPr>
              <w:t xml:space="preserve">The </w:t>
            </w:r>
            <w:r w:rsidR="002B4BD8">
              <w:rPr>
                <w:rFonts w:ascii="Arial" w:hAnsi="Arial"/>
              </w:rPr>
              <w:t xml:space="preserve">Project area definitions </w:t>
            </w:r>
            <w:r w:rsidRPr="00013847">
              <w:rPr>
                <w:rFonts w:ascii="Arial" w:hAnsi="Arial"/>
              </w:rPr>
              <w:t>used throughout this referral are outlined in Table</w:t>
            </w:r>
            <w:r w:rsidR="00166AB5">
              <w:rPr>
                <w:rFonts w:ascii="Arial" w:hAnsi="Arial"/>
              </w:rPr>
              <w:t>s</w:t>
            </w:r>
            <w:r w:rsidRPr="00013847">
              <w:rPr>
                <w:rFonts w:ascii="Arial" w:hAnsi="Arial"/>
              </w:rPr>
              <w:t xml:space="preserve"> 2.2</w:t>
            </w:r>
            <w:r w:rsidR="00166AB5">
              <w:rPr>
                <w:rFonts w:ascii="Arial" w:hAnsi="Arial"/>
              </w:rPr>
              <w:t xml:space="preserve"> and 2.3</w:t>
            </w:r>
            <w:r w:rsidRPr="00013847">
              <w:rPr>
                <w:rFonts w:ascii="Arial" w:hAnsi="Arial"/>
              </w:rPr>
              <w:t>.</w:t>
            </w:r>
          </w:p>
          <w:p w14:paraId="350D7C90" w14:textId="78919623" w:rsidR="00013847" w:rsidRDefault="002B4BD8" w:rsidP="0091316B">
            <w:pPr>
              <w:tabs>
                <w:tab w:val="left" w:pos="2904"/>
                <w:tab w:val="left" w:pos="3907"/>
                <w:tab w:val="left" w:pos="4910"/>
                <w:tab w:val="left" w:pos="5913"/>
                <w:tab w:val="left" w:pos="6916"/>
              </w:tabs>
              <w:spacing w:before="120"/>
              <w:jc w:val="both"/>
              <w:rPr>
                <w:rFonts w:ascii="Arial" w:hAnsi="Arial"/>
              </w:rPr>
            </w:pPr>
            <w:r>
              <w:rPr>
                <w:rFonts w:ascii="Arial" w:hAnsi="Arial"/>
              </w:rPr>
              <w:t>Note that s</w:t>
            </w:r>
            <w:r w:rsidR="00013847" w:rsidRPr="00013847">
              <w:rPr>
                <w:rFonts w:ascii="Arial" w:hAnsi="Arial"/>
              </w:rPr>
              <w:t xml:space="preserve">ince the location of </w:t>
            </w:r>
            <w:r>
              <w:rPr>
                <w:rFonts w:ascii="Arial" w:hAnsi="Arial"/>
              </w:rPr>
              <w:t xml:space="preserve">the Project’s </w:t>
            </w:r>
            <w:r w:rsidR="00013847" w:rsidRPr="00013847">
              <w:rPr>
                <w:rFonts w:ascii="Arial" w:hAnsi="Arial"/>
              </w:rPr>
              <w:t xml:space="preserve">offsite infrastructure </w:t>
            </w:r>
            <w:r w:rsidR="00D349EB">
              <w:rPr>
                <w:rFonts w:ascii="Arial" w:hAnsi="Arial"/>
              </w:rPr>
              <w:t>has not be</w:t>
            </w:r>
            <w:r w:rsidR="00A01BC4">
              <w:rPr>
                <w:rFonts w:ascii="Arial" w:hAnsi="Arial"/>
              </w:rPr>
              <w:t>en</w:t>
            </w:r>
            <w:r w:rsidR="00D349EB">
              <w:rPr>
                <w:rFonts w:ascii="Arial" w:hAnsi="Arial"/>
              </w:rPr>
              <w:t xml:space="preserve"> finalised</w:t>
            </w:r>
            <w:r>
              <w:rPr>
                <w:rFonts w:ascii="Arial" w:hAnsi="Arial"/>
              </w:rPr>
              <w:t xml:space="preserve"> (</w:t>
            </w:r>
            <w:proofErr w:type="spellStart"/>
            <w:r>
              <w:rPr>
                <w:rFonts w:ascii="Arial" w:hAnsi="Arial"/>
              </w:rPr>
              <w:t>eg</w:t>
            </w:r>
            <w:proofErr w:type="spellEnd"/>
            <w:r>
              <w:rPr>
                <w:rFonts w:ascii="Arial" w:hAnsi="Arial"/>
              </w:rPr>
              <w:t xml:space="preserve"> the </w:t>
            </w:r>
            <w:r w:rsidR="003F2B21" w:rsidRPr="00013847">
              <w:rPr>
                <w:rFonts w:ascii="Arial" w:hAnsi="Arial"/>
              </w:rPr>
              <w:t>pipelines</w:t>
            </w:r>
            <w:r w:rsidR="003F2B21">
              <w:rPr>
                <w:rFonts w:ascii="Arial" w:hAnsi="Arial"/>
              </w:rPr>
              <w:t xml:space="preserve">, </w:t>
            </w:r>
            <w:r w:rsidR="003F2B21" w:rsidRPr="00013847">
              <w:rPr>
                <w:rFonts w:ascii="Arial" w:hAnsi="Arial"/>
              </w:rPr>
              <w:t>power</w:t>
            </w:r>
            <w:r w:rsidR="003F2B21">
              <w:rPr>
                <w:rFonts w:ascii="Arial" w:hAnsi="Arial"/>
              </w:rPr>
              <w:t xml:space="preserve">line and the temporary </w:t>
            </w:r>
            <w:r w:rsidR="00166AB5">
              <w:rPr>
                <w:rFonts w:ascii="Arial" w:hAnsi="Arial"/>
              </w:rPr>
              <w:t>construction</w:t>
            </w:r>
            <w:r w:rsidR="00013847" w:rsidRPr="00013847">
              <w:rPr>
                <w:rFonts w:ascii="Arial" w:hAnsi="Arial"/>
              </w:rPr>
              <w:t xml:space="preserve"> village</w:t>
            </w:r>
            <w:r>
              <w:rPr>
                <w:rFonts w:ascii="Arial" w:hAnsi="Arial"/>
              </w:rPr>
              <w:t>)</w:t>
            </w:r>
            <w:r w:rsidR="00166AB5">
              <w:rPr>
                <w:rFonts w:ascii="Arial" w:hAnsi="Arial"/>
              </w:rPr>
              <w:t>. T</w:t>
            </w:r>
            <w:r w:rsidR="00013847" w:rsidRPr="00013847">
              <w:rPr>
                <w:rFonts w:ascii="Arial" w:hAnsi="Arial"/>
              </w:rPr>
              <w:t>hese footprints are not</w:t>
            </w:r>
            <w:r>
              <w:rPr>
                <w:rFonts w:ascii="Arial" w:hAnsi="Arial"/>
              </w:rPr>
              <w:t xml:space="preserve"> </w:t>
            </w:r>
            <w:r w:rsidR="00013847" w:rsidRPr="00013847">
              <w:rPr>
                <w:rFonts w:ascii="Arial" w:hAnsi="Arial"/>
              </w:rPr>
              <w:t>included in Table</w:t>
            </w:r>
            <w:r w:rsidR="00166AB5">
              <w:rPr>
                <w:rFonts w:ascii="Arial" w:hAnsi="Arial"/>
              </w:rPr>
              <w:t>s</w:t>
            </w:r>
            <w:r w:rsidR="00013847" w:rsidRPr="00013847">
              <w:rPr>
                <w:rFonts w:ascii="Arial" w:hAnsi="Arial"/>
              </w:rPr>
              <w:t xml:space="preserve"> 2.2</w:t>
            </w:r>
            <w:r w:rsidR="00166AB5">
              <w:rPr>
                <w:rFonts w:ascii="Arial" w:hAnsi="Arial"/>
              </w:rPr>
              <w:t xml:space="preserve"> or 2.3</w:t>
            </w:r>
            <w:r w:rsidR="00013847" w:rsidRPr="00013847">
              <w:rPr>
                <w:rFonts w:ascii="Arial" w:hAnsi="Arial"/>
              </w:rPr>
              <w:t>.</w:t>
            </w:r>
          </w:p>
          <w:p w14:paraId="617062D9" w14:textId="57DC56B9" w:rsidR="00966DF0" w:rsidRDefault="00966DF0" w:rsidP="0091316B">
            <w:pPr>
              <w:tabs>
                <w:tab w:val="left" w:pos="2904"/>
                <w:tab w:val="left" w:pos="3907"/>
                <w:tab w:val="left" w:pos="4910"/>
                <w:tab w:val="left" w:pos="5913"/>
                <w:tab w:val="left" w:pos="6916"/>
              </w:tabs>
              <w:spacing w:before="120"/>
              <w:jc w:val="both"/>
              <w:rPr>
                <w:rFonts w:ascii="Arial" w:hAnsi="Arial"/>
              </w:rPr>
            </w:pPr>
            <w:r>
              <w:rPr>
                <w:rFonts w:ascii="Arial" w:hAnsi="Arial"/>
              </w:rPr>
              <w:t xml:space="preserve">The study area used for the surface water, ecological and cultural heritage aspects of the </w:t>
            </w:r>
            <w:r w:rsidR="00D02516">
              <w:rPr>
                <w:rFonts w:ascii="Arial" w:hAnsi="Arial"/>
              </w:rPr>
              <w:t>Project</w:t>
            </w:r>
            <w:r>
              <w:rPr>
                <w:rFonts w:ascii="Arial" w:hAnsi="Arial"/>
              </w:rPr>
              <w:t xml:space="preserve"> was defined to:</w:t>
            </w:r>
          </w:p>
          <w:p w14:paraId="2F8D0410" w14:textId="1738B26E" w:rsidR="00966DF0" w:rsidRPr="00697DFF" w:rsidRDefault="00966DF0" w:rsidP="00C70314">
            <w:pPr>
              <w:pStyle w:val="ListBullet"/>
              <w:numPr>
                <w:ilvl w:val="0"/>
                <w:numId w:val="43"/>
              </w:numPr>
              <w:jc w:val="both"/>
              <w:rPr>
                <w:b w:val="0"/>
                <w:bCs w:val="0"/>
              </w:rPr>
            </w:pPr>
            <w:r w:rsidRPr="00697DFF">
              <w:rPr>
                <w:b w:val="0"/>
                <w:bCs w:val="0"/>
              </w:rPr>
              <w:t>u</w:t>
            </w:r>
            <w:r w:rsidR="00CD346F" w:rsidRPr="00697DFF">
              <w:rPr>
                <w:b w:val="0"/>
                <w:bCs w:val="0"/>
              </w:rPr>
              <w:t>se</w:t>
            </w:r>
            <w:r w:rsidRPr="00697DFF">
              <w:rPr>
                <w:b w:val="0"/>
                <w:bCs w:val="0"/>
              </w:rPr>
              <w:t xml:space="preserve"> landmarks that were easily identifiable in the field as the </w:t>
            </w:r>
            <w:r w:rsidR="00D02516" w:rsidRPr="00697DFF">
              <w:rPr>
                <w:b w:val="0"/>
                <w:bCs w:val="0"/>
              </w:rPr>
              <w:t>Project</w:t>
            </w:r>
            <w:r w:rsidRPr="00697DFF">
              <w:rPr>
                <w:b w:val="0"/>
                <w:bCs w:val="0"/>
              </w:rPr>
              <w:t xml:space="preserve"> area boundaries (such as road reserves or lot boundaries);</w:t>
            </w:r>
          </w:p>
          <w:p w14:paraId="4FE19C7F" w14:textId="16C84E58" w:rsidR="00966DF0" w:rsidRPr="00697DFF" w:rsidRDefault="00966DF0" w:rsidP="00C70314">
            <w:pPr>
              <w:pStyle w:val="ListBullet"/>
              <w:numPr>
                <w:ilvl w:val="0"/>
                <w:numId w:val="43"/>
              </w:numPr>
              <w:jc w:val="both"/>
              <w:rPr>
                <w:b w:val="0"/>
                <w:bCs w:val="0"/>
              </w:rPr>
            </w:pPr>
            <w:r w:rsidRPr="00697DFF">
              <w:rPr>
                <w:b w:val="0"/>
                <w:bCs w:val="0"/>
              </w:rPr>
              <w:t xml:space="preserve">be sufficiently large to incorporate the likely </w:t>
            </w:r>
            <w:r w:rsidR="00D02516" w:rsidRPr="00697DFF">
              <w:rPr>
                <w:b w:val="0"/>
                <w:bCs w:val="0"/>
              </w:rPr>
              <w:t>Project</w:t>
            </w:r>
            <w:r w:rsidRPr="00697DFF">
              <w:rPr>
                <w:b w:val="0"/>
                <w:bCs w:val="0"/>
              </w:rPr>
              <w:t xml:space="preserve"> site</w:t>
            </w:r>
            <w:r w:rsidR="00166AB5" w:rsidRPr="00697DFF">
              <w:rPr>
                <w:b w:val="0"/>
                <w:bCs w:val="0"/>
              </w:rPr>
              <w:t>; and</w:t>
            </w:r>
          </w:p>
          <w:p w14:paraId="1D3DA74E" w14:textId="77777777" w:rsidR="00111305" w:rsidRPr="00697DFF" w:rsidRDefault="00966DF0" w:rsidP="00C70314">
            <w:pPr>
              <w:pStyle w:val="ListBullet"/>
              <w:numPr>
                <w:ilvl w:val="0"/>
                <w:numId w:val="43"/>
              </w:numPr>
              <w:jc w:val="both"/>
              <w:rPr>
                <w:b w:val="0"/>
                <w:bCs w:val="0"/>
              </w:rPr>
            </w:pPr>
            <w:r w:rsidRPr="00697DFF">
              <w:rPr>
                <w:b w:val="0"/>
                <w:bCs w:val="0"/>
              </w:rPr>
              <w:t>enable assessment of existing environmental values on adjacent land.</w:t>
            </w:r>
          </w:p>
          <w:p w14:paraId="614815C7" w14:textId="0C05296A" w:rsidR="00966DF0" w:rsidRDefault="00966DF0" w:rsidP="0091316B">
            <w:pPr>
              <w:tabs>
                <w:tab w:val="left" w:pos="2904"/>
                <w:tab w:val="left" w:pos="3907"/>
                <w:tab w:val="left" w:pos="4910"/>
                <w:tab w:val="left" w:pos="5913"/>
                <w:tab w:val="left" w:pos="6916"/>
              </w:tabs>
              <w:spacing w:before="120"/>
              <w:jc w:val="both"/>
              <w:rPr>
                <w:rFonts w:ascii="Arial" w:hAnsi="Arial"/>
              </w:rPr>
            </w:pPr>
            <w:r>
              <w:rPr>
                <w:rFonts w:ascii="Arial" w:hAnsi="Arial"/>
              </w:rPr>
              <w:t xml:space="preserve">Due to the </w:t>
            </w:r>
            <w:r w:rsidR="0091316B">
              <w:rPr>
                <w:rFonts w:ascii="Arial" w:hAnsi="Arial"/>
              </w:rPr>
              <w:t xml:space="preserve">lack of existing monitoring bores in the area local to the </w:t>
            </w:r>
            <w:r w:rsidR="00D02516">
              <w:rPr>
                <w:rFonts w:ascii="Arial" w:hAnsi="Arial"/>
              </w:rPr>
              <w:t>Project</w:t>
            </w:r>
            <w:r w:rsidR="0091316B">
              <w:rPr>
                <w:rFonts w:ascii="Arial" w:hAnsi="Arial"/>
              </w:rPr>
              <w:t xml:space="preserve"> site, and the assessment of groundwater flow patterns requiring a more regional approach, t</w:t>
            </w:r>
            <w:r>
              <w:rPr>
                <w:rFonts w:ascii="Arial" w:hAnsi="Arial"/>
              </w:rPr>
              <w:t xml:space="preserve">he groundwater study area </w:t>
            </w:r>
            <w:r w:rsidR="0091316B">
              <w:rPr>
                <w:rFonts w:ascii="Arial" w:hAnsi="Arial"/>
              </w:rPr>
              <w:t>was defined to capture a sufficient number of existing groundwater bores that have associated monitoring data.</w:t>
            </w:r>
          </w:p>
          <w:p w14:paraId="25786735" w14:textId="3711B36B" w:rsidR="0091316B" w:rsidRDefault="0091316B" w:rsidP="0091316B">
            <w:pPr>
              <w:tabs>
                <w:tab w:val="left" w:pos="2904"/>
                <w:tab w:val="left" w:pos="3907"/>
                <w:tab w:val="left" w:pos="4910"/>
                <w:tab w:val="left" w:pos="5913"/>
                <w:tab w:val="left" w:pos="6916"/>
              </w:tabs>
              <w:spacing w:before="120"/>
              <w:jc w:val="both"/>
              <w:rPr>
                <w:rFonts w:ascii="Arial" w:hAnsi="Arial"/>
              </w:rPr>
            </w:pPr>
            <w:r>
              <w:rPr>
                <w:rFonts w:ascii="Arial" w:hAnsi="Arial"/>
              </w:rPr>
              <w:t xml:space="preserve">Study areas for baseline assessments such as social impact, landscape and visual, traffic and transport, or </w:t>
            </w:r>
            <w:r w:rsidR="00D02516">
              <w:rPr>
                <w:rFonts w:ascii="Arial" w:hAnsi="Arial"/>
              </w:rPr>
              <w:t>offsite</w:t>
            </w:r>
            <w:r>
              <w:rPr>
                <w:rFonts w:ascii="Arial" w:hAnsi="Arial"/>
              </w:rPr>
              <w:t xml:space="preserve"> infrastructure are yet to be defined. </w:t>
            </w:r>
          </w:p>
          <w:bookmarkEnd w:id="16"/>
          <w:p w14:paraId="7EB33280" w14:textId="00A0E394" w:rsidR="00D02516" w:rsidRDefault="00D02516" w:rsidP="0091316B">
            <w:pPr>
              <w:tabs>
                <w:tab w:val="left" w:pos="2904"/>
                <w:tab w:val="left" w:pos="3907"/>
                <w:tab w:val="left" w:pos="4910"/>
                <w:tab w:val="left" w:pos="5913"/>
                <w:tab w:val="left" w:pos="6916"/>
              </w:tabs>
              <w:spacing w:before="120"/>
              <w:jc w:val="both"/>
              <w:rPr>
                <w:rFonts w:ascii="Arial" w:hAnsi="Arial"/>
              </w:rPr>
            </w:pPr>
          </w:p>
          <w:tbl>
            <w:tblPr>
              <w:tblW w:w="4930" w:type="pct"/>
              <w:tblBorders>
                <w:top w:val="single" w:sz="2" w:space="0" w:color="262626"/>
                <w:bottom w:val="single" w:sz="2" w:space="0" w:color="262626"/>
              </w:tblBorders>
              <w:tblLayout w:type="fixed"/>
              <w:tblCellMar>
                <w:top w:w="28" w:type="dxa"/>
                <w:left w:w="0" w:type="dxa"/>
                <w:bottom w:w="28" w:type="dxa"/>
                <w:right w:w="85" w:type="dxa"/>
              </w:tblCellMar>
              <w:tblLook w:val="0620" w:firstRow="1" w:lastRow="0" w:firstColumn="0" w:lastColumn="0" w:noHBand="1" w:noVBand="1"/>
            </w:tblPr>
            <w:tblGrid>
              <w:gridCol w:w="2204"/>
              <w:gridCol w:w="4301"/>
              <w:gridCol w:w="1289"/>
              <w:gridCol w:w="860"/>
            </w:tblGrid>
            <w:tr w:rsidR="00D02516" w:rsidRPr="00553560" w14:paraId="6673C8C3" w14:textId="77777777" w:rsidTr="005610EC">
              <w:trPr>
                <w:cantSplit/>
                <w:tblHeader/>
              </w:trPr>
              <w:tc>
                <w:tcPr>
                  <w:tcW w:w="4503" w:type="pct"/>
                  <w:gridSpan w:val="3"/>
                  <w:tcBorders>
                    <w:top w:val="nil"/>
                    <w:left w:val="nil"/>
                    <w:bottom w:val="nil"/>
                    <w:right w:val="nil"/>
                    <w:tl2br w:val="nil"/>
                    <w:tr2bl w:val="nil"/>
                  </w:tcBorders>
                  <w:shd w:val="clear" w:color="auto" w:fill="auto"/>
                </w:tcPr>
                <w:p w14:paraId="6B06759A" w14:textId="77777777" w:rsidR="00D02516" w:rsidRPr="00553560" w:rsidRDefault="00D02516" w:rsidP="00D02516">
                  <w:pPr>
                    <w:pStyle w:val="TableCaption"/>
                    <w:rPr>
                      <w:rFonts w:ascii="Arial" w:hAnsi="Arial" w:cs="Arial"/>
                      <w:sz w:val="18"/>
                    </w:rPr>
                  </w:pPr>
                  <w:bookmarkStart w:id="18" w:name="_Hlk13216455"/>
                  <w:r w:rsidRPr="00553560">
                    <w:rPr>
                      <w:rFonts w:ascii="Arial" w:eastAsia="Calibri" w:hAnsi="Arial" w:cs="Arial"/>
                      <w:sz w:val="18"/>
                    </w:rPr>
                    <w:t xml:space="preserve">Table </w:t>
                  </w:r>
                  <w:r>
                    <w:rPr>
                      <w:rFonts w:ascii="Arial" w:eastAsia="Calibri" w:hAnsi="Arial" w:cs="Arial"/>
                      <w:sz w:val="18"/>
                    </w:rPr>
                    <w:t>2</w:t>
                  </w:r>
                  <w:r w:rsidRPr="00553560">
                    <w:rPr>
                      <w:rFonts w:ascii="Arial" w:eastAsia="Calibri" w:hAnsi="Arial" w:cs="Arial"/>
                      <w:sz w:val="18"/>
                    </w:rPr>
                    <w:t>.2</w:t>
                  </w:r>
                  <w:r w:rsidRPr="00553560">
                    <w:rPr>
                      <w:rFonts w:ascii="Arial" w:eastAsia="Calibri" w:hAnsi="Arial" w:cs="Arial"/>
                      <w:sz w:val="18"/>
                    </w:rPr>
                    <w:tab/>
                    <w:t xml:space="preserve">Project </w:t>
                  </w:r>
                  <w:r>
                    <w:rPr>
                      <w:rFonts w:ascii="Arial" w:eastAsia="Calibri" w:hAnsi="Arial" w:cs="Arial"/>
                      <w:sz w:val="18"/>
                    </w:rPr>
                    <w:t>area definition</w:t>
                  </w:r>
                  <w:r w:rsidRPr="00553560">
                    <w:rPr>
                      <w:rFonts w:ascii="Arial" w:eastAsia="Calibri" w:hAnsi="Arial" w:cs="Arial"/>
                      <w:sz w:val="18"/>
                    </w:rPr>
                    <w:t>s</w:t>
                  </w:r>
                </w:p>
              </w:tc>
              <w:tc>
                <w:tcPr>
                  <w:tcW w:w="497" w:type="pct"/>
                  <w:tcBorders>
                    <w:top w:val="nil"/>
                    <w:left w:val="nil"/>
                    <w:bottom w:val="nil"/>
                    <w:right w:val="nil"/>
                    <w:tl2br w:val="nil"/>
                    <w:tr2bl w:val="nil"/>
                  </w:tcBorders>
                </w:tcPr>
                <w:p w14:paraId="71DA802A" w14:textId="77777777" w:rsidR="00D02516" w:rsidRPr="00553560" w:rsidRDefault="00D02516" w:rsidP="00D02516">
                  <w:pPr>
                    <w:pStyle w:val="TableCaption"/>
                    <w:rPr>
                      <w:rFonts w:ascii="Arial" w:eastAsia="Calibri" w:hAnsi="Arial" w:cs="Arial"/>
                      <w:sz w:val="18"/>
                    </w:rPr>
                  </w:pPr>
                </w:p>
              </w:tc>
            </w:tr>
            <w:tr w:rsidR="00D02516" w:rsidRPr="00553560" w14:paraId="5BDFE05B" w14:textId="77777777" w:rsidTr="005610EC">
              <w:trPr>
                <w:cantSplit/>
                <w:tblHeader/>
              </w:trPr>
              <w:tc>
                <w:tcPr>
                  <w:tcW w:w="1273" w:type="pct"/>
                  <w:tcBorders>
                    <w:top w:val="nil"/>
                    <w:left w:val="nil"/>
                    <w:bottom w:val="single" w:sz="4" w:space="0" w:color="000000"/>
                    <w:right w:val="nil"/>
                    <w:tl2br w:val="nil"/>
                    <w:tr2bl w:val="nil"/>
                  </w:tcBorders>
                  <w:shd w:val="clear" w:color="auto" w:fill="auto"/>
                </w:tcPr>
                <w:p w14:paraId="02E9C446" w14:textId="77777777" w:rsidR="00D02516" w:rsidRPr="00553560" w:rsidRDefault="00D02516" w:rsidP="00D02516">
                  <w:pPr>
                    <w:pStyle w:val="TableHeading"/>
                    <w:rPr>
                      <w:rFonts w:ascii="Arial" w:hAnsi="Arial" w:cs="Arial"/>
                      <w:szCs w:val="18"/>
                    </w:rPr>
                  </w:pPr>
                  <w:r>
                    <w:rPr>
                      <w:rFonts w:ascii="Arial" w:eastAsia="Calibri" w:hAnsi="Arial" w:cs="Arial"/>
                      <w:szCs w:val="18"/>
                    </w:rPr>
                    <w:t>Project area</w:t>
                  </w:r>
                </w:p>
              </w:tc>
              <w:tc>
                <w:tcPr>
                  <w:tcW w:w="2485" w:type="pct"/>
                  <w:tcBorders>
                    <w:top w:val="nil"/>
                    <w:left w:val="nil"/>
                    <w:bottom w:val="single" w:sz="4" w:space="0" w:color="000000"/>
                    <w:right w:val="nil"/>
                    <w:tl2br w:val="nil"/>
                    <w:tr2bl w:val="nil"/>
                  </w:tcBorders>
                  <w:shd w:val="clear" w:color="auto" w:fill="auto"/>
                </w:tcPr>
                <w:p w14:paraId="5D1B6654" w14:textId="77777777" w:rsidR="00D02516" w:rsidRPr="00553560" w:rsidRDefault="00D02516" w:rsidP="00D02516">
                  <w:pPr>
                    <w:pStyle w:val="TableHeading"/>
                    <w:rPr>
                      <w:rFonts w:ascii="Arial" w:hAnsi="Arial" w:cs="Arial"/>
                      <w:szCs w:val="18"/>
                    </w:rPr>
                  </w:pPr>
                  <w:r w:rsidRPr="00553560">
                    <w:rPr>
                      <w:rFonts w:ascii="Arial" w:eastAsia="Calibri" w:hAnsi="Arial" w:cs="Arial"/>
                      <w:szCs w:val="18"/>
                    </w:rPr>
                    <w:t>De</w:t>
                  </w:r>
                  <w:r>
                    <w:rPr>
                      <w:rFonts w:ascii="Arial" w:eastAsia="Calibri" w:hAnsi="Arial" w:cs="Arial"/>
                      <w:szCs w:val="18"/>
                    </w:rPr>
                    <w:t>finition</w:t>
                  </w:r>
                </w:p>
              </w:tc>
              <w:tc>
                <w:tcPr>
                  <w:tcW w:w="745" w:type="pct"/>
                  <w:tcBorders>
                    <w:top w:val="nil"/>
                    <w:left w:val="nil"/>
                    <w:bottom w:val="single" w:sz="4" w:space="0" w:color="000000"/>
                    <w:right w:val="nil"/>
                    <w:tl2br w:val="nil"/>
                    <w:tr2bl w:val="nil"/>
                  </w:tcBorders>
                  <w:shd w:val="clear" w:color="auto" w:fill="auto"/>
                </w:tcPr>
                <w:p w14:paraId="7F31877F" w14:textId="77777777" w:rsidR="00D02516" w:rsidRPr="00553560" w:rsidRDefault="00D02516" w:rsidP="00D02516">
                  <w:pPr>
                    <w:pStyle w:val="TableHeading"/>
                    <w:rPr>
                      <w:rFonts w:ascii="Arial" w:hAnsi="Arial" w:cs="Arial"/>
                      <w:szCs w:val="18"/>
                    </w:rPr>
                  </w:pPr>
                  <w:r w:rsidRPr="00553560">
                    <w:rPr>
                      <w:rFonts w:ascii="Arial" w:eastAsia="Calibri" w:hAnsi="Arial" w:cs="Arial"/>
                      <w:szCs w:val="18"/>
                    </w:rPr>
                    <w:t>Approximate footprint</w:t>
                  </w:r>
                </w:p>
              </w:tc>
              <w:tc>
                <w:tcPr>
                  <w:tcW w:w="497" w:type="pct"/>
                  <w:tcBorders>
                    <w:top w:val="nil"/>
                    <w:left w:val="nil"/>
                    <w:bottom w:val="single" w:sz="4" w:space="0" w:color="000000"/>
                    <w:right w:val="nil"/>
                    <w:tl2br w:val="nil"/>
                    <w:tr2bl w:val="nil"/>
                  </w:tcBorders>
                </w:tcPr>
                <w:p w14:paraId="2A2801F5" w14:textId="77777777" w:rsidR="00D02516" w:rsidRPr="00553560" w:rsidRDefault="00D02516" w:rsidP="00D02516">
                  <w:pPr>
                    <w:pStyle w:val="TableHeading"/>
                    <w:rPr>
                      <w:rFonts w:ascii="Arial" w:eastAsia="Calibri" w:hAnsi="Arial" w:cs="Arial"/>
                      <w:szCs w:val="18"/>
                    </w:rPr>
                  </w:pPr>
                  <w:r>
                    <w:rPr>
                      <w:rFonts w:ascii="Arial" w:eastAsia="Calibri" w:hAnsi="Arial" w:cs="Arial"/>
                      <w:szCs w:val="18"/>
                    </w:rPr>
                    <w:t>Figure</w:t>
                  </w:r>
                </w:p>
              </w:tc>
            </w:tr>
            <w:tr w:rsidR="00D02516" w:rsidRPr="00553560" w14:paraId="3AF34A44" w14:textId="77777777" w:rsidTr="005610EC">
              <w:trPr>
                <w:cantSplit/>
              </w:trPr>
              <w:tc>
                <w:tcPr>
                  <w:tcW w:w="1273" w:type="pct"/>
                  <w:shd w:val="clear" w:color="auto" w:fill="auto"/>
                </w:tcPr>
                <w:p w14:paraId="6ABD3C52" w14:textId="62911353" w:rsidR="00D02516" w:rsidRPr="00553560" w:rsidRDefault="00D02516" w:rsidP="00CD346F">
                  <w:pPr>
                    <w:pStyle w:val="TableText"/>
                    <w:spacing w:after="120"/>
                    <w:rPr>
                      <w:rFonts w:ascii="Arial" w:hAnsi="Arial" w:cs="Arial"/>
                      <w:szCs w:val="18"/>
                    </w:rPr>
                  </w:pPr>
                  <w:r w:rsidRPr="00553560">
                    <w:rPr>
                      <w:rFonts w:ascii="Arial" w:hAnsi="Arial" w:cs="Arial"/>
                      <w:szCs w:val="18"/>
                    </w:rPr>
                    <w:t>Indicative mineralised extent</w:t>
                  </w:r>
                </w:p>
              </w:tc>
              <w:tc>
                <w:tcPr>
                  <w:tcW w:w="2485" w:type="pct"/>
                  <w:shd w:val="clear" w:color="auto" w:fill="auto"/>
                </w:tcPr>
                <w:p w14:paraId="773EBAD0" w14:textId="071FB899" w:rsidR="00D02516" w:rsidRPr="00553560" w:rsidRDefault="00D02516" w:rsidP="00CD346F">
                  <w:pPr>
                    <w:pStyle w:val="TableText"/>
                    <w:spacing w:before="0" w:after="120"/>
                    <w:rPr>
                      <w:rFonts w:ascii="Arial" w:hAnsi="Arial" w:cs="Arial"/>
                      <w:szCs w:val="18"/>
                    </w:rPr>
                  </w:pPr>
                  <w:r>
                    <w:rPr>
                      <w:rFonts w:ascii="Arial" w:hAnsi="Arial" w:cs="Arial"/>
                      <w:szCs w:val="18"/>
                    </w:rPr>
                    <w:t>T</w:t>
                  </w:r>
                  <w:r w:rsidRPr="002B4BD8">
                    <w:rPr>
                      <w:rFonts w:ascii="Arial" w:hAnsi="Arial" w:cs="Arial"/>
                      <w:szCs w:val="18"/>
                    </w:rPr>
                    <w:t xml:space="preserve">he </w:t>
                  </w:r>
                  <w:r>
                    <w:rPr>
                      <w:rFonts w:ascii="Arial" w:hAnsi="Arial" w:cs="Arial"/>
                      <w:szCs w:val="18"/>
                    </w:rPr>
                    <w:t xml:space="preserve">area comprising the </w:t>
                  </w:r>
                  <w:r w:rsidRPr="002B4BD8">
                    <w:rPr>
                      <w:rFonts w:ascii="Arial" w:hAnsi="Arial" w:cs="Arial"/>
                      <w:szCs w:val="18"/>
                    </w:rPr>
                    <w:t xml:space="preserve">economically extractable </w:t>
                  </w:r>
                  <w:r>
                    <w:rPr>
                      <w:rFonts w:ascii="Arial" w:hAnsi="Arial" w:cs="Arial"/>
                      <w:szCs w:val="18"/>
                    </w:rPr>
                    <w:t>mineralised</w:t>
                  </w:r>
                  <w:r w:rsidRPr="002B4BD8">
                    <w:rPr>
                      <w:rFonts w:ascii="Arial" w:hAnsi="Arial" w:cs="Arial"/>
                      <w:szCs w:val="18"/>
                    </w:rPr>
                    <w:t xml:space="preserve"> resource</w:t>
                  </w:r>
                  <w:r>
                    <w:rPr>
                      <w:rFonts w:ascii="Arial" w:hAnsi="Arial" w:cs="Arial"/>
                      <w:szCs w:val="18"/>
                    </w:rPr>
                    <w:t>. The extent of this area may change depending on the results of the 2019 drilling program.</w:t>
                  </w:r>
                </w:p>
              </w:tc>
              <w:tc>
                <w:tcPr>
                  <w:tcW w:w="745" w:type="pct"/>
                  <w:shd w:val="clear" w:color="auto" w:fill="auto"/>
                </w:tcPr>
                <w:p w14:paraId="39E3B950" w14:textId="0BC88493" w:rsidR="00D02516" w:rsidRPr="00553560" w:rsidRDefault="00D02516" w:rsidP="00CD346F">
                  <w:pPr>
                    <w:pStyle w:val="TableText"/>
                    <w:rPr>
                      <w:rFonts w:ascii="Arial" w:hAnsi="Arial" w:cs="Arial"/>
                      <w:szCs w:val="18"/>
                    </w:rPr>
                  </w:pPr>
                  <w:r>
                    <w:rPr>
                      <w:rFonts w:ascii="Arial" w:hAnsi="Arial" w:cs="Arial"/>
                      <w:szCs w:val="18"/>
                    </w:rPr>
                    <w:t>1,509 hectares (ha)</w:t>
                  </w:r>
                </w:p>
              </w:tc>
              <w:tc>
                <w:tcPr>
                  <w:tcW w:w="497" w:type="pct"/>
                </w:tcPr>
                <w:p w14:paraId="7048FBDD" w14:textId="440C8553" w:rsidR="00D02516" w:rsidRPr="00553560" w:rsidRDefault="00166AB5" w:rsidP="00CD346F">
                  <w:pPr>
                    <w:pStyle w:val="TableText"/>
                    <w:rPr>
                      <w:rFonts w:ascii="Arial" w:hAnsi="Arial" w:cs="Arial"/>
                      <w:szCs w:val="18"/>
                    </w:rPr>
                  </w:pPr>
                  <w:r>
                    <w:rPr>
                      <w:rFonts w:ascii="Arial" w:hAnsi="Arial" w:cs="Arial"/>
                      <w:szCs w:val="18"/>
                    </w:rPr>
                    <w:t>2</w:t>
                  </w:r>
                </w:p>
              </w:tc>
            </w:tr>
            <w:tr w:rsidR="00C66BA7" w:rsidRPr="00553560" w14:paraId="741FB555" w14:textId="77777777" w:rsidTr="005610EC">
              <w:trPr>
                <w:cantSplit/>
              </w:trPr>
              <w:tc>
                <w:tcPr>
                  <w:tcW w:w="1273" w:type="pct"/>
                  <w:shd w:val="clear" w:color="auto" w:fill="auto"/>
                </w:tcPr>
                <w:p w14:paraId="050E80E4" w14:textId="5A2E9352" w:rsidR="00C66BA7" w:rsidRDefault="00C66BA7" w:rsidP="00CD346F">
                  <w:pPr>
                    <w:pStyle w:val="TableText"/>
                    <w:spacing w:before="0"/>
                    <w:rPr>
                      <w:rFonts w:ascii="Arial" w:hAnsi="Arial" w:cs="Arial"/>
                      <w:snapToGrid w:val="0"/>
                      <w:szCs w:val="18"/>
                    </w:rPr>
                  </w:pPr>
                  <w:r>
                    <w:rPr>
                      <w:rFonts w:ascii="Arial" w:hAnsi="Arial" w:cs="Arial"/>
                      <w:szCs w:val="18"/>
                    </w:rPr>
                    <w:t>Indicative mining extent</w:t>
                  </w:r>
                </w:p>
              </w:tc>
              <w:tc>
                <w:tcPr>
                  <w:tcW w:w="2485" w:type="pct"/>
                  <w:shd w:val="clear" w:color="auto" w:fill="auto"/>
                </w:tcPr>
                <w:p w14:paraId="18735936" w14:textId="34EFC1A6" w:rsidR="00C66BA7" w:rsidRPr="00553560" w:rsidRDefault="00C66BA7" w:rsidP="00CD346F">
                  <w:pPr>
                    <w:pStyle w:val="TableText"/>
                    <w:spacing w:before="0" w:after="120"/>
                    <w:rPr>
                      <w:rFonts w:ascii="Arial" w:eastAsia="Calibri" w:hAnsi="Arial" w:cs="Arial"/>
                      <w:szCs w:val="18"/>
                    </w:rPr>
                  </w:pPr>
                  <w:r>
                    <w:rPr>
                      <w:rFonts w:ascii="Arial" w:hAnsi="Arial" w:cs="Arial"/>
                      <w:szCs w:val="18"/>
                    </w:rPr>
                    <w:t xml:space="preserve">The extent of the economically extractable mineralised resource proposed to be mined. The final footprint may change depending on the results of the 2019 drilling program and on Iluka’s decision to </w:t>
                  </w:r>
                  <w:r w:rsidRPr="00553560">
                    <w:rPr>
                      <w:rFonts w:ascii="Arial" w:hAnsi="Arial" w:cs="Arial"/>
                      <w:szCs w:val="18"/>
                    </w:rPr>
                    <w:t>exclu</w:t>
                  </w:r>
                  <w:r>
                    <w:rPr>
                      <w:rFonts w:ascii="Arial" w:hAnsi="Arial" w:cs="Arial"/>
                      <w:szCs w:val="18"/>
                    </w:rPr>
                    <w:t xml:space="preserve">de additional </w:t>
                  </w:r>
                  <w:r w:rsidRPr="00553560">
                    <w:rPr>
                      <w:rFonts w:ascii="Arial" w:hAnsi="Arial" w:cs="Arial"/>
                      <w:szCs w:val="18"/>
                    </w:rPr>
                    <w:t>areas due to environmental value or due to existing built assets (</w:t>
                  </w:r>
                  <w:proofErr w:type="spellStart"/>
                  <w:r w:rsidRPr="00553560">
                    <w:rPr>
                      <w:rFonts w:ascii="Arial" w:hAnsi="Arial" w:cs="Arial"/>
                      <w:szCs w:val="18"/>
                    </w:rPr>
                    <w:t>eg</w:t>
                  </w:r>
                  <w:proofErr w:type="spellEnd"/>
                  <w:r w:rsidRPr="00553560">
                    <w:rPr>
                      <w:rFonts w:ascii="Arial" w:hAnsi="Arial" w:cs="Arial"/>
                      <w:szCs w:val="18"/>
                    </w:rPr>
                    <w:t xml:space="preserve"> main transport routes)</w:t>
                  </w:r>
                  <w:r>
                    <w:rPr>
                      <w:rFonts w:ascii="Arial" w:hAnsi="Arial" w:cs="Arial"/>
                      <w:szCs w:val="18"/>
                    </w:rPr>
                    <w:t>.</w:t>
                  </w:r>
                </w:p>
              </w:tc>
              <w:tc>
                <w:tcPr>
                  <w:tcW w:w="745" w:type="pct"/>
                  <w:shd w:val="clear" w:color="auto" w:fill="auto"/>
                </w:tcPr>
                <w:p w14:paraId="1C3230CE" w14:textId="49AF772D" w:rsidR="00C66BA7" w:rsidRDefault="00C66BA7" w:rsidP="00CD346F">
                  <w:pPr>
                    <w:pStyle w:val="TableText"/>
                    <w:spacing w:before="0"/>
                    <w:rPr>
                      <w:rFonts w:ascii="Arial" w:hAnsi="Arial" w:cs="Arial"/>
                      <w:szCs w:val="18"/>
                    </w:rPr>
                  </w:pPr>
                  <w:r>
                    <w:rPr>
                      <w:rFonts w:ascii="Arial" w:hAnsi="Arial" w:cs="Arial"/>
                      <w:szCs w:val="18"/>
                    </w:rPr>
                    <w:t>1,308</w:t>
                  </w:r>
                  <w:r w:rsidRPr="00553560">
                    <w:rPr>
                      <w:rFonts w:ascii="Arial" w:hAnsi="Arial" w:cs="Arial"/>
                      <w:szCs w:val="18"/>
                    </w:rPr>
                    <w:t xml:space="preserve"> h</w:t>
                  </w:r>
                  <w:r>
                    <w:rPr>
                      <w:rFonts w:ascii="Arial" w:hAnsi="Arial" w:cs="Arial"/>
                      <w:szCs w:val="18"/>
                    </w:rPr>
                    <w:t>a</w:t>
                  </w:r>
                </w:p>
              </w:tc>
              <w:tc>
                <w:tcPr>
                  <w:tcW w:w="497" w:type="pct"/>
                </w:tcPr>
                <w:p w14:paraId="4C870D8D" w14:textId="6B7BCACB" w:rsidR="00C66BA7" w:rsidRDefault="00C66BA7" w:rsidP="00CD346F">
                  <w:pPr>
                    <w:pStyle w:val="TableText"/>
                    <w:rPr>
                      <w:rFonts w:ascii="Arial" w:hAnsi="Arial" w:cs="Arial"/>
                      <w:szCs w:val="18"/>
                    </w:rPr>
                  </w:pPr>
                  <w:r>
                    <w:rPr>
                      <w:rFonts w:ascii="Arial" w:hAnsi="Arial" w:cs="Arial"/>
                      <w:szCs w:val="18"/>
                    </w:rPr>
                    <w:t>2</w:t>
                  </w:r>
                </w:p>
              </w:tc>
            </w:tr>
            <w:tr w:rsidR="00D02516" w:rsidRPr="00553560" w14:paraId="5C4E209F" w14:textId="77777777" w:rsidTr="005610EC">
              <w:trPr>
                <w:cantSplit/>
              </w:trPr>
              <w:tc>
                <w:tcPr>
                  <w:tcW w:w="1273" w:type="pct"/>
                  <w:shd w:val="clear" w:color="auto" w:fill="auto"/>
                </w:tcPr>
                <w:p w14:paraId="2274EBA5" w14:textId="77777777" w:rsidR="00D02516" w:rsidRPr="00553560" w:rsidRDefault="00D02516" w:rsidP="00CD346F">
                  <w:pPr>
                    <w:pStyle w:val="TableText"/>
                    <w:spacing w:before="0"/>
                    <w:rPr>
                      <w:rFonts w:ascii="Arial" w:hAnsi="Arial" w:cs="Arial"/>
                      <w:szCs w:val="18"/>
                    </w:rPr>
                  </w:pPr>
                  <w:r>
                    <w:rPr>
                      <w:rFonts w:ascii="Arial" w:hAnsi="Arial" w:cs="Arial"/>
                      <w:snapToGrid w:val="0"/>
                      <w:szCs w:val="18"/>
                    </w:rPr>
                    <w:t>Plant area development envelope</w:t>
                  </w:r>
                </w:p>
              </w:tc>
              <w:tc>
                <w:tcPr>
                  <w:tcW w:w="2485" w:type="pct"/>
                  <w:shd w:val="clear" w:color="auto" w:fill="auto"/>
                </w:tcPr>
                <w:p w14:paraId="7A80E3B7" w14:textId="77777777" w:rsidR="00D02516" w:rsidRPr="00553560" w:rsidRDefault="00D02516" w:rsidP="00CD346F">
                  <w:pPr>
                    <w:pStyle w:val="TableText"/>
                    <w:spacing w:before="0" w:after="120"/>
                    <w:rPr>
                      <w:rFonts w:ascii="Arial" w:hAnsi="Arial" w:cs="Arial"/>
                      <w:szCs w:val="18"/>
                    </w:rPr>
                  </w:pPr>
                  <w:r w:rsidRPr="00553560">
                    <w:rPr>
                      <w:rFonts w:ascii="Arial" w:eastAsia="Calibri" w:hAnsi="Arial" w:cs="Arial"/>
                      <w:szCs w:val="18"/>
                    </w:rPr>
                    <w:t xml:space="preserve">The </w:t>
                  </w:r>
                  <w:r>
                    <w:rPr>
                      <w:rFonts w:ascii="Arial" w:eastAsia="Calibri" w:hAnsi="Arial" w:cs="Arial"/>
                      <w:szCs w:val="18"/>
                    </w:rPr>
                    <w:t xml:space="preserve">development envelope within which the </w:t>
                  </w:r>
                  <w:r w:rsidRPr="00553560">
                    <w:rPr>
                      <w:rFonts w:ascii="Arial" w:eastAsia="Calibri" w:hAnsi="Arial" w:cs="Arial"/>
                      <w:szCs w:val="18"/>
                    </w:rPr>
                    <w:t xml:space="preserve">mineral separation plant, zircon refinery, rare earth refinery and supporting infrastructure </w:t>
                  </w:r>
                  <w:r>
                    <w:rPr>
                      <w:rFonts w:ascii="Arial" w:eastAsia="Calibri" w:hAnsi="Arial" w:cs="Arial"/>
                      <w:szCs w:val="18"/>
                    </w:rPr>
                    <w:t xml:space="preserve">are expected be located. Final size, location and disturbance area within this envelope is yet to be determined, and </w:t>
                  </w:r>
                  <w:r>
                    <w:rPr>
                      <w:rFonts w:ascii="Arial" w:hAnsi="Arial" w:cs="Arial"/>
                      <w:szCs w:val="18"/>
                    </w:rPr>
                    <w:t>may change depending on the results of the 2019 drilling program</w:t>
                  </w:r>
                </w:p>
              </w:tc>
              <w:tc>
                <w:tcPr>
                  <w:tcW w:w="745" w:type="pct"/>
                  <w:shd w:val="clear" w:color="auto" w:fill="auto"/>
                </w:tcPr>
                <w:p w14:paraId="3DACEE53" w14:textId="77777777" w:rsidR="00D02516" w:rsidRPr="00553560" w:rsidRDefault="00D02516" w:rsidP="00CD346F">
                  <w:pPr>
                    <w:pStyle w:val="TableText"/>
                    <w:spacing w:before="0"/>
                    <w:rPr>
                      <w:rFonts w:ascii="Arial" w:hAnsi="Arial" w:cs="Arial"/>
                      <w:szCs w:val="18"/>
                    </w:rPr>
                  </w:pPr>
                  <w:r>
                    <w:rPr>
                      <w:rFonts w:ascii="Arial" w:hAnsi="Arial" w:cs="Arial"/>
                      <w:szCs w:val="18"/>
                    </w:rPr>
                    <w:t>455</w:t>
                  </w:r>
                  <w:r w:rsidRPr="00553560">
                    <w:rPr>
                      <w:rFonts w:ascii="Arial" w:hAnsi="Arial" w:cs="Arial"/>
                      <w:szCs w:val="18"/>
                    </w:rPr>
                    <w:t xml:space="preserve"> ha</w:t>
                  </w:r>
                </w:p>
              </w:tc>
              <w:tc>
                <w:tcPr>
                  <w:tcW w:w="497" w:type="pct"/>
                </w:tcPr>
                <w:p w14:paraId="2E3FAFF5" w14:textId="1BB68E84" w:rsidR="00D02516" w:rsidRPr="00553560" w:rsidRDefault="00D02516" w:rsidP="00CD346F">
                  <w:pPr>
                    <w:pStyle w:val="TableText"/>
                    <w:rPr>
                      <w:rFonts w:ascii="Arial" w:hAnsi="Arial" w:cs="Arial"/>
                      <w:szCs w:val="18"/>
                    </w:rPr>
                  </w:pPr>
                  <w:r>
                    <w:rPr>
                      <w:rFonts w:ascii="Arial" w:hAnsi="Arial" w:cs="Arial"/>
                      <w:szCs w:val="18"/>
                    </w:rPr>
                    <w:t>2</w:t>
                  </w:r>
                </w:p>
              </w:tc>
            </w:tr>
            <w:tr w:rsidR="00D02516" w:rsidRPr="00553560" w14:paraId="6C50FFAE" w14:textId="77777777" w:rsidTr="005610EC">
              <w:trPr>
                <w:cantSplit/>
              </w:trPr>
              <w:tc>
                <w:tcPr>
                  <w:tcW w:w="1273" w:type="pct"/>
                  <w:shd w:val="clear" w:color="auto" w:fill="auto"/>
                </w:tcPr>
                <w:p w14:paraId="3FAB66DE" w14:textId="3654F03B" w:rsidR="00D02516" w:rsidRDefault="00D02516" w:rsidP="00CD346F">
                  <w:pPr>
                    <w:pStyle w:val="TableText"/>
                    <w:spacing w:before="0"/>
                    <w:rPr>
                      <w:rFonts w:ascii="Arial" w:hAnsi="Arial" w:cs="Arial"/>
                      <w:snapToGrid w:val="0"/>
                      <w:szCs w:val="18"/>
                    </w:rPr>
                  </w:pPr>
                  <w:r w:rsidRPr="00553560">
                    <w:rPr>
                      <w:rFonts w:ascii="Arial" w:hAnsi="Arial" w:cs="Arial"/>
                      <w:snapToGrid w:val="0"/>
                      <w:szCs w:val="18"/>
                    </w:rPr>
                    <w:t>Project site</w:t>
                  </w:r>
                </w:p>
              </w:tc>
              <w:tc>
                <w:tcPr>
                  <w:tcW w:w="2485" w:type="pct"/>
                  <w:shd w:val="clear" w:color="auto" w:fill="auto"/>
                </w:tcPr>
                <w:p w14:paraId="7390D655" w14:textId="77777777" w:rsidR="00D02516" w:rsidRPr="00553560" w:rsidRDefault="00D02516" w:rsidP="00CD346F">
                  <w:pPr>
                    <w:pStyle w:val="TableText"/>
                    <w:rPr>
                      <w:rFonts w:ascii="Arial" w:eastAsia="Calibri" w:hAnsi="Arial" w:cs="Arial"/>
                      <w:szCs w:val="18"/>
                    </w:rPr>
                  </w:pPr>
                  <w:r>
                    <w:rPr>
                      <w:rFonts w:ascii="Arial" w:eastAsia="Calibri" w:hAnsi="Arial" w:cs="Arial"/>
                      <w:szCs w:val="18"/>
                    </w:rPr>
                    <w:t xml:space="preserve">The mine layout development envelope. The area comprising </w:t>
                  </w:r>
                  <w:r w:rsidRPr="00553560">
                    <w:rPr>
                      <w:rFonts w:ascii="Arial" w:eastAsia="Calibri" w:hAnsi="Arial" w:cs="Arial"/>
                      <w:szCs w:val="18"/>
                    </w:rPr>
                    <w:t>the:</w:t>
                  </w:r>
                </w:p>
                <w:p w14:paraId="167B5EFC" w14:textId="77777777" w:rsidR="00D02516" w:rsidRPr="00553560" w:rsidRDefault="00D02516" w:rsidP="00CD346F">
                  <w:pPr>
                    <w:pStyle w:val="TableTextBullet1"/>
                    <w:tabs>
                      <w:tab w:val="clear" w:pos="495"/>
                    </w:tabs>
                    <w:ind w:left="198" w:hanging="198"/>
                    <w:rPr>
                      <w:rFonts w:ascii="Arial" w:hAnsi="Arial" w:cs="Arial"/>
                      <w:snapToGrid w:val="0"/>
                      <w:szCs w:val="18"/>
                    </w:rPr>
                  </w:pPr>
                  <w:r w:rsidRPr="00553560">
                    <w:rPr>
                      <w:rFonts w:ascii="Arial" w:hAnsi="Arial" w:cs="Arial"/>
                      <w:snapToGrid w:val="0"/>
                      <w:szCs w:val="18"/>
                    </w:rPr>
                    <w:t xml:space="preserve">indicative </w:t>
                  </w:r>
                  <w:r>
                    <w:rPr>
                      <w:rFonts w:ascii="Arial" w:hAnsi="Arial" w:cs="Arial"/>
                      <w:snapToGrid w:val="0"/>
                      <w:szCs w:val="18"/>
                    </w:rPr>
                    <w:t>mining</w:t>
                  </w:r>
                  <w:r w:rsidRPr="00553560">
                    <w:rPr>
                      <w:rFonts w:ascii="Arial" w:hAnsi="Arial" w:cs="Arial"/>
                      <w:snapToGrid w:val="0"/>
                      <w:szCs w:val="18"/>
                    </w:rPr>
                    <w:t xml:space="preserve"> extent;</w:t>
                  </w:r>
                </w:p>
                <w:p w14:paraId="2D962B97" w14:textId="5A33CC54" w:rsidR="00D02516" w:rsidRPr="00553560" w:rsidRDefault="00D02516" w:rsidP="00CD346F">
                  <w:pPr>
                    <w:pStyle w:val="TableTextBullet1"/>
                    <w:tabs>
                      <w:tab w:val="clear" w:pos="495"/>
                    </w:tabs>
                    <w:ind w:left="198" w:hanging="198"/>
                    <w:rPr>
                      <w:rFonts w:ascii="Arial" w:eastAsia="Calibri" w:hAnsi="Arial" w:cs="Arial"/>
                      <w:szCs w:val="18"/>
                    </w:rPr>
                  </w:pPr>
                  <w:r>
                    <w:rPr>
                      <w:rFonts w:ascii="Arial" w:hAnsi="Arial" w:cs="Arial"/>
                      <w:snapToGrid w:val="0"/>
                      <w:szCs w:val="18"/>
                    </w:rPr>
                    <w:t>plant area development envelope; and</w:t>
                  </w:r>
                  <w:r w:rsidR="00CD346F">
                    <w:rPr>
                      <w:rFonts w:ascii="Arial" w:hAnsi="Arial" w:cs="Arial"/>
                      <w:snapToGrid w:val="0"/>
                      <w:szCs w:val="18"/>
                    </w:rPr>
                    <w:t xml:space="preserve"> </w:t>
                  </w:r>
                  <w:r>
                    <w:rPr>
                      <w:rFonts w:ascii="Arial" w:hAnsi="Arial" w:cs="Arial"/>
                      <w:snapToGrid w:val="0"/>
                      <w:szCs w:val="18"/>
                    </w:rPr>
                    <w:t>additional area associated with surface mining infrastructure and stockpiles.</w:t>
                  </w:r>
                </w:p>
              </w:tc>
              <w:tc>
                <w:tcPr>
                  <w:tcW w:w="745" w:type="pct"/>
                  <w:shd w:val="clear" w:color="auto" w:fill="auto"/>
                </w:tcPr>
                <w:p w14:paraId="75130AA2" w14:textId="58448EF9" w:rsidR="00D02516" w:rsidRDefault="00D02516" w:rsidP="00CD346F">
                  <w:pPr>
                    <w:pStyle w:val="TableText"/>
                    <w:spacing w:before="0"/>
                    <w:rPr>
                      <w:rFonts w:ascii="Arial" w:hAnsi="Arial" w:cs="Arial"/>
                      <w:szCs w:val="18"/>
                    </w:rPr>
                  </w:pPr>
                  <w:r>
                    <w:rPr>
                      <w:rFonts w:ascii="Arial" w:hAnsi="Arial" w:cs="Arial"/>
                      <w:snapToGrid w:val="0"/>
                      <w:szCs w:val="18"/>
                    </w:rPr>
                    <w:t>2,580</w:t>
                  </w:r>
                  <w:r w:rsidRPr="00553560">
                    <w:rPr>
                      <w:rFonts w:ascii="Arial" w:hAnsi="Arial" w:cs="Arial"/>
                      <w:snapToGrid w:val="0"/>
                      <w:szCs w:val="18"/>
                    </w:rPr>
                    <w:t xml:space="preserve"> ha</w:t>
                  </w:r>
                </w:p>
              </w:tc>
              <w:tc>
                <w:tcPr>
                  <w:tcW w:w="497" w:type="pct"/>
                </w:tcPr>
                <w:p w14:paraId="768BCD54" w14:textId="4614DB14" w:rsidR="00D02516" w:rsidRDefault="00D02516" w:rsidP="00CD346F">
                  <w:pPr>
                    <w:pStyle w:val="TableText"/>
                    <w:rPr>
                      <w:rFonts w:ascii="Arial" w:hAnsi="Arial" w:cs="Arial"/>
                      <w:szCs w:val="18"/>
                    </w:rPr>
                  </w:pPr>
                  <w:r>
                    <w:rPr>
                      <w:rFonts w:ascii="Arial" w:hAnsi="Arial" w:cs="Arial"/>
                      <w:snapToGrid w:val="0"/>
                      <w:szCs w:val="18"/>
                    </w:rPr>
                    <w:t>2</w:t>
                  </w:r>
                </w:p>
              </w:tc>
            </w:tr>
            <w:bookmarkEnd w:id="18"/>
          </w:tbl>
          <w:p w14:paraId="6B3DE423" w14:textId="77777777" w:rsidR="00D02516" w:rsidRPr="0091316B" w:rsidRDefault="00D02516" w:rsidP="0091316B">
            <w:pPr>
              <w:tabs>
                <w:tab w:val="left" w:pos="2904"/>
                <w:tab w:val="left" w:pos="3907"/>
                <w:tab w:val="left" w:pos="4910"/>
                <w:tab w:val="left" w:pos="5913"/>
                <w:tab w:val="left" w:pos="6916"/>
              </w:tabs>
              <w:spacing w:before="120"/>
              <w:jc w:val="both"/>
              <w:rPr>
                <w:rFonts w:ascii="Arial" w:hAnsi="Arial"/>
              </w:rPr>
            </w:pPr>
          </w:p>
          <w:tbl>
            <w:tblPr>
              <w:tblW w:w="4930" w:type="pct"/>
              <w:tblBorders>
                <w:top w:val="single" w:sz="2" w:space="0" w:color="262626"/>
                <w:bottom w:val="single" w:sz="2" w:space="0" w:color="262626"/>
              </w:tblBorders>
              <w:tblLayout w:type="fixed"/>
              <w:tblCellMar>
                <w:top w:w="28" w:type="dxa"/>
                <w:left w:w="0" w:type="dxa"/>
                <w:bottom w:w="28" w:type="dxa"/>
                <w:right w:w="85" w:type="dxa"/>
              </w:tblCellMar>
              <w:tblLook w:val="0620" w:firstRow="1" w:lastRow="0" w:firstColumn="0" w:lastColumn="0" w:noHBand="1" w:noVBand="1"/>
            </w:tblPr>
            <w:tblGrid>
              <w:gridCol w:w="2204"/>
              <w:gridCol w:w="4301"/>
              <w:gridCol w:w="1289"/>
              <w:gridCol w:w="860"/>
            </w:tblGrid>
            <w:tr w:rsidR="002B4BD8" w:rsidRPr="00E356A3" w14:paraId="348C53D4" w14:textId="77777777" w:rsidTr="002B4BD8">
              <w:trPr>
                <w:cantSplit/>
                <w:tblHeader/>
              </w:trPr>
              <w:tc>
                <w:tcPr>
                  <w:tcW w:w="4503" w:type="pct"/>
                  <w:gridSpan w:val="3"/>
                  <w:tcBorders>
                    <w:top w:val="nil"/>
                    <w:left w:val="nil"/>
                    <w:bottom w:val="nil"/>
                    <w:right w:val="nil"/>
                    <w:tl2br w:val="nil"/>
                    <w:tr2bl w:val="nil"/>
                  </w:tcBorders>
                  <w:shd w:val="clear" w:color="auto" w:fill="auto"/>
                </w:tcPr>
                <w:p w14:paraId="171C3605" w14:textId="6F02DC6E" w:rsidR="002B4BD8" w:rsidRPr="00553560" w:rsidRDefault="002B4BD8" w:rsidP="00013847">
                  <w:pPr>
                    <w:pStyle w:val="TableCaption"/>
                    <w:rPr>
                      <w:rFonts w:ascii="Arial" w:hAnsi="Arial" w:cs="Arial"/>
                      <w:sz w:val="18"/>
                    </w:rPr>
                  </w:pPr>
                  <w:bookmarkStart w:id="19" w:name="ReturnHere"/>
                  <w:bookmarkStart w:id="20" w:name="_Toc8384833"/>
                  <w:bookmarkStart w:id="21" w:name="_Hlk13216470"/>
                  <w:bookmarkEnd w:id="17"/>
                  <w:bookmarkEnd w:id="19"/>
                  <w:r w:rsidRPr="00553560">
                    <w:rPr>
                      <w:rFonts w:ascii="Arial" w:eastAsia="Calibri" w:hAnsi="Arial" w:cs="Arial"/>
                      <w:sz w:val="18"/>
                    </w:rPr>
                    <w:lastRenderedPageBreak/>
                    <w:t xml:space="preserve">Table </w:t>
                  </w:r>
                  <w:r w:rsidR="002909BF">
                    <w:rPr>
                      <w:rFonts w:ascii="Arial" w:eastAsia="Calibri" w:hAnsi="Arial" w:cs="Arial"/>
                      <w:sz w:val="18"/>
                    </w:rPr>
                    <w:t>2</w:t>
                  </w:r>
                  <w:r w:rsidRPr="00553560">
                    <w:rPr>
                      <w:rFonts w:ascii="Arial" w:eastAsia="Calibri" w:hAnsi="Arial" w:cs="Arial"/>
                      <w:sz w:val="18"/>
                    </w:rPr>
                    <w:t>.</w:t>
                  </w:r>
                  <w:r w:rsidR="00D02516">
                    <w:rPr>
                      <w:rFonts w:ascii="Arial" w:eastAsia="Calibri" w:hAnsi="Arial" w:cs="Arial"/>
                      <w:sz w:val="18"/>
                    </w:rPr>
                    <w:t>3</w:t>
                  </w:r>
                  <w:r w:rsidRPr="00553560">
                    <w:rPr>
                      <w:rFonts w:ascii="Arial" w:eastAsia="Calibri" w:hAnsi="Arial" w:cs="Arial"/>
                      <w:sz w:val="18"/>
                    </w:rPr>
                    <w:tab/>
                    <w:t xml:space="preserve">Project </w:t>
                  </w:r>
                  <w:r w:rsidR="00D02516">
                    <w:rPr>
                      <w:rFonts w:ascii="Arial" w:eastAsia="Calibri" w:hAnsi="Arial" w:cs="Arial"/>
                      <w:sz w:val="18"/>
                    </w:rPr>
                    <w:t xml:space="preserve">study </w:t>
                  </w:r>
                  <w:r>
                    <w:rPr>
                      <w:rFonts w:ascii="Arial" w:eastAsia="Calibri" w:hAnsi="Arial" w:cs="Arial"/>
                      <w:sz w:val="18"/>
                    </w:rPr>
                    <w:t>area definition</w:t>
                  </w:r>
                  <w:r w:rsidRPr="00553560">
                    <w:rPr>
                      <w:rFonts w:ascii="Arial" w:eastAsia="Calibri" w:hAnsi="Arial" w:cs="Arial"/>
                      <w:sz w:val="18"/>
                    </w:rPr>
                    <w:t>s</w:t>
                  </w:r>
                  <w:bookmarkEnd w:id="20"/>
                </w:p>
              </w:tc>
              <w:tc>
                <w:tcPr>
                  <w:tcW w:w="497" w:type="pct"/>
                  <w:tcBorders>
                    <w:top w:val="nil"/>
                    <w:left w:val="nil"/>
                    <w:bottom w:val="nil"/>
                    <w:right w:val="nil"/>
                    <w:tl2br w:val="nil"/>
                    <w:tr2bl w:val="nil"/>
                  </w:tcBorders>
                </w:tcPr>
                <w:p w14:paraId="30512885" w14:textId="77777777" w:rsidR="002B4BD8" w:rsidRPr="00553560" w:rsidRDefault="002B4BD8" w:rsidP="00013847">
                  <w:pPr>
                    <w:pStyle w:val="TableCaption"/>
                    <w:rPr>
                      <w:rFonts w:ascii="Arial" w:eastAsia="Calibri" w:hAnsi="Arial" w:cs="Arial"/>
                      <w:sz w:val="18"/>
                    </w:rPr>
                  </w:pPr>
                </w:p>
              </w:tc>
            </w:tr>
            <w:tr w:rsidR="002B4BD8" w14:paraId="0CE25874" w14:textId="77777777" w:rsidTr="002502FC">
              <w:trPr>
                <w:cantSplit/>
                <w:tblHeader/>
              </w:trPr>
              <w:tc>
                <w:tcPr>
                  <w:tcW w:w="1273" w:type="pct"/>
                  <w:tcBorders>
                    <w:top w:val="nil"/>
                    <w:left w:val="nil"/>
                    <w:bottom w:val="single" w:sz="4" w:space="0" w:color="000000"/>
                    <w:right w:val="nil"/>
                    <w:tl2br w:val="nil"/>
                    <w:tr2bl w:val="nil"/>
                  </w:tcBorders>
                  <w:shd w:val="clear" w:color="auto" w:fill="auto"/>
                </w:tcPr>
                <w:p w14:paraId="0678B9DF" w14:textId="77777777" w:rsidR="002B4BD8" w:rsidRPr="00553560" w:rsidRDefault="002B4BD8" w:rsidP="00013847">
                  <w:pPr>
                    <w:pStyle w:val="TableHeading"/>
                    <w:rPr>
                      <w:rFonts w:ascii="Arial" w:hAnsi="Arial" w:cs="Arial"/>
                      <w:szCs w:val="18"/>
                    </w:rPr>
                  </w:pPr>
                  <w:r>
                    <w:rPr>
                      <w:rFonts w:ascii="Arial" w:eastAsia="Calibri" w:hAnsi="Arial" w:cs="Arial"/>
                      <w:szCs w:val="18"/>
                    </w:rPr>
                    <w:t>Project area</w:t>
                  </w:r>
                </w:p>
              </w:tc>
              <w:tc>
                <w:tcPr>
                  <w:tcW w:w="2485" w:type="pct"/>
                  <w:tcBorders>
                    <w:top w:val="nil"/>
                    <w:left w:val="nil"/>
                    <w:bottom w:val="single" w:sz="4" w:space="0" w:color="000000"/>
                    <w:right w:val="nil"/>
                    <w:tl2br w:val="nil"/>
                    <w:tr2bl w:val="nil"/>
                  </w:tcBorders>
                  <w:shd w:val="clear" w:color="auto" w:fill="auto"/>
                </w:tcPr>
                <w:p w14:paraId="607F48EC" w14:textId="77777777" w:rsidR="002B4BD8" w:rsidRPr="00553560" w:rsidRDefault="002B4BD8" w:rsidP="00013847">
                  <w:pPr>
                    <w:pStyle w:val="TableHeading"/>
                    <w:rPr>
                      <w:rFonts w:ascii="Arial" w:hAnsi="Arial" w:cs="Arial"/>
                      <w:szCs w:val="18"/>
                    </w:rPr>
                  </w:pPr>
                  <w:r w:rsidRPr="00553560">
                    <w:rPr>
                      <w:rFonts w:ascii="Arial" w:eastAsia="Calibri" w:hAnsi="Arial" w:cs="Arial"/>
                      <w:szCs w:val="18"/>
                    </w:rPr>
                    <w:t>De</w:t>
                  </w:r>
                  <w:r>
                    <w:rPr>
                      <w:rFonts w:ascii="Arial" w:eastAsia="Calibri" w:hAnsi="Arial" w:cs="Arial"/>
                      <w:szCs w:val="18"/>
                    </w:rPr>
                    <w:t>finition</w:t>
                  </w:r>
                </w:p>
              </w:tc>
              <w:tc>
                <w:tcPr>
                  <w:tcW w:w="745" w:type="pct"/>
                  <w:tcBorders>
                    <w:top w:val="nil"/>
                    <w:left w:val="nil"/>
                    <w:bottom w:val="single" w:sz="4" w:space="0" w:color="000000"/>
                    <w:right w:val="nil"/>
                    <w:tl2br w:val="nil"/>
                    <w:tr2bl w:val="nil"/>
                  </w:tcBorders>
                  <w:shd w:val="clear" w:color="auto" w:fill="auto"/>
                </w:tcPr>
                <w:p w14:paraId="0E1D6652" w14:textId="77777777" w:rsidR="002B4BD8" w:rsidRPr="00553560" w:rsidRDefault="002B4BD8" w:rsidP="00013847">
                  <w:pPr>
                    <w:pStyle w:val="TableHeading"/>
                    <w:rPr>
                      <w:rFonts w:ascii="Arial" w:hAnsi="Arial" w:cs="Arial"/>
                      <w:szCs w:val="18"/>
                    </w:rPr>
                  </w:pPr>
                  <w:r w:rsidRPr="00553560">
                    <w:rPr>
                      <w:rFonts w:ascii="Arial" w:eastAsia="Calibri" w:hAnsi="Arial" w:cs="Arial"/>
                      <w:szCs w:val="18"/>
                    </w:rPr>
                    <w:t>Approximate footprint</w:t>
                  </w:r>
                </w:p>
              </w:tc>
              <w:tc>
                <w:tcPr>
                  <w:tcW w:w="497" w:type="pct"/>
                  <w:tcBorders>
                    <w:top w:val="nil"/>
                    <w:left w:val="nil"/>
                    <w:bottom w:val="single" w:sz="4" w:space="0" w:color="000000"/>
                    <w:right w:val="nil"/>
                    <w:tl2br w:val="nil"/>
                    <w:tr2bl w:val="nil"/>
                  </w:tcBorders>
                </w:tcPr>
                <w:p w14:paraId="18EB1070" w14:textId="77777777" w:rsidR="002B4BD8" w:rsidRPr="00553560" w:rsidRDefault="002B4BD8" w:rsidP="00013847">
                  <w:pPr>
                    <w:pStyle w:val="TableHeading"/>
                    <w:rPr>
                      <w:rFonts w:ascii="Arial" w:eastAsia="Calibri" w:hAnsi="Arial" w:cs="Arial"/>
                      <w:szCs w:val="18"/>
                    </w:rPr>
                  </w:pPr>
                  <w:r>
                    <w:rPr>
                      <w:rFonts w:ascii="Arial" w:eastAsia="Calibri" w:hAnsi="Arial" w:cs="Arial"/>
                      <w:szCs w:val="18"/>
                    </w:rPr>
                    <w:t>Figure</w:t>
                  </w:r>
                </w:p>
              </w:tc>
            </w:tr>
            <w:tr w:rsidR="002B4BD8" w14:paraId="55022E86" w14:textId="77777777" w:rsidTr="002502FC">
              <w:trPr>
                <w:cantSplit/>
              </w:trPr>
              <w:tc>
                <w:tcPr>
                  <w:tcW w:w="1273" w:type="pct"/>
                  <w:shd w:val="clear" w:color="auto" w:fill="auto"/>
                </w:tcPr>
                <w:p w14:paraId="48309FDD" w14:textId="64A825B7" w:rsidR="002B4BD8" w:rsidRPr="00553560" w:rsidRDefault="002B4BD8" w:rsidP="006A7310">
                  <w:pPr>
                    <w:pStyle w:val="TableText"/>
                    <w:rPr>
                      <w:rFonts w:ascii="Arial" w:hAnsi="Arial" w:cs="Arial"/>
                      <w:szCs w:val="18"/>
                    </w:rPr>
                  </w:pPr>
                  <w:r w:rsidRPr="00553560">
                    <w:rPr>
                      <w:rFonts w:ascii="Arial" w:eastAsia="Calibri" w:hAnsi="Arial" w:cs="Arial"/>
                      <w:szCs w:val="18"/>
                    </w:rPr>
                    <w:t>Environment</w:t>
                  </w:r>
                  <w:r w:rsidR="00D02516">
                    <w:rPr>
                      <w:rFonts w:ascii="Arial" w:eastAsia="Calibri" w:hAnsi="Arial" w:cs="Arial"/>
                      <w:szCs w:val="18"/>
                    </w:rPr>
                    <w:t>al study area</w:t>
                  </w:r>
                </w:p>
              </w:tc>
              <w:tc>
                <w:tcPr>
                  <w:tcW w:w="2485" w:type="pct"/>
                  <w:shd w:val="clear" w:color="auto" w:fill="auto"/>
                </w:tcPr>
                <w:p w14:paraId="0C71AD91" w14:textId="77777777" w:rsidR="002B4BD8" w:rsidRPr="00553560" w:rsidRDefault="002B4BD8" w:rsidP="006A7310">
                  <w:pPr>
                    <w:pStyle w:val="TableText"/>
                    <w:rPr>
                      <w:rFonts w:ascii="Arial" w:hAnsi="Arial" w:cs="Arial"/>
                      <w:szCs w:val="18"/>
                    </w:rPr>
                  </w:pPr>
                  <w:r w:rsidRPr="00553560">
                    <w:rPr>
                      <w:rFonts w:ascii="Arial" w:eastAsia="Calibri" w:hAnsi="Arial" w:cs="Arial"/>
                      <w:szCs w:val="18"/>
                    </w:rPr>
                    <w:t>The Project site and the immediate surrounds</w:t>
                  </w:r>
                  <w:r w:rsidR="00616B06">
                    <w:rPr>
                      <w:rFonts w:ascii="Arial" w:eastAsia="Calibri" w:hAnsi="Arial" w:cs="Arial"/>
                      <w:szCs w:val="18"/>
                    </w:rPr>
                    <w:t>. Areas associated with</w:t>
                  </w:r>
                  <w:r w:rsidR="003313CA">
                    <w:rPr>
                      <w:rFonts w:ascii="Arial" w:eastAsia="Calibri" w:hAnsi="Arial" w:cs="Arial"/>
                      <w:szCs w:val="18"/>
                    </w:rPr>
                    <w:t xml:space="preserve"> offsite infrastructure </w:t>
                  </w:r>
                  <w:r w:rsidR="00616B06">
                    <w:rPr>
                      <w:rFonts w:ascii="Arial" w:eastAsia="Calibri" w:hAnsi="Arial" w:cs="Arial"/>
                      <w:szCs w:val="18"/>
                    </w:rPr>
                    <w:t>is currently unknown</w:t>
                  </w:r>
                  <w:r w:rsidR="003F2B21">
                    <w:rPr>
                      <w:rFonts w:ascii="Arial" w:eastAsia="Calibri" w:hAnsi="Arial" w:cs="Arial"/>
                      <w:szCs w:val="18"/>
                    </w:rPr>
                    <w:t>.</w:t>
                  </w:r>
                </w:p>
              </w:tc>
              <w:tc>
                <w:tcPr>
                  <w:tcW w:w="745" w:type="pct"/>
                  <w:shd w:val="clear" w:color="auto" w:fill="auto"/>
                </w:tcPr>
                <w:p w14:paraId="001C43B6" w14:textId="27F74518" w:rsidR="002B4BD8" w:rsidRPr="00553560" w:rsidRDefault="002B4BD8" w:rsidP="006A7310">
                  <w:pPr>
                    <w:pStyle w:val="TableText"/>
                    <w:rPr>
                      <w:rFonts w:ascii="Arial" w:hAnsi="Arial" w:cs="Arial"/>
                      <w:szCs w:val="18"/>
                    </w:rPr>
                  </w:pPr>
                  <w:r w:rsidRPr="00553560">
                    <w:rPr>
                      <w:rFonts w:ascii="Arial" w:hAnsi="Arial" w:cs="Arial"/>
                      <w:szCs w:val="18"/>
                    </w:rPr>
                    <w:t>9,78</w:t>
                  </w:r>
                  <w:r w:rsidR="00E86911">
                    <w:rPr>
                      <w:rFonts w:ascii="Arial" w:hAnsi="Arial" w:cs="Arial"/>
                      <w:szCs w:val="18"/>
                    </w:rPr>
                    <w:t>0</w:t>
                  </w:r>
                  <w:r w:rsidRPr="00553560">
                    <w:rPr>
                      <w:rFonts w:ascii="Arial" w:hAnsi="Arial" w:cs="Arial"/>
                      <w:szCs w:val="18"/>
                    </w:rPr>
                    <w:t xml:space="preserve"> ha</w:t>
                  </w:r>
                </w:p>
              </w:tc>
              <w:tc>
                <w:tcPr>
                  <w:tcW w:w="497" w:type="pct"/>
                </w:tcPr>
                <w:p w14:paraId="575E3ACA" w14:textId="19CFF43A" w:rsidR="002B4BD8" w:rsidRPr="00553560" w:rsidRDefault="002B4BD8" w:rsidP="006A7310">
                  <w:pPr>
                    <w:pStyle w:val="TableText"/>
                    <w:rPr>
                      <w:rFonts w:ascii="Arial" w:hAnsi="Arial" w:cs="Arial"/>
                      <w:szCs w:val="18"/>
                    </w:rPr>
                  </w:pPr>
                  <w:r>
                    <w:rPr>
                      <w:rFonts w:ascii="Arial" w:hAnsi="Arial" w:cs="Arial"/>
                      <w:szCs w:val="18"/>
                    </w:rPr>
                    <w:t>2</w:t>
                  </w:r>
                </w:p>
              </w:tc>
            </w:tr>
            <w:tr w:rsidR="002B4BD8" w14:paraId="648780FD" w14:textId="77777777" w:rsidTr="002502FC">
              <w:trPr>
                <w:cantSplit/>
              </w:trPr>
              <w:tc>
                <w:tcPr>
                  <w:tcW w:w="1273" w:type="pct"/>
                  <w:shd w:val="clear" w:color="auto" w:fill="auto"/>
                </w:tcPr>
                <w:p w14:paraId="4FBFBC6C" w14:textId="77777777" w:rsidR="002B4BD8" w:rsidRPr="00553560" w:rsidRDefault="002B4BD8" w:rsidP="006A7310">
                  <w:pPr>
                    <w:pStyle w:val="TableText"/>
                    <w:rPr>
                      <w:rFonts w:ascii="Arial" w:hAnsi="Arial" w:cs="Arial"/>
                      <w:szCs w:val="18"/>
                    </w:rPr>
                  </w:pPr>
                  <w:r w:rsidRPr="00553560">
                    <w:rPr>
                      <w:rFonts w:ascii="Arial" w:eastAsia="Calibri" w:hAnsi="Arial" w:cs="Arial"/>
                      <w:szCs w:val="18"/>
                    </w:rPr>
                    <w:t>Groundwater study area</w:t>
                  </w:r>
                </w:p>
              </w:tc>
              <w:tc>
                <w:tcPr>
                  <w:tcW w:w="2485" w:type="pct"/>
                  <w:shd w:val="clear" w:color="auto" w:fill="auto"/>
                </w:tcPr>
                <w:p w14:paraId="09AC4ABD" w14:textId="77777777" w:rsidR="002B4BD8" w:rsidRPr="00553560" w:rsidRDefault="002B4BD8" w:rsidP="006A7310">
                  <w:pPr>
                    <w:pStyle w:val="TableText"/>
                    <w:rPr>
                      <w:rFonts w:ascii="Arial" w:hAnsi="Arial" w:cs="Arial"/>
                      <w:szCs w:val="18"/>
                    </w:rPr>
                  </w:pPr>
                  <w:r w:rsidRPr="00553560">
                    <w:rPr>
                      <w:rFonts w:ascii="Arial" w:eastAsia="Calibri" w:hAnsi="Arial" w:cs="Arial"/>
                      <w:szCs w:val="18"/>
                    </w:rPr>
                    <w:t>The groundwater baseline study area.</w:t>
                  </w:r>
                </w:p>
              </w:tc>
              <w:tc>
                <w:tcPr>
                  <w:tcW w:w="745" w:type="pct"/>
                  <w:shd w:val="clear" w:color="auto" w:fill="auto"/>
                </w:tcPr>
                <w:p w14:paraId="31BBDD6C" w14:textId="7D3597A0" w:rsidR="002B4BD8" w:rsidRPr="00553560" w:rsidRDefault="002B4BD8" w:rsidP="006A7310">
                  <w:pPr>
                    <w:pStyle w:val="TableText"/>
                    <w:rPr>
                      <w:rFonts w:ascii="Arial" w:hAnsi="Arial" w:cs="Arial"/>
                      <w:szCs w:val="18"/>
                    </w:rPr>
                  </w:pPr>
                  <w:r w:rsidRPr="00553560">
                    <w:rPr>
                      <w:rFonts w:ascii="Arial" w:hAnsi="Arial" w:cs="Arial"/>
                      <w:color w:val="auto"/>
                      <w:szCs w:val="18"/>
                    </w:rPr>
                    <w:t>78,</w:t>
                  </w:r>
                  <w:r w:rsidR="00E86911" w:rsidRPr="00553560">
                    <w:rPr>
                      <w:rFonts w:ascii="Arial" w:hAnsi="Arial" w:cs="Arial"/>
                      <w:color w:val="auto"/>
                      <w:szCs w:val="18"/>
                    </w:rPr>
                    <w:t>3</w:t>
                  </w:r>
                  <w:r w:rsidR="00E86911">
                    <w:rPr>
                      <w:rFonts w:ascii="Arial" w:hAnsi="Arial" w:cs="Arial"/>
                      <w:color w:val="auto"/>
                      <w:szCs w:val="18"/>
                    </w:rPr>
                    <w:t>80</w:t>
                  </w:r>
                  <w:r w:rsidR="00E86911" w:rsidRPr="00553560">
                    <w:rPr>
                      <w:rFonts w:ascii="Arial" w:hAnsi="Arial" w:cs="Arial"/>
                      <w:color w:val="auto"/>
                      <w:szCs w:val="18"/>
                    </w:rPr>
                    <w:t xml:space="preserve"> </w:t>
                  </w:r>
                  <w:r w:rsidRPr="00553560">
                    <w:rPr>
                      <w:rFonts w:ascii="Arial" w:hAnsi="Arial" w:cs="Arial"/>
                      <w:color w:val="auto"/>
                      <w:szCs w:val="18"/>
                    </w:rPr>
                    <w:t>ha</w:t>
                  </w:r>
                </w:p>
              </w:tc>
              <w:tc>
                <w:tcPr>
                  <w:tcW w:w="497" w:type="pct"/>
                </w:tcPr>
                <w:p w14:paraId="0F2A4AE2" w14:textId="1C241A9D" w:rsidR="002B4BD8" w:rsidRPr="00AD07F1" w:rsidRDefault="007508CC" w:rsidP="006A7310">
                  <w:pPr>
                    <w:pStyle w:val="TableText"/>
                    <w:rPr>
                      <w:rFonts w:ascii="Arial" w:hAnsi="Arial" w:cs="Arial"/>
                      <w:color w:val="auto"/>
                      <w:szCs w:val="18"/>
                    </w:rPr>
                  </w:pPr>
                  <w:r w:rsidRPr="00AD07F1">
                    <w:rPr>
                      <w:rFonts w:ascii="Arial" w:hAnsi="Arial" w:cs="Arial"/>
                      <w:color w:val="auto"/>
                      <w:szCs w:val="18"/>
                    </w:rPr>
                    <w:t>8</w:t>
                  </w:r>
                </w:p>
              </w:tc>
            </w:tr>
            <w:tr w:rsidR="002B4BD8" w14:paraId="29BE4D25" w14:textId="77777777" w:rsidTr="002502FC">
              <w:trPr>
                <w:cantSplit/>
              </w:trPr>
              <w:tc>
                <w:tcPr>
                  <w:tcW w:w="1273" w:type="pct"/>
                  <w:shd w:val="clear" w:color="auto" w:fill="auto"/>
                </w:tcPr>
                <w:p w14:paraId="3D6C4F4A" w14:textId="77777777" w:rsidR="002B4BD8" w:rsidRPr="00553560" w:rsidRDefault="002B4BD8" w:rsidP="006A7310">
                  <w:pPr>
                    <w:pStyle w:val="TableText"/>
                    <w:rPr>
                      <w:rFonts w:ascii="Arial" w:hAnsi="Arial" w:cs="Arial"/>
                      <w:szCs w:val="18"/>
                    </w:rPr>
                  </w:pPr>
                  <w:r w:rsidRPr="00553560">
                    <w:rPr>
                      <w:rFonts w:ascii="Arial" w:eastAsia="Calibri" w:hAnsi="Arial" w:cs="Arial"/>
                      <w:szCs w:val="18"/>
                    </w:rPr>
                    <w:t>Surface water study area</w:t>
                  </w:r>
                </w:p>
              </w:tc>
              <w:tc>
                <w:tcPr>
                  <w:tcW w:w="2485" w:type="pct"/>
                  <w:shd w:val="clear" w:color="auto" w:fill="auto"/>
                </w:tcPr>
                <w:p w14:paraId="7F2A9A81" w14:textId="77777777" w:rsidR="002B4BD8" w:rsidRPr="00553560" w:rsidRDefault="002B4BD8" w:rsidP="006A7310">
                  <w:pPr>
                    <w:pStyle w:val="TableText"/>
                    <w:rPr>
                      <w:rFonts w:ascii="Arial" w:hAnsi="Arial" w:cs="Arial"/>
                      <w:szCs w:val="18"/>
                    </w:rPr>
                  </w:pPr>
                  <w:r w:rsidRPr="00553560">
                    <w:rPr>
                      <w:rFonts w:ascii="Arial" w:eastAsia="Calibri" w:hAnsi="Arial" w:cs="Arial"/>
                      <w:szCs w:val="18"/>
                    </w:rPr>
                    <w:t>The surface water baseline study area</w:t>
                  </w:r>
                  <w:r w:rsidR="002502FC">
                    <w:rPr>
                      <w:rFonts w:ascii="Arial" w:eastAsia="Calibri" w:hAnsi="Arial" w:cs="Arial"/>
                      <w:szCs w:val="18"/>
                    </w:rPr>
                    <w:t xml:space="preserve">. </w:t>
                  </w:r>
                </w:p>
              </w:tc>
              <w:tc>
                <w:tcPr>
                  <w:tcW w:w="745" w:type="pct"/>
                  <w:shd w:val="clear" w:color="auto" w:fill="auto"/>
                </w:tcPr>
                <w:p w14:paraId="207631CA" w14:textId="5B3F9EFF" w:rsidR="002B4BD8" w:rsidRPr="00C8775E" w:rsidRDefault="002B4BD8" w:rsidP="006A7310">
                  <w:pPr>
                    <w:pStyle w:val="TableText"/>
                    <w:rPr>
                      <w:rFonts w:ascii="Arial" w:hAnsi="Arial" w:cs="Arial"/>
                      <w:szCs w:val="18"/>
                    </w:rPr>
                  </w:pPr>
                  <w:r w:rsidRPr="00C8775E">
                    <w:rPr>
                      <w:rFonts w:ascii="Arial" w:eastAsia="Calibri" w:hAnsi="Arial" w:cs="Arial"/>
                      <w:szCs w:val="18"/>
                    </w:rPr>
                    <w:t>5,</w:t>
                  </w:r>
                  <w:r w:rsidR="00E86911" w:rsidRPr="00C8775E">
                    <w:rPr>
                      <w:rFonts w:ascii="Arial" w:eastAsia="Calibri" w:hAnsi="Arial" w:cs="Arial"/>
                      <w:szCs w:val="18"/>
                    </w:rPr>
                    <w:t>600</w:t>
                  </w:r>
                  <w:r w:rsidRPr="00C8775E">
                    <w:rPr>
                      <w:rFonts w:ascii="Arial" w:eastAsia="Calibri" w:hAnsi="Arial" w:cs="Arial"/>
                      <w:szCs w:val="18"/>
                    </w:rPr>
                    <w:t xml:space="preserve"> ha</w:t>
                  </w:r>
                </w:p>
              </w:tc>
              <w:tc>
                <w:tcPr>
                  <w:tcW w:w="497" w:type="pct"/>
                </w:tcPr>
                <w:p w14:paraId="7160CDA6" w14:textId="301DA76B" w:rsidR="002B4BD8" w:rsidRPr="00AD07F1" w:rsidRDefault="007508CC" w:rsidP="006A7310">
                  <w:pPr>
                    <w:pStyle w:val="TableText"/>
                    <w:rPr>
                      <w:rFonts w:ascii="Arial" w:eastAsia="Calibri" w:hAnsi="Arial" w:cs="Arial"/>
                      <w:szCs w:val="18"/>
                    </w:rPr>
                  </w:pPr>
                  <w:r w:rsidRPr="00AD07F1">
                    <w:rPr>
                      <w:rFonts w:ascii="Arial" w:eastAsia="Calibri" w:hAnsi="Arial" w:cs="Arial"/>
                      <w:szCs w:val="18"/>
                    </w:rPr>
                    <w:t>16</w:t>
                  </w:r>
                </w:p>
              </w:tc>
            </w:tr>
            <w:tr w:rsidR="002B4BD8" w14:paraId="0804D989" w14:textId="77777777" w:rsidTr="002502FC">
              <w:trPr>
                <w:cantSplit/>
              </w:trPr>
              <w:tc>
                <w:tcPr>
                  <w:tcW w:w="1273" w:type="pct"/>
                  <w:shd w:val="clear" w:color="auto" w:fill="auto"/>
                </w:tcPr>
                <w:p w14:paraId="04A25764" w14:textId="77777777" w:rsidR="002B4BD8" w:rsidRPr="00553560" w:rsidRDefault="00966DF0" w:rsidP="006A7310">
                  <w:pPr>
                    <w:pStyle w:val="TableText"/>
                    <w:rPr>
                      <w:rFonts w:ascii="Arial" w:hAnsi="Arial" w:cs="Arial"/>
                      <w:szCs w:val="18"/>
                    </w:rPr>
                  </w:pPr>
                  <w:r>
                    <w:rPr>
                      <w:rFonts w:ascii="Arial" w:eastAsia="Calibri" w:hAnsi="Arial" w:cs="Arial"/>
                      <w:szCs w:val="18"/>
                    </w:rPr>
                    <w:t>Ecological</w:t>
                  </w:r>
                  <w:r w:rsidRPr="00553560">
                    <w:rPr>
                      <w:rFonts w:ascii="Arial" w:eastAsia="Calibri" w:hAnsi="Arial" w:cs="Arial"/>
                      <w:szCs w:val="18"/>
                    </w:rPr>
                    <w:t xml:space="preserve"> </w:t>
                  </w:r>
                  <w:r w:rsidR="002B4BD8" w:rsidRPr="00553560">
                    <w:rPr>
                      <w:rFonts w:ascii="Arial" w:eastAsia="Calibri" w:hAnsi="Arial" w:cs="Arial"/>
                      <w:szCs w:val="18"/>
                    </w:rPr>
                    <w:t>study area</w:t>
                  </w:r>
                </w:p>
              </w:tc>
              <w:tc>
                <w:tcPr>
                  <w:tcW w:w="2485" w:type="pct"/>
                  <w:shd w:val="clear" w:color="auto" w:fill="auto"/>
                </w:tcPr>
                <w:p w14:paraId="62FF4DB9" w14:textId="7D08DAD7" w:rsidR="002B4BD8" w:rsidRPr="00553560" w:rsidRDefault="002B4BD8" w:rsidP="006A7310">
                  <w:pPr>
                    <w:pStyle w:val="TableText"/>
                    <w:rPr>
                      <w:rFonts w:ascii="Arial" w:hAnsi="Arial" w:cs="Arial"/>
                      <w:szCs w:val="18"/>
                    </w:rPr>
                  </w:pPr>
                  <w:r w:rsidRPr="00553560">
                    <w:rPr>
                      <w:rFonts w:ascii="Arial" w:eastAsia="Calibri" w:hAnsi="Arial" w:cs="Arial"/>
                      <w:szCs w:val="18"/>
                    </w:rPr>
                    <w:t xml:space="preserve">The </w:t>
                  </w:r>
                  <w:r w:rsidR="00966DF0">
                    <w:rPr>
                      <w:rFonts w:ascii="Arial" w:eastAsia="Calibri" w:hAnsi="Arial" w:cs="Arial"/>
                      <w:szCs w:val="18"/>
                    </w:rPr>
                    <w:t>ecological</w:t>
                  </w:r>
                  <w:r w:rsidR="00966DF0" w:rsidRPr="00553560">
                    <w:rPr>
                      <w:rFonts w:ascii="Arial" w:eastAsia="Calibri" w:hAnsi="Arial" w:cs="Arial"/>
                      <w:szCs w:val="18"/>
                    </w:rPr>
                    <w:t xml:space="preserve"> </w:t>
                  </w:r>
                  <w:r w:rsidRPr="00553560">
                    <w:rPr>
                      <w:rFonts w:ascii="Arial" w:eastAsia="Calibri" w:hAnsi="Arial" w:cs="Arial"/>
                      <w:szCs w:val="18"/>
                    </w:rPr>
                    <w:t>baseline study are</w:t>
                  </w:r>
                  <w:r w:rsidR="002502FC">
                    <w:rPr>
                      <w:rFonts w:ascii="Arial" w:eastAsia="Calibri" w:hAnsi="Arial" w:cs="Arial"/>
                      <w:szCs w:val="18"/>
                    </w:rPr>
                    <w:t>a</w:t>
                  </w:r>
                  <w:r w:rsidRPr="00553560">
                    <w:rPr>
                      <w:rFonts w:ascii="Arial" w:eastAsia="Calibri" w:hAnsi="Arial" w:cs="Arial"/>
                      <w:szCs w:val="18"/>
                    </w:rPr>
                    <w:t>.</w:t>
                  </w:r>
                </w:p>
              </w:tc>
              <w:tc>
                <w:tcPr>
                  <w:tcW w:w="745" w:type="pct"/>
                  <w:shd w:val="clear" w:color="auto" w:fill="auto"/>
                </w:tcPr>
                <w:p w14:paraId="7755AD76" w14:textId="3EEDC84F" w:rsidR="002B4BD8" w:rsidRPr="00C8775E" w:rsidRDefault="002B4BD8" w:rsidP="006A7310">
                  <w:pPr>
                    <w:pStyle w:val="TableText"/>
                    <w:rPr>
                      <w:rFonts w:ascii="Arial" w:hAnsi="Arial" w:cs="Arial"/>
                      <w:szCs w:val="18"/>
                    </w:rPr>
                  </w:pPr>
                  <w:r w:rsidRPr="00C8775E">
                    <w:rPr>
                      <w:rFonts w:ascii="Arial" w:hAnsi="Arial" w:cs="Arial"/>
                      <w:szCs w:val="18"/>
                    </w:rPr>
                    <w:t>5,</w:t>
                  </w:r>
                  <w:r w:rsidR="00E86911" w:rsidRPr="00C8775E">
                    <w:rPr>
                      <w:rFonts w:ascii="Arial" w:hAnsi="Arial" w:cs="Arial"/>
                      <w:szCs w:val="18"/>
                    </w:rPr>
                    <w:t xml:space="preserve">600 </w:t>
                  </w:r>
                  <w:r w:rsidRPr="00C8775E">
                    <w:rPr>
                      <w:rFonts w:ascii="Arial" w:hAnsi="Arial" w:cs="Arial"/>
                      <w:szCs w:val="18"/>
                    </w:rPr>
                    <w:t>ha</w:t>
                  </w:r>
                </w:p>
              </w:tc>
              <w:tc>
                <w:tcPr>
                  <w:tcW w:w="497" w:type="pct"/>
                </w:tcPr>
                <w:p w14:paraId="2CEC805A" w14:textId="7CAC780D" w:rsidR="002B4BD8" w:rsidRPr="00AD07F1" w:rsidRDefault="007508CC" w:rsidP="006A7310">
                  <w:pPr>
                    <w:pStyle w:val="TableText"/>
                    <w:rPr>
                      <w:rFonts w:ascii="Arial" w:hAnsi="Arial" w:cs="Arial"/>
                      <w:szCs w:val="18"/>
                    </w:rPr>
                  </w:pPr>
                  <w:r w:rsidRPr="00AD07F1">
                    <w:rPr>
                      <w:rFonts w:ascii="Arial" w:hAnsi="Arial" w:cs="Arial"/>
                      <w:szCs w:val="18"/>
                    </w:rPr>
                    <w:t>14</w:t>
                  </w:r>
                </w:p>
              </w:tc>
            </w:tr>
            <w:tr w:rsidR="002B4BD8" w14:paraId="417BA218" w14:textId="77777777" w:rsidTr="002502FC">
              <w:trPr>
                <w:cantSplit/>
              </w:trPr>
              <w:tc>
                <w:tcPr>
                  <w:tcW w:w="1273" w:type="pct"/>
                  <w:shd w:val="clear" w:color="auto" w:fill="auto"/>
                </w:tcPr>
                <w:p w14:paraId="3D1A1245" w14:textId="77777777" w:rsidR="002B4BD8" w:rsidRPr="00553560" w:rsidRDefault="002B4BD8" w:rsidP="006A7310">
                  <w:pPr>
                    <w:pStyle w:val="TableText"/>
                    <w:rPr>
                      <w:rFonts w:ascii="Arial" w:hAnsi="Arial" w:cs="Arial"/>
                      <w:szCs w:val="18"/>
                    </w:rPr>
                  </w:pPr>
                  <w:r w:rsidRPr="00553560">
                    <w:rPr>
                      <w:rFonts w:ascii="Arial" w:eastAsia="Calibri" w:hAnsi="Arial" w:cs="Arial"/>
                      <w:szCs w:val="18"/>
                    </w:rPr>
                    <w:t>Cultural heritage study area</w:t>
                  </w:r>
                </w:p>
              </w:tc>
              <w:tc>
                <w:tcPr>
                  <w:tcW w:w="2485" w:type="pct"/>
                  <w:shd w:val="clear" w:color="auto" w:fill="auto"/>
                </w:tcPr>
                <w:p w14:paraId="2C3BAF11" w14:textId="77777777" w:rsidR="002B4BD8" w:rsidRPr="00553560" w:rsidRDefault="002B4BD8" w:rsidP="006A7310">
                  <w:pPr>
                    <w:pStyle w:val="TableText"/>
                    <w:rPr>
                      <w:rFonts w:ascii="Arial" w:hAnsi="Arial" w:cs="Arial"/>
                      <w:szCs w:val="18"/>
                    </w:rPr>
                  </w:pPr>
                  <w:r w:rsidRPr="00553560">
                    <w:rPr>
                      <w:rFonts w:ascii="Arial" w:eastAsia="Calibri" w:hAnsi="Arial" w:cs="Arial"/>
                      <w:szCs w:val="18"/>
                    </w:rPr>
                    <w:t>The cultural heritage baseline study area</w:t>
                  </w:r>
                  <w:r w:rsidR="002502FC">
                    <w:rPr>
                      <w:rFonts w:ascii="Arial" w:eastAsia="Calibri" w:hAnsi="Arial" w:cs="Arial"/>
                      <w:szCs w:val="18"/>
                    </w:rPr>
                    <w:t>.</w:t>
                  </w:r>
                </w:p>
              </w:tc>
              <w:tc>
                <w:tcPr>
                  <w:tcW w:w="745" w:type="pct"/>
                  <w:shd w:val="clear" w:color="auto" w:fill="auto"/>
                </w:tcPr>
                <w:p w14:paraId="08B7FC64" w14:textId="276E1146" w:rsidR="002B4BD8" w:rsidRPr="00C8775E" w:rsidRDefault="002B4BD8" w:rsidP="006A7310">
                  <w:pPr>
                    <w:pStyle w:val="TableText"/>
                    <w:rPr>
                      <w:rFonts w:ascii="Arial" w:hAnsi="Arial" w:cs="Arial"/>
                      <w:szCs w:val="18"/>
                    </w:rPr>
                  </w:pPr>
                  <w:r w:rsidRPr="00C8775E">
                    <w:rPr>
                      <w:rFonts w:ascii="Arial" w:hAnsi="Arial" w:cs="Arial"/>
                      <w:color w:val="auto"/>
                      <w:szCs w:val="18"/>
                    </w:rPr>
                    <w:t>5,</w:t>
                  </w:r>
                  <w:r w:rsidR="00E86911" w:rsidRPr="00C8775E">
                    <w:rPr>
                      <w:rFonts w:ascii="Arial" w:hAnsi="Arial" w:cs="Arial"/>
                      <w:color w:val="auto"/>
                      <w:szCs w:val="18"/>
                    </w:rPr>
                    <w:t xml:space="preserve">600 </w:t>
                  </w:r>
                  <w:r w:rsidRPr="00C8775E">
                    <w:rPr>
                      <w:rFonts w:ascii="Arial" w:hAnsi="Arial" w:cs="Arial"/>
                      <w:color w:val="auto"/>
                      <w:szCs w:val="18"/>
                    </w:rPr>
                    <w:t>ha</w:t>
                  </w:r>
                </w:p>
              </w:tc>
              <w:tc>
                <w:tcPr>
                  <w:tcW w:w="497" w:type="pct"/>
                </w:tcPr>
                <w:p w14:paraId="155A3A4F" w14:textId="693BA472" w:rsidR="002B4BD8" w:rsidRPr="00AD07F1" w:rsidRDefault="007508CC" w:rsidP="006A7310">
                  <w:pPr>
                    <w:pStyle w:val="TableText"/>
                    <w:rPr>
                      <w:rFonts w:ascii="Arial" w:hAnsi="Arial" w:cs="Arial"/>
                      <w:color w:val="auto"/>
                      <w:szCs w:val="18"/>
                    </w:rPr>
                  </w:pPr>
                  <w:r w:rsidRPr="00AD07F1">
                    <w:rPr>
                      <w:rFonts w:ascii="Arial" w:hAnsi="Arial" w:cs="Arial"/>
                      <w:color w:val="auto"/>
                      <w:szCs w:val="18"/>
                    </w:rPr>
                    <w:t>20</w:t>
                  </w:r>
                </w:p>
              </w:tc>
            </w:tr>
            <w:bookmarkEnd w:id="21"/>
          </w:tbl>
          <w:p w14:paraId="3F0651CE" w14:textId="77777777" w:rsidR="001C34F3" w:rsidRDefault="001C34F3">
            <w:pPr>
              <w:tabs>
                <w:tab w:val="left" w:pos="2904"/>
                <w:tab w:val="left" w:pos="3907"/>
                <w:tab w:val="left" w:pos="4910"/>
                <w:tab w:val="left" w:pos="5913"/>
                <w:tab w:val="left" w:pos="6916"/>
              </w:tabs>
              <w:rPr>
                <w:rFonts w:ascii="Arial" w:hAnsi="Arial"/>
              </w:rPr>
            </w:pPr>
          </w:p>
        </w:tc>
      </w:tr>
    </w:tbl>
    <w:p w14:paraId="1DDF51FA" w14:textId="77777777" w:rsidR="00BA0483" w:rsidRDefault="001C34F3">
      <w:pPr>
        <w:tabs>
          <w:tab w:val="left" w:pos="898"/>
          <w:tab w:val="left" w:pos="1901"/>
          <w:tab w:val="left" w:pos="2904"/>
          <w:tab w:val="left" w:pos="3907"/>
          <w:tab w:val="left" w:pos="4910"/>
          <w:tab w:val="left" w:pos="5913"/>
          <w:tab w:val="left" w:pos="6916"/>
        </w:tabs>
        <w:ind w:left="93"/>
        <w:rPr>
          <w:rFonts w:ascii="Arial" w:hAnsi="Arial"/>
        </w:rPr>
      </w:pPr>
      <w:r>
        <w:rPr>
          <w:rFonts w:ascii="Arial" w:hAnsi="Arial"/>
        </w:rPr>
        <w:lastRenderedPageBreak/>
        <w:tab/>
      </w:r>
    </w:p>
    <w:p w14:paraId="3479C4B3" w14:textId="77777777" w:rsidR="00BA0483" w:rsidRDefault="00BA0483">
      <w:pPr>
        <w:tabs>
          <w:tab w:val="left" w:pos="898"/>
          <w:tab w:val="left" w:pos="1901"/>
          <w:tab w:val="left" w:pos="2904"/>
          <w:tab w:val="left" w:pos="3907"/>
          <w:tab w:val="left" w:pos="4910"/>
          <w:tab w:val="left" w:pos="5913"/>
          <w:tab w:val="left" w:pos="6916"/>
        </w:tabs>
        <w:ind w:left="93"/>
        <w:rPr>
          <w:rFonts w:ascii="Arial" w:hAnsi="Arial"/>
        </w:rPr>
      </w:pPr>
    </w:p>
    <w:p w14:paraId="41138213" w14:textId="77777777" w:rsidR="00BA0483" w:rsidRDefault="00BA0483" w:rsidP="00BA0483">
      <w:pPr>
        <w:tabs>
          <w:tab w:val="left" w:pos="2904"/>
          <w:tab w:val="left" w:pos="3907"/>
          <w:tab w:val="left" w:pos="4910"/>
          <w:tab w:val="left" w:pos="5913"/>
          <w:tab w:val="left" w:pos="6916"/>
        </w:tabs>
        <w:ind w:left="91"/>
        <w:rPr>
          <w:rFonts w:ascii="Arial" w:hAnsi="Arial"/>
          <w:b/>
          <w:sz w:val="22"/>
        </w:rPr>
      </w:pPr>
      <w:bookmarkStart w:id="22" w:name="_Hlk13216482"/>
      <w:r>
        <w:rPr>
          <w:rFonts w:ascii="Arial" w:hAnsi="Arial"/>
          <w:b/>
          <w:sz w:val="22"/>
        </w:rPr>
        <w:t>3.  Project description</w:t>
      </w:r>
    </w:p>
    <w:bookmarkEnd w:id="22"/>
    <w:p w14:paraId="093E3080" w14:textId="0F3953C3" w:rsidR="001C34F3" w:rsidRDefault="001C34F3">
      <w:pPr>
        <w:tabs>
          <w:tab w:val="left" w:pos="898"/>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8"/>
      </w:tblGrid>
      <w:tr w:rsidR="00055608" w14:paraId="52EEC051" w14:textId="77777777" w:rsidTr="00055608">
        <w:tc>
          <w:tcPr>
            <w:tcW w:w="8868" w:type="dxa"/>
            <w:tcBorders>
              <w:bottom w:val="nil"/>
            </w:tcBorders>
          </w:tcPr>
          <w:p w14:paraId="2F4A5D6C" w14:textId="77777777" w:rsidR="00055608" w:rsidRDefault="00055608" w:rsidP="00055608">
            <w:pPr>
              <w:tabs>
                <w:tab w:val="left" w:pos="3907"/>
                <w:tab w:val="left" w:pos="4910"/>
                <w:tab w:val="left" w:pos="5913"/>
                <w:tab w:val="left" w:pos="6916"/>
              </w:tabs>
              <w:rPr>
                <w:rFonts w:ascii="Arial" w:hAnsi="Arial"/>
                <w:b/>
              </w:rPr>
            </w:pPr>
            <w:bookmarkStart w:id="23" w:name="_Hlk13216497"/>
            <w:r>
              <w:rPr>
                <w:rFonts w:ascii="Arial" w:hAnsi="Arial"/>
                <w:b/>
              </w:rPr>
              <w:t>3.1 Aim/objectives of the project</w:t>
            </w:r>
            <w:bookmarkEnd w:id="23"/>
            <w:r>
              <w:rPr>
                <w:rFonts w:ascii="Arial" w:hAnsi="Arial"/>
                <w:b/>
              </w:rPr>
              <w:tab/>
            </w:r>
            <w:r>
              <w:rPr>
                <w:rFonts w:ascii="Arial" w:hAnsi="Arial"/>
                <w:b/>
              </w:rPr>
              <w:tab/>
            </w:r>
          </w:p>
        </w:tc>
      </w:tr>
      <w:tr w:rsidR="00055608" w14:paraId="71582F30" w14:textId="77777777" w:rsidTr="00E96A1F">
        <w:tc>
          <w:tcPr>
            <w:tcW w:w="8868" w:type="dxa"/>
            <w:tcBorders>
              <w:top w:val="nil"/>
              <w:bottom w:val="nil"/>
            </w:tcBorders>
          </w:tcPr>
          <w:p w14:paraId="2C54B33A" w14:textId="77777777" w:rsidR="00055608" w:rsidRPr="00013847" w:rsidRDefault="00055608" w:rsidP="00055608">
            <w:pPr>
              <w:tabs>
                <w:tab w:val="left" w:pos="2904"/>
                <w:tab w:val="left" w:pos="3907"/>
                <w:tab w:val="left" w:pos="4910"/>
                <w:tab w:val="left" w:pos="5913"/>
                <w:tab w:val="left" w:pos="6916"/>
              </w:tabs>
              <w:spacing w:before="120"/>
              <w:jc w:val="both"/>
              <w:rPr>
                <w:rFonts w:ascii="Arial" w:hAnsi="Arial"/>
              </w:rPr>
            </w:pPr>
            <w:r w:rsidRPr="00013847">
              <w:rPr>
                <w:rFonts w:ascii="Arial" w:hAnsi="Arial"/>
              </w:rPr>
              <w:t xml:space="preserve">The </w:t>
            </w:r>
            <w:bookmarkStart w:id="24" w:name="_Hlk13216509"/>
            <w:r w:rsidRPr="00013847">
              <w:rPr>
                <w:rFonts w:ascii="Arial" w:hAnsi="Arial"/>
              </w:rPr>
              <w:t>key objective of the Project is to extract mineral sands from the WIM100 deposit and refine them onsite to produce zircon, titanium dioxide and rare earth products in a manner that is safe, and economically and environmentally responsible.</w:t>
            </w:r>
          </w:p>
          <w:p w14:paraId="486C7CB4" w14:textId="77777777" w:rsidR="00055608" w:rsidRPr="00013847" w:rsidRDefault="00055608" w:rsidP="00055608">
            <w:pPr>
              <w:tabs>
                <w:tab w:val="left" w:pos="2904"/>
                <w:tab w:val="left" w:pos="3907"/>
                <w:tab w:val="left" w:pos="4910"/>
                <w:tab w:val="left" w:pos="5913"/>
                <w:tab w:val="left" w:pos="6916"/>
              </w:tabs>
              <w:spacing w:before="120"/>
              <w:jc w:val="both"/>
              <w:rPr>
                <w:rFonts w:ascii="Arial" w:hAnsi="Arial"/>
              </w:rPr>
            </w:pPr>
            <w:r w:rsidRPr="00013847">
              <w:rPr>
                <w:rFonts w:ascii="Arial" w:hAnsi="Arial"/>
              </w:rPr>
              <w:t>Mined areas will be progressively restored and rehabilitated as the mine advances, with the aim of restoring land to be equivalent to its pre-mining capability, or to another end land-use as agreed with landholders and regulators.</w:t>
            </w:r>
          </w:p>
          <w:p w14:paraId="04F8EDEB" w14:textId="77777777" w:rsidR="00055608" w:rsidRDefault="00055608" w:rsidP="00055608">
            <w:pPr>
              <w:tabs>
                <w:tab w:val="left" w:pos="2904"/>
                <w:tab w:val="left" w:pos="3907"/>
                <w:tab w:val="left" w:pos="4910"/>
                <w:tab w:val="left" w:pos="5913"/>
                <w:tab w:val="left" w:pos="6916"/>
              </w:tabs>
              <w:spacing w:before="120"/>
              <w:jc w:val="both"/>
            </w:pPr>
            <w:r w:rsidRPr="00013847">
              <w:rPr>
                <w:rFonts w:ascii="Arial" w:hAnsi="Arial"/>
              </w:rPr>
              <w:t xml:space="preserve">The Project will also serve to progress the </w:t>
            </w:r>
            <w:r w:rsidRPr="00013847">
              <w:rPr>
                <w:rFonts w:ascii="Arial" w:hAnsi="Arial"/>
                <w:i/>
              </w:rPr>
              <w:t>Victorian Government’s State of Discovery: Mineral Resources Strategy 2018 - 2023</w:t>
            </w:r>
            <w:r w:rsidRPr="00013847">
              <w:rPr>
                <w:rFonts w:ascii="Arial" w:hAnsi="Arial"/>
              </w:rPr>
              <w:t xml:space="preserve"> and the </w:t>
            </w:r>
            <w:r w:rsidRPr="00013847">
              <w:rPr>
                <w:rFonts w:ascii="Arial" w:hAnsi="Arial"/>
                <w:i/>
              </w:rPr>
              <w:t xml:space="preserve">Wimmera Southern Mallee Regional Growth Plan </w:t>
            </w:r>
            <w:r w:rsidRPr="00013847">
              <w:rPr>
                <w:rFonts w:ascii="Arial" w:hAnsi="Arial"/>
              </w:rPr>
              <w:t xml:space="preserve">(2014). </w:t>
            </w:r>
            <w:r>
              <w:rPr>
                <w:rFonts w:ascii="Arial" w:hAnsi="Arial"/>
              </w:rPr>
              <w:t xml:space="preserve">Similarly, it will also serve to progress </w:t>
            </w:r>
            <w:r w:rsidRPr="007D2893">
              <w:rPr>
                <w:rFonts w:ascii="Arial" w:hAnsi="Arial"/>
              </w:rPr>
              <w:t xml:space="preserve">the Commonwealth’s goal to enable the development of Australia’s critical minerals sector, including downstream processing and manufacturing opportunities, by attracting investment, supporting innovation and connecting opportunities with infrastructure, as outlined in </w:t>
            </w:r>
            <w:r w:rsidRPr="009B24FB">
              <w:rPr>
                <w:rFonts w:ascii="Arial" w:hAnsi="Arial"/>
              </w:rPr>
              <w:t>the</w:t>
            </w:r>
            <w:r w:rsidRPr="007D2893">
              <w:rPr>
                <w:rFonts w:ascii="Arial" w:hAnsi="Arial"/>
                <w:i/>
              </w:rPr>
              <w:t xml:space="preserve"> Australia’s</w:t>
            </w:r>
            <w:r>
              <w:rPr>
                <w:rFonts w:ascii="Arial" w:hAnsi="Arial"/>
                <w:i/>
              </w:rPr>
              <w:t xml:space="preserve"> C</w:t>
            </w:r>
            <w:r w:rsidRPr="007D2893">
              <w:rPr>
                <w:rFonts w:ascii="Arial" w:hAnsi="Arial"/>
                <w:i/>
              </w:rPr>
              <w:t xml:space="preserve">ritical </w:t>
            </w:r>
            <w:r>
              <w:rPr>
                <w:rFonts w:ascii="Arial" w:hAnsi="Arial"/>
                <w:i/>
              </w:rPr>
              <w:t>M</w:t>
            </w:r>
            <w:r w:rsidRPr="007D2893">
              <w:rPr>
                <w:rFonts w:ascii="Arial" w:hAnsi="Arial"/>
                <w:i/>
              </w:rPr>
              <w:t xml:space="preserve">ineral </w:t>
            </w:r>
            <w:r>
              <w:rPr>
                <w:rFonts w:ascii="Arial" w:hAnsi="Arial"/>
                <w:i/>
              </w:rPr>
              <w:t>S</w:t>
            </w:r>
            <w:r w:rsidRPr="007D2893">
              <w:rPr>
                <w:rFonts w:ascii="Arial" w:hAnsi="Arial"/>
                <w:i/>
              </w:rPr>
              <w:t>trategy 2019</w:t>
            </w:r>
            <w:r w:rsidRPr="007D2893">
              <w:rPr>
                <w:rFonts w:ascii="Arial" w:hAnsi="Arial"/>
              </w:rPr>
              <w:t xml:space="preserve"> </w:t>
            </w:r>
            <w:r>
              <w:rPr>
                <w:rFonts w:ascii="Arial" w:hAnsi="Arial"/>
              </w:rPr>
              <w:t xml:space="preserve">(CMS) </w:t>
            </w:r>
            <w:r w:rsidRPr="007D2893">
              <w:rPr>
                <w:rFonts w:ascii="Arial" w:hAnsi="Arial"/>
              </w:rPr>
              <w:t>document.</w:t>
            </w:r>
            <w:r>
              <w:t xml:space="preserve"> </w:t>
            </w:r>
          </w:p>
          <w:p w14:paraId="5CCC12C2" w14:textId="77777777" w:rsidR="00055608" w:rsidRPr="00C8775E" w:rsidRDefault="00055608" w:rsidP="00055608">
            <w:pPr>
              <w:spacing w:before="120"/>
              <w:jc w:val="both"/>
              <w:rPr>
                <w:rFonts w:ascii="Arial" w:hAnsi="Arial"/>
              </w:rPr>
            </w:pPr>
            <w:r w:rsidRPr="00887349">
              <w:rPr>
                <w:rFonts w:ascii="Arial" w:hAnsi="Arial"/>
              </w:rPr>
              <w:t xml:space="preserve">Extracting and refining the site’s </w:t>
            </w:r>
            <w:r>
              <w:rPr>
                <w:rFonts w:ascii="Arial" w:hAnsi="Arial"/>
              </w:rPr>
              <w:t>rare earth</w:t>
            </w:r>
            <w:r w:rsidRPr="00887349">
              <w:rPr>
                <w:rFonts w:ascii="Arial" w:hAnsi="Arial"/>
              </w:rPr>
              <w:t xml:space="preserve">s deposits will be a key enabler of the 2019 CMS goal of matching Australia’s resource potential to international demand. In particular, it will enable Australia to action the commitments then-prime minister Turnbull made to the United States (US) on Australia’s role diversifying critical minerals markets. It will also strengthen the mining links Australia has built with the US since the release of the US’s CMS strategy. Rare earths are on the US’ critical minerals list, and the country has looked to Australia to partner on meeting this demand and shifting the global </w:t>
            </w:r>
            <w:r>
              <w:rPr>
                <w:rFonts w:ascii="Arial" w:hAnsi="Arial"/>
              </w:rPr>
              <w:t>rare earth</w:t>
            </w:r>
            <w:r w:rsidRPr="00887349">
              <w:rPr>
                <w:rFonts w:ascii="Arial" w:hAnsi="Arial"/>
              </w:rPr>
              <w:t xml:space="preserve">s market away from current Chinese dominance. Australian company </w:t>
            </w:r>
            <w:proofErr w:type="spellStart"/>
            <w:r w:rsidRPr="00887349">
              <w:rPr>
                <w:rFonts w:ascii="Arial" w:hAnsi="Arial"/>
              </w:rPr>
              <w:t>Lynas</w:t>
            </w:r>
            <w:proofErr w:type="spellEnd"/>
            <w:r w:rsidRPr="00887349">
              <w:rPr>
                <w:rFonts w:ascii="Arial" w:hAnsi="Arial"/>
              </w:rPr>
              <w:t>’ recent announcement of a joint-venture with a T</w:t>
            </w:r>
            <w:r w:rsidRPr="00C8775E">
              <w:rPr>
                <w:rFonts w:ascii="Arial" w:hAnsi="Arial"/>
              </w:rPr>
              <w:t xml:space="preserve">exas-based </w:t>
            </w:r>
            <w:r>
              <w:rPr>
                <w:rFonts w:ascii="Arial" w:hAnsi="Arial"/>
              </w:rPr>
              <w:t>rare earth</w:t>
            </w:r>
            <w:r w:rsidRPr="00C8775E">
              <w:rPr>
                <w:rFonts w:ascii="Arial" w:hAnsi="Arial"/>
              </w:rPr>
              <w:t>s company</w:t>
            </w:r>
            <w:r w:rsidRPr="00887349">
              <w:rPr>
                <w:rFonts w:ascii="Arial" w:hAnsi="Arial"/>
              </w:rPr>
              <w:t xml:space="preserve"> to localise processing is an example of the US strategy playing out. </w:t>
            </w:r>
          </w:p>
          <w:p w14:paraId="257E177F" w14:textId="5E5406D2" w:rsidR="00055608" w:rsidRDefault="00055608" w:rsidP="00E96A1F">
            <w:pPr>
              <w:spacing w:before="120"/>
              <w:jc w:val="both"/>
              <w:rPr>
                <w:rFonts w:ascii="Arial" w:hAnsi="Arial"/>
              </w:rPr>
            </w:pPr>
            <w:r w:rsidRPr="00887349">
              <w:rPr>
                <w:rFonts w:ascii="Arial" w:hAnsi="Arial"/>
              </w:rPr>
              <w:t xml:space="preserve">Australia has some of the most valuable </w:t>
            </w:r>
            <w:r>
              <w:rPr>
                <w:rFonts w:ascii="Arial" w:hAnsi="Arial"/>
              </w:rPr>
              <w:t>rare earth</w:t>
            </w:r>
            <w:r w:rsidRPr="00887349">
              <w:rPr>
                <w:rFonts w:ascii="Arial" w:hAnsi="Arial"/>
              </w:rPr>
              <w:t xml:space="preserve"> mineral deposits in the world that are not committed to (or controlled by) Chinese interests; this includes WIM100. The Project will help uphold the bilateral agreement made in February 2018 for </w:t>
            </w:r>
            <w:r>
              <w:rPr>
                <w:rFonts w:ascii="Arial" w:hAnsi="Arial"/>
              </w:rPr>
              <w:t xml:space="preserve">Australia and the US </w:t>
            </w:r>
            <w:r w:rsidRPr="00887349">
              <w:rPr>
                <w:rFonts w:ascii="Arial" w:hAnsi="Arial"/>
              </w:rPr>
              <w:t xml:space="preserve">to work together on strategic minerals exploration, extraction, processing and research, and development of </w:t>
            </w:r>
            <w:r>
              <w:rPr>
                <w:rFonts w:ascii="Arial" w:hAnsi="Arial"/>
              </w:rPr>
              <w:t>rare earth</w:t>
            </w:r>
            <w:r w:rsidRPr="00887349">
              <w:rPr>
                <w:rFonts w:ascii="Arial" w:hAnsi="Arial"/>
              </w:rPr>
              <w:t xml:space="preserve">s and high-performance metals to ensure job growth and supply-chain protection, as part of Western governments’ shift away from dependence on Chinese exports and supply chain monopoly. </w:t>
            </w:r>
            <w:bookmarkEnd w:id="24"/>
            <w:r>
              <w:rPr>
                <w:rFonts w:ascii="Arial" w:hAnsi="Arial"/>
              </w:rPr>
              <w:tab/>
            </w:r>
            <w:r>
              <w:rPr>
                <w:rFonts w:ascii="Arial" w:hAnsi="Arial"/>
              </w:rPr>
              <w:tab/>
            </w:r>
            <w:r>
              <w:rPr>
                <w:rFonts w:ascii="Arial" w:hAnsi="Arial"/>
              </w:rPr>
              <w:tab/>
            </w:r>
          </w:p>
        </w:tc>
      </w:tr>
      <w:tr w:rsidR="00055608" w14:paraId="170AE36F" w14:textId="77777777" w:rsidTr="00E96A1F">
        <w:tc>
          <w:tcPr>
            <w:tcW w:w="8868" w:type="dxa"/>
            <w:tcBorders>
              <w:top w:val="nil"/>
              <w:bottom w:val="single" w:sz="4" w:space="0" w:color="auto"/>
            </w:tcBorders>
          </w:tcPr>
          <w:p w14:paraId="5F172C49" w14:textId="7E4C09AC" w:rsidR="00055608" w:rsidRDefault="00055608" w:rsidP="00055608">
            <w:pPr>
              <w:tabs>
                <w:tab w:val="left" w:pos="4910"/>
                <w:tab w:val="left" w:pos="5913"/>
                <w:tab w:val="left" w:pos="6916"/>
              </w:tabs>
              <w:rPr>
                <w:rFonts w:ascii="Arial" w:hAnsi="Arial"/>
              </w:rPr>
            </w:pPr>
          </w:p>
        </w:tc>
      </w:tr>
      <w:tr w:rsidR="00055608" w14:paraId="36AED42B" w14:textId="77777777" w:rsidTr="00E96A1F">
        <w:tc>
          <w:tcPr>
            <w:tcW w:w="8868" w:type="dxa"/>
            <w:tcBorders>
              <w:top w:val="single" w:sz="4" w:space="0" w:color="auto"/>
              <w:bottom w:val="single" w:sz="4" w:space="0" w:color="auto"/>
            </w:tcBorders>
          </w:tcPr>
          <w:p w14:paraId="3D5AEC4A" w14:textId="64279A36" w:rsidR="00E96A1F" w:rsidRDefault="00E96A1F" w:rsidP="00055608">
            <w:pPr>
              <w:tabs>
                <w:tab w:val="left" w:pos="2904"/>
                <w:tab w:val="left" w:pos="3907"/>
                <w:tab w:val="left" w:pos="4910"/>
                <w:tab w:val="left" w:pos="5913"/>
                <w:tab w:val="left" w:pos="6916"/>
              </w:tabs>
              <w:spacing w:before="120" w:after="120"/>
              <w:rPr>
                <w:rFonts w:ascii="Arial" w:hAnsi="Arial"/>
                <w:b/>
              </w:rPr>
            </w:pPr>
            <w:bookmarkStart w:id="25" w:name="_Hlk13216521"/>
            <w:bookmarkStart w:id="26" w:name="_Hlk13216532"/>
            <w:r>
              <w:rPr>
                <w:rFonts w:ascii="Arial" w:hAnsi="Arial"/>
                <w:b/>
              </w:rPr>
              <w:t>3.2 Background/rationale of project</w:t>
            </w:r>
            <w:bookmarkEnd w:id="25"/>
          </w:p>
          <w:p w14:paraId="17C3D6EB" w14:textId="461C0E3C" w:rsidR="00055608" w:rsidRDefault="00055608" w:rsidP="00055608">
            <w:pPr>
              <w:tabs>
                <w:tab w:val="left" w:pos="2904"/>
                <w:tab w:val="left" w:pos="3907"/>
                <w:tab w:val="left" w:pos="4910"/>
                <w:tab w:val="left" w:pos="5913"/>
                <w:tab w:val="left" w:pos="6916"/>
              </w:tabs>
              <w:spacing w:before="120" w:after="120"/>
              <w:rPr>
                <w:rFonts w:ascii="Arial" w:hAnsi="Arial"/>
                <w:b/>
              </w:rPr>
            </w:pPr>
            <w:r>
              <w:rPr>
                <w:rFonts w:ascii="Arial" w:hAnsi="Arial"/>
                <w:b/>
              </w:rPr>
              <w:t xml:space="preserve">3.2.1 </w:t>
            </w:r>
            <w:r w:rsidRPr="00013847">
              <w:rPr>
                <w:rFonts w:ascii="Arial" w:hAnsi="Arial"/>
                <w:b/>
              </w:rPr>
              <w:t>History of mining in Murray Basin</w:t>
            </w:r>
          </w:p>
          <w:p w14:paraId="4F18B4AF" w14:textId="77777777" w:rsidR="00055608" w:rsidRPr="00C8775E" w:rsidRDefault="00055608" w:rsidP="00055608">
            <w:pPr>
              <w:spacing w:after="120"/>
              <w:jc w:val="both"/>
              <w:rPr>
                <w:rFonts w:ascii="Arial" w:hAnsi="Arial"/>
              </w:rPr>
            </w:pPr>
            <w:bookmarkStart w:id="27" w:name="_Hlk13216546"/>
            <w:bookmarkEnd w:id="26"/>
            <w:r w:rsidRPr="00C8775E">
              <w:rPr>
                <w:rFonts w:ascii="Arial" w:hAnsi="Arial"/>
              </w:rPr>
              <w:t xml:space="preserve">Iluka </w:t>
            </w:r>
            <w:bookmarkStart w:id="28" w:name="_Hlk13216580"/>
            <w:r w:rsidRPr="00C8775E">
              <w:rPr>
                <w:rFonts w:ascii="Arial" w:hAnsi="Arial"/>
              </w:rPr>
              <w:t xml:space="preserve">commenced mining minerals sands at the Douglas Mine, 70 km north of Hamilton, in November 2004. Ore mining </w:t>
            </w:r>
            <w:r>
              <w:rPr>
                <w:rFonts w:ascii="Arial" w:hAnsi="Arial"/>
              </w:rPr>
              <w:t xml:space="preserve">at the Douglas mine </w:t>
            </w:r>
            <w:r w:rsidRPr="00C8775E">
              <w:rPr>
                <w:rFonts w:ascii="Arial" w:hAnsi="Arial"/>
              </w:rPr>
              <w:t>concluded in early 2012. The majority of the site is now in the rehabilitation phase; however ongoing activity includes the use of the Pit 23 mine void for controlled disposal of non-saleable mineral waste streams from the Hamilton Mineral Separation Plant (MSP) which contain low level, residual radioactive material.</w:t>
            </w:r>
          </w:p>
          <w:p w14:paraId="01D88A13" w14:textId="77777777" w:rsidR="00055608" w:rsidRPr="00C8775E" w:rsidRDefault="00055608" w:rsidP="00055608">
            <w:pPr>
              <w:spacing w:after="120"/>
              <w:jc w:val="both"/>
              <w:rPr>
                <w:rFonts w:ascii="Arial" w:hAnsi="Arial"/>
              </w:rPr>
            </w:pPr>
            <w:r w:rsidRPr="00C8775E">
              <w:rPr>
                <w:rFonts w:ascii="Arial" w:hAnsi="Arial"/>
              </w:rPr>
              <w:lastRenderedPageBreak/>
              <w:t>Between early 2010 and February 2012 Douglas also received ore from the Echo satellite mine for processing. The Echo mine site is located 35</w:t>
            </w:r>
            <w:r>
              <w:rPr>
                <w:rFonts w:ascii="Arial" w:hAnsi="Arial"/>
              </w:rPr>
              <w:t xml:space="preserve"> </w:t>
            </w:r>
            <w:r w:rsidRPr="00C8775E">
              <w:rPr>
                <w:rFonts w:ascii="Arial" w:hAnsi="Arial"/>
              </w:rPr>
              <w:t>km north</w:t>
            </w:r>
            <w:r>
              <w:rPr>
                <w:rFonts w:ascii="Arial" w:hAnsi="Arial"/>
              </w:rPr>
              <w:t>-</w:t>
            </w:r>
            <w:r w:rsidRPr="00C8775E">
              <w:rPr>
                <w:rFonts w:ascii="Arial" w:hAnsi="Arial"/>
              </w:rPr>
              <w:t>west of the Douglas Mine and 30 km south</w:t>
            </w:r>
            <w:r>
              <w:rPr>
                <w:rFonts w:ascii="Arial" w:hAnsi="Arial"/>
              </w:rPr>
              <w:t>-</w:t>
            </w:r>
            <w:r w:rsidRPr="00C8775E">
              <w:rPr>
                <w:rFonts w:ascii="Arial" w:hAnsi="Arial"/>
              </w:rPr>
              <w:t xml:space="preserve">west of Horsham. Mining at Echo concluded in late 2013, and processing of Douglas and Echo ore was completed in March 2012. </w:t>
            </w:r>
          </w:p>
          <w:p w14:paraId="6B35AEFA" w14:textId="77777777" w:rsidR="00055608" w:rsidRPr="00C8775E" w:rsidRDefault="00055608" w:rsidP="00055608">
            <w:pPr>
              <w:spacing w:after="120"/>
              <w:jc w:val="both"/>
              <w:rPr>
                <w:rFonts w:ascii="Arial" w:hAnsi="Arial"/>
              </w:rPr>
            </w:pPr>
            <w:r w:rsidRPr="00C8775E">
              <w:rPr>
                <w:rFonts w:ascii="Arial" w:hAnsi="Arial"/>
              </w:rPr>
              <w:t>The Kulwin mine site is located approximately 28 km east of Ouyen and 30 km west of Manangatang. Iluka commenced mining mineral sands at Kulwin in late 2009 and completed mining and processing in February 2012. The site is now in the rehabilitation phase.</w:t>
            </w:r>
          </w:p>
          <w:p w14:paraId="05868FE2" w14:textId="77777777" w:rsidR="00055608" w:rsidRPr="00C8775E" w:rsidRDefault="00055608" w:rsidP="00055608">
            <w:pPr>
              <w:spacing w:after="120"/>
              <w:jc w:val="both"/>
              <w:rPr>
                <w:rFonts w:ascii="Arial" w:hAnsi="Arial"/>
              </w:rPr>
            </w:pPr>
            <w:r w:rsidRPr="00C8775E">
              <w:rPr>
                <w:rFonts w:ascii="Arial" w:hAnsi="Arial"/>
              </w:rPr>
              <w:t xml:space="preserve">The </w:t>
            </w:r>
            <w:proofErr w:type="spellStart"/>
            <w:r>
              <w:rPr>
                <w:rFonts w:ascii="Arial" w:hAnsi="Arial"/>
              </w:rPr>
              <w:t>W</w:t>
            </w:r>
            <w:r w:rsidRPr="004021A7">
              <w:rPr>
                <w:rFonts w:ascii="Arial" w:hAnsi="Arial"/>
              </w:rPr>
              <w:t>oornack</w:t>
            </w:r>
            <w:proofErr w:type="spellEnd"/>
            <w:r w:rsidRPr="004021A7">
              <w:rPr>
                <w:rFonts w:ascii="Arial" w:hAnsi="Arial"/>
              </w:rPr>
              <w:t xml:space="preserve">, </w:t>
            </w:r>
            <w:proofErr w:type="spellStart"/>
            <w:r w:rsidRPr="004021A7">
              <w:rPr>
                <w:rFonts w:ascii="Arial" w:hAnsi="Arial"/>
              </w:rPr>
              <w:t>Rownack</w:t>
            </w:r>
            <w:proofErr w:type="spellEnd"/>
            <w:r w:rsidRPr="004021A7">
              <w:rPr>
                <w:rFonts w:ascii="Arial" w:hAnsi="Arial"/>
              </w:rPr>
              <w:t xml:space="preserve"> and </w:t>
            </w:r>
            <w:proofErr w:type="spellStart"/>
            <w:r w:rsidRPr="004021A7">
              <w:rPr>
                <w:rFonts w:ascii="Arial" w:hAnsi="Arial"/>
              </w:rPr>
              <w:t>Pirro</w:t>
            </w:r>
            <w:proofErr w:type="spellEnd"/>
            <w:r w:rsidRPr="004021A7">
              <w:rPr>
                <w:rFonts w:ascii="Arial" w:hAnsi="Arial"/>
              </w:rPr>
              <w:t xml:space="preserve"> (WRP) </w:t>
            </w:r>
            <w:r w:rsidRPr="00C8775E">
              <w:rPr>
                <w:rFonts w:ascii="Arial" w:hAnsi="Arial"/>
              </w:rPr>
              <w:t>mine</w:t>
            </w:r>
            <w:r>
              <w:rPr>
                <w:rFonts w:ascii="Arial" w:hAnsi="Arial"/>
              </w:rPr>
              <w:t xml:space="preserve"> site</w:t>
            </w:r>
            <w:r w:rsidRPr="00C8775E">
              <w:rPr>
                <w:rFonts w:ascii="Arial" w:hAnsi="Arial"/>
              </w:rPr>
              <w:t xml:space="preserve"> is located 20</w:t>
            </w:r>
            <w:r>
              <w:rPr>
                <w:rFonts w:ascii="Arial" w:hAnsi="Arial"/>
              </w:rPr>
              <w:t xml:space="preserve"> </w:t>
            </w:r>
            <w:r w:rsidRPr="00C8775E">
              <w:rPr>
                <w:rFonts w:ascii="Arial" w:hAnsi="Arial"/>
              </w:rPr>
              <w:t>km</w:t>
            </w:r>
            <w:r>
              <w:rPr>
                <w:rFonts w:ascii="Arial" w:hAnsi="Arial"/>
              </w:rPr>
              <w:t xml:space="preserve"> south-east</w:t>
            </w:r>
            <w:r w:rsidRPr="00C8775E">
              <w:rPr>
                <w:rFonts w:ascii="Arial" w:hAnsi="Arial"/>
              </w:rPr>
              <w:t xml:space="preserve"> of Ouyen in </w:t>
            </w:r>
            <w:r>
              <w:rPr>
                <w:rFonts w:ascii="Arial" w:hAnsi="Arial"/>
              </w:rPr>
              <w:t>north-west</w:t>
            </w:r>
            <w:r w:rsidRPr="00C8775E">
              <w:rPr>
                <w:rFonts w:ascii="Arial" w:hAnsi="Arial"/>
              </w:rPr>
              <w:t xml:space="preserve"> Victoria. Mining and ore processing commenced at WRP in early 2012 and concluded in March 2015. Following cessation of mining and ore processing stockpiled heavy mineral concentrate (HMC) was transported to the Hamilton MSP for processing into saleable and non-saleable products; this activity ceased following exhaustion of the HMC stockpiles in September 2017. Site operations are now limited to out-loading of in-pit </w:t>
            </w:r>
            <w:r w:rsidRPr="004021A7">
              <w:rPr>
                <w:rFonts w:ascii="Arial" w:hAnsi="Arial"/>
              </w:rPr>
              <w:t>Wet High Intensity Magnetic Separator (WHIMS) </w:t>
            </w:r>
            <w:r w:rsidRPr="00C8775E">
              <w:rPr>
                <w:rFonts w:ascii="Arial" w:hAnsi="Arial"/>
              </w:rPr>
              <w:t xml:space="preserve">ilmenite for transport to the Port of Portland, demolition of the </w:t>
            </w:r>
            <w:r>
              <w:rPr>
                <w:rFonts w:ascii="Arial" w:hAnsi="Arial"/>
              </w:rPr>
              <w:t>onsite</w:t>
            </w:r>
            <w:r w:rsidRPr="00C8775E">
              <w:rPr>
                <w:rFonts w:ascii="Arial" w:hAnsi="Arial"/>
              </w:rPr>
              <w:t xml:space="preserve"> mineral processing infrastructure, and rehabilitation of mine voids.</w:t>
            </w:r>
            <w:bookmarkEnd w:id="28"/>
          </w:p>
          <w:p w14:paraId="164A7A3D" w14:textId="77777777" w:rsidR="00055608" w:rsidRPr="00C8775E" w:rsidRDefault="00055608" w:rsidP="00055608">
            <w:pPr>
              <w:spacing w:after="120"/>
              <w:jc w:val="both"/>
              <w:rPr>
                <w:rFonts w:ascii="Arial" w:hAnsi="Arial"/>
              </w:rPr>
            </w:pPr>
            <w:r w:rsidRPr="00C8775E">
              <w:rPr>
                <w:rFonts w:ascii="Arial" w:hAnsi="Arial"/>
              </w:rPr>
              <w:t xml:space="preserve">From early 2012 the HMC produced at the Kulwin and WRP mines was trucked to the Hopetoun </w:t>
            </w:r>
            <w:r>
              <w:rPr>
                <w:rFonts w:ascii="Arial" w:hAnsi="Arial"/>
              </w:rPr>
              <w:t>r</w:t>
            </w:r>
            <w:r w:rsidRPr="00C8775E">
              <w:rPr>
                <w:rFonts w:ascii="Arial" w:hAnsi="Arial"/>
              </w:rPr>
              <w:t xml:space="preserve">ail </w:t>
            </w:r>
            <w:r>
              <w:rPr>
                <w:rFonts w:ascii="Arial" w:hAnsi="Arial"/>
              </w:rPr>
              <w:t>l</w:t>
            </w:r>
            <w:r w:rsidRPr="00C8775E">
              <w:rPr>
                <w:rFonts w:ascii="Arial" w:hAnsi="Arial"/>
              </w:rPr>
              <w:t xml:space="preserve">oading </w:t>
            </w:r>
            <w:r>
              <w:rPr>
                <w:rFonts w:ascii="Arial" w:hAnsi="Arial"/>
              </w:rPr>
              <w:t>f</w:t>
            </w:r>
            <w:r w:rsidRPr="00C8775E">
              <w:rPr>
                <w:rFonts w:ascii="Arial" w:hAnsi="Arial"/>
              </w:rPr>
              <w:t>acility, where it was stockpiled and then out-loaded onto a train for transport to the Hamilton MSP. Rail transport of HMC concluded in September 2017.</w:t>
            </w:r>
          </w:p>
          <w:p w14:paraId="42404549" w14:textId="0A9C7161" w:rsidR="00055608" w:rsidRDefault="00055608" w:rsidP="00055608">
            <w:pPr>
              <w:tabs>
                <w:tab w:val="left" w:pos="2904"/>
                <w:tab w:val="left" w:pos="3907"/>
                <w:tab w:val="left" w:pos="4910"/>
                <w:tab w:val="left" w:pos="5913"/>
                <w:tab w:val="left" w:pos="6916"/>
              </w:tabs>
              <w:spacing w:after="120"/>
              <w:rPr>
                <w:rFonts w:ascii="Arial" w:hAnsi="Arial"/>
              </w:rPr>
            </w:pPr>
            <w:r w:rsidRPr="00C8775E">
              <w:rPr>
                <w:rFonts w:ascii="Arial" w:hAnsi="Arial"/>
              </w:rPr>
              <w:t>Until the cessation of HMC processing in October 2017 the Hamilton MSP received heavy mineral concentrate (HMC) produced from the Douglas, Echo, Kulwin and WRP mines located in Victoria</w:t>
            </w:r>
            <w:bookmarkEnd w:id="27"/>
            <w:r w:rsidRPr="00C8775E">
              <w:rPr>
                <w:rFonts w:ascii="Arial" w:hAnsi="Arial"/>
              </w:rPr>
              <w:t>, and the Jacinth-Ambrosia mine in South Australia.</w:t>
            </w:r>
            <w:r w:rsidR="00F07E75">
              <w:rPr>
                <w:rFonts w:ascii="Arial" w:hAnsi="Arial"/>
              </w:rPr>
              <w:t xml:space="preserve"> </w:t>
            </w:r>
            <w:r>
              <w:t xml:space="preserve"> </w:t>
            </w:r>
          </w:p>
        </w:tc>
      </w:tr>
      <w:tr w:rsidR="00A026FE" w14:paraId="06996780" w14:textId="77777777" w:rsidTr="00FC3654">
        <w:tc>
          <w:tcPr>
            <w:tcW w:w="8868" w:type="dxa"/>
            <w:tcBorders>
              <w:top w:val="single" w:sz="4" w:space="0" w:color="auto"/>
              <w:bottom w:val="nil"/>
            </w:tcBorders>
          </w:tcPr>
          <w:p w14:paraId="06D1214D" w14:textId="77777777" w:rsidR="00FC3654" w:rsidRPr="00013847" w:rsidRDefault="00FC3654" w:rsidP="00FC3654">
            <w:pPr>
              <w:tabs>
                <w:tab w:val="left" w:pos="2904"/>
                <w:tab w:val="left" w:pos="3907"/>
                <w:tab w:val="left" w:pos="4910"/>
                <w:tab w:val="left" w:pos="5913"/>
                <w:tab w:val="left" w:pos="6916"/>
              </w:tabs>
              <w:spacing w:before="120"/>
              <w:rPr>
                <w:rFonts w:ascii="Arial" w:hAnsi="Arial"/>
                <w:b/>
              </w:rPr>
            </w:pPr>
            <w:r>
              <w:rPr>
                <w:rFonts w:ascii="Arial" w:hAnsi="Arial"/>
                <w:b/>
              </w:rPr>
              <w:lastRenderedPageBreak/>
              <w:t xml:space="preserve">3.2.2. </w:t>
            </w:r>
            <w:r w:rsidRPr="00013847">
              <w:rPr>
                <w:rFonts w:ascii="Arial" w:hAnsi="Arial"/>
                <w:b/>
              </w:rPr>
              <w:t>Mineral deposit</w:t>
            </w:r>
          </w:p>
          <w:p w14:paraId="73601A32" w14:textId="399EDCF6" w:rsidR="00552822" w:rsidRPr="00013847" w:rsidRDefault="00552822" w:rsidP="00D5316A">
            <w:pPr>
              <w:tabs>
                <w:tab w:val="left" w:pos="2904"/>
                <w:tab w:val="left" w:pos="3907"/>
                <w:tab w:val="left" w:pos="4910"/>
                <w:tab w:val="left" w:pos="5913"/>
                <w:tab w:val="left" w:pos="6916"/>
              </w:tabs>
              <w:spacing w:before="120" w:after="120"/>
              <w:jc w:val="both"/>
              <w:rPr>
                <w:rFonts w:ascii="Arial" w:hAnsi="Arial"/>
              </w:rPr>
            </w:pPr>
            <w:r w:rsidRPr="00013847">
              <w:rPr>
                <w:rFonts w:ascii="Arial" w:hAnsi="Arial"/>
              </w:rPr>
              <w:t xml:space="preserve">The WIM100 deposit is located in the southern part of the Murray Basin in Western Victoria (Figure 1). </w:t>
            </w:r>
          </w:p>
          <w:p w14:paraId="48D9DEE8" w14:textId="1C8DDC52" w:rsidR="00D5316A" w:rsidRPr="00561D1B" w:rsidRDefault="00D5316A" w:rsidP="00C8775E">
            <w:pPr>
              <w:spacing w:after="120"/>
              <w:jc w:val="both"/>
              <w:rPr>
                <w:rFonts w:ascii="Arial" w:hAnsi="Arial" w:cs="Arial"/>
              </w:rPr>
            </w:pPr>
            <w:r w:rsidRPr="00561D1B">
              <w:rPr>
                <w:rFonts w:ascii="Arial" w:hAnsi="Arial" w:cs="Arial"/>
              </w:rPr>
              <w:t xml:space="preserve">Drilling data and literature </w:t>
            </w:r>
            <w:r w:rsidR="00561D1B">
              <w:rPr>
                <w:rFonts w:ascii="Arial" w:hAnsi="Arial" w:cs="Arial"/>
              </w:rPr>
              <w:t xml:space="preserve">indicates that </w:t>
            </w:r>
            <w:r w:rsidRPr="00561D1B">
              <w:rPr>
                <w:rFonts w:ascii="Arial" w:hAnsi="Arial" w:cs="Arial"/>
              </w:rPr>
              <w:t>the regional geology comprises the following key units (from youngest to oldes</w:t>
            </w:r>
            <w:r w:rsidR="00561D1B" w:rsidRPr="00561D1B">
              <w:rPr>
                <w:rFonts w:ascii="Arial" w:hAnsi="Arial" w:cs="Arial"/>
              </w:rPr>
              <w:t>t) (</w:t>
            </w:r>
            <w:r w:rsidRPr="00561D1B">
              <w:rPr>
                <w:rFonts w:ascii="Arial" w:hAnsi="Arial" w:cs="Arial"/>
              </w:rPr>
              <w:t xml:space="preserve">Figure </w:t>
            </w:r>
            <w:r w:rsidR="00FA2F27">
              <w:rPr>
                <w:rFonts w:ascii="Arial" w:hAnsi="Arial" w:cs="Arial"/>
              </w:rPr>
              <w:t>4</w:t>
            </w:r>
            <w:r w:rsidRPr="00561D1B">
              <w:rPr>
                <w:rFonts w:ascii="Arial" w:hAnsi="Arial" w:cs="Arial"/>
              </w:rPr>
              <w:t xml:space="preserve">): </w:t>
            </w:r>
          </w:p>
          <w:p w14:paraId="6949561A" w14:textId="77777777" w:rsidR="00D5316A" w:rsidRPr="00561D1B" w:rsidRDefault="00D5316A" w:rsidP="00C70314">
            <w:pPr>
              <w:pStyle w:val="IlukaBodyText1"/>
              <w:numPr>
                <w:ilvl w:val="0"/>
                <w:numId w:val="11"/>
              </w:numPr>
              <w:spacing w:after="120"/>
              <w:ind w:left="873" w:hanging="567"/>
              <w:rPr>
                <w:sz w:val="20"/>
                <w:szCs w:val="20"/>
              </w:rPr>
            </w:pPr>
            <w:r w:rsidRPr="00561D1B">
              <w:rPr>
                <w:sz w:val="20"/>
                <w:szCs w:val="20"/>
              </w:rPr>
              <w:t xml:space="preserve">Shepparton Formation (Late Tertiary to Quaternary); </w:t>
            </w:r>
          </w:p>
          <w:p w14:paraId="3D790BE5" w14:textId="77777777" w:rsidR="00D5316A" w:rsidRPr="00561D1B" w:rsidRDefault="00D5316A" w:rsidP="00C70314">
            <w:pPr>
              <w:pStyle w:val="IlukaBodyText1"/>
              <w:numPr>
                <w:ilvl w:val="0"/>
                <w:numId w:val="11"/>
              </w:numPr>
              <w:spacing w:after="120"/>
              <w:ind w:left="873" w:hanging="567"/>
              <w:rPr>
                <w:sz w:val="20"/>
                <w:szCs w:val="20"/>
              </w:rPr>
            </w:pPr>
            <w:r w:rsidRPr="00561D1B">
              <w:rPr>
                <w:sz w:val="20"/>
                <w:szCs w:val="20"/>
              </w:rPr>
              <w:t>Loxton-Parilla Sands (LPS; Late Tertiary);</w:t>
            </w:r>
          </w:p>
          <w:p w14:paraId="67CA31F9" w14:textId="58BA1269" w:rsidR="00D5316A" w:rsidRPr="00561D1B" w:rsidRDefault="00D5316A" w:rsidP="00C70314">
            <w:pPr>
              <w:pStyle w:val="IlukaBodyText1"/>
              <w:numPr>
                <w:ilvl w:val="0"/>
                <w:numId w:val="11"/>
              </w:numPr>
              <w:tabs>
                <w:tab w:val="left" w:pos="2904"/>
                <w:tab w:val="left" w:pos="3907"/>
                <w:tab w:val="left" w:pos="4910"/>
                <w:tab w:val="left" w:pos="5913"/>
                <w:tab w:val="left" w:pos="6916"/>
              </w:tabs>
              <w:spacing w:after="120"/>
              <w:ind w:left="873" w:hanging="567"/>
            </w:pPr>
            <w:r w:rsidRPr="00561D1B">
              <w:rPr>
                <w:sz w:val="20"/>
                <w:szCs w:val="20"/>
              </w:rPr>
              <w:t>Murray Group Limestone (MGL; Mid-Tertiary);</w:t>
            </w:r>
            <w:r w:rsidR="00561D1B">
              <w:rPr>
                <w:sz w:val="20"/>
                <w:szCs w:val="20"/>
              </w:rPr>
              <w:t xml:space="preserve"> and</w:t>
            </w:r>
          </w:p>
          <w:p w14:paraId="52EBF8DE" w14:textId="77777777" w:rsidR="00552822" w:rsidRPr="00561D1B" w:rsidRDefault="00D5316A" w:rsidP="00C70314">
            <w:pPr>
              <w:pStyle w:val="IlukaBodyText1"/>
              <w:numPr>
                <w:ilvl w:val="0"/>
                <w:numId w:val="11"/>
              </w:numPr>
              <w:tabs>
                <w:tab w:val="left" w:pos="2904"/>
                <w:tab w:val="left" w:pos="3907"/>
                <w:tab w:val="left" w:pos="4910"/>
                <w:tab w:val="left" w:pos="5913"/>
                <w:tab w:val="left" w:pos="6916"/>
              </w:tabs>
              <w:spacing w:after="120"/>
              <w:ind w:left="873" w:hanging="567"/>
            </w:pPr>
            <w:proofErr w:type="spellStart"/>
            <w:r w:rsidRPr="00561D1B">
              <w:rPr>
                <w:sz w:val="20"/>
                <w:szCs w:val="20"/>
              </w:rPr>
              <w:t>Geera</w:t>
            </w:r>
            <w:proofErr w:type="spellEnd"/>
            <w:r w:rsidRPr="00561D1B">
              <w:rPr>
                <w:sz w:val="20"/>
                <w:szCs w:val="20"/>
              </w:rPr>
              <w:t xml:space="preserve"> Clay, </w:t>
            </w:r>
            <w:proofErr w:type="spellStart"/>
            <w:r w:rsidRPr="00561D1B">
              <w:rPr>
                <w:sz w:val="20"/>
                <w:szCs w:val="20"/>
              </w:rPr>
              <w:t>Winnambool</w:t>
            </w:r>
            <w:proofErr w:type="spellEnd"/>
            <w:r w:rsidRPr="00561D1B">
              <w:rPr>
                <w:sz w:val="20"/>
                <w:szCs w:val="20"/>
              </w:rPr>
              <w:t>, and Ettrick Formations (Mid-Tertiary).</w:t>
            </w:r>
          </w:p>
          <w:p w14:paraId="41B74D91" w14:textId="77777777" w:rsidR="00774266" w:rsidRPr="00561D1B" w:rsidRDefault="00774266" w:rsidP="00C8775E">
            <w:pPr>
              <w:pStyle w:val="Default"/>
              <w:spacing w:before="120" w:after="120"/>
              <w:jc w:val="both"/>
              <w:rPr>
                <w:color w:val="auto"/>
              </w:rPr>
            </w:pPr>
            <w:r w:rsidRPr="00561D1B">
              <w:rPr>
                <w:color w:val="auto"/>
                <w:sz w:val="20"/>
                <w:szCs w:val="20"/>
              </w:rPr>
              <w:t xml:space="preserve">Further geological detail </w:t>
            </w:r>
            <w:r w:rsidR="00134F8C" w:rsidRPr="00561D1B">
              <w:rPr>
                <w:color w:val="auto"/>
                <w:sz w:val="20"/>
                <w:szCs w:val="20"/>
              </w:rPr>
              <w:t xml:space="preserve">for each of these units </w:t>
            </w:r>
            <w:r w:rsidRPr="00561D1B">
              <w:rPr>
                <w:color w:val="auto"/>
                <w:sz w:val="20"/>
                <w:szCs w:val="20"/>
              </w:rPr>
              <w:t>is provided in Section 8.2.</w:t>
            </w:r>
          </w:p>
          <w:p w14:paraId="30278340" w14:textId="77777777" w:rsidR="00774266" w:rsidRPr="00561D1B" w:rsidRDefault="00774266" w:rsidP="00C8775E">
            <w:pPr>
              <w:pStyle w:val="Default"/>
              <w:spacing w:before="120" w:after="120"/>
              <w:jc w:val="both"/>
              <w:rPr>
                <w:color w:val="auto"/>
              </w:rPr>
            </w:pPr>
            <w:r w:rsidRPr="00561D1B">
              <w:rPr>
                <w:color w:val="auto"/>
                <w:sz w:val="20"/>
                <w:szCs w:val="20"/>
              </w:rPr>
              <w:t>The mineralisation is hosted within the Lower LPS unit, with heavy mineral grades ranging from 1 to 15%. The mineralisation in the Lower LPS is almost entirely beneath the water table, which is approximately 15-18 m below ground level (</w:t>
            </w:r>
            <w:proofErr w:type="spellStart"/>
            <w:r w:rsidRPr="00561D1B">
              <w:rPr>
                <w:color w:val="auto"/>
                <w:sz w:val="20"/>
                <w:szCs w:val="20"/>
              </w:rPr>
              <w:t>mBGL</w:t>
            </w:r>
            <w:proofErr w:type="spellEnd"/>
            <w:r w:rsidRPr="00561D1B">
              <w:rPr>
                <w:color w:val="auto"/>
                <w:sz w:val="20"/>
                <w:szCs w:val="20"/>
              </w:rPr>
              <w:t>). Dewatering will therefore be required to allow mining.</w:t>
            </w:r>
          </w:p>
          <w:p w14:paraId="7E2A727D" w14:textId="282E2E3E" w:rsidR="000F2331" w:rsidRPr="000F2331" w:rsidRDefault="00552822" w:rsidP="00FC3654">
            <w:pPr>
              <w:tabs>
                <w:tab w:val="left" w:pos="2904"/>
                <w:tab w:val="left" w:pos="3907"/>
                <w:tab w:val="left" w:pos="4910"/>
                <w:tab w:val="left" w:pos="5913"/>
                <w:tab w:val="left" w:pos="6916"/>
              </w:tabs>
              <w:spacing w:before="120"/>
              <w:jc w:val="both"/>
              <w:rPr>
                <w:rFonts w:ascii="Arial" w:hAnsi="Arial"/>
                <w:b/>
                <w:bCs/>
              </w:rPr>
            </w:pPr>
            <w:r w:rsidRPr="00013847">
              <w:rPr>
                <w:rFonts w:ascii="Arial" w:hAnsi="Arial"/>
              </w:rPr>
              <w:t xml:space="preserve">The nature of the mineralisation makes it difficult to separate the heavy minerals from the ore using traditional, widely-applied mineral sands processing techniques. Therefore, recovery of the heavy minerals will require the application of froth flotation systems. The heavy mineral concentrate produced will be further refined to produce zircon and a rare earth concentrate. </w:t>
            </w:r>
            <w:r w:rsidR="0046605F">
              <w:rPr>
                <w:rFonts w:ascii="Arial" w:hAnsi="Arial"/>
              </w:rPr>
              <w:t>A flotation reagents imp</w:t>
            </w:r>
            <w:r w:rsidR="0084436C">
              <w:rPr>
                <w:rFonts w:ascii="Arial" w:hAnsi="Arial"/>
              </w:rPr>
              <w:t xml:space="preserve">act assessment is </w:t>
            </w:r>
            <w:r w:rsidR="0046605F">
              <w:rPr>
                <w:rFonts w:ascii="Arial" w:hAnsi="Arial"/>
              </w:rPr>
              <w:t>planned for the second half of 2019 to identify and understand the implications of the proposed processing approach.</w:t>
            </w:r>
          </w:p>
          <w:p w14:paraId="22BF53F8" w14:textId="77777777" w:rsidR="008C071C" w:rsidRDefault="008C071C" w:rsidP="00FC3654">
            <w:pPr>
              <w:pBdr>
                <w:top w:val="single" w:sz="4" w:space="1" w:color="auto"/>
                <w:left w:val="single" w:sz="4" w:space="4" w:color="auto"/>
                <w:right w:val="single" w:sz="4" w:space="4" w:color="auto"/>
              </w:pBdr>
              <w:tabs>
                <w:tab w:val="left" w:pos="2904"/>
                <w:tab w:val="left" w:pos="3907"/>
                <w:tab w:val="left" w:pos="4910"/>
                <w:tab w:val="left" w:pos="5913"/>
                <w:tab w:val="left" w:pos="6916"/>
              </w:tabs>
              <w:spacing w:before="120"/>
              <w:rPr>
                <w:rFonts w:ascii="Arial" w:hAnsi="Arial"/>
                <w:b/>
              </w:rPr>
            </w:pPr>
          </w:p>
          <w:p w14:paraId="3D773366" w14:textId="6FF19A74" w:rsidR="0056585C" w:rsidRPr="00552822" w:rsidRDefault="00552822" w:rsidP="00FC3654">
            <w:pPr>
              <w:pBdr>
                <w:top w:val="single" w:sz="4" w:space="1" w:color="auto"/>
                <w:left w:val="single" w:sz="4" w:space="4" w:color="auto"/>
                <w:right w:val="single" w:sz="4" w:space="4" w:color="auto"/>
              </w:pBdr>
              <w:tabs>
                <w:tab w:val="left" w:pos="2904"/>
                <w:tab w:val="left" w:pos="3907"/>
                <w:tab w:val="left" w:pos="4910"/>
                <w:tab w:val="left" w:pos="5913"/>
                <w:tab w:val="left" w:pos="6916"/>
              </w:tabs>
              <w:spacing w:before="120"/>
              <w:rPr>
                <w:rFonts w:ascii="Arial" w:hAnsi="Arial"/>
                <w:b/>
              </w:rPr>
            </w:pPr>
            <w:r w:rsidRPr="00B70D0A">
              <w:rPr>
                <w:rFonts w:ascii="Arial" w:hAnsi="Arial"/>
                <w:b/>
              </w:rPr>
              <w:t>3.2.3 Employment</w:t>
            </w:r>
          </w:p>
          <w:p w14:paraId="043C9CD8" w14:textId="77777777" w:rsidR="00561D1B" w:rsidRDefault="00561D1B" w:rsidP="00552822">
            <w:pPr>
              <w:pStyle w:val="BodyText"/>
              <w:jc w:val="both"/>
              <w:rPr>
                <w:rFonts w:ascii="Arial" w:hAnsi="Arial"/>
                <w:b w:val="0"/>
                <w:bCs w:val="0"/>
                <w:sz w:val="20"/>
                <w:szCs w:val="20"/>
                <w:lang w:eastAsia="en-AU"/>
              </w:rPr>
            </w:pPr>
          </w:p>
          <w:p w14:paraId="72E7F9E5" w14:textId="25AD2B4F" w:rsidR="00552822" w:rsidRDefault="00552822" w:rsidP="00552822">
            <w:pPr>
              <w:pStyle w:val="BodyText"/>
              <w:jc w:val="both"/>
              <w:rPr>
                <w:rFonts w:ascii="Arial" w:hAnsi="Arial"/>
                <w:b w:val="0"/>
                <w:bCs w:val="0"/>
                <w:sz w:val="20"/>
                <w:szCs w:val="20"/>
                <w:lang w:eastAsia="en-AU"/>
              </w:rPr>
            </w:pPr>
            <w:r w:rsidRPr="000F2331">
              <w:rPr>
                <w:rFonts w:ascii="Arial" w:hAnsi="Arial"/>
                <w:b w:val="0"/>
                <w:bCs w:val="0"/>
                <w:sz w:val="20"/>
                <w:szCs w:val="20"/>
                <w:lang w:eastAsia="en-AU"/>
              </w:rPr>
              <w:t>It is currently estimated that during the construction phase, the Project will directly employ approximately 300–350 people full time equivalent (FTE). During the operation phase, the Project will directly employ approximately 280–350 people FTE at the mine, processing plant and refinery</w:t>
            </w:r>
            <w:r w:rsidR="00561D1B">
              <w:rPr>
                <w:rFonts w:ascii="Arial" w:hAnsi="Arial"/>
                <w:b w:val="0"/>
                <w:bCs w:val="0"/>
                <w:sz w:val="20"/>
                <w:szCs w:val="20"/>
                <w:lang w:eastAsia="en-AU"/>
              </w:rPr>
              <w:t xml:space="preserve">. The </w:t>
            </w:r>
            <w:r w:rsidR="00561D1B" w:rsidRPr="000F2331">
              <w:rPr>
                <w:rFonts w:ascii="Arial" w:hAnsi="Arial"/>
                <w:b w:val="0"/>
                <w:bCs w:val="0"/>
                <w:sz w:val="20"/>
                <w:szCs w:val="20"/>
                <w:lang w:eastAsia="en-AU"/>
              </w:rPr>
              <w:t>majority of the jobs in the operations phase will relate to the refinery</w:t>
            </w:r>
            <w:r w:rsidR="00561D1B">
              <w:rPr>
                <w:rFonts w:ascii="Arial" w:hAnsi="Arial"/>
                <w:b w:val="0"/>
                <w:bCs w:val="0"/>
                <w:sz w:val="20"/>
                <w:szCs w:val="20"/>
                <w:lang w:eastAsia="en-AU"/>
              </w:rPr>
              <w:t xml:space="preserve"> (refer Section 3.2.4)</w:t>
            </w:r>
            <w:r w:rsidR="00561D1B" w:rsidRPr="000F2331">
              <w:rPr>
                <w:rFonts w:ascii="Arial" w:hAnsi="Arial"/>
                <w:b w:val="0"/>
                <w:bCs w:val="0"/>
                <w:sz w:val="20"/>
                <w:szCs w:val="20"/>
                <w:lang w:eastAsia="en-AU"/>
              </w:rPr>
              <w:t xml:space="preserve">. </w:t>
            </w:r>
            <w:r w:rsidRPr="000F2331">
              <w:rPr>
                <w:rFonts w:ascii="Arial" w:hAnsi="Arial"/>
                <w:b w:val="0"/>
                <w:bCs w:val="0"/>
                <w:sz w:val="20"/>
                <w:szCs w:val="20"/>
                <w:lang w:eastAsia="en-AU"/>
              </w:rPr>
              <w:t xml:space="preserve"> </w:t>
            </w:r>
          </w:p>
          <w:p w14:paraId="486AAEDE" w14:textId="77777777" w:rsidR="00552822" w:rsidRPr="000F2331" w:rsidRDefault="00552822" w:rsidP="00552822">
            <w:pPr>
              <w:pStyle w:val="BodyText"/>
              <w:jc w:val="both"/>
              <w:rPr>
                <w:rFonts w:ascii="Arial" w:hAnsi="Arial"/>
                <w:b w:val="0"/>
                <w:bCs w:val="0"/>
                <w:sz w:val="20"/>
                <w:szCs w:val="20"/>
                <w:lang w:eastAsia="en-AU"/>
              </w:rPr>
            </w:pPr>
          </w:p>
          <w:p w14:paraId="3FC34B0C" w14:textId="77777777" w:rsidR="00552822" w:rsidRDefault="00552822" w:rsidP="00552822">
            <w:pPr>
              <w:pStyle w:val="BodyText"/>
              <w:jc w:val="both"/>
              <w:rPr>
                <w:rFonts w:ascii="Arial" w:hAnsi="Arial"/>
                <w:b w:val="0"/>
                <w:bCs w:val="0"/>
                <w:sz w:val="20"/>
                <w:szCs w:val="20"/>
                <w:lang w:eastAsia="en-AU"/>
              </w:rPr>
            </w:pPr>
            <w:r w:rsidRPr="000F2331">
              <w:rPr>
                <w:rFonts w:ascii="Arial" w:hAnsi="Arial"/>
                <w:b w:val="0"/>
                <w:bCs w:val="0"/>
                <w:sz w:val="20"/>
                <w:szCs w:val="20"/>
                <w:lang w:eastAsia="en-AU"/>
              </w:rPr>
              <w:lastRenderedPageBreak/>
              <w:t>The Project will also generate indirect engineering and technical services positions in the local region and Victoria.</w:t>
            </w:r>
          </w:p>
          <w:p w14:paraId="4222E161" w14:textId="77777777" w:rsidR="00552822" w:rsidRPr="000F2331" w:rsidRDefault="00552822" w:rsidP="00552822">
            <w:pPr>
              <w:pStyle w:val="BodyText"/>
              <w:jc w:val="both"/>
              <w:rPr>
                <w:rFonts w:ascii="Arial" w:hAnsi="Arial"/>
                <w:b w:val="0"/>
                <w:bCs w:val="0"/>
                <w:sz w:val="20"/>
                <w:szCs w:val="20"/>
                <w:lang w:eastAsia="en-AU"/>
              </w:rPr>
            </w:pPr>
          </w:p>
          <w:p w14:paraId="4F2D0DCB" w14:textId="63AB50F1" w:rsidR="00552822" w:rsidRDefault="00552822" w:rsidP="00552822">
            <w:pPr>
              <w:pStyle w:val="BodyText"/>
              <w:jc w:val="both"/>
              <w:rPr>
                <w:rFonts w:ascii="Arial" w:hAnsi="Arial"/>
                <w:b w:val="0"/>
                <w:bCs w:val="0"/>
                <w:sz w:val="20"/>
                <w:szCs w:val="20"/>
                <w:lang w:eastAsia="en-AU"/>
              </w:rPr>
            </w:pPr>
            <w:r w:rsidRPr="000F2331">
              <w:rPr>
                <w:rFonts w:ascii="Arial" w:hAnsi="Arial"/>
                <w:b w:val="0"/>
                <w:bCs w:val="0"/>
                <w:sz w:val="20"/>
                <w:szCs w:val="20"/>
                <w:lang w:eastAsia="en-AU"/>
              </w:rPr>
              <w:t xml:space="preserve">It is anticipated that a purpose-built </w:t>
            </w:r>
            <w:r w:rsidR="00D02516">
              <w:rPr>
                <w:rFonts w:ascii="Arial" w:hAnsi="Arial"/>
                <w:b w:val="0"/>
                <w:bCs w:val="0"/>
                <w:sz w:val="20"/>
                <w:szCs w:val="20"/>
                <w:lang w:eastAsia="en-AU"/>
              </w:rPr>
              <w:t>offsite</w:t>
            </w:r>
            <w:r>
              <w:rPr>
                <w:rFonts w:ascii="Arial" w:hAnsi="Arial"/>
                <w:b w:val="0"/>
                <w:bCs w:val="0"/>
                <w:sz w:val="20"/>
                <w:szCs w:val="20"/>
                <w:lang w:eastAsia="en-AU"/>
              </w:rPr>
              <w:t xml:space="preserve"> </w:t>
            </w:r>
            <w:r w:rsidRPr="000F2331">
              <w:rPr>
                <w:rFonts w:ascii="Arial" w:hAnsi="Arial"/>
                <w:b w:val="0"/>
                <w:bCs w:val="0"/>
                <w:sz w:val="20"/>
                <w:szCs w:val="20"/>
                <w:lang w:eastAsia="en-AU"/>
              </w:rPr>
              <w:t xml:space="preserve">temporary </w:t>
            </w:r>
            <w:r w:rsidR="00166AB5">
              <w:rPr>
                <w:rFonts w:ascii="Arial" w:hAnsi="Arial"/>
                <w:b w:val="0"/>
                <w:bCs w:val="0"/>
                <w:sz w:val="20"/>
                <w:szCs w:val="20"/>
                <w:lang w:eastAsia="en-AU"/>
              </w:rPr>
              <w:t>construction</w:t>
            </w:r>
            <w:r w:rsidRPr="000F2331">
              <w:rPr>
                <w:rFonts w:ascii="Arial" w:hAnsi="Arial"/>
                <w:b w:val="0"/>
                <w:bCs w:val="0"/>
                <w:sz w:val="20"/>
                <w:szCs w:val="20"/>
                <w:lang w:eastAsia="en-AU"/>
              </w:rPr>
              <w:t xml:space="preserve"> village will be required to house the construction workforce</w:t>
            </w:r>
            <w:r>
              <w:rPr>
                <w:rFonts w:ascii="Arial" w:hAnsi="Arial"/>
                <w:b w:val="0"/>
                <w:bCs w:val="0"/>
                <w:sz w:val="20"/>
                <w:szCs w:val="20"/>
                <w:lang w:eastAsia="en-AU"/>
              </w:rPr>
              <w:t xml:space="preserve">, </w:t>
            </w:r>
            <w:r w:rsidRPr="009125BC">
              <w:rPr>
                <w:rFonts w:ascii="Arial" w:hAnsi="Arial"/>
                <w:b w:val="0"/>
                <w:bCs w:val="0"/>
                <w:sz w:val="20"/>
                <w:szCs w:val="20"/>
                <w:lang w:eastAsia="en-AU"/>
              </w:rPr>
              <w:t>many of whom will require specialist construction skills and who may be onsite for only part of the construction period</w:t>
            </w:r>
            <w:r>
              <w:rPr>
                <w:rFonts w:ascii="Arial" w:hAnsi="Arial"/>
                <w:b w:val="0"/>
                <w:bCs w:val="0"/>
                <w:sz w:val="20"/>
                <w:szCs w:val="20"/>
                <w:lang w:eastAsia="en-AU"/>
              </w:rPr>
              <w:t xml:space="preserve">. </w:t>
            </w:r>
          </w:p>
          <w:p w14:paraId="0E77107F" w14:textId="77777777" w:rsidR="00552822" w:rsidRPr="000F2331" w:rsidRDefault="00552822" w:rsidP="00552822">
            <w:pPr>
              <w:pStyle w:val="BodyText"/>
              <w:jc w:val="both"/>
              <w:rPr>
                <w:rFonts w:ascii="Arial" w:hAnsi="Arial"/>
                <w:b w:val="0"/>
                <w:bCs w:val="0"/>
                <w:sz w:val="20"/>
                <w:szCs w:val="20"/>
                <w:lang w:eastAsia="en-AU"/>
              </w:rPr>
            </w:pPr>
          </w:p>
          <w:p w14:paraId="08C09342" w14:textId="0D3FCC4C" w:rsidR="00552822" w:rsidRDefault="00552822" w:rsidP="00552822">
            <w:pPr>
              <w:pStyle w:val="BodyText"/>
              <w:jc w:val="both"/>
              <w:rPr>
                <w:rFonts w:ascii="Arial" w:hAnsi="Arial"/>
                <w:b w:val="0"/>
                <w:bCs w:val="0"/>
                <w:sz w:val="20"/>
                <w:szCs w:val="20"/>
                <w:lang w:eastAsia="en-AU"/>
              </w:rPr>
            </w:pPr>
            <w:r w:rsidRPr="000F2331">
              <w:rPr>
                <w:rFonts w:ascii="Arial" w:hAnsi="Arial"/>
                <w:b w:val="0"/>
                <w:bCs w:val="0"/>
                <w:sz w:val="20"/>
                <w:szCs w:val="20"/>
                <w:lang w:eastAsia="en-AU"/>
              </w:rPr>
              <w:t xml:space="preserve">It is anticipated that the majority of the operations workforce will be drawn from the region. Regional housing availability and requirements will be assessed as part of the </w:t>
            </w:r>
            <w:r w:rsidR="00B71B6F">
              <w:rPr>
                <w:rFonts w:ascii="Arial" w:hAnsi="Arial"/>
                <w:b w:val="0"/>
                <w:bCs w:val="0"/>
                <w:sz w:val="20"/>
                <w:szCs w:val="20"/>
                <w:lang w:eastAsia="en-AU"/>
              </w:rPr>
              <w:t>preliminary design and assessment work</w:t>
            </w:r>
            <w:r w:rsidRPr="000F2331">
              <w:rPr>
                <w:rFonts w:ascii="Arial" w:hAnsi="Arial"/>
                <w:b w:val="0"/>
                <w:bCs w:val="0"/>
                <w:sz w:val="20"/>
                <w:szCs w:val="20"/>
                <w:lang w:eastAsia="en-AU"/>
              </w:rPr>
              <w:t>.</w:t>
            </w:r>
          </w:p>
          <w:p w14:paraId="5EDE0A84" w14:textId="77777777" w:rsidR="00552822" w:rsidRPr="000F2331" w:rsidRDefault="00552822" w:rsidP="00552822">
            <w:pPr>
              <w:pStyle w:val="BodyText"/>
              <w:jc w:val="both"/>
              <w:rPr>
                <w:rFonts w:ascii="Arial" w:hAnsi="Arial"/>
                <w:b w:val="0"/>
                <w:bCs w:val="0"/>
                <w:sz w:val="20"/>
                <w:szCs w:val="20"/>
                <w:lang w:eastAsia="en-AU"/>
              </w:rPr>
            </w:pPr>
          </w:p>
          <w:p w14:paraId="23F29D2E" w14:textId="7FE3F4B4" w:rsidR="00A026FE" w:rsidRDefault="00552822">
            <w:pPr>
              <w:pStyle w:val="BodyText"/>
              <w:jc w:val="both"/>
              <w:rPr>
                <w:rFonts w:ascii="Arial" w:hAnsi="Arial"/>
                <w:b w:val="0"/>
                <w:bCs w:val="0"/>
                <w:sz w:val="20"/>
                <w:szCs w:val="20"/>
                <w:lang w:eastAsia="en-AU"/>
              </w:rPr>
            </w:pPr>
            <w:r w:rsidRPr="000F2331">
              <w:rPr>
                <w:rFonts w:ascii="Arial" w:hAnsi="Arial"/>
                <w:b w:val="0"/>
                <w:bCs w:val="0"/>
                <w:sz w:val="20"/>
                <w:szCs w:val="20"/>
                <w:lang w:eastAsia="en-AU"/>
              </w:rPr>
              <w:t>The Wimmera Project offers the potential to generate a significant long-term employment opportunity in the region and to diversify and further develop the regional skillset</w:t>
            </w:r>
            <w:r w:rsidR="00561D1B">
              <w:rPr>
                <w:rFonts w:ascii="Arial" w:hAnsi="Arial"/>
                <w:b w:val="0"/>
                <w:bCs w:val="0"/>
                <w:sz w:val="20"/>
                <w:szCs w:val="20"/>
                <w:lang w:eastAsia="en-AU"/>
              </w:rPr>
              <w:t xml:space="preserve">. </w:t>
            </w:r>
            <w:bookmarkStart w:id="29" w:name="_Hlk8385579"/>
          </w:p>
          <w:p w14:paraId="2D84B5CB" w14:textId="77777777" w:rsidR="003F2B21" w:rsidRDefault="003F2B21">
            <w:pPr>
              <w:pStyle w:val="BodyText"/>
              <w:jc w:val="both"/>
              <w:rPr>
                <w:rFonts w:ascii="Arial" w:hAnsi="Arial"/>
                <w:b w:val="0"/>
                <w:bCs w:val="0"/>
                <w:sz w:val="20"/>
                <w:szCs w:val="20"/>
                <w:lang w:eastAsia="en-AU"/>
              </w:rPr>
            </w:pPr>
          </w:p>
          <w:p w14:paraId="6811AAEF" w14:textId="3AB7071F" w:rsidR="0048162E" w:rsidRDefault="003F2B21" w:rsidP="00CB254A">
            <w:pPr>
              <w:pBdr>
                <w:top w:val="single" w:sz="4" w:space="1" w:color="auto"/>
                <w:left w:val="single" w:sz="4" w:space="4" w:color="auto"/>
                <w:bottom w:val="single" w:sz="4" w:space="1" w:color="auto"/>
                <w:right w:val="single" w:sz="4" w:space="4" w:color="auto"/>
              </w:pBdr>
              <w:jc w:val="both"/>
              <w:rPr>
                <w:rFonts w:ascii="Arial" w:hAnsi="Arial"/>
              </w:rPr>
            </w:pPr>
            <w:r w:rsidRPr="00A026FE">
              <w:rPr>
                <w:rFonts w:ascii="Arial" w:hAnsi="Arial"/>
              </w:rPr>
              <w:t>The Project offers significant potential for the economic rejuvenation of Horsham and the surrounding region through the development of a large, highly skilled workforce; the creation of a hub for commercial investment to match the growing workforce; and improvements to local infrastructure, businesses and services.</w:t>
            </w:r>
            <w:r w:rsidR="00CB254A">
              <w:rPr>
                <w:rFonts w:ascii="Arial" w:hAnsi="Arial"/>
              </w:rPr>
              <w:t xml:space="preserve"> </w:t>
            </w:r>
            <w:r w:rsidR="00532E21">
              <w:rPr>
                <w:rFonts w:ascii="Arial" w:hAnsi="Arial"/>
              </w:rPr>
              <w:t>This is evident from data associated with Iluka’s past operational activities; t</w:t>
            </w:r>
            <w:r w:rsidR="0048162E">
              <w:rPr>
                <w:rFonts w:ascii="Arial" w:hAnsi="Arial"/>
              </w:rPr>
              <w:t>he 2013 economic contribution study found that Iluka’s Victorian-based operations provided the following contributions to the regional economy:</w:t>
            </w:r>
          </w:p>
          <w:p w14:paraId="09BCD5DB" w14:textId="0B1A314F" w:rsidR="0048162E" w:rsidRDefault="0048162E" w:rsidP="00CB254A">
            <w:pPr>
              <w:pBdr>
                <w:top w:val="single" w:sz="4" w:space="1" w:color="auto"/>
                <w:left w:val="single" w:sz="4" w:space="4" w:color="auto"/>
                <w:bottom w:val="single" w:sz="4" w:space="1" w:color="auto"/>
                <w:right w:val="single" w:sz="4" w:space="4" w:color="auto"/>
              </w:pBdr>
              <w:jc w:val="both"/>
              <w:rPr>
                <w:rFonts w:ascii="Arial" w:hAnsi="Arial"/>
              </w:rPr>
            </w:pPr>
          </w:p>
          <w:p w14:paraId="06E24E7D" w14:textId="2BF03B74" w:rsidR="0048162E" w:rsidRPr="00697DFF" w:rsidRDefault="0048162E" w:rsidP="00C70314">
            <w:pPr>
              <w:pStyle w:val="ListBullet"/>
              <w:numPr>
                <w:ilvl w:val="0"/>
                <w:numId w:val="43"/>
              </w:numPr>
              <w:jc w:val="both"/>
              <w:rPr>
                <w:b w:val="0"/>
                <w:bCs w:val="0"/>
              </w:rPr>
            </w:pPr>
            <w:r w:rsidRPr="00697DFF">
              <w:rPr>
                <w:b w:val="0"/>
                <w:bCs w:val="0"/>
              </w:rPr>
              <w:t>Total direct employment – 372 jobs</w:t>
            </w:r>
          </w:p>
          <w:p w14:paraId="3A258EE2" w14:textId="3BB29643" w:rsidR="0048162E" w:rsidRPr="00697DFF" w:rsidRDefault="0048162E" w:rsidP="00C70314">
            <w:pPr>
              <w:pStyle w:val="ListBullet"/>
              <w:numPr>
                <w:ilvl w:val="0"/>
                <w:numId w:val="43"/>
              </w:numPr>
              <w:jc w:val="both"/>
              <w:rPr>
                <w:b w:val="0"/>
                <w:bCs w:val="0"/>
              </w:rPr>
            </w:pPr>
            <w:r w:rsidRPr="00697DFF">
              <w:rPr>
                <w:b w:val="0"/>
                <w:bCs w:val="0"/>
              </w:rPr>
              <w:t>Total direct value-add - $124.6M</w:t>
            </w:r>
          </w:p>
          <w:p w14:paraId="237022BD" w14:textId="48D04B24" w:rsidR="0048162E" w:rsidRPr="00697DFF" w:rsidRDefault="0048162E" w:rsidP="00C70314">
            <w:pPr>
              <w:pStyle w:val="ListBullet"/>
              <w:numPr>
                <w:ilvl w:val="0"/>
                <w:numId w:val="43"/>
              </w:numPr>
              <w:jc w:val="both"/>
              <w:rPr>
                <w:b w:val="0"/>
                <w:bCs w:val="0"/>
              </w:rPr>
            </w:pPr>
            <w:r w:rsidRPr="00697DFF">
              <w:rPr>
                <w:b w:val="0"/>
                <w:bCs w:val="0"/>
              </w:rPr>
              <w:t>Total indirect employment – 1,242 jobs</w:t>
            </w:r>
          </w:p>
          <w:p w14:paraId="79DF7CA4" w14:textId="66444B84" w:rsidR="0048162E" w:rsidRPr="00697DFF" w:rsidRDefault="0048162E" w:rsidP="00C70314">
            <w:pPr>
              <w:pStyle w:val="ListBullet"/>
              <w:numPr>
                <w:ilvl w:val="0"/>
                <w:numId w:val="43"/>
              </w:numPr>
              <w:jc w:val="both"/>
              <w:rPr>
                <w:b w:val="0"/>
                <w:bCs w:val="0"/>
              </w:rPr>
            </w:pPr>
            <w:r w:rsidRPr="00697DFF">
              <w:rPr>
                <w:b w:val="0"/>
                <w:bCs w:val="0"/>
              </w:rPr>
              <w:t>Total indirect value-add - $175.8M</w:t>
            </w:r>
          </w:p>
          <w:p w14:paraId="394CF898" w14:textId="77777777" w:rsidR="0048162E" w:rsidRDefault="0048162E" w:rsidP="00CB254A">
            <w:pPr>
              <w:pBdr>
                <w:top w:val="single" w:sz="4" w:space="1" w:color="auto"/>
                <w:left w:val="single" w:sz="4" w:space="4" w:color="auto"/>
                <w:bottom w:val="single" w:sz="4" w:space="1" w:color="auto"/>
                <w:right w:val="single" w:sz="4" w:space="4" w:color="auto"/>
              </w:pBdr>
              <w:jc w:val="both"/>
              <w:rPr>
                <w:rFonts w:ascii="Arial" w:hAnsi="Arial"/>
              </w:rPr>
            </w:pPr>
          </w:p>
          <w:p w14:paraId="033D915D" w14:textId="77777777" w:rsidR="003F2B21" w:rsidRPr="00A026FE" w:rsidRDefault="003F2B21" w:rsidP="00CB254A">
            <w:pPr>
              <w:pBdr>
                <w:top w:val="single" w:sz="4" w:space="1" w:color="auto"/>
                <w:left w:val="single" w:sz="4" w:space="4" w:color="auto"/>
                <w:bottom w:val="single" w:sz="4" w:space="1" w:color="auto"/>
                <w:right w:val="single" w:sz="4" w:space="4" w:color="auto"/>
              </w:pBdr>
              <w:jc w:val="both"/>
              <w:rPr>
                <w:rFonts w:ascii="Arial" w:hAnsi="Arial"/>
              </w:rPr>
            </w:pPr>
          </w:p>
          <w:p w14:paraId="6BFE4DDC" w14:textId="0D72E83C" w:rsidR="003F2B21" w:rsidRDefault="003F2B21" w:rsidP="00CB254A">
            <w:pPr>
              <w:pBdr>
                <w:top w:val="single" w:sz="4" w:space="1" w:color="auto"/>
                <w:left w:val="single" w:sz="4" w:space="4" w:color="auto"/>
                <w:bottom w:val="single" w:sz="4" w:space="1" w:color="auto"/>
                <w:right w:val="single" w:sz="4" w:space="4" w:color="auto"/>
              </w:pBdr>
              <w:jc w:val="both"/>
              <w:rPr>
                <w:rFonts w:ascii="Arial" w:hAnsi="Arial"/>
              </w:rPr>
            </w:pPr>
            <w:r w:rsidRPr="00A026FE">
              <w:rPr>
                <w:rFonts w:ascii="Arial" w:hAnsi="Arial"/>
              </w:rPr>
              <w:t xml:space="preserve">The WIM100 deposit contains high-value rare earth elements that have highly sought-after application in the renewable energy market including application in electric cars and wind turbines. Of the global supply of rare earths, 80-90% is currently controlled by China. The Wimmera Project offers an opportunity for Victoria to source, process and refine rare earths locally and to thereby diversify the global supply of rare earths. This would put Victoria at the forefront of a new industry and for mineral products to be sourced and manufactured locally and used in Victoria’s renewable energy and technology sectors. </w:t>
            </w:r>
          </w:p>
          <w:p w14:paraId="0C43ED36" w14:textId="10D87747" w:rsidR="00365621" w:rsidRDefault="00365621" w:rsidP="00CB254A">
            <w:pPr>
              <w:pBdr>
                <w:top w:val="single" w:sz="4" w:space="1" w:color="auto"/>
                <w:left w:val="single" w:sz="4" w:space="4" w:color="auto"/>
                <w:bottom w:val="single" w:sz="4" w:space="1" w:color="auto"/>
                <w:right w:val="single" w:sz="4" w:space="4" w:color="auto"/>
              </w:pBdr>
              <w:jc w:val="both"/>
              <w:rPr>
                <w:rFonts w:ascii="Arial" w:hAnsi="Arial"/>
              </w:rPr>
            </w:pPr>
          </w:p>
          <w:p w14:paraId="63352EC4" w14:textId="77777777" w:rsidR="00A026FE" w:rsidRDefault="00365621" w:rsidP="00055608">
            <w:pPr>
              <w:pBdr>
                <w:top w:val="single" w:sz="4" w:space="1" w:color="auto"/>
                <w:left w:val="single" w:sz="4" w:space="4" w:color="auto"/>
                <w:bottom w:val="single" w:sz="4" w:space="1" w:color="auto"/>
                <w:right w:val="single" w:sz="4" w:space="4" w:color="auto"/>
              </w:pBdr>
              <w:jc w:val="both"/>
              <w:rPr>
                <w:rFonts w:ascii="Arial" w:hAnsi="Arial"/>
              </w:rPr>
            </w:pPr>
            <w:r w:rsidRPr="00365621">
              <w:rPr>
                <w:rFonts w:ascii="Arial" w:hAnsi="Arial"/>
                <w:bCs/>
              </w:rPr>
              <w:t>Development of the WIM100 deposit, mineral processing plant and refinery is a stand-alone project and</w:t>
            </w:r>
            <w:r w:rsidR="00561D1B">
              <w:rPr>
                <w:rFonts w:ascii="Arial" w:hAnsi="Arial"/>
                <w:bCs/>
              </w:rPr>
              <w:t xml:space="preserve"> is</w:t>
            </w:r>
            <w:r w:rsidRPr="00365621">
              <w:rPr>
                <w:rFonts w:ascii="Arial" w:hAnsi="Arial"/>
                <w:bCs/>
              </w:rPr>
              <w:t xml:space="preserve"> not reliant on the future development of other deposits</w:t>
            </w:r>
            <w:r w:rsidR="00411AEE" w:rsidRPr="00CB254A">
              <w:rPr>
                <w:rFonts w:ascii="Arial" w:hAnsi="Arial"/>
              </w:rPr>
              <w:t>.</w:t>
            </w:r>
            <w:bookmarkEnd w:id="29"/>
          </w:p>
          <w:p w14:paraId="164F987B" w14:textId="729F455E" w:rsidR="00C66BA7" w:rsidRPr="00A026FE" w:rsidRDefault="00C66BA7" w:rsidP="00055608">
            <w:pPr>
              <w:pBdr>
                <w:top w:val="single" w:sz="4" w:space="1" w:color="auto"/>
                <w:left w:val="single" w:sz="4" w:space="4" w:color="auto"/>
                <w:bottom w:val="single" w:sz="4" w:space="1" w:color="auto"/>
                <w:right w:val="single" w:sz="4" w:space="4" w:color="auto"/>
              </w:pBdr>
              <w:jc w:val="both"/>
              <w:rPr>
                <w:rFonts w:ascii="Arial" w:hAnsi="Arial"/>
              </w:rPr>
            </w:pPr>
          </w:p>
        </w:tc>
      </w:tr>
      <w:tr w:rsidR="00013847" w14:paraId="7848F309" w14:textId="77777777" w:rsidTr="00FC3654">
        <w:tc>
          <w:tcPr>
            <w:tcW w:w="8868" w:type="dxa"/>
            <w:tcBorders>
              <w:top w:val="single" w:sz="4" w:space="0" w:color="auto"/>
              <w:bottom w:val="single" w:sz="4" w:space="0" w:color="auto"/>
            </w:tcBorders>
          </w:tcPr>
          <w:p w14:paraId="22F17382" w14:textId="77777777" w:rsidR="00FC3654" w:rsidRDefault="00FC3654" w:rsidP="00FC3654">
            <w:pPr>
              <w:tabs>
                <w:tab w:val="left" w:pos="4910"/>
                <w:tab w:val="left" w:pos="5913"/>
                <w:tab w:val="left" w:pos="6916"/>
              </w:tabs>
              <w:jc w:val="both"/>
              <w:rPr>
                <w:rFonts w:ascii="Arial" w:hAnsi="Arial"/>
                <w:b/>
              </w:rPr>
            </w:pPr>
            <w:bookmarkStart w:id="30" w:name="_Toc5889528"/>
            <w:r>
              <w:rPr>
                <w:rFonts w:ascii="Arial" w:hAnsi="Arial"/>
                <w:b/>
              </w:rPr>
              <w:lastRenderedPageBreak/>
              <w:t xml:space="preserve">3.3 Main components of the project </w:t>
            </w:r>
          </w:p>
          <w:p w14:paraId="1844D022" w14:textId="77777777" w:rsidR="00FC3654" w:rsidRDefault="00FC3654" w:rsidP="0014239C">
            <w:pPr>
              <w:tabs>
                <w:tab w:val="left" w:pos="4910"/>
                <w:tab w:val="left" w:pos="5913"/>
                <w:tab w:val="left" w:pos="6916"/>
              </w:tabs>
              <w:jc w:val="both"/>
              <w:rPr>
                <w:rFonts w:ascii="Arial" w:hAnsi="Arial"/>
                <w:b/>
                <w:bCs/>
              </w:rPr>
            </w:pPr>
          </w:p>
          <w:p w14:paraId="1F88CE0D" w14:textId="7BD7938F" w:rsidR="00013847" w:rsidRPr="00561D1B" w:rsidRDefault="00F163AB" w:rsidP="0014239C">
            <w:pPr>
              <w:tabs>
                <w:tab w:val="left" w:pos="4910"/>
                <w:tab w:val="left" w:pos="5913"/>
                <w:tab w:val="left" w:pos="6916"/>
              </w:tabs>
              <w:jc w:val="both"/>
              <w:rPr>
                <w:rFonts w:ascii="Arial" w:hAnsi="Arial"/>
                <w:b/>
                <w:bCs/>
              </w:rPr>
            </w:pPr>
            <w:r w:rsidRPr="00561D1B">
              <w:rPr>
                <w:rFonts w:ascii="Arial" w:hAnsi="Arial"/>
                <w:b/>
                <w:bCs/>
              </w:rPr>
              <w:t xml:space="preserve">3.3.1 </w:t>
            </w:r>
            <w:r w:rsidR="00013847" w:rsidRPr="00561D1B">
              <w:rPr>
                <w:rFonts w:ascii="Arial" w:hAnsi="Arial"/>
                <w:b/>
                <w:bCs/>
              </w:rPr>
              <w:t>Project components</w:t>
            </w:r>
            <w:bookmarkEnd w:id="30"/>
          </w:p>
          <w:p w14:paraId="5E559586" w14:textId="77777777" w:rsidR="00013847" w:rsidRPr="00B60044" w:rsidRDefault="00013847" w:rsidP="0014239C">
            <w:pPr>
              <w:tabs>
                <w:tab w:val="left" w:pos="4910"/>
                <w:tab w:val="left" w:pos="5913"/>
                <w:tab w:val="left" w:pos="6916"/>
              </w:tabs>
              <w:jc w:val="both"/>
              <w:rPr>
                <w:rFonts w:ascii="Arial" w:hAnsi="Arial"/>
              </w:rPr>
            </w:pPr>
          </w:p>
          <w:p w14:paraId="45A986F6" w14:textId="00C633FE" w:rsidR="00B66A84" w:rsidRPr="00B60044" w:rsidRDefault="00013847" w:rsidP="002478D9">
            <w:pPr>
              <w:tabs>
                <w:tab w:val="left" w:pos="4910"/>
                <w:tab w:val="left" w:pos="5913"/>
                <w:tab w:val="left" w:pos="6916"/>
              </w:tabs>
              <w:spacing w:after="120"/>
              <w:jc w:val="both"/>
              <w:rPr>
                <w:rFonts w:ascii="Arial" w:hAnsi="Arial"/>
              </w:rPr>
            </w:pPr>
            <w:r w:rsidRPr="00B60044">
              <w:rPr>
                <w:rFonts w:ascii="Arial" w:hAnsi="Arial"/>
              </w:rPr>
              <w:t>The Project site will include:</w:t>
            </w:r>
          </w:p>
          <w:p w14:paraId="13AB6522" w14:textId="4245405C" w:rsidR="00013847" w:rsidRPr="00697DFF" w:rsidRDefault="00013847" w:rsidP="00C70314">
            <w:pPr>
              <w:pStyle w:val="ListBullet"/>
              <w:numPr>
                <w:ilvl w:val="0"/>
                <w:numId w:val="43"/>
              </w:numPr>
              <w:jc w:val="both"/>
              <w:rPr>
                <w:b w:val="0"/>
                <w:bCs w:val="0"/>
              </w:rPr>
            </w:pPr>
            <w:r w:rsidRPr="00697DFF">
              <w:rPr>
                <w:b w:val="0"/>
                <w:bCs w:val="0"/>
              </w:rPr>
              <w:t xml:space="preserve">a conventional open pit mine and ore handling system (covering an area of approximately </w:t>
            </w:r>
            <w:r w:rsidR="00181C77" w:rsidRPr="00697DFF">
              <w:rPr>
                <w:b w:val="0"/>
                <w:bCs w:val="0"/>
              </w:rPr>
              <w:t>1,308</w:t>
            </w:r>
            <w:r w:rsidRPr="00697DFF">
              <w:rPr>
                <w:b w:val="0"/>
                <w:bCs w:val="0"/>
              </w:rPr>
              <w:t xml:space="preserve"> hectares (ha</w:t>
            </w:r>
            <w:r w:rsidR="003F2B21" w:rsidRPr="00697DFF">
              <w:rPr>
                <w:b w:val="0"/>
                <w:bCs w:val="0"/>
              </w:rPr>
              <w:t>)</w:t>
            </w:r>
            <w:r w:rsidRPr="00697DFF">
              <w:rPr>
                <w:b w:val="0"/>
                <w:bCs w:val="0"/>
              </w:rPr>
              <w:t>);</w:t>
            </w:r>
          </w:p>
          <w:p w14:paraId="3153940E" w14:textId="77777777" w:rsidR="00013847" w:rsidRPr="00697DFF" w:rsidRDefault="00013847" w:rsidP="00C70314">
            <w:pPr>
              <w:pStyle w:val="ListBullet"/>
              <w:numPr>
                <w:ilvl w:val="0"/>
                <w:numId w:val="43"/>
              </w:numPr>
              <w:jc w:val="both"/>
              <w:rPr>
                <w:b w:val="0"/>
                <w:bCs w:val="0"/>
              </w:rPr>
            </w:pPr>
            <w:r w:rsidRPr="00697DFF">
              <w:rPr>
                <w:b w:val="0"/>
                <w:bCs w:val="0"/>
              </w:rPr>
              <w:t>processing plants comprising:</w:t>
            </w:r>
          </w:p>
          <w:p w14:paraId="6E63BA98" w14:textId="2A5C07CC" w:rsidR="00013847" w:rsidRPr="00B60044" w:rsidRDefault="00013847" w:rsidP="00166AB5">
            <w:pPr>
              <w:pStyle w:val="ListBullet2"/>
              <w:numPr>
                <w:ilvl w:val="1"/>
                <w:numId w:val="2"/>
              </w:numPr>
              <w:spacing w:after="120"/>
              <w:ind w:left="1134" w:hanging="403"/>
              <w:rPr>
                <w:rFonts w:cs="Arial"/>
              </w:rPr>
            </w:pPr>
            <w:r w:rsidRPr="00B60044">
              <w:rPr>
                <w:rFonts w:cs="Arial"/>
              </w:rPr>
              <w:t>mineral separation plant</w:t>
            </w:r>
            <w:r w:rsidR="00561D1B">
              <w:rPr>
                <w:rFonts w:cs="Arial"/>
              </w:rPr>
              <w:t xml:space="preserve"> (MSP)</w:t>
            </w:r>
            <w:r w:rsidRPr="00B60044">
              <w:rPr>
                <w:rFonts w:cs="Arial"/>
              </w:rPr>
              <w:t xml:space="preserve">; </w:t>
            </w:r>
          </w:p>
          <w:p w14:paraId="02FA4D70" w14:textId="24F4D1CD" w:rsidR="00013847" w:rsidRPr="00B60044" w:rsidRDefault="00CD346F" w:rsidP="00166AB5">
            <w:pPr>
              <w:pStyle w:val="ListBullet2"/>
              <w:numPr>
                <w:ilvl w:val="1"/>
                <w:numId w:val="2"/>
              </w:numPr>
              <w:spacing w:after="120"/>
              <w:ind w:left="1134" w:hanging="403"/>
              <w:rPr>
                <w:rFonts w:cs="Arial"/>
              </w:rPr>
            </w:pPr>
            <w:r>
              <w:rPr>
                <w:rFonts w:cs="Arial"/>
              </w:rPr>
              <w:t xml:space="preserve">a </w:t>
            </w:r>
            <w:r w:rsidR="00013847" w:rsidRPr="00B60044">
              <w:rPr>
                <w:rFonts w:cs="Arial"/>
              </w:rPr>
              <w:t xml:space="preserve">zircon refinery; and </w:t>
            </w:r>
          </w:p>
          <w:p w14:paraId="57796AAC" w14:textId="212F87FB" w:rsidR="00013847" w:rsidRPr="00B60044" w:rsidRDefault="00CD346F" w:rsidP="00166AB5">
            <w:pPr>
              <w:pStyle w:val="ListBullet2"/>
              <w:numPr>
                <w:ilvl w:val="1"/>
                <w:numId w:val="2"/>
              </w:numPr>
              <w:spacing w:after="120"/>
              <w:ind w:left="1134" w:hanging="403"/>
              <w:rPr>
                <w:rFonts w:cs="Arial"/>
              </w:rPr>
            </w:pPr>
            <w:r>
              <w:rPr>
                <w:rFonts w:cs="Arial"/>
              </w:rPr>
              <w:t xml:space="preserve">a </w:t>
            </w:r>
            <w:r w:rsidR="00013847" w:rsidRPr="00B60044">
              <w:rPr>
                <w:rFonts w:cs="Arial"/>
              </w:rPr>
              <w:t>rare earth refinery.</w:t>
            </w:r>
          </w:p>
          <w:p w14:paraId="67FE3009" w14:textId="31D39CF8" w:rsidR="00013847" w:rsidRPr="00697DFF" w:rsidRDefault="00013847" w:rsidP="00C70314">
            <w:pPr>
              <w:pStyle w:val="ListBullet"/>
              <w:numPr>
                <w:ilvl w:val="0"/>
                <w:numId w:val="43"/>
              </w:numPr>
              <w:jc w:val="both"/>
              <w:rPr>
                <w:b w:val="0"/>
                <w:bCs w:val="0"/>
              </w:rPr>
            </w:pPr>
            <w:r w:rsidRPr="00697DFF">
              <w:rPr>
                <w:b w:val="0"/>
                <w:bCs w:val="0"/>
              </w:rPr>
              <w:t>supporting infrastructure.</w:t>
            </w:r>
          </w:p>
          <w:p w14:paraId="1D85BB2A" w14:textId="77777777" w:rsidR="00013847" w:rsidRPr="00B60044" w:rsidRDefault="00013847" w:rsidP="0014239C">
            <w:pPr>
              <w:tabs>
                <w:tab w:val="left" w:pos="4910"/>
                <w:tab w:val="left" w:pos="5913"/>
                <w:tab w:val="left" w:pos="6916"/>
              </w:tabs>
              <w:spacing w:before="120" w:after="120"/>
              <w:jc w:val="both"/>
              <w:rPr>
                <w:rFonts w:ascii="Arial" w:hAnsi="Arial"/>
              </w:rPr>
            </w:pPr>
            <w:r w:rsidRPr="00B60044">
              <w:rPr>
                <w:rFonts w:ascii="Arial" w:hAnsi="Arial"/>
              </w:rPr>
              <w:lastRenderedPageBreak/>
              <w:t xml:space="preserve">Infrastructure in the mine area will include: </w:t>
            </w:r>
          </w:p>
          <w:p w14:paraId="315C10C3" w14:textId="77777777" w:rsidR="00013847" w:rsidRPr="00697DFF" w:rsidRDefault="00013847" w:rsidP="00C70314">
            <w:pPr>
              <w:pStyle w:val="ListBullet"/>
              <w:numPr>
                <w:ilvl w:val="0"/>
                <w:numId w:val="43"/>
              </w:numPr>
              <w:jc w:val="both"/>
              <w:rPr>
                <w:b w:val="0"/>
                <w:bCs w:val="0"/>
              </w:rPr>
            </w:pPr>
            <w:r w:rsidRPr="00697DFF">
              <w:rPr>
                <w:b w:val="0"/>
                <w:bCs w:val="0"/>
              </w:rPr>
              <w:t xml:space="preserve">an ore receival and liquefaction system; </w:t>
            </w:r>
          </w:p>
          <w:p w14:paraId="33FBDC3C" w14:textId="77777777" w:rsidR="00013847" w:rsidRPr="00697DFF" w:rsidRDefault="00013847" w:rsidP="00C70314">
            <w:pPr>
              <w:pStyle w:val="ListBullet"/>
              <w:numPr>
                <w:ilvl w:val="0"/>
                <w:numId w:val="43"/>
              </w:numPr>
              <w:jc w:val="both"/>
              <w:rPr>
                <w:b w:val="0"/>
                <w:bCs w:val="0"/>
              </w:rPr>
            </w:pPr>
            <w:r w:rsidRPr="00697DFF">
              <w:rPr>
                <w:b w:val="0"/>
                <w:bCs w:val="0"/>
              </w:rPr>
              <w:t xml:space="preserve">water pipelines; </w:t>
            </w:r>
          </w:p>
          <w:p w14:paraId="603CCA01" w14:textId="77777777" w:rsidR="00013847" w:rsidRPr="00697DFF" w:rsidRDefault="00013847" w:rsidP="00C70314">
            <w:pPr>
              <w:pStyle w:val="ListBullet"/>
              <w:numPr>
                <w:ilvl w:val="0"/>
                <w:numId w:val="43"/>
              </w:numPr>
              <w:jc w:val="both"/>
              <w:rPr>
                <w:b w:val="0"/>
                <w:bCs w:val="0"/>
              </w:rPr>
            </w:pPr>
            <w:r w:rsidRPr="00697DFF">
              <w:rPr>
                <w:b w:val="0"/>
                <w:bCs w:val="0"/>
              </w:rPr>
              <w:t xml:space="preserve">pit dewatering infrastructure; </w:t>
            </w:r>
          </w:p>
          <w:p w14:paraId="171E6AE6" w14:textId="77777777" w:rsidR="00013847" w:rsidRPr="00697DFF" w:rsidRDefault="00013847" w:rsidP="00C70314">
            <w:pPr>
              <w:pStyle w:val="ListBullet"/>
              <w:numPr>
                <w:ilvl w:val="0"/>
                <w:numId w:val="43"/>
              </w:numPr>
              <w:jc w:val="both"/>
              <w:rPr>
                <w:b w:val="0"/>
                <w:bCs w:val="0"/>
              </w:rPr>
            </w:pPr>
            <w:r w:rsidRPr="00697DFF">
              <w:rPr>
                <w:b w:val="0"/>
                <w:bCs w:val="0"/>
              </w:rPr>
              <w:t xml:space="preserve">mine by-products transport and containment infrastructure; and </w:t>
            </w:r>
          </w:p>
          <w:p w14:paraId="04F7A791" w14:textId="77777777" w:rsidR="00013847" w:rsidRPr="00697DFF" w:rsidRDefault="00013847" w:rsidP="00C70314">
            <w:pPr>
              <w:pStyle w:val="ListBullet"/>
              <w:numPr>
                <w:ilvl w:val="0"/>
                <w:numId w:val="43"/>
              </w:numPr>
              <w:jc w:val="both"/>
              <w:rPr>
                <w:b w:val="0"/>
                <w:bCs w:val="0"/>
              </w:rPr>
            </w:pPr>
            <w:r w:rsidRPr="00697DFF">
              <w:rPr>
                <w:b w:val="0"/>
                <w:bCs w:val="0"/>
              </w:rPr>
              <w:t xml:space="preserve">electricity supply infrastructure. </w:t>
            </w:r>
          </w:p>
          <w:p w14:paraId="2BE40705" w14:textId="77777777" w:rsidR="00013847" w:rsidRPr="00B60044" w:rsidRDefault="00013847" w:rsidP="0014239C">
            <w:pPr>
              <w:tabs>
                <w:tab w:val="left" w:pos="4910"/>
                <w:tab w:val="left" w:pos="5913"/>
                <w:tab w:val="left" w:pos="6916"/>
              </w:tabs>
              <w:spacing w:before="120" w:after="120"/>
              <w:jc w:val="both"/>
              <w:rPr>
                <w:rFonts w:ascii="Arial" w:hAnsi="Arial"/>
              </w:rPr>
            </w:pPr>
            <w:bookmarkStart w:id="31" w:name="_Hlk8974816"/>
            <w:r w:rsidRPr="00B60044">
              <w:rPr>
                <w:rFonts w:ascii="Arial" w:hAnsi="Arial"/>
              </w:rPr>
              <w:t xml:space="preserve">The process plant and infrastructure area will include: </w:t>
            </w:r>
          </w:p>
          <w:p w14:paraId="65EE1E22" w14:textId="77777777" w:rsidR="00013847" w:rsidRPr="00697DFF" w:rsidRDefault="00013847" w:rsidP="00C70314">
            <w:pPr>
              <w:pStyle w:val="ListBullet"/>
              <w:numPr>
                <w:ilvl w:val="0"/>
                <w:numId w:val="43"/>
              </w:numPr>
              <w:jc w:val="both"/>
              <w:rPr>
                <w:b w:val="0"/>
                <w:bCs w:val="0"/>
              </w:rPr>
            </w:pPr>
            <w:r w:rsidRPr="00697DFF">
              <w:rPr>
                <w:b w:val="0"/>
                <w:bCs w:val="0"/>
              </w:rPr>
              <w:t xml:space="preserve">a mineral separation plant: </w:t>
            </w:r>
          </w:p>
          <w:p w14:paraId="7B06FDF3" w14:textId="77777777" w:rsidR="00013847" w:rsidRPr="00B60044" w:rsidRDefault="00013847" w:rsidP="00166AB5">
            <w:pPr>
              <w:pStyle w:val="ListBullet2"/>
              <w:numPr>
                <w:ilvl w:val="1"/>
                <w:numId w:val="2"/>
              </w:numPr>
              <w:spacing w:after="120"/>
              <w:ind w:left="1134" w:hanging="403"/>
              <w:rPr>
                <w:rFonts w:cs="Arial"/>
              </w:rPr>
            </w:pPr>
            <w:r w:rsidRPr="00B60044">
              <w:rPr>
                <w:rFonts w:cs="Arial"/>
              </w:rPr>
              <w:t xml:space="preserve">screening and clay separation; </w:t>
            </w:r>
          </w:p>
          <w:p w14:paraId="5649604B" w14:textId="77777777" w:rsidR="00013847" w:rsidRPr="00B60044" w:rsidRDefault="00013847" w:rsidP="00166AB5">
            <w:pPr>
              <w:pStyle w:val="ListBullet2"/>
              <w:numPr>
                <w:ilvl w:val="1"/>
                <w:numId w:val="2"/>
              </w:numPr>
              <w:spacing w:after="120"/>
              <w:ind w:left="1134" w:hanging="403"/>
              <w:rPr>
                <w:rFonts w:cs="Arial"/>
              </w:rPr>
            </w:pPr>
            <w:r w:rsidRPr="00B60044">
              <w:rPr>
                <w:rFonts w:cs="Arial"/>
              </w:rPr>
              <w:t>froth flotation and physical separation equipment; and</w:t>
            </w:r>
          </w:p>
          <w:p w14:paraId="57FFF164" w14:textId="77777777" w:rsidR="00013847" w:rsidRPr="00B60044" w:rsidRDefault="00462C2A" w:rsidP="00166AB5">
            <w:pPr>
              <w:pStyle w:val="ListBullet2"/>
              <w:numPr>
                <w:ilvl w:val="1"/>
                <w:numId w:val="2"/>
              </w:numPr>
              <w:spacing w:after="120"/>
              <w:ind w:left="1134" w:hanging="403"/>
              <w:rPr>
                <w:rFonts w:cs="Arial"/>
              </w:rPr>
            </w:pPr>
            <w:r w:rsidRPr="00B60044">
              <w:rPr>
                <w:rFonts w:cs="Arial"/>
              </w:rPr>
              <w:t>wa</w:t>
            </w:r>
            <w:r w:rsidR="00013847" w:rsidRPr="00B60044">
              <w:rPr>
                <w:rFonts w:cs="Arial"/>
              </w:rPr>
              <w:t xml:space="preserve">ter recovery (thickener and tails water recovery). </w:t>
            </w:r>
          </w:p>
          <w:p w14:paraId="10DC627F" w14:textId="77777777" w:rsidR="00013847" w:rsidRPr="00697DFF" w:rsidRDefault="00013847" w:rsidP="00C70314">
            <w:pPr>
              <w:pStyle w:val="ListBullet"/>
              <w:numPr>
                <w:ilvl w:val="0"/>
                <w:numId w:val="43"/>
              </w:numPr>
              <w:jc w:val="both"/>
              <w:rPr>
                <w:b w:val="0"/>
                <w:bCs w:val="0"/>
              </w:rPr>
            </w:pPr>
            <w:r w:rsidRPr="00697DFF">
              <w:rPr>
                <w:b w:val="0"/>
                <w:bCs w:val="0"/>
              </w:rPr>
              <w:t xml:space="preserve">refinery: </w:t>
            </w:r>
          </w:p>
          <w:p w14:paraId="71BB5B74" w14:textId="77777777" w:rsidR="00013847" w:rsidRPr="00B60044" w:rsidRDefault="00013847" w:rsidP="00166AB5">
            <w:pPr>
              <w:pStyle w:val="ListBullet2"/>
              <w:numPr>
                <w:ilvl w:val="1"/>
                <w:numId w:val="2"/>
              </w:numPr>
              <w:spacing w:after="120"/>
              <w:ind w:left="1134" w:hanging="403"/>
              <w:rPr>
                <w:rFonts w:cs="Arial"/>
              </w:rPr>
            </w:pPr>
            <w:r w:rsidRPr="00B60044">
              <w:rPr>
                <w:rFonts w:cs="Arial"/>
              </w:rPr>
              <w:t xml:space="preserve">zircon refining; </w:t>
            </w:r>
          </w:p>
          <w:p w14:paraId="3BB06F9F" w14:textId="77777777" w:rsidR="00013847" w:rsidRPr="00B60044" w:rsidRDefault="00013847" w:rsidP="00166AB5">
            <w:pPr>
              <w:pStyle w:val="ListBullet2"/>
              <w:numPr>
                <w:ilvl w:val="1"/>
                <w:numId w:val="2"/>
              </w:numPr>
              <w:spacing w:after="120"/>
              <w:ind w:left="1134" w:hanging="403"/>
              <w:rPr>
                <w:rFonts w:cs="Arial"/>
              </w:rPr>
            </w:pPr>
            <w:r w:rsidRPr="00B60044">
              <w:rPr>
                <w:rFonts w:cs="Arial"/>
              </w:rPr>
              <w:t xml:space="preserve">rare earth refining; </w:t>
            </w:r>
          </w:p>
          <w:p w14:paraId="7AB6F19D" w14:textId="77777777" w:rsidR="00013847" w:rsidRPr="00B60044" w:rsidRDefault="00013847" w:rsidP="00166AB5">
            <w:pPr>
              <w:pStyle w:val="ListBullet2"/>
              <w:numPr>
                <w:ilvl w:val="1"/>
                <w:numId w:val="2"/>
              </w:numPr>
              <w:spacing w:after="120"/>
              <w:ind w:left="1134" w:hanging="403"/>
              <w:rPr>
                <w:rFonts w:cs="Arial"/>
              </w:rPr>
            </w:pPr>
            <w:r w:rsidRPr="00B60044">
              <w:rPr>
                <w:rFonts w:cs="Arial"/>
              </w:rPr>
              <w:t xml:space="preserve">product storage and out-loading; </w:t>
            </w:r>
          </w:p>
          <w:p w14:paraId="575FFF7B" w14:textId="77777777" w:rsidR="00013847" w:rsidRPr="00B60044" w:rsidRDefault="00462C2A" w:rsidP="00166AB5">
            <w:pPr>
              <w:pStyle w:val="ListBullet2"/>
              <w:numPr>
                <w:ilvl w:val="1"/>
                <w:numId w:val="2"/>
              </w:numPr>
              <w:spacing w:after="120"/>
              <w:ind w:left="1134" w:hanging="403"/>
              <w:rPr>
                <w:rFonts w:cs="Arial"/>
              </w:rPr>
            </w:pPr>
            <w:r w:rsidRPr="00B60044">
              <w:rPr>
                <w:rFonts w:cs="Arial"/>
              </w:rPr>
              <w:t>re</w:t>
            </w:r>
            <w:r w:rsidR="00013847" w:rsidRPr="00B60044">
              <w:rPr>
                <w:rFonts w:cs="Arial"/>
              </w:rPr>
              <w:t>finery by-product disposal infrastructure;</w:t>
            </w:r>
          </w:p>
          <w:p w14:paraId="18D8FDCF" w14:textId="77777777" w:rsidR="00013847" w:rsidRPr="00B60044" w:rsidRDefault="00013847" w:rsidP="00166AB5">
            <w:pPr>
              <w:pStyle w:val="ListBullet2"/>
              <w:numPr>
                <w:ilvl w:val="1"/>
                <w:numId w:val="2"/>
              </w:numPr>
              <w:spacing w:after="120"/>
              <w:ind w:left="1134" w:hanging="403"/>
              <w:rPr>
                <w:rFonts w:cs="Arial"/>
              </w:rPr>
            </w:pPr>
            <w:r w:rsidRPr="00B60044">
              <w:rPr>
                <w:rFonts w:cs="Arial"/>
              </w:rPr>
              <w:t xml:space="preserve">reagent storage; and </w:t>
            </w:r>
          </w:p>
          <w:p w14:paraId="578DA5CB" w14:textId="77777777" w:rsidR="00013847" w:rsidRPr="00B60044" w:rsidRDefault="00013847" w:rsidP="00166AB5">
            <w:pPr>
              <w:pStyle w:val="ListBullet2"/>
              <w:numPr>
                <w:ilvl w:val="1"/>
                <w:numId w:val="2"/>
              </w:numPr>
              <w:spacing w:after="120"/>
              <w:ind w:left="1134" w:hanging="403"/>
              <w:rPr>
                <w:rFonts w:cs="Arial"/>
              </w:rPr>
            </w:pPr>
            <w:r w:rsidRPr="00B60044">
              <w:rPr>
                <w:rFonts w:cs="Arial"/>
              </w:rPr>
              <w:t xml:space="preserve">residue treatment and water recovery plants. </w:t>
            </w:r>
          </w:p>
          <w:p w14:paraId="5698F6B1" w14:textId="298DCDA3" w:rsidR="00B66A84" w:rsidRPr="00B60044" w:rsidRDefault="00013847" w:rsidP="002478D9">
            <w:pPr>
              <w:tabs>
                <w:tab w:val="left" w:pos="4910"/>
                <w:tab w:val="left" w:pos="5913"/>
                <w:tab w:val="left" w:pos="6916"/>
              </w:tabs>
              <w:spacing w:before="120" w:after="120"/>
              <w:jc w:val="both"/>
              <w:rPr>
                <w:rFonts w:ascii="Arial" w:hAnsi="Arial"/>
              </w:rPr>
            </w:pPr>
            <w:bookmarkStart w:id="32" w:name="_Hlk8974800"/>
            <w:bookmarkEnd w:id="31"/>
            <w:r w:rsidRPr="00B60044">
              <w:rPr>
                <w:rFonts w:ascii="Arial" w:hAnsi="Arial"/>
              </w:rPr>
              <w:t>Site infrastructure will include:</w:t>
            </w:r>
          </w:p>
          <w:p w14:paraId="453CC722" w14:textId="77777777" w:rsidR="00013847" w:rsidRPr="00697DFF" w:rsidRDefault="00013847" w:rsidP="00C70314">
            <w:pPr>
              <w:pStyle w:val="ListBullet"/>
              <w:numPr>
                <w:ilvl w:val="0"/>
                <w:numId w:val="43"/>
              </w:numPr>
              <w:jc w:val="both"/>
              <w:rPr>
                <w:b w:val="0"/>
                <w:bCs w:val="0"/>
              </w:rPr>
            </w:pPr>
            <w:r w:rsidRPr="00697DFF">
              <w:rPr>
                <w:b w:val="0"/>
                <w:bCs w:val="0"/>
              </w:rPr>
              <w:t>administration buildings</w:t>
            </w:r>
            <w:r w:rsidR="0021304C" w:rsidRPr="00697DFF">
              <w:rPr>
                <w:b w:val="0"/>
                <w:bCs w:val="0"/>
              </w:rPr>
              <w:t>, meeting and training rooms</w:t>
            </w:r>
            <w:r w:rsidRPr="00697DFF">
              <w:rPr>
                <w:b w:val="0"/>
                <w:bCs w:val="0"/>
              </w:rPr>
              <w:t xml:space="preserve">; </w:t>
            </w:r>
          </w:p>
          <w:p w14:paraId="47B02D3B" w14:textId="77777777" w:rsidR="0021304C" w:rsidRPr="00697DFF" w:rsidRDefault="0021304C" w:rsidP="00C70314">
            <w:pPr>
              <w:pStyle w:val="ListBullet"/>
              <w:numPr>
                <w:ilvl w:val="0"/>
                <w:numId w:val="43"/>
              </w:numPr>
              <w:jc w:val="both"/>
              <w:rPr>
                <w:b w:val="0"/>
                <w:bCs w:val="0"/>
              </w:rPr>
            </w:pPr>
            <w:r w:rsidRPr="00697DFF">
              <w:rPr>
                <w:b w:val="0"/>
                <w:bCs w:val="0"/>
              </w:rPr>
              <w:t xml:space="preserve">first aid facilities; </w:t>
            </w:r>
          </w:p>
          <w:p w14:paraId="4CC40E05" w14:textId="77777777" w:rsidR="0021304C" w:rsidRPr="00697DFF" w:rsidRDefault="0021304C" w:rsidP="00C70314">
            <w:pPr>
              <w:pStyle w:val="ListBullet"/>
              <w:numPr>
                <w:ilvl w:val="0"/>
                <w:numId w:val="43"/>
              </w:numPr>
              <w:jc w:val="both"/>
              <w:rPr>
                <w:b w:val="0"/>
                <w:bCs w:val="0"/>
              </w:rPr>
            </w:pPr>
            <w:r w:rsidRPr="00697DFF">
              <w:rPr>
                <w:b w:val="0"/>
                <w:bCs w:val="0"/>
              </w:rPr>
              <w:t xml:space="preserve">ablutions block and crib rooms; </w:t>
            </w:r>
          </w:p>
          <w:p w14:paraId="4BF1F122" w14:textId="77777777" w:rsidR="00013847" w:rsidRPr="00697DFF" w:rsidRDefault="00013847" w:rsidP="00C70314">
            <w:pPr>
              <w:pStyle w:val="ListBullet"/>
              <w:numPr>
                <w:ilvl w:val="0"/>
                <w:numId w:val="43"/>
              </w:numPr>
              <w:jc w:val="both"/>
              <w:rPr>
                <w:b w:val="0"/>
                <w:bCs w:val="0"/>
              </w:rPr>
            </w:pPr>
            <w:r w:rsidRPr="00697DFF">
              <w:rPr>
                <w:b w:val="0"/>
                <w:bCs w:val="0"/>
              </w:rPr>
              <w:t>workshop and plant maintenance areas;</w:t>
            </w:r>
          </w:p>
          <w:p w14:paraId="1BBC70CF" w14:textId="77777777" w:rsidR="00013847" w:rsidRPr="00697DFF" w:rsidRDefault="00013847" w:rsidP="00C70314">
            <w:pPr>
              <w:pStyle w:val="ListBullet"/>
              <w:numPr>
                <w:ilvl w:val="0"/>
                <w:numId w:val="43"/>
              </w:numPr>
              <w:jc w:val="both"/>
              <w:rPr>
                <w:b w:val="0"/>
                <w:bCs w:val="0"/>
              </w:rPr>
            </w:pPr>
            <w:r w:rsidRPr="00697DFF">
              <w:rPr>
                <w:b w:val="0"/>
                <w:bCs w:val="0"/>
              </w:rPr>
              <w:t xml:space="preserve">water storage dams; </w:t>
            </w:r>
          </w:p>
          <w:p w14:paraId="2740654E" w14:textId="77777777" w:rsidR="00013847" w:rsidRPr="00697DFF" w:rsidRDefault="00013847" w:rsidP="00C70314">
            <w:pPr>
              <w:pStyle w:val="ListBullet"/>
              <w:numPr>
                <w:ilvl w:val="0"/>
                <w:numId w:val="43"/>
              </w:numPr>
              <w:jc w:val="both"/>
              <w:rPr>
                <w:b w:val="0"/>
                <w:bCs w:val="0"/>
              </w:rPr>
            </w:pPr>
            <w:r w:rsidRPr="00697DFF">
              <w:rPr>
                <w:b w:val="0"/>
                <w:bCs w:val="0"/>
              </w:rPr>
              <w:t>fuel storage areas;</w:t>
            </w:r>
          </w:p>
          <w:p w14:paraId="6C7B2C56" w14:textId="77777777" w:rsidR="00013847" w:rsidRPr="00697DFF" w:rsidRDefault="00013847" w:rsidP="00C70314">
            <w:pPr>
              <w:pStyle w:val="ListBullet"/>
              <w:numPr>
                <w:ilvl w:val="0"/>
                <w:numId w:val="43"/>
              </w:numPr>
              <w:jc w:val="both"/>
              <w:rPr>
                <w:b w:val="0"/>
                <w:bCs w:val="0"/>
              </w:rPr>
            </w:pPr>
            <w:r w:rsidRPr="00697DFF">
              <w:rPr>
                <w:b w:val="0"/>
                <w:bCs w:val="0"/>
              </w:rPr>
              <w:t>internal access and haul roads;</w:t>
            </w:r>
          </w:p>
          <w:p w14:paraId="4C60D8A0" w14:textId="77777777" w:rsidR="00013847" w:rsidRPr="00697DFF" w:rsidRDefault="00013847" w:rsidP="00C70314">
            <w:pPr>
              <w:pStyle w:val="ListBullet"/>
              <w:numPr>
                <w:ilvl w:val="0"/>
                <w:numId w:val="43"/>
              </w:numPr>
              <w:jc w:val="both"/>
              <w:rPr>
                <w:b w:val="0"/>
                <w:bCs w:val="0"/>
              </w:rPr>
            </w:pPr>
            <w:r w:rsidRPr="00697DFF">
              <w:rPr>
                <w:b w:val="0"/>
                <w:bCs w:val="0"/>
              </w:rPr>
              <w:t xml:space="preserve">laydown areas; and </w:t>
            </w:r>
          </w:p>
          <w:p w14:paraId="3A6355DB" w14:textId="77777777" w:rsidR="00013847" w:rsidRPr="00697DFF" w:rsidRDefault="00013847" w:rsidP="00C70314">
            <w:pPr>
              <w:pStyle w:val="ListBullet"/>
              <w:numPr>
                <w:ilvl w:val="0"/>
                <w:numId w:val="43"/>
              </w:numPr>
              <w:jc w:val="both"/>
              <w:rPr>
                <w:b w:val="0"/>
                <w:bCs w:val="0"/>
              </w:rPr>
            </w:pPr>
            <w:r w:rsidRPr="00697DFF">
              <w:rPr>
                <w:b w:val="0"/>
                <w:bCs w:val="0"/>
              </w:rPr>
              <w:t>car parks.</w:t>
            </w:r>
          </w:p>
          <w:bookmarkEnd w:id="32"/>
          <w:p w14:paraId="2C7B2C9F" w14:textId="379D8BE2" w:rsidR="00561D1B" w:rsidRPr="00561D1B" w:rsidRDefault="00561D1B" w:rsidP="002478D9">
            <w:pPr>
              <w:tabs>
                <w:tab w:val="left" w:pos="4910"/>
                <w:tab w:val="left" w:pos="5913"/>
                <w:tab w:val="left" w:pos="6916"/>
              </w:tabs>
              <w:spacing w:before="240"/>
              <w:jc w:val="both"/>
              <w:rPr>
                <w:rFonts w:ascii="Arial" w:hAnsi="Arial"/>
                <w:bCs/>
              </w:rPr>
            </w:pPr>
            <w:r w:rsidRPr="00561D1B">
              <w:rPr>
                <w:rFonts w:ascii="Arial" w:hAnsi="Arial"/>
                <w:bCs/>
              </w:rPr>
              <w:t xml:space="preserve">Offsite components are outlined in Section 3.4. </w:t>
            </w:r>
          </w:p>
          <w:p w14:paraId="0FE18356" w14:textId="05D3E169" w:rsidR="00013847" w:rsidRPr="006F22F4" w:rsidRDefault="00F163AB" w:rsidP="002478D9">
            <w:pPr>
              <w:tabs>
                <w:tab w:val="left" w:pos="4910"/>
                <w:tab w:val="left" w:pos="5913"/>
                <w:tab w:val="left" w:pos="6916"/>
              </w:tabs>
              <w:spacing w:before="240"/>
              <w:jc w:val="both"/>
              <w:rPr>
                <w:rFonts w:ascii="Arial" w:hAnsi="Arial"/>
                <w:b/>
              </w:rPr>
            </w:pPr>
            <w:r w:rsidRPr="006F22F4">
              <w:rPr>
                <w:rFonts w:ascii="Arial" w:hAnsi="Arial"/>
                <w:b/>
              </w:rPr>
              <w:t xml:space="preserve">3.3.2 </w:t>
            </w:r>
            <w:r w:rsidR="00013847" w:rsidRPr="006F22F4">
              <w:rPr>
                <w:rFonts w:ascii="Arial" w:hAnsi="Arial"/>
                <w:b/>
              </w:rPr>
              <w:t>Project footprint</w:t>
            </w:r>
          </w:p>
          <w:p w14:paraId="59782660" w14:textId="77777777" w:rsidR="00F163AB" w:rsidRPr="00B60044" w:rsidRDefault="00F163AB" w:rsidP="00CB254A">
            <w:pPr>
              <w:tabs>
                <w:tab w:val="left" w:pos="4910"/>
                <w:tab w:val="left" w:pos="5913"/>
                <w:tab w:val="left" w:pos="6916"/>
              </w:tabs>
              <w:jc w:val="both"/>
              <w:rPr>
                <w:rFonts w:ascii="Arial" w:hAnsi="Arial"/>
              </w:rPr>
            </w:pPr>
          </w:p>
          <w:p w14:paraId="71650A30" w14:textId="3515DD84" w:rsidR="003F2B21" w:rsidRPr="00B60044" w:rsidRDefault="003F2B21" w:rsidP="00CB254A">
            <w:pPr>
              <w:tabs>
                <w:tab w:val="left" w:pos="4910"/>
                <w:tab w:val="left" w:pos="5913"/>
                <w:tab w:val="left" w:pos="6916"/>
              </w:tabs>
              <w:jc w:val="both"/>
              <w:rPr>
                <w:rFonts w:ascii="Arial" w:hAnsi="Arial"/>
              </w:rPr>
            </w:pPr>
            <w:r w:rsidRPr="00B60044">
              <w:rPr>
                <w:rFonts w:ascii="Arial" w:hAnsi="Arial"/>
              </w:rPr>
              <w:t xml:space="preserve">The </w:t>
            </w:r>
            <w:r w:rsidR="002478D9">
              <w:rPr>
                <w:rFonts w:ascii="Arial" w:hAnsi="Arial"/>
              </w:rPr>
              <w:t>P</w:t>
            </w:r>
            <w:r w:rsidR="00181C77">
              <w:rPr>
                <w:rFonts w:ascii="Arial" w:hAnsi="Arial"/>
              </w:rPr>
              <w:t>roject site (</w:t>
            </w:r>
            <w:r w:rsidR="00181C77" w:rsidRPr="00B60044">
              <w:rPr>
                <w:rFonts w:ascii="Arial" w:hAnsi="Arial"/>
              </w:rPr>
              <w:t>min</w:t>
            </w:r>
            <w:r w:rsidR="00181C77">
              <w:rPr>
                <w:rFonts w:ascii="Arial" w:hAnsi="Arial"/>
              </w:rPr>
              <w:t>e layout</w:t>
            </w:r>
            <w:r w:rsidR="00181C77" w:rsidRPr="00B60044">
              <w:rPr>
                <w:rFonts w:ascii="Arial" w:hAnsi="Arial"/>
              </w:rPr>
              <w:t xml:space="preserve"> </w:t>
            </w:r>
            <w:r w:rsidR="00181C77">
              <w:rPr>
                <w:rFonts w:ascii="Arial" w:hAnsi="Arial"/>
              </w:rPr>
              <w:t>development envelope)</w:t>
            </w:r>
            <w:r w:rsidR="00181C77" w:rsidRPr="00B60044">
              <w:rPr>
                <w:rFonts w:ascii="Arial" w:hAnsi="Arial"/>
              </w:rPr>
              <w:t xml:space="preserve"> </w:t>
            </w:r>
            <w:r w:rsidRPr="00B60044">
              <w:rPr>
                <w:rFonts w:ascii="Arial" w:hAnsi="Arial"/>
              </w:rPr>
              <w:t>encompass</w:t>
            </w:r>
            <w:r w:rsidR="00181C77">
              <w:rPr>
                <w:rFonts w:ascii="Arial" w:hAnsi="Arial"/>
              </w:rPr>
              <w:t>es</w:t>
            </w:r>
            <w:r w:rsidRPr="00B60044">
              <w:rPr>
                <w:rFonts w:ascii="Arial" w:hAnsi="Arial"/>
              </w:rPr>
              <w:t xml:space="preserve"> the </w:t>
            </w:r>
            <w:r w:rsidR="00FE225C">
              <w:rPr>
                <w:rFonts w:ascii="Arial" w:hAnsi="Arial"/>
              </w:rPr>
              <w:t xml:space="preserve">indicative </w:t>
            </w:r>
            <w:r w:rsidR="00181C77">
              <w:rPr>
                <w:rFonts w:ascii="Arial" w:hAnsi="Arial"/>
              </w:rPr>
              <w:t>mining</w:t>
            </w:r>
            <w:r w:rsidR="00FE225C">
              <w:rPr>
                <w:rFonts w:ascii="Arial" w:hAnsi="Arial"/>
              </w:rPr>
              <w:t xml:space="preserve"> extent</w:t>
            </w:r>
            <w:r w:rsidR="00181C77">
              <w:rPr>
                <w:rFonts w:ascii="Arial" w:hAnsi="Arial"/>
              </w:rPr>
              <w:t>, the plant area development envelope, and</w:t>
            </w:r>
            <w:r w:rsidRPr="00B60044">
              <w:rPr>
                <w:rFonts w:ascii="Arial" w:hAnsi="Arial"/>
              </w:rPr>
              <w:t xml:space="preserve"> some additional area for surface infrastructure and stockpiles</w:t>
            </w:r>
            <w:r w:rsidR="00783F84">
              <w:rPr>
                <w:rFonts w:ascii="Arial" w:hAnsi="Arial"/>
              </w:rPr>
              <w:t>, as</w:t>
            </w:r>
            <w:r w:rsidR="00783F84" w:rsidRPr="00B60044">
              <w:rPr>
                <w:rFonts w:ascii="Arial" w:hAnsi="Arial"/>
              </w:rPr>
              <w:t xml:space="preserve"> shown in Figure 2</w:t>
            </w:r>
            <w:r w:rsidRPr="00B60044">
              <w:rPr>
                <w:rFonts w:ascii="Arial" w:hAnsi="Arial"/>
              </w:rPr>
              <w:t xml:space="preserve">. </w:t>
            </w:r>
            <w:r w:rsidR="00572D3D">
              <w:rPr>
                <w:rFonts w:ascii="Arial" w:hAnsi="Arial"/>
              </w:rPr>
              <w:t xml:space="preserve">The indicative mineralised extent defines the current spatial extent </w:t>
            </w:r>
            <w:r w:rsidR="00572D3D">
              <w:rPr>
                <w:rFonts w:ascii="Arial" w:hAnsi="Arial"/>
              </w:rPr>
              <w:lastRenderedPageBreak/>
              <w:t xml:space="preserve">of the </w:t>
            </w:r>
            <w:r w:rsidR="00572D3D" w:rsidRPr="00013847">
              <w:rPr>
                <w:rFonts w:ascii="Arial" w:hAnsi="Arial"/>
              </w:rPr>
              <w:t xml:space="preserve">economically extractable </w:t>
            </w:r>
            <w:r w:rsidR="00572D3D">
              <w:rPr>
                <w:rFonts w:ascii="Arial" w:hAnsi="Arial"/>
              </w:rPr>
              <w:t>mineralised</w:t>
            </w:r>
            <w:r w:rsidR="00572D3D" w:rsidRPr="00013847">
              <w:rPr>
                <w:rFonts w:ascii="Arial" w:hAnsi="Arial"/>
              </w:rPr>
              <w:t xml:space="preserve"> resource</w:t>
            </w:r>
            <w:r w:rsidR="00572D3D">
              <w:rPr>
                <w:rFonts w:ascii="Arial" w:hAnsi="Arial"/>
              </w:rPr>
              <w:t xml:space="preserve">, based on resource drilling data. The indicative mineralised extent covers 1,392 </w:t>
            </w:r>
            <w:r w:rsidR="003D3D09">
              <w:rPr>
                <w:rFonts w:ascii="Arial" w:hAnsi="Arial"/>
              </w:rPr>
              <w:t>ha</w:t>
            </w:r>
            <w:r w:rsidR="00572D3D">
              <w:rPr>
                <w:rFonts w:ascii="Arial" w:hAnsi="Arial"/>
              </w:rPr>
              <w:t xml:space="preserve"> and overlaps portions of the </w:t>
            </w:r>
            <w:proofErr w:type="spellStart"/>
            <w:r w:rsidR="00572D3D">
              <w:rPr>
                <w:rFonts w:ascii="Arial" w:hAnsi="Arial"/>
              </w:rPr>
              <w:t>Jallumba</w:t>
            </w:r>
            <w:proofErr w:type="spellEnd"/>
            <w:r w:rsidR="00572D3D">
              <w:rPr>
                <w:rFonts w:ascii="Arial" w:hAnsi="Arial"/>
              </w:rPr>
              <w:t xml:space="preserve"> Marsh Flora Reserve and Red Gum Swamp.</w:t>
            </w:r>
            <w:r w:rsidR="00572D3D" w:rsidRPr="00013847">
              <w:rPr>
                <w:rFonts w:ascii="Arial" w:hAnsi="Arial"/>
              </w:rPr>
              <w:t xml:space="preserve"> </w:t>
            </w:r>
            <w:r w:rsidRPr="00B60044">
              <w:rPr>
                <w:rFonts w:ascii="Arial" w:hAnsi="Arial"/>
              </w:rPr>
              <w:t xml:space="preserve">The </w:t>
            </w:r>
            <w:r w:rsidR="002478D9">
              <w:rPr>
                <w:rFonts w:ascii="Arial" w:hAnsi="Arial"/>
              </w:rPr>
              <w:t>indicative</w:t>
            </w:r>
            <w:r w:rsidR="002478D9" w:rsidRPr="00B60044">
              <w:rPr>
                <w:rFonts w:ascii="Arial" w:hAnsi="Arial"/>
              </w:rPr>
              <w:t xml:space="preserve"> </w:t>
            </w:r>
            <w:r w:rsidRPr="00B60044">
              <w:rPr>
                <w:rFonts w:ascii="Arial" w:hAnsi="Arial"/>
              </w:rPr>
              <w:t xml:space="preserve">mining </w:t>
            </w:r>
            <w:r w:rsidR="002478D9">
              <w:rPr>
                <w:rFonts w:ascii="Arial" w:hAnsi="Arial"/>
              </w:rPr>
              <w:t>extent</w:t>
            </w:r>
            <w:r w:rsidR="002478D9" w:rsidRPr="00B60044">
              <w:rPr>
                <w:rFonts w:ascii="Arial" w:hAnsi="Arial"/>
              </w:rPr>
              <w:t xml:space="preserve"> </w:t>
            </w:r>
            <w:r w:rsidRPr="00B60044">
              <w:rPr>
                <w:rFonts w:ascii="Arial" w:hAnsi="Arial"/>
              </w:rPr>
              <w:t xml:space="preserve">covers </w:t>
            </w:r>
            <w:r w:rsidR="009222F7">
              <w:rPr>
                <w:rFonts w:ascii="Arial" w:hAnsi="Arial"/>
              </w:rPr>
              <w:t>1,</w:t>
            </w:r>
            <w:r w:rsidR="00532E21">
              <w:rPr>
                <w:rFonts w:ascii="Arial" w:hAnsi="Arial"/>
              </w:rPr>
              <w:t>308</w:t>
            </w:r>
            <w:r w:rsidR="00532E21" w:rsidRPr="00B60044">
              <w:rPr>
                <w:rFonts w:ascii="Arial" w:hAnsi="Arial"/>
              </w:rPr>
              <w:t xml:space="preserve"> </w:t>
            </w:r>
            <w:r w:rsidRPr="00B60044">
              <w:rPr>
                <w:rFonts w:ascii="Arial" w:hAnsi="Arial"/>
              </w:rPr>
              <w:t xml:space="preserve">ha </w:t>
            </w:r>
            <w:r w:rsidR="00783F84">
              <w:rPr>
                <w:rFonts w:ascii="Arial" w:hAnsi="Arial"/>
              </w:rPr>
              <w:t xml:space="preserve">and excludes those portions of </w:t>
            </w:r>
            <w:r w:rsidR="00783F84" w:rsidRPr="00B60044">
              <w:rPr>
                <w:rFonts w:ascii="Arial" w:hAnsi="Arial"/>
              </w:rPr>
              <w:t>the indicative mineralised extent</w:t>
            </w:r>
            <w:r w:rsidR="00572D3D">
              <w:rPr>
                <w:rFonts w:ascii="Arial" w:hAnsi="Arial"/>
              </w:rPr>
              <w:t xml:space="preserve"> </w:t>
            </w:r>
            <w:r w:rsidR="00783F84">
              <w:rPr>
                <w:rFonts w:ascii="Arial" w:hAnsi="Arial"/>
              </w:rPr>
              <w:t xml:space="preserve">that overlap the </w:t>
            </w:r>
            <w:proofErr w:type="spellStart"/>
            <w:r w:rsidR="00561D1B">
              <w:rPr>
                <w:rFonts w:ascii="Arial" w:hAnsi="Arial"/>
              </w:rPr>
              <w:t>Jallumba</w:t>
            </w:r>
            <w:proofErr w:type="spellEnd"/>
            <w:r w:rsidR="00561D1B">
              <w:rPr>
                <w:rFonts w:ascii="Arial" w:hAnsi="Arial"/>
              </w:rPr>
              <w:t xml:space="preserve"> Marsh Flora Reserve</w:t>
            </w:r>
            <w:r w:rsidR="00783F84">
              <w:rPr>
                <w:rFonts w:ascii="Arial" w:hAnsi="Arial"/>
              </w:rPr>
              <w:t xml:space="preserve"> and </w:t>
            </w:r>
            <w:r w:rsidR="0073776F">
              <w:rPr>
                <w:rFonts w:ascii="Arial" w:hAnsi="Arial"/>
              </w:rPr>
              <w:t xml:space="preserve">the </w:t>
            </w:r>
            <w:r w:rsidR="00783F84">
              <w:rPr>
                <w:rFonts w:ascii="Arial" w:hAnsi="Arial"/>
              </w:rPr>
              <w:t>Red Gum Swamp</w:t>
            </w:r>
            <w:r w:rsidR="00572D3D">
              <w:rPr>
                <w:rFonts w:ascii="Arial" w:hAnsi="Arial"/>
              </w:rPr>
              <w:t xml:space="preserve"> to avoid direct impacts to the ecological and cultural heritage values associated with these areas</w:t>
            </w:r>
            <w:r w:rsidR="00783F84">
              <w:rPr>
                <w:rFonts w:ascii="Arial" w:hAnsi="Arial"/>
              </w:rPr>
              <w:t>.</w:t>
            </w:r>
          </w:p>
          <w:p w14:paraId="4C44C10F" w14:textId="77777777" w:rsidR="003F2B21" w:rsidRPr="00B60044" w:rsidRDefault="003F2B21" w:rsidP="00CB254A">
            <w:pPr>
              <w:tabs>
                <w:tab w:val="left" w:pos="4910"/>
                <w:tab w:val="left" w:pos="5913"/>
                <w:tab w:val="left" w:pos="6916"/>
              </w:tabs>
              <w:jc w:val="both"/>
              <w:rPr>
                <w:rFonts w:ascii="Arial" w:hAnsi="Arial"/>
              </w:rPr>
            </w:pPr>
          </w:p>
          <w:p w14:paraId="04AF2C67" w14:textId="1E39A598" w:rsidR="00F01FF5" w:rsidRPr="00B60044" w:rsidRDefault="00013847" w:rsidP="00CB254A">
            <w:pPr>
              <w:tabs>
                <w:tab w:val="left" w:pos="4910"/>
                <w:tab w:val="left" w:pos="5913"/>
                <w:tab w:val="left" w:pos="6916"/>
              </w:tabs>
              <w:jc w:val="both"/>
              <w:rPr>
                <w:rFonts w:ascii="Arial" w:hAnsi="Arial"/>
              </w:rPr>
            </w:pPr>
            <w:r w:rsidRPr="00B60044">
              <w:rPr>
                <w:rFonts w:ascii="Arial" w:hAnsi="Arial"/>
              </w:rPr>
              <w:t xml:space="preserve">Iluka completed an infill resource drilling program </w:t>
            </w:r>
            <w:r w:rsidR="003C648F">
              <w:rPr>
                <w:rFonts w:ascii="Arial" w:hAnsi="Arial"/>
              </w:rPr>
              <w:t xml:space="preserve">in </w:t>
            </w:r>
            <w:r w:rsidR="00FE225C">
              <w:rPr>
                <w:rFonts w:ascii="Arial" w:hAnsi="Arial"/>
              </w:rPr>
              <w:t xml:space="preserve">early </w:t>
            </w:r>
            <w:r w:rsidR="0090562B">
              <w:rPr>
                <w:rFonts w:ascii="Arial" w:hAnsi="Arial"/>
              </w:rPr>
              <w:t xml:space="preserve">2019 </w:t>
            </w:r>
            <w:r w:rsidRPr="00B60044">
              <w:rPr>
                <w:rFonts w:ascii="Arial" w:hAnsi="Arial"/>
              </w:rPr>
              <w:t xml:space="preserve">to better define the edges and grade variability </w:t>
            </w:r>
            <w:r w:rsidR="00FE225C" w:rsidRPr="00B60044">
              <w:rPr>
                <w:rFonts w:ascii="Arial" w:hAnsi="Arial"/>
              </w:rPr>
              <w:t>of the deposit</w:t>
            </w:r>
            <w:r w:rsidR="00FE225C">
              <w:rPr>
                <w:rFonts w:ascii="Arial" w:hAnsi="Arial"/>
              </w:rPr>
              <w:t xml:space="preserve"> </w:t>
            </w:r>
            <w:r w:rsidRPr="00B60044">
              <w:rPr>
                <w:rFonts w:ascii="Arial" w:hAnsi="Arial"/>
              </w:rPr>
              <w:t xml:space="preserve">and enable an </w:t>
            </w:r>
            <w:r w:rsidR="00930FDF">
              <w:rPr>
                <w:rFonts w:ascii="Arial" w:hAnsi="Arial"/>
              </w:rPr>
              <w:t>I</w:t>
            </w:r>
            <w:r w:rsidRPr="00B60044">
              <w:rPr>
                <w:rFonts w:ascii="Arial" w:hAnsi="Arial"/>
              </w:rPr>
              <w:t>ndicated resource to be declared in accordance with the </w:t>
            </w:r>
            <w:r w:rsidRPr="00CB254A">
              <w:rPr>
                <w:rFonts w:ascii="Arial" w:hAnsi="Arial"/>
                <w:i/>
              </w:rPr>
              <w:t>Australasian Code for Reporting of Exploration Results, Mineral Resources and Ore Reserves</w:t>
            </w:r>
            <w:r w:rsidRPr="00B60044">
              <w:rPr>
                <w:rFonts w:ascii="Arial" w:hAnsi="Arial"/>
              </w:rPr>
              <w:t xml:space="preserve"> (the JORC Code). </w:t>
            </w:r>
            <w:r w:rsidR="00FE225C">
              <w:rPr>
                <w:rFonts w:ascii="Arial" w:hAnsi="Arial"/>
              </w:rPr>
              <w:t>This</w:t>
            </w:r>
            <w:r w:rsidR="003C648F">
              <w:rPr>
                <w:rFonts w:ascii="Arial" w:hAnsi="Arial"/>
              </w:rPr>
              <w:t xml:space="preserve"> </w:t>
            </w:r>
            <w:r w:rsidRPr="00B60044">
              <w:rPr>
                <w:rFonts w:ascii="Arial" w:hAnsi="Arial"/>
              </w:rPr>
              <w:t xml:space="preserve">will help </w:t>
            </w:r>
            <w:r w:rsidR="00930FDF">
              <w:rPr>
                <w:rFonts w:ascii="Arial" w:hAnsi="Arial"/>
              </w:rPr>
              <w:t>with advancing</w:t>
            </w:r>
            <w:r w:rsidR="00930FDF" w:rsidRPr="00B60044">
              <w:rPr>
                <w:rFonts w:ascii="Arial" w:hAnsi="Arial"/>
              </w:rPr>
              <w:t xml:space="preserve"> </w:t>
            </w:r>
            <w:r w:rsidRPr="00B60044">
              <w:rPr>
                <w:rFonts w:ascii="Arial" w:hAnsi="Arial"/>
              </w:rPr>
              <w:t>the mine pit designs and overall mine layout footprint (expected to be finalised in Quarter 3</w:t>
            </w:r>
            <w:r w:rsidR="00CD346F">
              <w:rPr>
                <w:rFonts w:ascii="Arial" w:hAnsi="Arial"/>
              </w:rPr>
              <w:t>,</w:t>
            </w:r>
            <w:r w:rsidRPr="00B60044">
              <w:rPr>
                <w:rFonts w:ascii="Arial" w:hAnsi="Arial"/>
              </w:rPr>
              <w:t xml:space="preserve"> 2019). </w:t>
            </w:r>
            <w:r w:rsidR="00930FDF" w:rsidRPr="009222F7">
              <w:rPr>
                <w:rFonts w:ascii="Arial" w:hAnsi="Arial"/>
              </w:rPr>
              <w:t>Another resource drilling program is planned for early 2020 in order to improve resource definition to a Measured ore reserve including sterilisation drilling of infrastructure areas.  Mine layouts will be finalised following this 2020 drilling program.</w:t>
            </w:r>
          </w:p>
          <w:p w14:paraId="7BDDDBA6" w14:textId="77777777" w:rsidR="00013847" w:rsidRPr="00B60044" w:rsidRDefault="00013847" w:rsidP="00CB254A">
            <w:pPr>
              <w:tabs>
                <w:tab w:val="left" w:pos="4910"/>
                <w:tab w:val="left" w:pos="5913"/>
                <w:tab w:val="left" w:pos="6916"/>
              </w:tabs>
              <w:jc w:val="both"/>
              <w:rPr>
                <w:rFonts w:ascii="Arial" w:hAnsi="Arial"/>
              </w:rPr>
            </w:pPr>
          </w:p>
          <w:p w14:paraId="0940580F" w14:textId="31779B33" w:rsidR="009A0672" w:rsidRDefault="00013847" w:rsidP="00346984">
            <w:pPr>
              <w:tabs>
                <w:tab w:val="left" w:pos="4910"/>
                <w:tab w:val="left" w:pos="5913"/>
                <w:tab w:val="left" w:pos="6916"/>
              </w:tabs>
              <w:spacing w:after="120"/>
              <w:jc w:val="both"/>
              <w:rPr>
                <w:rFonts w:ascii="Arial" w:hAnsi="Arial"/>
              </w:rPr>
            </w:pPr>
            <w:r w:rsidRPr="009222F7">
              <w:rPr>
                <w:rFonts w:ascii="Arial" w:hAnsi="Arial"/>
              </w:rPr>
              <w:t xml:space="preserve">The location of the </w:t>
            </w:r>
            <w:r w:rsidR="009222F7" w:rsidRPr="009222F7">
              <w:rPr>
                <w:rFonts w:ascii="Arial" w:hAnsi="Arial"/>
              </w:rPr>
              <w:t xml:space="preserve">stockpiles, haul roads, the </w:t>
            </w:r>
            <w:r w:rsidRPr="009222F7">
              <w:rPr>
                <w:rFonts w:ascii="Arial" w:hAnsi="Arial"/>
              </w:rPr>
              <w:t xml:space="preserve">processing plant and associated infrastructure are the subject of ongoing studies. While the exact locations are not yet known, it is anticipated they will </w:t>
            </w:r>
            <w:r w:rsidR="004C7F04">
              <w:rPr>
                <w:rFonts w:ascii="Arial" w:hAnsi="Arial"/>
              </w:rPr>
              <w:t xml:space="preserve">likely </w:t>
            </w:r>
            <w:r w:rsidRPr="009222F7">
              <w:rPr>
                <w:rFonts w:ascii="Arial" w:hAnsi="Arial"/>
              </w:rPr>
              <w:t xml:space="preserve">be within </w:t>
            </w:r>
            <w:r w:rsidR="009222F7" w:rsidRPr="009222F7">
              <w:rPr>
                <w:rFonts w:ascii="Arial" w:hAnsi="Arial"/>
              </w:rPr>
              <w:t xml:space="preserve">a </w:t>
            </w:r>
            <w:r w:rsidR="009A0672">
              <w:rPr>
                <w:rFonts w:ascii="Arial" w:hAnsi="Arial"/>
              </w:rPr>
              <w:t xml:space="preserve">mine </w:t>
            </w:r>
            <w:r w:rsidR="009222F7" w:rsidRPr="009222F7">
              <w:rPr>
                <w:rFonts w:ascii="Arial" w:hAnsi="Arial"/>
              </w:rPr>
              <w:t>development envelope as shown</w:t>
            </w:r>
            <w:r w:rsidRPr="009222F7">
              <w:rPr>
                <w:rFonts w:ascii="Arial" w:hAnsi="Arial"/>
              </w:rPr>
              <w:t xml:space="preserve"> in Figure 2.</w:t>
            </w:r>
            <w:r w:rsidRPr="00B60044">
              <w:rPr>
                <w:rFonts w:ascii="Arial" w:hAnsi="Arial"/>
              </w:rPr>
              <w:t xml:space="preserve"> </w:t>
            </w:r>
            <w:bookmarkStart w:id="33" w:name="_Hlk8381567"/>
          </w:p>
          <w:p w14:paraId="308F3112" w14:textId="77777777" w:rsidR="00133982" w:rsidRPr="00133982" w:rsidRDefault="00133982" w:rsidP="00133982">
            <w:pPr>
              <w:tabs>
                <w:tab w:val="left" w:pos="4910"/>
                <w:tab w:val="left" w:pos="5913"/>
                <w:tab w:val="left" w:pos="6916"/>
              </w:tabs>
              <w:spacing w:after="120"/>
              <w:jc w:val="both"/>
              <w:rPr>
                <w:rFonts w:ascii="Arial" w:hAnsi="Arial"/>
              </w:rPr>
            </w:pPr>
            <w:r w:rsidRPr="00133982">
              <w:rPr>
                <w:rFonts w:ascii="Arial" w:hAnsi="Arial"/>
              </w:rPr>
              <w:t>The starter tailings storage facility (TSF), processing plant and associated infrastructure will likely be located within the 455 ha plant area development envelope; final locations and disturbance area within this envelope are yet to be determined. The area required for the plant and associated infrastructure is approximately 232 ha, and will comprise approximately:</w:t>
            </w:r>
          </w:p>
          <w:p w14:paraId="2FF1BD75" w14:textId="77777777" w:rsidR="00013847" w:rsidRPr="00697DFF" w:rsidRDefault="00013847" w:rsidP="00C70314">
            <w:pPr>
              <w:pStyle w:val="ListBullet"/>
              <w:numPr>
                <w:ilvl w:val="0"/>
                <w:numId w:val="43"/>
              </w:numPr>
              <w:jc w:val="both"/>
              <w:rPr>
                <w:b w:val="0"/>
                <w:bCs w:val="0"/>
              </w:rPr>
            </w:pPr>
            <w:r w:rsidRPr="00697DFF">
              <w:rPr>
                <w:b w:val="0"/>
                <w:bCs w:val="0"/>
              </w:rPr>
              <w:t xml:space="preserve">processing plant and associated areas (36 ha); </w:t>
            </w:r>
          </w:p>
          <w:p w14:paraId="67FDF3BD" w14:textId="77777777" w:rsidR="00013847" w:rsidRPr="00697DFF" w:rsidRDefault="00013847" w:rsidP="00C70314">
            <w:pPr>
              <w:pStyle w:val="ListBullet"/>
              <w:numPr>
                <w:ilvl w:val="0"/>
                <w:numId w:val="43"/>
              </w:numPr>
              <w:jc w:val="both"/>
              <w:rPr>
                <w:b w:val="0"/>
                <w:bCs w:val="0"/>
              </w:rPr>
            </w:pPr>
            <w:r w:rsidRPr="00697DFF">
              <w:rPr>
                <w:b w:val="0"/>
                <w:bCs w:val="0"/>
              </w:rPr>
              <w:t>refinery evaporation ponds and tailing storage facilities (TSFs) (96 ha)</w:t>
            </w:r>
            <w:r w:rsidR="0045681F" w:rsidRPr="00697DFF">
              <w:rPr>
                <w:b w:val="0"/>
                <w:bCs w:val="0"/>
              </w:rPr>
              <w:t>,</w:t>
            </w:r>
            <w:r w:rsidR="00CB254A" w:rsidRPr="00697DFF">
              <w:rPr>
                <w:b w:val="0"/>
                <w:bCs w:val="0"/>
              </w:rPr>
              <w:t xml:space="preserve"> required for the on-ongoing operation of the refinery</w:t>
            </w:r>
            <w:r w:rsidR="0045681F" w:rsidRPr="00697DFF">
              <w:rPr>
                <w:b w:val="0"/>
                <w:bCs w:val="0"/>
              </w:rPr>
              <w:t xml:space="preserve"> throughout the life of the operation</w:t>
            </w:r>
            <w:r w:rsidRPr="00697DFF">
              <w:rPr>
                <w:b w:val="0"/>
                <w:bCs w:val="0"/>
              </w:rPr>
              <w:t xml:space="preserve">; and </w:t>
            </w:r>
          </w:p>
          <w:p w14:paraId="147C8962" w14:textId="77777777" w:rsidR="00013847" w:rsidRPr="00697DFF" w:rsidRDefault="00CB254A" w:rsidP="00C70314">
            <w:pPr>
              <w:pStyle w:val="ListBullet"/>
              <w:numPr>
                <w:ilvl w:val="0"/>
                <w:numId w:val="43"/>
              </w:numPr>
              <w:jc w:val="both"/>
              <w:rPr>
                <w:b w:val="0"/>
                <w:bCs w:val="0"/>
              </w:rPr>
            </w:pPr>
            <w:r w:rsidRPr="00697DFF">
              <w:rPr>
                <w:b w:val="0"/>
                <w:bCs w:val="0"/>
              </w:rPr>
              <w:t xml:space="preserve">the </w:t>
            </w:r>
            <w:r w:rsidR="00013847" w:rsidRPr="00697DFF">
              <w:rPr>
                <w:b w:val="0"/>
                <w:bCs w:val="0"/>
              </w:rPr>
              <w:t>starter TSF (100 ha)</w:t>
            </w:r>
            <w:r w:rsidRPr="00697DFF">
              <w:rPr>
                <w:b w:val="0"/>
                <w:bCs w:val="0"/>
              </w:rPr>
              <w:t xml:space="preserve">, required for deposition and storage of </w:t>
            </w:r>
            <w:r w:rsidR="0045681F" w:rsidRPr="00697DFF">
              <w:rPr>
                <w:b w:val="0"/>
                <w:bCs w:val="0"/>
              </w:rPr>
              <w:t>tailings from the Mineral Separation Plan prior to mine void space becoming available</w:t>
            </w:r>
            <w:r w:rsidR="00013847" w:rsidRPr="00697DFF">
              <w:rPr>
                <w:b w:val="0"/>
                <w:bCs w:val="0"/>
              </w:rPr>
              <w:t>.</w:t>
            </w:r>
          </w:p>
          <w:bookmarkEnd w:id="33"/>
          <w:p w14:paraId="08AF216A" w14:textId="75971833" w:rsidR="00013847" w:rsidRPr="00B60044" w:rsidRDefault="00013847" w:rsidP="00CB254A">
            <w:pPr>
              <w:tabs>
                <w:tab w:val="left" w:pos="4910"/>
                <w:tab w:val="left" w:pos="5913"/>
                <w:tab w:val="left" w:pos="6916"/>
              </w:tabs>
              <w:jc w:val="both"/>
              <w:rPr>
                <w:rFonts w:ascii="Arial" w:hAnsi="Arial"/>
              </w:rPr>
            </w:pPr>
            <w:r w:rsidRPr="00B60044">
              <w:rPr>
                <w:rFonts w:ascii="Arial" w:hAnsi="Arial"/>
              </w:rPr>
              <w:t xml:space="preserve">Together, the </w:t>
            </w:r>
            <w:r w:rsidR="00A83C01">
              <w:rPr>
                <w:rFonts w:ascii="Arial" w:hAnsi="Arial"/>
              </w:rPr>
              <w:t xml:space="preserve">indicative </w:t>
            </w:r>
            <w:r w:rsidR="00A83C01" w:rsidRPr="00B60044">
              <w:rPr>
                <w:rFonts w:ascii="Arial" w:hAnsi="Arial"/>
              </w:rPr>
              <w:t>mining area</w:t>
            </w:r>
            <w:r w:rsidR="00A83C01">
              <w:rPr>
                <w:rFonts w:ascii="Arial" w:hAnsi="Arial"/>
              </w:rPr>
              <w:t>,</w:t>
            </w:r>
            <w:r w:rsidR="00A83C01" w:rsidRPr="00B60044">
              <w:rPr>
                <w:rFonts w:ascii="Arial" w:hAnsi="Arial"/>
              </w:rPr>
              <w:t xml:space="preserve"> </w:t>
            </w:r>
            <w:r w:rsidR="00A83C01">
              <w:rPr>
                <w:rFonts w:ascii="Arial" w:hAnsi="Arial"/>
              </w:rPr>
              <w:t>plant area development envelope</w:t>
            </w:r>
            <w:r w:rsidRPr="00B60044">
              <w:rPr>
                <w:rFonts w:ascii="Arial" w:hAnsi="Arial"/>
              </w:rPr>
              <w:t xml:space="preserve"> and </w:t>
            </w:r>
            <w:r w:rsidR="00A83C01">
              <w:rPr>
                <w:rFonts w:ascii="Arial" w:hAnsi="Arial"/>
              </w:rPr>
              <w:t>additional areas associated with soil stockpiles, haul roads</w:t>
            </w:r>
            <w:r w:rsidR="00550781">
              <w:rPr>
                <w:rFonts w:ascii="Arial" w:hAnsi="Arial"/>
              </w:rPr>
              <w:t xml:space="preserve"> </w:t>
            </w:r>
            <w:r w:rsidR="00A83C01">
              <w:rPr>
                <w:rFonts w:ascii="Arial" w:hAnsi="Arial"/>
              </w:rPr>
              <w:t>and site drainage infrastructure</w:t>
            </w:r>
            <w:r w:rsidR="00A83C01" w:rsidRPr="00B60044">
              <w:rPr>
                <w:rFonts w:ascii="Arial" w:hAnsi="Arial"/>
              </w:rPr>
              <w:t xml:space="preserve"> </w:t>
            </w:r>
            <w:r w:rsidRPr="00B60044">
              <w:rPr>
                <w:rFonts w:ascii="Arial" w:hAnsi="Arial"/>
              </w:rPr>
              <w:t xml:space="preserve">are referred to as the ‘Project site’. The Project site footprint will be approximately </w:t>
            </w:r>
            <w:r w:rsidR="0045681F">
              <w:rPr>
                <w:rFonts w:ascii="Arial" w:hAnsi="Arial"/>
              </w:rPr>
              <w:t>2,580</w:t>
            </w:r>
            <w:r w:rsidRPr="00B60044">
              <w:rPr>
                <w:rFonts w:ascii="Arial" w:hAnsi="Arial"/>
              </w:rPr>
              <w:t xml:space="preserve"> ha.</w:t>
            </w:r>
          </w:p>
          <w:p w14:paraId="41A18473" w14:textId="77777777" w:rsidR="00013847" w:rsidRPr="00B60044" w:rsidRDefault="00013847" w:rsidP="00CB254A">
            <w:pPr>
              <w:tabs>
                <w:tab w:val="left" w:pos="4910"/>
                <w:tab w:val="left" w:pos="5913"/>
                <w:tab w:val="left" w:pos="6916"/>
              </w:tabs>
              <w:jc w:val="both"/>
              <w:rPr>
                <w:rFonts w:ascii="Arial" w:hAnsi="Arial"/>
              </w:rPr>
            </w:pPr>
          </w:p>
          <w:p w14:paraId="6C62F84E" w14:textId="1B52CD0E" w:rsidR="00013847" w:rsidRPr="00B60044" w:rsidRDefault="00013847" w:rsidP="00CB254A">
            <w:pPr>
              <w:tabs>
                <w:tab w:val="left" w:pos="4910"/>
                <w:tab w:val="left" w:pos="5913"/>
                <w:tab w:val="left" w:pos="6916"/>
              </w:tabs>
              <w:jc w:val="both"/>
              <w:rPr>
                <w:rFonts w:ascii="Arial" w:hAnsi="Arial"/>
              </w:rPr>
            </w:pPr>
            <w:bookmarkStart w:id="34" w:name="_Hlk8975718"/>
            <w:r w:rsidRPr="00B60044">
              <w:rPr>
                <w:rFonts w:ascii="Arial" w:hAnsi="Arial"/>
              </w:rPr>
              <w:t xml:space="preserve">Smaller areas outside of the </w:t>
            </w:r>
            <w:r w:rsidR="003F2B21" w:rsidRPr="00B60044">
              <w:rPr>
                <w:rFonts w:ascii="Arial" w:hAnsi="Arial"/>
              </w:rPr>
              <w:t xml:space="preserve">Project site will </w:t>
            </w:r>
            <w:r w:rsidRPr="00B60044">
              <w:rPr>
                <w:rFonts w:ascii="Arial" w:hAnsi="Arial"/>
              </w:rPr>
              <w:t>also be disturbed as part of infrastructure development (</w:t>
            </w:r>
            <w:proofErr w:type="spellStart"/>
            <w:r w:rsidRPr="00B60044">
              <w:rPr>
                <w:rFonts w:ascii="Arial" w:hAnsi="Arial"/>
              </w:rPr>
              <w:t>eg</w:t>
            </w:r>
            <w:proofErr w:type="spellEnd"/>
            <w:r w:rsidRPr="00B60044">
              <w:rPr>
                <w:rFonts w:ascii="Arial" w:hAnsi="Arial"/>
              </w:rPr>
              <w:t xml:space="preserve"> for </w:t>
            </w:r>
            <w:r w:rsidR="005B234C">
              <w:rPr>
                <w:rFonts w:ascii="Arial" w:hAnsi="Arial"/>
              </w:rPr>
              <w:t xml:space="preserve">the temporary construction village, </w:t>
            </w:r>
            <w:r w:rsidRPr="00B60044">
              <w:rPr>
                <w:rFonts w:ascii="Arial" w:hAnsi="Arial"/>
              </w:rPr>
              <w:t>pipelines and power lines)</w:t>
            </w:r>
            <w:r w:rsidR="005B234C">
              <w:rPr>
                <w:rFonts w:ascii="Arial" w:hAnsi="Arial"/>
              </w:rPr>
              <w:t xml:space="preserve"> (Section 3.4)</w:t>
            </w:r>
            <w:r w:rsidRPr="00B60044">
              <w:rPr>
                <w:rFonts w:ascii="Arial" w:hAnsi="Arial"/>
              </w:rPr>
              <w:t xml:space="preserve">. The </w:t>
            </w:r>
            <w:r w:rsidR="003F2B21" w:rsidRPr="00B60044">
              <w:rPr>
                <w:rFonts w:ascii="Arial" w:hAnsi="Arial"/>
              </w:rPr>
              <w:t xml:space="preserve">exact locations and footprint </w:t>
            </w:r>
            <w:r w:rsidR="00E17629">
              <w:rPr>
                <w:rFonts w:ascii="Arial" w:hAnsi="Arial"/>
              </w:rPr>
              <w:t xml:space="preserve">for </w:t>
            </w:r>
            <w:r w:rsidR="005B234C">
              <w:rPr>
                <w:rFonts w:ascii="Arial" w:hAnsi="Arial"/>
              </w:rPr>
              <w:t xml:space="preserve">these </w:t>
            </w:r>
            <w:r w:rsidR="00E17629">
              <w:rPr>
                <w:rFonts w:ascii="Arial" w:hAnsi="Arial"/>
              </w:rPr>
              <w:t xml:space="preserve">areas </w:t>
            </w:r>
            <w:r w:rsidRPr="00B60044">
              <w:rPr>
                <w:rFonts w:ascii="Arial" w:hAnsi="Arial"/>
              </w:rPr>
              <w:t xml:space="preserve">will be determined as investigations progress during </w:t>
            </w:r>
            <w:r w:rsidR="0045681F">
              <w:rPr>
                <w:rFonts w:ascii="Arial" w:hAnsi="Arial"/>
              </w:rPr>
              <w:t xml:space="preserve">the second half of </w:t>
            </w:r>
            <w:r w:rsidRPr="00B60044">
              <w:rPr>
                <w:rFonts w:ascii="Arial" w:hAnsi="Arial"/>
              </w:rPr>
              <w:t>2019.</w:t>
            </w:r>
            <w:r w:rsidR="00930FDF" w:rsidRPr="005B234C">
              <w:rPr>
                <w:rFonts w:ascii="Arial" w:hAnsi="Arial"/>
              </w:rPr>
              <w:t xml:space="preserve"> </w:t>
            </w:r>
            <w:r w:rsidR="005B234C" w:rsidRPr="005B234C">
              <w:rPr>
                <w:rFonts w:ascii="Arial" w:hAnsi="Arial"/>
              </w:rPr>
              <w:t>In the interim, i</w:t>
            </w:r>
            <w:r w:rsidR="00930FDF" w:rsidRPr="00DD3CDD">
              <w:rPr>
                <w:rFonts w:ascii="Arial" w:hAnsi="Arial"/>
              </w:rPr>
              <w:t xml:space="preserve">ndicative alignments and locations were assessed via the on-line </w:t>
            </w:r>
            <w:r w:rsidR="00930FDF">
              <w:rPr>
                <w:rFonts w:ascii="Arial" w:hAnsi="Arial"/>
              </w:rPr>
              <w:t xml:space="preserve">EPBC </w:t>
            </w:r>
            <w:r w:rsidR="00930FDF" w:rsidRPr="00DD3CDD">
              <w:rPr>
                <w:rFonts w:ascii="Arial" w:hAnsi="Arial"/>
              </w:rPr>
              <w:t>Protected Matters Search Tool</w:t>
            </w:r>
            <w:r w:rsidR="005B234C">
              <w:rPr>
                <w:rFonts w:ascii="Arial" w:hAnsi="Arial"/>
              </w:rPr>
              <w:t xml:space="preserve"> (PMST). The PMST results are presented as Appendix </w:t>
            </w:r>
            <w:r w:rsidR="00323595">
              <w:rPr>
                <w:rFonts w:ascii="Arial" w:hAnsi="Arial"/>
              </w:rPr>
              <w:t>A</w:t>
            </w:r>
            <w:r w:rsidR="00930FDF">
              <w:rPr>
                <w:rFonts w:ascii="Arial" w:hAnsi="Arial"/>
              </w:rPr>
              <w:t>.</w:t>
            </w:r>
          </w:p>
          <w:p w14:paraId="2BDCC1F2" w14:textId="77777777" w:rsidR="00013847" w:rsidRPr="00B60044" w:rsidRDefault="00013847" w:rsidP="00CB254A">
            <w:pPr>
              <w:tabs>
                <w:tab w:val="left" w:pos="4910"/>
                <w:tab w:val="left" w:pos="5913"/>
                <w:tab w:val="left" w:pos="6916"/>
              </w:tabs>
              <w:jc w:val="both"/>
              <w:rPr>
                <w:rFonts w:ascii="Arial" w:hAnsi="Arial"/>
              </w:rPr>
            </w:pPr>
          </w:p>
          <w:p w14:paraId="4F093342" w14:textId="5675A63B" w:rsidR="00013847" w:rsidRPr="00B60044" w:rsidRDefault="00013847" w:rsidP="00CB254A">
            <w:pPr>
              <w:tabs>
                <w:tab w:val="left" w:pos="4910"/>
                <w:tab w:val="left" w:pos="5913"/>
                <w:tab w:val="left" w:pos="6916"/>
              </w:tabs>
              <w:jc w:val="both"/>
              <w:rPr>
                <w:rFonts w:ascii="Arial" w:hAnsi="Arial"/>
              </w:rPr>
            </w:pPr>
            <w:r w:rsidRPr="00B60044">
              <w:rPr>
                <w:rFonts w:ascii="Arial" w:hAnsi="Arial"/>
              </w:rPr>
              <w:t>Iluka will progressively rehabilitate the open pit mine to minimise the amount of disturbed area at any given time.</w:t>
            </w:r>
          </w:p>
          <w:bookmarkEnd w:id="34"/>
          <w:p w14:paraId="2F005CB8" w14:textId="77777777" w:rsidR="000A6CED" w:rsidRPr="00B60044" w:rsidRDefault="000A6CED" w:rsidP="00CB254A">
            <w:pPr>
              <w:tabs>
                <w:tab w:val="left" w:pos="4910"/>
                <w:tab w:val="left" w:pos="5913"/>
                <w:tab w:val="left" w:pos="6916"/>
              </w:tabs>
              <w:jc w:val="both"/>
              <w:rPr>
                <w:rFonts w:ascii="Arial" w:hAnsi="Arial"/>
              </w:rPr>
            </w:pPr>
          </w:p>
          <w:p w14:paraId="3BF1CE58" w14:textId="0B534B6E" w:rsidR="000A6CED" w:rsidRPr="00B60044" w:rsidRDefault="000A6CED" w:rsidP="00CB254A">
            <w:pPr>
              <w:tabs>
                <w:tab w:val="left" w:pos="4910"/>
                <w:tab w:val="left" w:pos="5913"/>
                <w:tab w:val="left" w:pos="6916"/>
              </w:tabs>
              <w:jc w:val="both"/>
              <w:rPr>
                <w:rFonts w:ascii="Arial" w:hAnsi="Arial"/>
              </w:rPr>
            </w:pPr>
            <w:bookmarkStart w:id="35" w:name="_Hlk8974004"/>
            <w:r w:rsidRPr="002A7FEF">
              <w:rPr>
                <w:rFonts w:ascii="Arial" w:hAnsi="Arial"/>
              </w:rPr>
              <w:t>In 2018 Iluka developed a test pit in the central part of the site, on the western side of the Natimuk-Hamilton Road, to extract ore for metallurgical testing. The recently completed test pit development, resource drilling, and</w:t>
            </w:r>
            <w:r w:rsidR="002A7FEF" w:rsidRPr="002A7FEF">
              <w:rPr>
                <w:rFonts w:ascii="Arial" w:hAnsi="Arial"/>
              </w:rPr>
              <w:t xml:space="preserve"> transport of ore associated with the inter-state metallurgical testing</w:t>
            </w:r>
            <w:r w:rsidRPr="002A7FEF">
              <w:rPr>
                <w:rFonts w:ascii="Arial" w:hAnsi="Arial"/>
              </w:rPr>
              <w:t xml:space="preserve"> is regulated under Victorian mineral and radiation legislation and is not part of the referred action. The test pit location is shown in Figure </w:t>
            </w:r>
            <w:bookmarkEnd w:id="35"/>
            <w:r w:rsidR="005B234C">
              <w:rPr>
                <w:rFonts w:ascii="Arial" w:hAnsi="Arial"/>
              </w:rPr>
              <w:t xml:space="preserve">2. </w:t>
            </w:r>
          </w:p>
          <w:p w14:paraId="4685D518" w14:textId="77777777" w:rsidR="000A6CED" w:rsidRPr="00B60044" w:rsidRDefault="000A6CED" w:rsidP="00CB254A">
            <w:pPr>
              <w:tabs>
                <w:tab w:val="left" w:pos="4910"/>
                <w:tab w:val="left" w:pos="5913"/>
                <w:tab w:val="left" w:pos="6916"/>
              </w:tabs>
              <w:jc w:val="both"/>
              <w:rPr>
                <w:rFonts w:ascii="Arial" w:hAnsi="Arial"/>
              </w:rPr>
            </w:pPr>
          </w:p>
          <w:p w14:paraId="7BB675D3" w14:textId="77777777" w:rsidR="00013847" w:rsidRDefault="00166EF1" w:rsidP="00CB254A">
            <w:pPr>
              <w:tabs>
                <w:tab w:val="left" w:pos="4910"/>
                <w:tab w:val="left" w:pos="5913"/>
                <w:tab w:val="left" w:pos="6916"/>
              </w:tabs>
              <w:jc w:val="both"/>
              <w:rPr>
                <w:rFonts w:ascii="Arial" w:hAnsi="Arial"/>
              </w:rPr>
            </w:pPr>
            <w:r w:rsidRPr="00D02516">
              <w:rPr>
                <w:rFonts w:ascii="Arial" w:hAnsi="Arial"/>
              </w:rPr>
              <w:t>Likewise, other exploration activities such as resource drilling, hydrogeological investigation programs and environmental assessments currently underway or proposed are also regulated under Victorian mineral and water legislation and</w:t>
            </w:r>
            <w:r w:rsidR="005B234C">
              <w:rPr>
                <w:rFonts w:ascii="Arial" w:hAnsi="Arial"/>
              </w:rPr>
              <w:t xml:space="preserve"> are</w:t>
            </w:r>
            <w:r w:rsidRPr="00D02516">
              <w:rPr>
                <w:rFonts w:ascii="Arial" w:hAnsi="Arial"/>
              </w:rPr>
              <w:t xml:space="preserve"> not part of the referred action.</w:t>
            </w:r>
          </w:p>
          <w:p w14:paraId="174CCC5E" w14:textId="42240A93" w:rsidR="00211A07" w:rsidRPr="00B60044" w:rsidRDefault="00211A07" w:rsidP="00CB254A">
            <w:pPr>
              <w:tabs>
                <w:tab w:val="left" w:pos="4910"/>
                <w:tab w:val="left" w:pos="5913"/>
                <w:tab w:val="left" w:pos="6916"/>
              </w:tabs>
              <w:jc w:val="both"/>
              <w:rPr>
                <w:rFonts w:ascii="Arial" w:hAnsi="Arial"/>
              </w:rPr>
            </w:pPr>
          </w:p>
        </w:tc>
      </w:tr>
      <w:tr w:rsidR="00B66A84" w14:paraId="26340201" w14:textId="77777777" w:rsidTr="00E96A1F">
        <w:trPr>
          <w:trHeight w:val="1550"/>
        </w:trPr>
        <w:tc>
          <w:tcPr>
            <w:tcW w:w="8868" w:type="dxa"/>
            <w:tcBorders>
              <w:top w:val="nil"/>
              <w:left w:val="nil"/>
              <w:bottom w:val="single" w:sz="4" w:space="0" w:color="auto"/>
              <w:right w:val="nil"/>
            </w:tcBorders>
          </w:tcPr>
          <w:p w14:paraId="21A085A6" w14:textId="77777777" w:rsidR="00B66A84" w:rsidRDefault="00B66A84" w:rsidP="00013847">
            <w:pPr>
              <w:tabs>
                <w:tab w:val="left" w:pos="4910"/>
                <w:tab w:val="left" w:pos="5913"/>
                <w:tab w:val="left" w:pos="6916"/>
              </w:tabs>
              <w:rPr>
                <w:rFonts w:ascii="Arial" w:hAnsi="Arial"/>
                <w:b/>
              </w:rPr>
            </w:pPr>
          </w:p>
        </w:tc>
      </w:tr>
      <w:tr w:rsidR="00E96A1F" w:rsidRPr="00E96A1F" w14:paraId="2C93856B" w14:textId="77777777" w:rsidTr="00FC3654">
        <w:tc>
          <w:tcPr>
            <w:tcW w:w="8868" w:type="dxa"/>
            <w:tcBorders>
              <w:top w:val="single" w:sz="4" w:space="0" w:color="auto"/>
              <w:left w:val="single" w:sz="4" w:space="0" w:color="auto"/>
              <w:bottom w:val="nil"/>
              <w:right w:val="single" w:sz="4" w:space="0" w:color="auto"/>
            </w:tcBorders>
          </w:tcPr>
          <w:p w14:paraId="4E765479" w14:textId="77777777" w:rsidR="00E96A1F" w:rsidRPr="00E96A1F" w:rsidRDefault="00E96A1F" w:rsidP="00E96A1F">
            <w:pPr>
              <w:tabs>
                <w:tab w:val="left" w:pos="4910"/>
                <w:tab w:val="left" w:pos="5913"/>
                <w:tab w:val="left" w:pos="6916"/>
              </w:tabs>
              <w:rPr>
                <w:rFonts w:ascii="Arial" w:hAnsi="Arial"/>
                <w:b/>
                <w:sz w:val="22"/>
                <w:szCs w:val="22"/>
              </w:rPr>
            </w:pPr>
            <w:r w:rsidRPr="00E96A1F">
              <w:rPr>
                <w:rFonts w:ascii="Arial" w:hAnsi="Arial"/>
                <w:b/>
                <w:sz w:val="22"/>
                <w:szCs w:val="22"/>
              </w:rPr>
              <w:t>3.4 Ancillary components of the project</w:t>
            </w:r>
          </w:p>
        </w:tc>
      </w:tr>
      <w:tr w:rsidR="00E96A1F" w:rsidRPr="00E96A1F" w14:paraId="040D42A2" w14:textId="77777777" w:rsidTr="00FC3654">
        <w:trPr>
          <w:trHeight w:val="709"/>
        </w:trPr>
        <w:tc>
          <w:tcPr>
            <w:tcW w:w="8868" w:type="dxa"/>
            <w:tcBorders>
              <w:top w:val="nil"/>
              <w:left w:val="single" w:sz="4" w:space="0" w:color="auto"/>
              <w:bottom w:val="single" w:sz="4" w:space="0" w:color="auto"/>
              <w:right w:val="single" w:sz="4" w:space="0" w:color="auto"/>
            </w:tcBorders>
          </w:tcPr>
          <w:p w14:paraId="48C4F8FC" w14:textId="77777777" w:rsidR="00FC3654" w:rsidRDefault="00FC3654" w:rsidP="00E96A1F">
            <w:pPr>
              <w:tabs>
                <w:tab w:val="left" w:pos="4910"/>
                <w:tab w:val="left" w:pos="5913"/>
                <w:tab w:val="left" w:pos="6916"/>
              </w:tabs>
              <w:rPr>
                <w:rFonts w:ascii="Arial" w:hAnsi="Arial"/>
                <w:bCs/>
              </w:rPr>
            </w:pPr>
            <w:bookmarkStart w:id="36" w:name="_Hlk8974892"/>
          </w:p>
          <w:p w14:paraId="5ED285D8" w14:textId="4087A101" w:rsidR="00E96A1F" w:rsidRPr="00E96A1F" w:rsidRDefault="00E96A1F" w:rsidP="00E96A1F">
            <w:pPr>
              <w:tabs>
                <w:tab w:val="left" w:pos="4910"/>
                <w:tab w:val="left" w:pos="5913"/>
                <w:tab w:val="left" w:pos="6916"/>
              </w:tabs>
              <w:rPr>
                <w:rFonts w:ascii="Arial" w:hAnsi="Arial"/>
                <w:bCs/>
              </w:rPr>
            </w:pPr>
            <w:r w:rsidRPr="00E96A1F">
              <w:rPr>
                <w:rFonts w:ascii="Arial" w:hAnsi="Arial"/>
                <w:bCs/>
              </w:rPr>
              <w:t>Offsite Project components will potentially include:</w:t>
            </w:r>
          </w:p>
          <w:p w14:paraId="4D6599CB" w14:textId="05C1093B" w:rsidR="00E96A1F" w:rsidRPr="00697DFF" w:rsidRDefault="00E96A1F" w:rsidP="00C70314">
            <w:pPr>
              <w:pStyle w:val="ListBullet"/>
              <w:numPr>
                <w:ilvl w:val="0"/>
                <w:numId w:val="43"/>
              </w:numPr>
              <w:jc w:val="both"/>
              <w:rPr>
                <w:b w:val="0"/>
                <w:bCs w:val="0"/>
              </w:rPr>
            </w:pPr>
            <w:r w:rsidRPr="00697DFF">
              <w:rPr>
                <w:b w:val="0"/>
                <w:bCs w:val="0"/>
              </w:rPr>
              <w:t>a temporary construction</w:t>
            </w:r>
            <w:r w:rsidR="00572D3D" w:rsidRPr="00697DFF">
              <w:rPr>
                <w:b w:val="0"/>
                <w:bCs w:val="0"/>
              </w:rPr>
              <w:t xml:space="preserve"> </w:t>
            </w:r>
            <w:r w:rsidR="00697DFF" w:rsidRPr="00697DFF">
              <w:rPr>
                <w:b w:val="0"/>
                <w:bCs w:val="0"/>
              </w:rPr>
              <w:t>accommodation</w:t>
            </w:r>
            <w:r w:rsidRPr="00697DFF">
              <w:rPr>
                <w:b w:val="0"/>
                <w:bCs w:val="0"/>
              </w:rPr>
              <w:t xml:space="preserve"> village during the construction phase (location yet to be determined);</w:t>
            </w:r>
          </w:p>
          <w:p w14:paraId="4DC9D0EB" w14:textId="77777777" w:rsidR="00E96A1F" w:rsidRPr="00697DFF" w:rsidRDefault="00E96A1F" w:rsidP="00C70314">
            <w:pPr>
              <w:pStyle w:val="ListBullet"/>
              <w:numPr>
                <w:ilvl w:val="0"/>
                <w:numId w:val="43"/>
              </w:numPr>
              <w:jc w:val="both"/>
              <w:rPr>
                <w:b w:val="0"/>
                <w:bCs w:val="0"/>
              </w:rPr>
            </w:pPr>
            <w:r w:rsidRPr="00697DFF">
              <w:rPr>
                <w:b w:val="0"/>
                <w:bCs w:val="0"/>
              </w:rPr>
              <w:t xml:space="preserve">a new water pipeline connected into the existing Rocklands-Douglas pipeline close to the Douglas mine and/or a </w:t>
            </w:r>
            <w:proofErr w:type="spellStart"/>
            <w:r w:rsidRPr="00697DFF">
              <w:rPr>
                <w:b w:val="0"/>
                <w:bCs w:val="0"/>
              </w:rPr>
              <w:t>borefield</w:t>
            </w:r>
            <w:proofErr w:type="spellEnd"/>
            <w:r w:rsidRPr="00697DFF">
              <w:rPr>
                <w:b w:val="0"/>
                <w:bCs w:val="0"/>
              </w:rPr>
              <w:t xml:space="preserve"> (Section 3.6.9);</w:t>
            </w:r>
          </w:p>
          <w:p w14:paraId="5260AED9" w14:textId="77777777" w:rsidR="00E96A1F" w:rsidRPr="00697DFF" w:rsidRDefault="00E96A1F" w:rsidP="00C70314">
            <w:pPr>
              <w:pStyle w:val="ListBullet"/>
              <w:numPr>
                <w:ilvl w:val="0"/>
                <w:numId w:val="43"/>
              </w:numPr>
              <w:jc w:val="both"/>
              <w:rPr>
                <w:b w:val="0"/>
                <w:bCs w:val="0"/>
              </w:rPr>
            </w:pPr>
            <w:r w:rsidRPr="00697DFF">
              <w:rPr>
                <w:b w:val="0"/>
                <w:bCs w:val="0"/>
              </w:rPr>
              <w:t xml:space="preserve">a new power line connected into the existing 66-kV line along the </w:t>
            </w:r>
            <w:proofErr w:type="spellStart"/>
            <w:r w:rsidRPr="00697DFF">
              <w:rPr>
                <w:b w:val="0"/>
                <w:bCs w:val="0"/>
              </w:rPr>
              <w:t>Wonwondah</w:t>
            </w:r>
            <w:proofErr w:type="spellEnd"/>
            <w:r w:rsidRPr="00697DFF">
              <w:rPr>
                <w:b w:val="0"/>
                <w:bCs w:val="0"/>
              </w:rPr>
              <w:t>-Toolondo Road to the infrastructure area;</w:t>
            </w:r>
          </w:p>
          <w:p w14:paraId="62208EC0" w14:textId="77777777" w:rsidR="00E96A1F" w:rsidRPr="00697DFF" w:rsidRDefault="00E96A1F" w:rsidP="00C70314">
            <w:pPr>
              <w:pStyle w:val="ListBullet"/>
              <w:numPr>
                <w:ilvl w:val="0"/>
                <w:numId w:val="43"/>
              </w:numPr>
              <w:jc w:val="both"/>
              <w:rPr>
                <w:b w:val="0"/>
                <w:bCs w:val="0"/>
              </w:rPr>
            </w:pPr>
            <w:r w:rsidRPr="00697DFF">
              <w:rPr>
                <w:b w:val="0"/>
                <w:bCs w:val="0"/>
              </w:rPr>
              <w:t>new access roads;</w:t>
            </w:r>
          </w:p>
          <w:p w14:paraId="16114660" w14:textId="77777777" w:rsidR="00E96A1F" w:rsidRPr="00697DFF" w:rsidRDefault="00E96A1F" w:rsidP="00C70314">
            <w:pPr>
              <w:pStyle w:val="ListBullet"/>
              <w:numPr>
                <w:ilvl w:val="0"/>
                <w:numId w:val="43"/>
              </w:numPr>
              <w:jc w:val="both"/>
              <w:rPr>
                <w:b w:val="0"/>
                <w:bCs w:val="0"/>
              </w:rPr>
            </w:pPr>
            <w:r w:rsidRPr="00697DFF">
              <w:rPr>
                <w:b w:val="0"/>
                <w:bCs w:val="0"/>
              </w:rPr>
              <w:t xml:space="preserve">public road intersection upgrades if required; and </w:t>
            </w:r>
          </w:p>
          <w:p w14:paraId="2FC5968F" w14:textId="77777777" w:rsidR="00E96A1F" w:rsidRPr="00697DFF" w:rsidRDefault="00E96A1F" w:rsidP="00C70314">
            <w:pPr>
              <w:pStyle w:val="ListBullet"/>
              <w:numPr>
                <w:ilvl w:val="0"/>
                <w:numId w:val="43"/>
              </w:numPr>
              <w:jc w:val="both"/>
              <w:rPr>
                <w:b w:val="0"/>
                <w:bCs w:val="0"/>
              </w:rPr>
            </w:pPr>
            <w:bookmarkStart w:id="37" w:name="_Hlk5100314"/>
            <w:r w:rsidRPr="00697DFF">
              <w:rPr>
                <w:b w:val="0"/>
                <w:bCs w:val="0"/>
              </w:rPr>
              <w:t>a new gas pipeline (approximately 33</w:t>
            </w:r>
            <w:r w:rsidRPr="00697DFF">
              <w:rPr>
                <w:b w:val="0"/>
                <w:bCs w:val="0"/>
              </w:rPr>
              <w:softHyphen/>
            </w:r>
            <w:r w:rsidRPr="00697DFF">
              <w:rPr>
                <w:b w:val="0"/>
                <w:bCs w:val="0"/>
              </w:rPr>
              <w:softHyphen/>
              <w:t>–45 km long) connected to the existing pipeline at Horsham</w:t>
            </w:r>
            <w:bookmarkEnd w:id="37"/>
            <w:r w:rsidRPr="00697DFF">
              <w:rPr>
                <w:b w:val="0"/>
                <w:bCs w:val="0"/>
              </w:rPr>
              <w:t xml:space="preserve"> (subject to study outcomes in late 2019). </w:t>
            </w:r>
          </w:p>
          <w:p w14:paraId="2CBC8404" w14:textId="29A51CCE" w:rsidR="00E96A1F" w:rsidRDefault="00E96A1F" w:rsidP="00FC3654">
            <w:pPr>
              <w:tabs>
                <w:tab w:val="left" w:pos="4910"/>
                <w:tab w:val="left" w:pos="5913"/>
                <w:tab w:val="left" w:pos="6916"/>
              </w:tabs>
              <w:rPr>
                <w:rFonts w:ascii="Arial" w:hAnsi="Arial"/>
                <w:bCs/>
              </w:rPr>
            </w:pPr>
            <w:r w:rsidRPr="00E96A1F">
              <w:rPr>
                <w:rFonts w:ascii="Arial" w:hAnsi="Arial"/>
                <w:bCs/>
              </w:rPr>
              <w:t>The disturbance footprint required for offsite infrastructure has not yet been determined. Once the preferred alignments for water pipelines, power lines, access roads and any required gas pipeline are known, baseline studies and technical impact studies will be undertaken for these areas, as applicable. Indicative alignments and locations were assessed via the on-line EPBC PMST</w:t>
            </w:r>
            <w:r w:rsidR="00211A07">
              <w:rPr>
                <w:rFonts w:ascii="Arial" w:hAnsi="Arial"/>
                <w:bCs/>
              </w:rPr>
              <w:t xml:space="preserve"> </w:t>
            </w:r>
            <w:r w:rsidR="00D0190B">
              <w:rPr>
                <w:rFonts w:ascii="Arial" w:hAnsi="Arial"/>
                <w:bCs/>
              </w:rPr>
              <w:t xml:space="preserve">as discussed in Section 8.1.1 </w:t>
            </w:r>
            <w:r w:rsidR="00211A07">
              <w:rPr>
                <w:rFonts w:ascii="Arial" w:hAnsi="Arial"/>
                <w:bCs/>
              </w:rPr>
              <w:t>(</w:t>
            </w:r>
            <w:r w:rsidRPr="00E96A1F">
              <w:rPr>
                <w:rFonts w:ascii="Arial" w:hAnsi="Arial"/>
                <w:bCs/>
              </w:rPr>
              <w:t xml:space="preserve">Appendix </w:t>
            </w:r>
            <w:r w:rsidR="00323595">
              <w:rPr>
                <w:rFonts w:ascii="Arial" w:hAnsi="Arial"/>
                <w:bCs/>
              </w:rPr>
              <w:t>A</w:t>
            </w:r>
            <w:r w:rsidR="00211A07">
              <w:rPr>
                <w:rFonts w:ascii="Arial" w:hAnsi="Arial"/>
                <w:bCs/>
              </w:rPr>
              <w:t>)</w:t>
            </w:r>
            <w:r w:rsidRPr="00E96A1F">
              <w:rPr>
                <w:rFonts w:ascii="Arial" w:hAnsi="Arial"/>
                <w:bCs/>
              </w:rPr>
              <w:t xml:space="preserve">. </w:t>
            </w:r>
            <w:bookmarkEnd w:id="36"/>
          </w:p>
          <w:p w14:paraId="589C6CF8" w14:textId="6CD7C564" w:rsidR="00D0190B" w:rsidRPr="00E96A1F" w:rsidRDefault="00D0190B" w:rsidP="00FC3654">
            <w:pPr>
              <w:tabs>
                <w:tab w:val="left" w:pos="4910"/>
                <w:tab w:val="left" w:pos="5913"/>
                <w:tab w:val="left" w:pos="6916"/>
              </w:tabs>
              <w:rPr>
                <w:rFonts w:ascii="Arial" w:hAnsi="Arial"/>
                <w:bCs/>
              </w:rPr>
            </w:pPr>
          </w:p>
        </w:tc>
      </w:tr>
      <w:tr w:rsidR="00E96A1F" w:rsidRPr="00E96A1F" w14:paraId="211A7A92" w14:textId="77777777" w:rsidTr="00FC3654">
        <w:trPr>
          <w:trHeight w:val="416"/>
        </w:trPr>
        <w:tc>
          <w:tcPr>
            <w:tcW w:w="8868" w:type="dxa"/>
            <w:tcBorders>
              <w:top w:val="single" w:sz="4" w:space="0" w:color="auto"/>
              <w:left w:val="single" w:sz="4" w:space="0" w:color="auto"/>
              <w:bottom w:val="nil"/>
              <w:right w:val="single" w:sz="4" w:space="0" w:color="auto"/>
            </w:tcBorders>
          </w:tcPr>
          <w:p w14:paraId="0C57B3E3" w14:textId="77777777" w:rsidR="00FC3654" w:rsidRDefault="00FC3654" w:rsidP="00FC3654">
            <w:pPr>
              <w:tabs>
                <w:tab w:val="left" w:pos="4910"/>
                <w:tab w:val="left" w:pos="5913"/>
                <w:tab w:val="left" w:pos="6916"/>
              </w:tabs>
              <w:rPr>
                <w:rFonts w:ascii="Arial" w:hAnsi="Arial"/>
                <w:b/>
                <w:sz w:val="22"/>
                <w:szCs w:val="22"/>
              </w:rPr>
            </w:pPr>
          </w:p>
          <w:p w14:paraId="35E68C8B" w14:textId="77777777" w:rsidR="00E96A1F" w:rsidRDefault="00E96A1F" w:rsidP="00FC3654">
            <w:pPr>
              <w:tabs>
                <w:tab w:val="left" w:pos="4910"/>
                <w:tab w:val="left" w:pos="5913"/>
                <w:tab w:val="left" w:pos="6916"/>
              </w:tabs>
              <w:rPr>
                <w:rFonts w:ascii="Arial" w:hAnsi="Arial"/>
                <w:b/>
                <w:sz w:val="22"/>
                <w:szCs w:val="22"/>
              </w:rPr>
            </w:pPr>
            <w:r w:rsidRPr="00E96A1F">
              <w:rPr>
                <w:rFonts w:ascii="Arial" w:hAnsi="Arial"/>
                <w:b/>
                <w:sz w:val="22"/>
                <w:szCs w:val="22"/>
              </w:rPr>
              <w:t>3.5 Key construction activities</w:t>
            </w:r>
          </w:p>
          <w:p w14:paraId="2CA71697" w14:textId="57215C80" w:rsidR="00D0190B" w:rsidRPr="00E96A1F" w:rsidRDefault="00D0190B" w:rsidP="00FC3654">
            <w:pPr>
              <w:tabs>
                <w:tab w:val="left" w:pos="4910"/>
                <w:tab w:val="left" w:pos="5913"/>
                <w:tab w:val="left" w:pos="6916"/>
              </w:tabs>
              <w:rPr>
                <w:rFonts w:ascii="Arial" w:hAnsi="Arial"/>
                <w:bCs/>
              </w:rPr>
            </w:pPr>
          </w:p>
        </w:tc>
      </w:tr>
      <w:tr w:rsidR="00E96A1F" w:rsidRPr="00E96A1F" w14:paraId="43AED8BD" w14:textId="77777777" w:rsidTr="00E96A1F">
        <w:trPr>
          <w:trHeight w:val="1550"/>
        </w:trPr>
        <w:tc>
          <w:tcPr>
            <w:tcW w:w="8868" w:type="dxa"/>
            <w:tcBorders>
              <w:top w:val="nil"/>
              <w:left w:val="single" w:sz="4" w:space="0" w:color="auto"/>
              <w:bottom w:val="single" w:sz="4" w:space="0" w:color="auto"/>
              <w:right w:val="single" w:sz="4" w:space="0" w:color="auto"/>
            </w:tcBorders>
          </w:tcPr>
          <w:p w14:paraId="0FDCF31B" w14:textId="77777777" w:rsidR="00E96A1F" w:rsidRPr="00E96A1F" w:rsidRDefault="00E96A1F" w:rsidP="00E96A1F">
            <w:pPr>
              <w:tabs>
                <w:tab w:val="left" w:pos="4910"/>
                <w:tab w:val="left" w:pos="5913"/>
                <w:tab w:val="left" w:pos="6916"/>
              </w:tabs>
              <w:rPr>
                <w:rFonts w:ascii="Arial" w:hAnsi="Arial"/>
                <w:bCs/>
              </w:rPr>
            </w:pPr>
            <w:r w:rsidRPr="00E96A1F">
              <w:rPr>
                <w:rFonts w:ascii="Arial" w:hAnsi="Arial"/>
                <w:bCs/>
              </w:rPr>
              <w:t>Key construction activities will include construction of:</w:t>
            </w:r>
          </w:p>
          <w:p w14:paraId="4F267C25" w14:textId="77777777" w:rsidR="00E96A1F" w:rsidRPr="00697DFF" w:rsidRDefault="00E96A1F" w:rsidP="00C70314">
            <w:pPr>
              <w:pStyle w:val="ListBullet"/>
              <w:numPr>
                <w:ilvl w:val="0"/>
                <w:numId w:val="43"/>
              </w:numPr>
              <w:jc w:val="both"/>
              <w:rPr>
                <w:b w:val="0"/>
                <w:bCs w:val="0"/>
              </w:rPr>
            </w:pPr>
            <w:r w:rsidRPr="00697DFF">
              <w:rPr>
                <w:b w:val="0"/>
                <w:bCs w:val="0"/>
              </w:rPr>
              <w:t>internal mine site access roads;</w:t>
            </w:r>
          </w:p>
          <w:p w14:paraId="12757E3F" w14:textId="77777777" w:rsidR="00E96A1F" w:rsidRPr="00697DFF" w:rsidRDefault="00E96A1F" w:rsidP="00C70314">
            <w:pPr>
              <w:pStyle w:val="ListBullet"/>
              <w:numPr>
                <w:ilvl w:val="0"/>
                <w:numId w:val="43"/>
              </w:numPr>
              <w:jc w:val="both"/>
              <w:rPr>
                <w:b w:val="0"/>
                <w:bCs w:val="0"/>
              </w:rPr>
            </w:pPr>
            <w:r w:rsidRPr="00697DFF">
              <w:rPr>
                <w:b w:val="0"/>
                <w:bCs w:val="0"/>
              </w:rPr>
              <w:t xml:space="preserve">administration buildings, meeting and training rooms; </w:t>
            </w:r>
          </w:p>
          <w:p w14:paraId="4078F274" w14:textId="77777777" w:rsidR="00E96A1F" w:rsidRPr="00697DFF" w:rsidRDefault="00E96A1F" w:rsidP="00C70314">
            <w:pPr>
              <w:pStyle w:val="ListBullet"/>
              <w:numPr>
                <w:ilvl w:val="0"/>
                <w:numId w:val="43"/>
              </w:numPr>
              <w:jc w:val="both"/>
              <w:rPr>
                <w:b w:val="0"/>
                <w:bCs w:val="0"/>
              </w:rPr>
            </w:pPr>
            <w:r w:rsidRPr="00697DFF">
              <w:rPr>
                <w:b w:val="0"/>
                <w:bCs w:val="0"/>
              </w:rPr>
              <w:t xml:space="preserve">ablutions block and crib rooms; </w:t>
            </w:r>
          </w:p>
          <w:p w14:paraId="7AFA357D" w14:textId="77777777" w:rsidR="00E96A1F" w:rsidRPr="00697DFF" w:rsidRDefault="00E96A1F" w:rsidP="00C70314">
            <w:pPr>
              <w:pStyle w:val="ListBullet"/>
              <w:numPr>
                <w:ilvl w:val="0"/>
                <w:numId w:val="43"/>
              </w:numPr>
              <w:jc w:val="both"/>
              <w:rPr>
                <w:b w:val="0"/>
                <w:bCs w:val="0"/>
              </w:rPr>
            </w:pPr>
            <w:r w:rsidRPr="00697DFF">
              <w:rPr>
                <w:b w:val="0"/>
                <w:bCs w:val="0"/>
              </w:rPr>
              <w:t xml:space="preserve">first aid facilities; </w:t>
            </w:r>
          </w:p>
          <w:p w14:paraId="6BE2E515" w14:textId="77777777" w:rsidR="00E96A1F" w:rsidRPr="00697DFF" w:rsidRDefault="00E96A1F" w:rsidP="00C70314">
            <w:pPr>
              <w:pStyle w:val="ListBullet"/>
              <w:numPr>
                <w:ilvl w:val="0"/>
                <w:numId w:val="43"/>
              </w:numPr>
              <w:jc w:val="both"/>
              <w:rPr>
                <w:b w:val="0"/>
                <w:bCs w:val="0"/>
              </w:rPr>
            </w:pPr>
            <w:r w:rsidRPr="00697DFF">
              <w:rPr>
                <w:b w:val="0"/>
                <w:bCs w:val="0"/>
              </w:rPr>
              <w:t>warehouse, workshop and plant maintenance areas;</w:t>
            </w:r>
          </w:p>
          <w:p w14:paraId="7A7B4D63" w14:textId="77777777" w:rsidR="00E96A1F" w:rsidRPr="00697DFF" w:rsidRDefault="00E96A1F" w:rsidP="00C70314">
            <w:pPr>
              <w:pStyle w:val="ListBullet"/>
              <w:numPr>
                <w:ilvl w:val="0"/>
                <w:numId w:val="43"/>
              </w:numPr>
              <w:jc w:val="both"/>
              <w:rPr>
                <w:b w:val="0"/>
                <w:bCs w:val="0"/>
              </w:rPr>
            </w:pPr>
            <w:r w:rsidRPr="00697DFF">
              <w:rPr>
                <w:b w:val="0"/>
                <w:bCs w:val="0"/>
              </w:rPr>
              <w:t>fuel and reagent storage areas;</w:t>
            </w:r>
          </w:p>
          <w:p w14:paraId="6754CB6B" w14:textId="77777777" w:rsidR="00E96A1F" w:rsidRPr="00697DFF" w:rsidRDefault="00E96A1F" w:rsidP="00C70314">
            <w:pPr>
              <w:pStyle w:val="ListBullet"/>
              <w:numPr>
                <w:ilvl w:val="0"/>
                <w:numId w:val="43"/>
              </w:numPr>
              <w:jc w:val="both"/>
              <w:rPr>
                <w:b w:val="0"/>
                <w:bCs w:val="0"/>
              </w:rPr>
            </w:pPr>
            <w:r w:rsidRPr="00697DFF">
              <w:rPr>
                <w:b w:val="0"/>
                <w:bCs w:val="0"/>
              </w:rPr>
              <w:t>laydown areas;</w:t>
            </w:r>
          </w:p>
          <w:p w14:paraId="3B0CBCD6" w14:textId="77777777" w:rsidR="00E96A1F" w:rsidRPr="00697DFF" w:rsidRDefault="00E96A1F" w:rsidP="00C70314">
            <w:pPr>
              <w:pStyle w:val="ListBullet"/>
              <w:numPr>
                <w:ilvl w:val="0"/>
                <w:numId w:val="43"/>
              </w:numPr>
              <w:jc w:val="both"/>
              <w:rPr>
                <w:b w:val="0"/>
                <w:bCs w:val="0"/>
              </w:rPr>
            </w:pPr>
            <w:r w:rsidRPr="00697DFF">
              <w:rPr>
                <w:b w:val="0"/>
                <w:bCs w:val="0"/>
              </w:rPr>
              <w:t>car parks;</w:t>
            </w:r>
          </w:p>
          <w:p w14:paraId="72B525F8" w14:textId="77777777" w:rsidR="00E96A1F" w:rsidRPr="00697DFF" w:rsidRDefault="00E96A1F" w:rsidP="00C70314">
            <w:pPr>
              <w:pStyle w:val="ListBullet"/>
              <w:numPr>
                <w:ilvl w:val="0"/>
                <w:numId w:val="43"/>
              </w:numPr>
              <w:jc w:val="both"/>
              <w:rPr>
                <w:b w:val="0"/>
                <w:bCs w:val="0"/>
              </w:rPr>
            </w:pPr>
            <w:r w:rsidRPr="00697DFF">
              <w:rPr>
                <w:b w:val="0"/>
                <w:bCs w:val="0"/>
              </w:rPr>
              <w:t xml:space="preserve">water, slimes and waste storage dams; </w:t>
            </w:r>
          </w:p>
          <w:p w14:paraId="2A7E9F32" w14:textId="77777777" w:rsidR="00E96A1F" w:rsidRPr="00697DFF" w:rsidRDefault="00E96A1F" w:rsidP="00C70314">
            <w:pPr>
              <w:pStyle w:val="ListBullet"/>
              <w:numPr>
                <w:ilvl w:val="0"/>
                <w:numId w:val="43"/>
              </w:numPr>
              <w:jc w:val="both"/>
              <w:rPr>
                <w:b w:val="0"/>
                <w:bCs w:val="0"/>
              </w:rPr>
            </w:pPr>
            <w:r w:rsidRPr="00697DFF">
              <w:rPr>
                <w:b w:val="0"/>
                <w:bCs w:val="0"/>
              </w:rPr>
              <w:t>the mineral separation plant and refinery;</w:t>
            </w:r>
          </w:p>
          <w:p w14:paraId="56ADFDA1" w14:textId="77777777" w:rsidR="00E96A1F" w:rsidRPr="00697DFF" w:rsidRDefault="00E96A1F" w:rsidP="00C70314">
            <w:pPr>
              <w:pStyle w:val="ListBullet"/>
              <w:numPr>
                <w:ilvl w:val="0"/>
                <w:numId w:val="43"/>
              </w:numPr>
              <w:jc w:val="both"/>
              <w:rPr>
                <w:b w:val="0"/>
                <w:bCs w:val="0"/>
              </w:rPr>
            </w:pPr>
            <w:r w:rsidRPr="00697DFF">
              <w:rPr>
                <w:b w:val="0"/>
                <w:bCs w:val="0"/>
              </w:rPr>
              <w:t>site stormwater management systems including diversion drains;</w:t>
            </w:r>
          </w:p>
          <w:p w14:paraId="6BE7F9BA" w14:textId="77777777" w:rsidR="00E96A1F" w:rsidRPr="00697DFF" w:rsidRDefault="00E96A1F" w:rsidP="00C70314">
            <w:pPr>
              <w:pStyle w:val="ListBullet"/>
              <w:numPr>
                <w:ilvl w:val="0"/>
                <w:numId w:val="43"/>
              </w:numPr>
              <w:jc w:val="both"/>
              <w:rPr>
                <w:b w:val="0"/>
                <w:bCs w:val="0"/>
              </w:rPr>
            </w:pPr>
            <w:r w:rsidRPr="00697DFF">
              <w:rPr>
                <w:b w:val="0"/>
                <w:bCs w:val="0"/>
              </w:rPr>
              <w:t xml:space="preserve">water supply pipeline and/or </w:t>
            </w:r>
            <w:proofErr w:type="spellStart"/>
            <w:r w:rsidRPr="00697DFF">
              <w:rPr>
                <w:b w:val="0"/>
                <w:bCs w:val="0"/>
              </w:rPr>
              <w:t>borefields</w:t>
            </w:r>
            <w:proofErr w:type="spellEnd"/>
            <w:r w:rsidRPr="00697DFF">
              <w:rPr>
                <w:b w:val="0"/>
                <w:bCs w:val="0"/>
              </w:rPr>
              <w:t>;</w:t>
            </w:r>
          </w:p>
          <w:p w14:paraId="3D645885" w14:textId="77777777" w:rsidR="00E96A1F" w:rsidRPr="00697DFF" w:rsidRDefault="00E96A1F" w:rsidP="00C70314">
            <w:pPr>
              <w:pStyle w:val="ListBullet"/>
              <w:numPr>
                <w:ilvl w:val="0"/>
                <w:numId w:val="43"/>
              </w:numPr>
              <w:jc w:val="both"/>
              <w:rPr>
                <w:b w:val="0"/>
                <w:bCs w:val="0"/>
              </w:rPr>
            </w:pPr>
            <w:r w:rsidRPr="00697DFF">
              <w:rPr>
                <w:b w:val="0"/>
                <w:bCs w:val="0"/>
              </w:rPr>
              <w:lastRenderedPageBreak/>
              <w:t>temporary construction village (offsite); and</w:t>
            </w:r>
          </w:p>
          <w:p w14:paraId="1BB51A2F" w14:textId="77777777" w:rsidR="00E96A1F" w:rsidRPr="00697DFF" w:rsidRDefault="00E96A1F" w:rsidP="00C70314">
            <w:pPr>
              <w:pStyle w:val="ListBullet"/>
              <w:numPr>
                <w:ilvl w:val="0"/>
                <w:numId w:val="43"/>
              </w:numPr>
              <w:jc w:val="both"/>
              <w:rPr>
                <w:b w:val="0"/>
                <w:bCs w:val="0"/>
              </w:rPr>
            </w:pPr>
            <w:r w:rsidRPr="00697DFF">
              <w:rPr>
                <w:b w:val="0"/>
                <w:bCs w:val="0"/>
              </w:rPr>
              <w:t>powerline/s.</w:t>
            </w:r>
          </w:p>
          <w:p w14:paraId="6563E845" w14:textId="4C4DC4F8" w:rsidR="00C66BA7" w:rsidRPr="00F163AB" w:rsidRDefault="00C66BA7" w:rsidP="00C66BA7">
            <w:pPr>
              <w:tabs>
                <w:tab w:val="left" w:pos="4910"/>
                <w:tab w:val="left" w:pos="5913"/>
                <w:tab w:val="left" w:pos="6916"/>
              </w:tabs>
              <w:rPr>
                <w:rFonts w:ascii="Arial" w:hAnsi="Arial"/>
              </w:rPr>
            </w:pPr>
            <w:r w:rsidRPr="00F163AB">
              <w:rPr>
                <w:rFonts w:ascii="Arial" w:hAnsi="Arial"/>
              </w:rPr>
              <w:t xml:space="preserve">Other key construction activities will include: </w:t>
            </w:r>
          </w:p>
          <w:p w14:paraId="44D28DE3" w14:textId="77777777" w:rsidR="00C66BA7" w:rsidRPr="00697DFF" w:rsidRDefault="00C66BA7" w:rsidP="00C70314">
            <w:pPr>
              <w:pStyle w:val="ListBullet"/>
              <w:numPr>
                <w:ilvl w:val="0"/>
                <w:numId w:val="43"/>
              </w:numPr>
              <w:jc w:val="both"/>
              <w:rPr>
                <w:b w:val="0"/>
                <w:bCs w:val="0"/>
              </w:rPr>
            </w:pPr>
            <w:r w:rsidRPr="00697DFF">
              <w:rPr>
                <w:b w:val="0"/>
                <w:bCs w:val="0"/>
              </w:rPr>
              <w:t>transport of construction equipment and materials to the mine site;</w:t>
            </w:r>
          </w:p>
          <w:p w14:paraId="5C9A09BE" w14:textId="77777777" w:rsidR="00C66BA7" w:rsidRPr="00697DFF" w:rsidRDefault="00C66BA7" w:rsidP="00C70314">
            <w:pPr>
              <w:pStyle w:val="ListBullet"/>
              <w:numPr>
                <w:ilvl w:val="0"/>
                <w:numId w:val="43"/>
              </w:numPr>
              <w:jc w:val="both"/>
              <w:rPr>
                <w:b w:val="0"/>
                <w:bCs w:val="0"/>
              </w:rPr>
            </w:pPr>
            <w:r w:rsidRPr="00697DFF">
              <w:rPr>
                <w:rFonts w:hint="eastAsia"/>
                <w:b w:val="0"/>
                <w:bCs w:val="0"/>
              </w:rPr>
              <w:t>r</w:t>
            </w:r>
            <w:r w:rsidRPr="00697DFF">
              <w:rPr>
                <w:b w:val="0"/>
                <w:bCs w:val="0"/>
              </w:rPr>
              <w:t>emoval of agricultural infrastructure and vegetation;</w:t>
            </w:r>
          </w:p>
          <w:p w14:paraId="1C74946B" w14:textId="77777777" w:rsidR="00C66BA7" w:rsidRPr="00697DFF" w:rsidRDefault="00C66BA7" w:rsidP="00C70314">
            <w:pPr>
              <w:pStyle w:val="ListBullet"/>
              <w:numPr>
                <w:ilvl w:val="0"/>
                <w:numId w:val="43"/>
              </w:numPr>
              <w:jc w:val="both"/>
              <w:rPr>
                <w:b w:val="0"/>
                <w:bCs w:val="0"/>
              </w:rPr>
            </w:pPr>
            <w:r w:rsidRPr="00697DFF">
              <w:rPr>
                <w:rFonts w:hint="eastAsia"/>
                <w:b w:val="0"/>
                <w:bCs w:val="0"/>
              </w:rPr>
              <w:t>s</w:t>
            </w:r>
            <w:r w:rsidRPr="00697DFF">
              <w:rPr>
                <w:b w:val="0"/>
                <w:bCs w:val="0"/>
              </w:rPr>
              <w:t>tripping and stockpiling of topsoil and subsoil; and</w:t>
            </w:r>
          </w:p>
          <w:p w14:paraId="4DA4BB36" w14:textId="5500EC3A" w:rsidR="00C66BA7" w:rsidRPr="00E96A1F" w:rsidRDefault="00C66BA7" w:rsidP="00C70314">
            <w:pPr>
              <w:pStyle w:val="ListBullet"/>
              <w:numPr>
                <w:ilvl w:val="0"/>
                <w:numId w:val="43"/>
              </w:numPr>
              <w:jc w:val="both"/>
            </w:pPr>
            <w:r w:rsidRPr="00697DFF">
              <w:rPr>
                <w:b w:val="0"/>
                <w:bCs w:val="0"/>
              </w:rPr>
              <w:t>relocation of telecommunications cables and infrastructure such as water supply pipelines.</w:t>
            </w:r>
          </w:p>
        </w:tc>
      </w:tr>
      <w:tr w:rsidR="00E96A1F" w14:paraId="26172E2D" w14:textId="77777777" w:rsidTr="00E96A1F">
        <w:trPr>
          <w:trHeight w:val="1550"/>
        </w:trPr>
        <w:tc>
          <w:tcPr>
            <w:tcW w:w="8868" w:type="dxa"/>
            <w:tcBorders>
              <w:top w:val="single" w:sz="4" w:space="0" w:color="auto"/>
              <w:left w:val="nil"/>
              <w:bottom w:val="nil"/>
              <w:right w:val="nil"/>
            </w:tcBorders>
          </w:tcPr>
          <w:p w14:paraId="50715002" w14:textId="3187E68F" w:rsidR="00E96A1F" w:rsidRPr="00E96A1F" w:rsidRDefault="00E96A1F" w:rsidP="00E96A1F">
            <w:pPr>
              <w:tabs>
                <w:tab w:val="left" w:pos="4910"/>
                <w:tab w:val="left" w:pos="5913"/>
                <w:tab w:val="left" w:pos="6916"/>
              </w:tabs>
              <w:rPr>
                <w:rFonts w:ascii="Arial" w:hAnsi="Arial"/>
                <w:b/>
              </w:rPr>
            </w:pPr>
            <w:r w:rsidRPr="00E96A1F">
              <w:rPr>
                <w:rFonts w:ascii="Arial" w:hAnsi="Arial"/>
                <w:b/>
              </w:rPr>
              <w:lastRenderedPageBreak/>
              <w:tab/>
            </w:r>
            <w:r w:rsidRPr="00E96A1F">
              <w:rPr>
                <w:rFonts w:ascii="Arial" w:hAnsi="Arial"/>
                <w:b/>
              </w:rPr>
              <w:tab/>
            </w:r>
            <w:r w:rsidRPr="00E96A1F">
              <w:rPr>
                <w:rFonts w:ascii="Arial" w:hAnsi="Arial"/>
                <w:b/>
              </w:rPr>
              <w:tab/>
            </w:r>
            <w:r w:rsidRPr="00E96A1F">
              <w:rPr>
                <w:rFonts w:ascii="Arial" w:hAnsi="Arial"/>
                <w:b/>
              </w:rPr>
              <w:tab/>
            </w:r>
            <w:r w:rsidRPr="00E96A1F">
              <w:rPr>
                <w:rFonts w:ascii="Arial" w:hAnsi="Arial"/>
                <w:b/>
              </w:rPr>
              <w:tab/>
            </w:r>
            <w:r w:rsidRPr="00E96A1F">
              <w:rPr>
                <w:rFonts w:ascii="Arial" w:hAnsi="Arial"/>
                <w:b/>
              </w:rPr>
              <w:tab/>
            </w:r>
          </w:p>
        </w:tc>
      </w:tr>
    </w:tbl>
    <w:p w14:paraId="1DD66F2B" w14:textId="77777777" w:rsidR="00E96A1F" w:rsidRDefault="00E96A1F" w:rsidP="00013847">
      <w:pPr>
        <w:tabs>
          <w:tab w:val="left" w:pos="2904"/>
          <w:tab w:val="left" w:pos="3907"/>
          <w:tab w:val="left" w:pos="4910"/>
          <w:tab w:val="left" w:pos="5913"/>
          <w:tab w:val="left" w:pos="6916"/>
        </w:tabs>
        <w:ind w:left="91"/>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8"/>
        <w:gridCol w:w="59"/>
      </w:tblGrid>
      <w:tr w:rsidR="00C56F35" w:rsidRPr="004F5EA3" w14:paraId="07216038" w14:textId="77777777" w:rsidTr="00E96A1F">
        <w:trPr>
          <w:gridAfter w:val="1"/>
          <w:wAfter w:w="59" w:type="dxa"/>
        </w:trPr>
        <w:tc>
          <w:tcPr>
            <w:tcW w:w="8868" w:type="dxa"/>
          </w:tcPr>
          <w:p w14:paraId="544ED1C0" w14:textId="77777777" w:rsidR="002909BF" w:rsidRPr="002909BF" w:rsidRDefault="002909BF" w:rsidP="004051D3">
            <w:pPr>
              <w:pStyle w:val="Heading3"/>
              <w:keepLines/>
              <w:numPr>
                <w:ilvl w:val="2"/>
                <w:numId w:val="0"/>
              </w:numPr>
              <w:spacing w:before="240" w:after="240"/>
              <w:ind w:left="851" w:hanging="851"/>
              <w:jc w:val="both"/>
              <w:rPr>
                <w:sz w:val="22"/>
                <w:szCs w:val="22"/>
              </w:rPr>
            </w:pPr>
            <w:bookmarkStart w:id="38" w:name="_Toc5889529"/>
            <w:r w:rsidRPr="002909BF">
              <w:rPr>
                <w:sz w:val="22"/>
                <w:szCs w:val="22"/>
              </w:rPr>
              <w:lastRenderedPageBreak/>
              <w:t>3.6 Key operational activities</w:t>
            </w:r>
          </w:p>
          <w:p w14:paraId="6ED188D7" w14:textId="77777777" w:rsidR="002909BF" w:rsidRDefault="002909BF" w:rsidP="004051D3">
            <w:pPr>
              <w:pStyle w:val="Heading3"/>
              <w:jc w:val="both"/>
              <w:rPr>
                <w:b w:val="0"/>
                <w:bCs/>
                <w:snapToGrid w:val="0"/>
                <w:color w:val="548235"/>
              </w:rPr>
            </w:pPr>
            <w:r w:rsidRPr="002909BF">
              <w:rPr>
                <w:sz w:val="20"/>
              </w:rPr>
              <w:t>3.6.1 Operating hours</w:t>
            </w:r>
          </w:p>
          <w:p w14:paraId="777B94FE" w14:textId="77777777" w:rsidR="002909BF" w:rsidRPr="002909BF" w:rsidRDefault="002909BF" w:rsidP="004051D3">
            <w:pPr>
              <w:jc w:val="both"/>
            </w:pPr>
          </w:p>
          <w:p w14:paraId="5B0FBBE6" w14:textId="28A13B14" w:rsidR="00E17629" w:rsidRDefault="002909BF" w:rsidP="004051D3">
            <w:pPr>
              <w:pStyle w:val="BodyText"/>
              <w:jc w:val="both"/>
              <w:rPr>
                <w:rFonts w:ascii="Arial" w:hAnsi="Arial"/>
                <w:b w:val="0"/>
                <w:bCs w:val="0"/>
                <w:sz w:val="20"/>
                <w:szCs w:val="20"/>
                <w:lang w:eastAsia="en-AU"/>
              </w:rPr>
            </w:pPr>
            <w:r w:rsidRPr="00C84340">
              <w:rPr>
                <w:rFonts w:ascii="Arial" w:hAnsi="Arial"/>
                <w:b w:val="0"/>
                <w:bCs w:val="0"/>
                <w:sz w:val="20"/>
                <w:szCs w:val="20"/>
                <w:lang w:eastAsia="en-AU"/>
              </w:rPr>
              <w:t xml:space="preserve">The mine, processing plant and refinery are expected to operate 24 hours a day, 365 days per year. </w:t>
            </w:r>
          </w:p>
          <w:p w14:paraId="4C644987" w14:textId="3E65A306" w:rsidR="00550175" w:rsidRDefault="00550175" w:rsidP="004051D3">
            <w:pPr>
              <w:pStyle w:val="BodyText"/>
              <w:jc w:val="both"/>
              <w:rPr>
                <w:rFonts w:ascii="Arial" w:hAnsi="Arial"/>
                <w:b w:val="0"/>
                <w:bCs w:val="0"/>
                <w:sz w:val="20"/>
                <w:szCs w:val="20"/>
                <w:lang w:eastAsia="en-AU"/>
              </w:rPr>
            </w:pPr>
          </w:p>
          <w:p w14:paraId="1D62AFFC" w14:textId="6E2FC12E" w:rsidR="00550175" w:rsidRDefault="00550175" w:rsidP="00550175">
            <w:pPr>
              <w:pStyle w:val="Heading3"/>
              <w:jc w:val="both"/>
              <w:rPr>
                <w:b w:val="0"/>
                <w:bCs/>
                <w:snapToGrid w:val="0"/>
                <w:color w:val="548235"/>
              </w:rPr>
            </w:pPr>
            <w:r w:rsidRPr="002909BF">
              <w:rPr>
                <w:sz w:val="20"/>
              </w:rPr>
              <w:t>3.6.</w:t>
            </w:r>
            <w:r>
              <w:rPr>
                <w:sz w:val="20"/>
              </w:rPr>
              <w:t>2 Key operational activities</w:t>
            </w:r>
          </w:p>
          <w:p w14:paraId="05A8487D" w14:textId="77777777" w:rsidR="00E17629" w:rsidRDefault="00E17629" w:rsidP="004051D3">
            <w:pPr>
              <w:pStyle w:val="BodyText"/>
              <w:jc w:val="both"/>
              <w:rPr>
                <w:rFonts w:ascii="Arial" w:hAnsi="Arial"/>
                <w:b w:val="0"/>
                <w:bCs w:val="0"/>
                <w:sz w:val="20"/>
                <w:szCs w:val="20"/>
                <w:lang w:eastAsia="en-AU"/>
              </w:rPr>
            </w:pPr>
          </w:p>
          <w:p w14:paraId="23F1A666" w14:textId="77777777" w:rsidR="002909BF" w:rsidRPr="00C84340" w:rsidRDefault="002909BF" w:rsidP="004051D3">
            <w:pPr>
              <w:pStyle w:val="BodyText"/>
              <w:jc w:val="both"/>
              <w:rPr>
                <w:rFonts w:ascii="Arial" w:hAnsi="Arial"/>
                <w:b w:val="0"/>
                <w:bCs w:val="0"/>
                <w:sz w:val="20"/>
                <w:szCs w:val="20"/>
                <w:lang w:eastAsia="en-AU"/>
              </w:rPr>
            </w:pPr>
            <w:r w:rsidRPr="00C84340">
              <w:rPr>
                <w:rFonts w:ascii="Arial" w:hAnsi="Arial"/>
                <w:b w:val="0"/>
                <w:bCs w:val="0"/>
                <w:sz w:val="20"/>
                <w:szCs w:val="20"/>
                <w:lang w:eastAsia="en-AU"/>
              </w:rPr>
              <w:t>The key operation</w:t>
            </w:r>
            <w:r w:rsidR="00E17629">
              <w:rPr>
                <w:rFonts w:ascii="Arial" w:hAnsi="Arial"/>
                <w:b w:val="0"/>
                <w:bCs w:val="0"/>
                <w:sz w:val="20"/>
                <w:szCs w:val="20"/>
                <w:lang w:eastAsia="en-AU"/>
              </w:rPr>
              <w:t>al</w:t>
            </w:r>
            <w:r w:rsidRPr="00C84340">
              <w:rPr>
                <w:rFonts w:ascii="Arial" w:hAnsi="Arial"/>
                <w:b w:val="0"/>
                <w:bCs w:val="0"/>
                <w:sz w:val="20"/>
                <w:szCs w:val="20"/>
                <w:lang w:eastAsia="en-AU"/>
              </w:rPr>
              <w:t xml:space="preserve"> activities will include:</w:t>
            </w:r>
          </w:p>
          <w:p w14:paraId="0889595F" w14:textId="77777777" w:rsidR="002909BF" w:rsidRPr="00C84340" w:rsidRDefault="002909BF" w:rsidP="004051D3">
            <w:pPr>
              <w:pStyle w:val="BodyText"/>
              <w:jc w:val="both"/>
              <w:rPr>
                <w:rFonts w:ascii="Arial" w:hAnsi="Arial"/>
                <w:b w:val="0"/>
                <w:bCs w:val="0"/>
                <w:sz w:val="20"/>
                <w:szCs w:val="20"/>
                <w:lang w:eastAsia="en-AU"/>
              </w:rPr>
            </w:pPr>
          </w:p>
          <w:p w14:paraId="18363B79" w14:textId="77777777" w:rsidR="002909BF" w:rsidRPr="00C70314" w:rsidRDefault="002909BF" w:rsidP="00C70314">
            <w:pPr>
              <w:pStyle w:val="ListBullet"/>
              <w:numPr>
                <w:ilvl w:val="0"/>
                <w:numId w:val="43"/>
              </w:numPr>
              <w:jc w:val="both"/>
              <w:rPr>
                <w:b w:val="0"/>
                <w:bCs w:val="0"/>
              </w:rPr>
            </w:pPr>
            <w:r w:rsidRPr="00C70314">
              <w:rPr>
                <w:b w:val="0"/>
                <w:bCs w:val="0"/>
              </w:rPr>
              <w:t>removal of vegetation;</w:t>
            </w:r>
          </w:p>
          <w:p w14:paraId="73946001" w14:textId="77777777" w:rsidR="002909BF" w:rsidRPr="00C70314" w:rsidRDefault="002909BF" w:rsidP="00C70314">
            <w:pPr>
              <w:pStyle w:val="ListBullet"/>
              <w:numPr>
                <w:ilvl w:val="0"/>
                <w:numId w:val="43"/>
              </w:numPr>
              <w:jc w:val="both"/>
              <w:rPr>
                <w:b w:val="0"/>
                <w:bCs w:val="0"/>
              </w:rPr>
            </w:pPr>
            <w:r w:rsidRPr="00C70314">
              <w:rPr>
                <w:b w:val="0"/>
                <w:bCs w:val="0"/>
              </w:rPr>
              <w:t>open pit mining including the removal of and stockpiling of topsoil, subsoil and overburden as well as mine pit dewatering;</w:t>
            </w:r>
          </w:p>
          <w:p w14:paraId="1E33F868" w14:textId="77777777" w:rsidR="002909BF" w:rsidRPr="00C70314" w:rsidRDefault="002909BF" w:rsidP="00C70314">
            <w:pPr>
              <w:pStyle w:val="ListBullet"/>
              <w:numPr>
                <w:ilvl w:val="0"/>
                <w:numId w:val="43"/>
              </w:numPr>
              <w:jc w:val="both"/>
              <w:rPr>
                <w:b w:val="0"/>
                <w:bCs w:val="0"/>
              </w:rPr>
            </w:pPr>
            <w:r w:rsidRPr="00C70314">
              <w:rPr>
                <w:b w:val="0"/>
                <w:bCs w:val="0"/>
              </w:rPr>
              <w:t>processing and refining of the ore;</w:t>
            </w:r>
          </w:p>
          <w:p w14:paraId="4ACD72F1" w14:textId="77777777" w:rsidR="002909BF" w:rsidRPr="00C70314" w:rsidRDefault="002909BF" w:rsidP="00C70314">
            <w:pPr>
              <w:pStyle w:val="ListBullet"/>
              <w:numPr>
                <w:ilvl w:val="0"/>
                <w:numId w:val="43"/>
              </w:numPr>
              <w:jc w:val="both"/>
              <w:rPr>
                <w:b w:val="0"/>
                <w:bCs w:val="0"/>
              </w:rPr>
            </w:pPr>
            <w:r w:rsidRPr="00C70314">
              <w:rPr>
                <w:b w:val="0"/>
                <w:bCs w:val="0"/>
              </w:rPr>
              <w:t>transport of product and by-product within the site;</w:t>
            </w:r>
          </w:p>
          <w:p w14:paraId="46BF5421" w14:textId="77777777" w:rsidR="002909BF" w:rsidRPr="00C70314" w:rsidRDefault="002909BF" w:rsidP="00C70314">
            <w:pPr>
              <w:pStyle w:val="ListBullet"/>
              <w:numPr>
                <w:ilvl w:val="0"/>
                <w:numId w:val="43"/>
              </w:numPr>
              <w:jc w:val="both"/>
              <w:rPr>
                <w:b w:val="0"/>
                <w:bCs w:val="0"/>
              </w:rPr>
            </w:pPr>
            <w:r w:rsidRPr="00C70314">
              <w:rPr>
                <w:b w:val="0"/>
                <w:bCs w:val="0"/>
              </w:rPr>
              <w:t>receival of consumables into the site;</w:t>
            </w:r>
          </w:p>
          <w:p w14:paraId="350B41E4" w14:textId="77777777" w:rsidR="002909BF" w:rsidRPr="00C70314" w:rsidRDefault="002909BF" w:rsidP="00C70314">
            <w:pPr>
              <w:pStyle w:val="ListBullet"/>
              <w:numPr>
                <w:ilvl w:val="0"/>
                <w:numId w:val="43"/>
              </w:numPr>
              <w:jc w:val="both"/>
              <w:rPr>
                <w:b w:val="0"/>
                <w:bCs w:val="0"/>
              </w:rPr>
            </w:pPr>
            <w:r w:rsidRPr="00C70314">
              <w:rPr>
                <w:b w:val="0"/>
                <w:bCs w:val="0"/>
              </w:rPr>
              <w:t>backfilling the mine voids with overburden and tailings;</w:t>
            </w:r>
          </w:p>
          <w:p w14:paraId="0BEBA1BF" w14:textId="77777777" w:rsidR="002909BF" w:rsidRPr="00C70314" w:rsidRDefault="002909BF" w:rsidP="00C70314">
            <w:pPr>
              <w:pStyle w:val="ListBullet"/>
              <w:numPr>
                <w:ilvl w:val="0"/>
                <w:numId w:val="43"/>
              </w:numPr>
              <w:jc w:val="both"/>
              <w:rPr>
                <w:b w:val="0"/>
                <w:bCs w:val="0"/>
              </w:rPr>
            </w:pPr>
            <w:r w:rsidRPr="00C70314">
              <w:rPr>
                <w:b w:val="0"/>
                <w:bCs w:val="0"/>
              </w:rPr>
              <w:t xml:space="preserve">packaging and transporting of product to port facilities; </w:t>
            </w:r>
          </w:p>
          <w:p w14:paraId="69A8CEA9" w14:textId="77777777" w:rsidR="002909BF" w:rsidRPr="00C70314" w:rsidRDefault="002909BF" w:rsidP="00C70314">
            <w:pPr>
              <w:pStyle w:val="ListBullet"/>
              <w:numPr>
                <w:ilvl w:val="0"/>
                <w:numId w:val="43"/>
              </w:numPr>
              <w:jc w:val="both"/>
              <w:rPr>
                <w:b w:val="0"/>
                <w:bCs w:val="0"/>
              </w:rPr>
            </w:pPr>
            <w:r w:rsidRPr="00C70314">
              <w:rPr>
                <w:b w:val="0"/>
                <w:bCs w:val="0"/>
              </w:rPr>
              <w:t>progressive rehabilitation;</w:t>
            </w:r>
          </w:p>
          <w:p w14:paraId="0C0D2508" w14:textId="77777777" w:rsidR="002909BF" w:rsidRPr="00C70314" w:rsidRDefault="002909BF" w:rsidP="00C70314">
            <w:pPr>
              <w:pStyle w:val="ListBullet"/>
              <w:numPr>
                <w:ilvl w:val="0"/>
                <w:numId w:val="43"/>
              </w:numPr>
              <w:jc w:val="both"/>
              <w:rPr>
                <w:b w:val="0"/>
                <w:bCs w:val="0"/>
              </w:rPr>
            </w:pPr>
            <w:r w:rsidRPr="00C70314">
              <w:rPr>
                <w:b w:val="0"/>
                <w:bCs w:val="0"/>
              </w:rPr>
              <w:t>ongoing environmental management, monitoring and reporting; and</w:t>
            </w:r>
          </w:p>
          <w:p w14:paraId="6F524C24" w14:textId="77777777" w:rsidR="002909BF" w:rsidRPr="00C70314" w:rsidRDefault="002909BF" w:rsidP="00C70314">
            <w:pPr>
              <w:pStyle w:val="ListBullet"/>
              <w:numPr>
                <w:ilvl w:val="0"/>
                <w:numId w:val="43"/>
              </w:numPr>
              <w:jc w:val="both"/>
              <w:rPr>
                <w:b w:val="0"/>
                <w:bCs w:val="0"/>
              </w:rPr>
            </w:pPr>
            <w:r w:rsidRPr="00C70314">
              <w:rPr>
                <w:b w:val="0"/>
                <w:bCs w:val="0"/>
              </w:rPr>
              <w:t xml:space="preserve">transport of employees to and from the site. </w:t>
            </w:r>
          </w:p>
          <w:p w14:paraId="433FEFAC" w14:textId="4E66D315" w:rsidR="00C56F35" w:rsidRPr="00C56F35" w:rsidRDefault="002851F8" w:rsidP="004051D3">
            <w:pPr>
              <w:pStyle w:val="Heading3"/>
              <w:keepLines/>
              <w:numPr>
                <w:ilvl w:val="2"/>
                <w:numId w:val="0"/>
              </w:numPr>
              <w:spacing w:before="240" w:after="240"/>
              <w:ind w:left="851" w:hanging="851"/>
              <w:jc w:val="both"/>
              <w:rPr>
                <w:sz w:val="20"/>
              </w:rPr>
            </w:pPr>
            <w:r>
              <w:rPr>
                <w:sz w:val="20"/>
              </w:rPr>
              <w:t>3.6.</w:t>
            </w:r>
            <w:r w:rsidR="00550175">
              <w:rPr>
                <w:sz w:val="20"/>
              </w:rPr>
              <w:t>3</w:t>
            </w:r>
            <w:r w:rsidR="00C56F35">
              <w:rPr>
                <w:sz w:val="20"/>
              </w:rPr>
              <w:t xml:space="preserve"> </w:t>
            </w:r>
            <w:r w:rsidR="00C56F35" w:rsidRPr="00C56F35">
              <w:rPr>
                <w:sz w:val="20"/>
              </w:rPr>
              <w:t>Mining method</w:t>
            </w:r>
            <w:bookmarkEnd w:id="38"/>
          </w:p>
          <w:p w14:paraId="06DA7739" w14:textId="77777777" w:rsidR="00C56F35" w:rsidRDefault="00C56F35" w:rsidP="004051D3">
            <w:pPr>
              <w:pStyle w:val="BodyText"/>
              <w:jc w:val="both"/>
              <w:rPr>
                <w:rFonts w:ascii="Arial" w:hAnsi="Arial"/>
                <w:b w:val="0"/>
                <w:bCs w:val="0"/>
                <w:sz w:val="20"/>
                <w:szCs w:val="20"/>
                <w:lang w:eastAsia="en-AU"/>
              </w:rPr>
            </w:pPr>
            <w:r w:rsidRPr="00C56F35">
              <w:rPr>
                <w:rFonts w:ascii="Arial" w:hAnsi="Arial"/>
                <w:b w:val="0"/>
                <w:bCs w:val="0"/>
                <w:sz w:val="20"/>
                <w:szCs w:val="20"/>
                <w:lang w:eastAsia="en-AU"/>
              </w:rPr>
              <w:t xml:space="preserve">The mining method has not been finalised, however it is likely that the deposit will be progressively mined using mobile earthmoving equipment. </w:t>
            </w:r>
          </w:p>
          <w:p w14:paraId="061C821A" w14:textId="77777777" w:rsidR="00C56F35" w:rsidRPr="00C56F35" w:rsidRDefault="00C56F35" w:rsidP="004051D3">
            <w:pPr>
              <w:pStyle w:val="BodyText"/>
              <w:jc w:val="both"/>
              <w:rPr>
                <w:rFonts w:ascii="Arial" w:hAnsi="Arial"/>
                <w:b w:val="0"/>
                <w:bCs w:val="0"/>
                <w:sz w:val="20"/>
                <w:szCs w:val="20"/>
                <w:lang w:eastAsia="en-AU"/>
              </w:rPr>
            </w:pPr>
          </w:p>
          <w:p w14:paraId="0EB7E25C" w14:textId="3E50645F" w:rsidR="00C56F35" w:rsidRDefault="00C56F35" w:rsidP="004051D3">
            <w:pPr>
              <w:pStyle w:val="BodyText"/>
              <w:jc w:val="both"/>
              <w:rPr>
                <w:rFonts w:ascii="Arial" w:hAnsi="Arial"/>
                <w:b w:val="0"/>
                <w:bCs w:val="0"/>
                <w:sz w:val="20"/>
                <w:szCs w:val="20"/>
                <w:lang w:eastAsia="en-AU"/>
              </w:rPr>
            </w:pPr>
            <w:r w:rsidRPr="00C56F35">
              <w:rPr>
                <w:rFonts w:ascii="Arial" w:hAnsi="Arial"/>
                <w:b w:val="0"/>
                <w:bCs w:val="0"/>
                <w:sz w:val="20"/>
                <w:szCs w:val="20"/>
                <w:lang w:eastAsia="en-AU"/>
              </w:rPr>
              <w:t>It is likely that scrapers will be used for the removal and replacement of topsoil, subsoil, and that bulldozers will be used for overburden removal and replacement, and for the extraction of ore. The mine will progress in strips approximately 75</w:t>
            </w:r>
            <w:r w:rsidR="00550175">
              <w:rPr>
                <w:rFonts w:ascii="Arial" w:hAnsi="Arial"/>
                <w:b w:val="0"/>
                <w:bCs w:val="0"/>
                <w:sz w:val="20"/>
                <w:szCs w:val="20"/>
                <w:lang w:eastAsia="en-AU"/>
              </w:rPr>
              <w:t>-</w:t>
            </w:r>
            <w:r w:rsidRPr="00C56F35">
              <w:rPr>
                <w:rFonts w:ascii="Arial" w:hAnsi="Arial"/>
                <w:b w:val="0"/>
                <w:bCs w:val="0"/>
                <w:sz w:val="20"/>
                <w:szCs w:val="20"/>
                <w:lang w:eastAsia="en-AU"/>
              </w:rPr>
              <w:t>m wide. The mining void will be approximately 28</w:t>
            </w:r>
            <w:r w:rsidR="00550175">
              <w:rPr>
                <w:rFonts w:ascii="Arial" w:hAnsi="Arial"/>
                <w:b w:val="0"/>
                <w:bCs w:val="0"/>
                <w:sz w:val="20"/>
                <w:szCs w:val="20"/>
                <w:lang w:eastAsia="en-AU"/>
              </w:rPr>
              <w:t>-</w:t>
            </w:r>
            <w:r w:rsidRPr="00C56F35">
              <w:rPr>
                <w:rFonts w:ascii="Arial" w:hAnsi="Arial"/>
                <w:b w:val="0"/>
                <w:bCs w:val="0"/>
                <w:sz w:val="20"/>
                <w:szCs w:val="20"/>
                <w:lang w:eastAsia="en-AU"/>
              </w:rPr>
              <w:t xml:space="preserve">m deep prior to the overburden replacement. </w:t>
            </w:r>
          </w:p>
          <w:p w14:paraId="3F739EC4" w14:textId="77777777" w:rsidR="00C56F35" w:rsidRPr="00C56F35" w:rsidRDefault="00C56F35" w:rsidP="004051D3">
            <w:pPr>
              <w:pStyle w:val="BodyText"/>
              <w:jc w:val="both"/>
              <w:rPr>
                <w:rFonts w:ascii="Arial" w:hAnsi="Arial"/>
                <w:b w:val="0"/>
                <w:bCs w:val="0"/>
                <w:sz w:val="20"/>
                <w:szCs w:val="20"/>
                <w:lang w:eastAsia="en-AU"/>
              </w:rPr>
            </w:pPr>
          </w:p>
          <w:p w14:paraId="2C104C6A" w14:textId="77777777" w:rsidR="00891995" w:rsidRDefault="00C56F35" w:rsidP="004051D3">
            <w:pPr>
              <w:autoSpaceDE w:val="0"/>
              <w:autoSpaceDN w:val="0"/>
              <w:adjustRightInd w:val="0"/>
              <w:jc w:val="both"/>
              <w:rPr>
                <w:rFonts w:ascii="Arial" w:hAnsi="Arial"/>
              </w:rPr>
            </w:pPr>
            <w:r w:rsidRPr="00C56F35">
              <w:rPr>
                <w:rFonts w:ascii="Arial" w:hAnsi="Arial"/>
              </w:rPr>
              <w:t>It is estimated that the mine advance rate will be approximately 20 m per day, resulting in an annual pit disturbance area of approximately 30</w:t>
            </w:r>
            <w:r w:rsidR="00550175">
              <w:rPr>
                <w:rFonts w:ascii="Arial" w:hAnsi="Arial"/>
              </w:rPr>
              <w:t>–</w:t>
            </w:r>
            <w:r w:rsidRPr="00C56F35">
              <w:rPr>
                <w:rFonts w:ascii="Arial" w:hAnsi="Arial"/>
              </w:rPr>
              <w:t xml:space="preserve">55 ha. It is anticipated that, on average, a total of approximately </w:t>
            </w:r>
            <w:r w:rsidR="001E4793">
              <w:rPr>
                <w:rFonts w:ascii="Arial" w:hAnsi="Arial"/>
              </w:rPr>
              <w:t>17.0</w:t>
            </w:r>
            <w:r w:rsidRPr="00C56F35">
              <w:rPr>
                <w:rFonts w:ascii="Arial" w:hAnsi="Arial"/>
              </w:rPr>
              <w:t> million m</w:t>
            </w:r>
            <w:r w:rsidRPr="007A49AF">
              <w:rPr>
                <w:rFonts w:ascii="Arial" w:hAnsi="Arial"/>
                <w:vertAlign w:val="superscript"/>
              </w:rPr>
              <w:t>3</w:t>
            </w:r>
            <w:r w:rsidRPr="00C56F35">
              <w:rPr>
                <w:rFonts w:ascii="Arial" w:hAnsi="Arial"/>
              </w:rPr>
              <w:t xml:space="preserve"> of material will mined annually. Further disturbance will be associated with haul roads, stockpiles</w:t>
            </w:r>
            <w:r w:rsidR="00E17629">
              <w:rPr>
                <w:rFonts w:ascii="Arial" w:hAnsi="Arial"/>
              </w:rPr>
              <w:t>,</w:t>
            </w:r>
            <w:r w:rsidRPr="00C56F35">
              <w:rPr>
                <w:rFonts w:ascii="Arial" w:hAnsi="Arial"/>
              </w:rPr>
              <w:t xml:space="preserve"> surface water management systems and other ancillary supporting infrastructure.</w:t>
            </w:r>
          </w:p>
          <w:p w14:paraId="6331C362" w14:textId="2E3B17E4" w:rsidR="005C32FF" w:rsidRPr="00891995" w:rsidRDefault="005C32FF" w:rsidP="004051D3">
            <w:pPr>
              <w:autoSpaceDE w:val="0"/>
              <w:autoSpaceDN w:val="0"/>
              <w:adjustRightInd w:val="0"/>
              <w:jc w:val="both"/>
              <w:rPr>
                <w:rFonts w:ascii="Arial" w:hAnsi="Arial"/>
                <w:b/>
                <w:bCs/>
              </w:rPr>
            </w:pPr>
          </w:p>
        </w:tc>
      </w:tr>
      <w:tr w:rsidR="00C56F35" w:rsidRPr="004F5EA3" w14:paraId="300D3F1C" w14:textId="77777777" w:rsidTr="00FC3654">
        <w:trPr>
          <w:gridAfter w:val="1"/>
          <w:wAfter w:w="59" w:type="dxa"/>
        </w:trPr>
        <w:tc>
          <w:tcPr>
            <w:tcW w:w="8868" w:type="dxa"/>
            <w:tcBorders>
              <w:bottom w:val="nil"/>
            </w:tcBorders>
          </w:tcPr>
          <w:p w14:paraId="2675011D" w14:textId="7DA2CB5E" w:rsidR="00C56F35" w:rsidRPr="00C56F35" w:rsidRDefault="00C56F35" w:rsidP="007A49AF">
            <w:pPr>
              <w:pStyle w:val="Heading3"/>
              <w:keepLines/>
              <w:numPr>
                <w:ilvl w:val="2"/>
                <w:numId w:val="0"/>
              </w:numPr>
              <w:spacing w:before="240" w:after="240"/>
              <w:ind w:left="851" w:hanging="851"/>
              <w:rPr>
                <w:sz w:val="20"/>
              </w:rPr>
            </w:pPr>
            <w:bookmarkStart w:id="39" w:name="_Toc5889530"/>
            <w:r>
              <w:rPr>
                <w:sz w:val="20"/>
              </w:rPr>
              <w:lastRenderedPageBreak/>
              <w:t>3.6.</w:t>
            </w:r>
            <w:r w:rsidR="00550175">
              <w:rPr>
                <w:sz w:val="20"/>
              </w:rPr>
              <w:t>4</w:t>
            </w:r>
            <w:r>
              <w:rPr>
                <w:sz w:val="20"/>
              </w:rPr>
              <w:t xml:space="preserve"> </w:t>
            </w:r>
            <w:r w:rsidRPr="00C56F35">
              <w:rPr>
                <w:sz w:val="20"/>
              </w:rPr>
              <w:t>Mine production</w:t>
            </w:r>
            <w:bookmarkEnd w:id="39"/>
          </w:p>
          <w:p w14:paraId="71B874EC" w14:textId="77777777" w:rsidR="00C56F35" w:rsidRDefault="00C56F35" w:rsidP="007A49AF">
            <w:pPr>
              <w:pStyle w:val="BodyText"/>
              <w:jc w:val="left"/>
              <w:rPr>
                <w:rFonts w:ascii="Arial" w:hAnsi="Arial"/>
                <w:b w:val="0"/>
                <w:bCs w:val="0"/>
                <w:sz w:val="20"/>
                <w:szCs w:val="20"/>
                <w:lang w:eastAsia="en-AU"/>
              </w:rPr>
            </w:pPr>
            <w:r w:rsidRPr="00C56F35">
              <w:rPr>
                <w:rFonts w:ascii="Arial" w:hAnsi="Arial"/>
                <w:b w:val="0"/>
                <w:bCs w:val="0"/>
                <w:sz w:val="20"/>
                <w:szCs w:val="20"/>
                <w:lang w:eastAsia="en-AU"/>
              </w:rPr>
              <w:t>Mine production rates are estimated to be as follows:</w:t>
            </w:r>
          </w:p>
          <w:p w14:paraId="4C6A7533" w14:textId="77777777" w:rsidR="00C56F35" w:rsidRPr="00C56F35" w:rsidRDefault="00C56F35" w:rsidP="007A49AF">
            <w:pPr>
              <w:pStyle w:val="BodyText"/>
              <w:jc w:val="left"/>
              <w:rPr>
                <w:rFonts w:ascii="Arial" w:hAnsi="Arial"/>
                <w:b w:val="0"/>
                <w:bCs w:val="0"/>
                <w:sz w:val="20"/>
                <w:szCs w:val="20"/>
                <w:lang w:eastAsia="en-AU"/>
              </w:rPr>
            </w:pPr>
            <w:r w:rsidRPr="00C56F35">
              <w:rPr>
                <w:rFonts w:ascii="Arial" w:hAnsi="Arial"/>
                <w:b w:val="0"/>
                <w:bCs w:val="0"/>
                <w:sz w:val="20"/>
                <w:szCs w:val="20"/>
                <w:lang w:eastAsia="en-AU"/>
              </w:rPr>
              <w:t xml:space="preserve"> </w:t>
            </w:r>
          </w:p>
          <w:p w14:paraId="2B1EFBEC" w14:textId="77777777" w:rsidR="00C56F35" w:rsidRPr="00C70314" w:rsidRDefault="00C56F35" w:rsidP="00C70314">
            <w:pPr>
              <w:pStyle w:val="ListBullet"/>
              <w:numPr>
                <w:ilvl w:val="0"/>
                <w:numId w:val="43"/>
              </w:numPr>
              <w:jc w:val="both"/>
              <w:rPr>
                <w:b w:val="0"/>
                <w:bCs w:val="0"/>
              </w:rPr>
            </w:pPr>
            <w:r w:rsidRPr="00C70314">
              <w:rPr>
                <w:b w:val="0"/>
                <w:bCs w:val="0"/>
              </w:rPr>
              <w:t>overburden: an average of approximately 12 million bank cubic metres (</w:t>
            </w:r>
            <w:proofErr w:type="spellStart"/>
            <w:r w:rsidRPr="00C70314">
              <w:rPr>
                <w:b w:val="0"/>
                <w:bCs w:val="0"/>
              </w:rPr>
              <w:t>bcm</w:t>
            </w:r>
            <w:proofErr w:type="spellEnd"/>
            <w:r w:rsidRPr="00C70314">
              <w:rPr>
                <w:b w:val="0"/>
                <w:bCs w:val="0"/>
              </w:rPr>
              <w:t xml:space="preserve">) per year; </w:t>
            </w:r>
          </w:p>
          <w:p w14:paraId="5EB350C5" w14:textId="77777777" w:rsidR="00C56F35" w:rsidRPr="00C70314" w:rsidRDefault="00C56F35" w:rsidP="00C70314">
            <w:pPr>
              <w:pStyle w:val="ListBullet"/>
              <w:numPr>
                <w:ilvl w:val="0"/>
                <w:numId w:val="43"/>
              </w:numPr>
              <w:jc w:val="both"/>
              <w:rPr>
                <w:b w:val="0"/>
                <w:bCs w:val="0"/>
              </w:rPr>
            </w:pPr>
            <w:r w:rsidRPr="00C70314">
              <w:rPr>
                <w:b w:val="0"/>
                <w:bCs w:val="0"/>
              </w:rPr>
              <w:t xml:space="preserve">ore: an average of approximately 5 million </w:t>
            </w:r>
            <w:proofErr w:type="spellStart"/>
            <w:r w:rsidRPr="00C70314">
              <w:rPr>
                <w:b w:val="0"/>
                <w:bCs w:val="0"/>
              </w:rPr>
              <w:t>bcm</w:t>
            </w:r>
            <w:proofErr w:type="spellEnd"/>
            <w:r w:rsidRPr="00C70314">
              <w:rPr>
                <w:b w:val="0"/>
                <w:bCs w:val="0"/>
              </w:rPr>
              <w:t xml:space="preserve"> (approximately 10 million tonnes per annum (</w:t>
            </w:r>
            <w:proofErr w:type="spellStart"/>
            <w:r w:rsidR="0090562B" w:rsidRPr="00C70314">
              <w:rPr>
                <w:b w:val="0"/>
                <w:bCs w:val="0"/>
              </w:rPr>
              <w:t>Mtpa</w:t>
            </w:r>
            <w:proofErr w:type="spellEnd"/>
            <w:r w:rsidRPr="00C70314">
              <w:rPr>
                <w:b w:val="0"/>
                <w:bCs w:val="0"/>
              </w:rPr>
              <w:t>)); and</w:t>
            </w:r>
          </w:p>
          <w:p w14:paraId="202E6CB6" w14:textId="411CA3EE" w:rsidR="006C6CCE" w:rsidRPr="00FA09D6" w:rsidRDefault="00C56F35" w:rsidP="00C70314">
            <w:pPr>
              <w:pStyle w:val="ListBullet"/>
              <w:numPr>
                <w:ilvl w:val="0"/>
                <w:numId w:val="43"/>
              </w:numPr>
              <w:jc w:val="both"/>
            </w:pPr>
            <w:r w:rsidRPr="00C70314">
              <w:rPr>
                <w:b w:val="0"/>
                <w:bCs w:val="0"/>
              </w:rPr>
              <w:t>recoverable mineral product: an average of approximately 19</w:t>
            </w:r>
            <w:r w:rsidR="00550175" w:rsidRPr="00C70314">
              <w:rPr>
                <w:b w:val="0"/>
                <w:bCs w:val="0"/>
              </w:rPr>
              <w:t>2</w:t>
            </w:r>
            <w:r w:rsidRPr="00C70314">
              <w:rPr>
                <w:b w:val="0"/>
                <w:bCs w:val="0"/>
              </w:rPr>
              <w:t xml:space="preserve"> </w:t>
            </w:r>
            <w:proofErr w:type="spellStart"/>
            <w:r w:rsidRPr="00C70314">
              <w:rPr>
                <w:b w:val="0"/>
                <w:bCs w:val="0"/>
              </w:rPr>
              <w:t>kilotonnes</w:t>
            </w:r>
            <w:proofErr w:type="spellEnd"/>
            <w:r w:rsidRPr="00C70314">
              <w:rPr>
                <w:b w:val="0"/>
                <w:bCs w:val="0"/>
              </w:rPr>
              <w:t xml:space="preserve"> per annum (</w:t>
            </w:r>
            <w:proofErr w:type="spellStart"/>
            <w:r w:rsidRPr="00C70314">
              <w:rPr>
                <w:b w:val="0"/>
                <w:bCs w:val="0"/>
              </w:rPr>
              <w:t>ktpa</w:t>
            </w:r>
            <w:proofErr w:type="spellEnd"/>
            <w:r w:rsidRPr="00C70314">
              <w:rPr>
                <w:b w:val="0"/>
                <w:bCs w:val="0"/>
              </w:rPr>
              <w:t>).</w:t>
            </w:r>
          </w:p>
        </w:tc>
      </w:tr>
      <w:tr w:rsidR="00C56F35" w:rsidRPr="004F5EA3" w14:paraId="34780FBB" w14:textId="77777777" w:rsidTr="00FC3654">
        <w:trPr>
          <w:gridAfter w:val="1"/>
          <w:wAfter w:w="59" w:type="dxa"/>
        </w:trPr>
        <w:tc>
          <w:tcPr>
            <w:tcW w:w="8868" w:type="dxa"/>
            <w:tcBorders>
              <w:top w:val="nil"/>
              <w:bottom w:val="nil"/>
            </w:tcBorders>
          </w:tcPr>
          <w:p w14:paraId="073AE978" w14:textId="501E7A85" w:rsidR="00C56F35" w:rsidRPr="00C56F35" w:rsidRDefault="00C56F35" w:rsidP="00A1077F">
            <w:pPr>
              <w:pStyle w:val="Heading3"/>
              <w:keepLines/>
              <w:numPr>
                <w:ilvl w:val="2"/>
                <w:numId w:val="0"/>
              </w:numPr>
              <w:spacing w:before="240" w:after="240"/>
              <w:ind w:left="851" w:hanging="851"/>
              <w:jc w:val="both"/>
              <w:rPr>
                <w:sz w:val="20"/>
              </w:rPr>
            </w:pPr>
            <w:bookmarkStart w:id="40" w:name="_Toc5889531"/>
            <w:r>
              <w:rPr>
                <w:sz w:val="20"/>
              </w:rPr>
              <w:t>3.6.</w:t>
            </w:r>
            <w:r w:rsidR="00D55D9A">
              <w:rPr>
                <w:sz w:val="20"/>
              </w:rPr>
              <w:t>5</w:t>
            </w:r>
            <w:r>
              <w:rPr>
                <w:sz w:val="20"/>
              </w:rPr>
              <w:t xml:space="preserve"> </w:t>
            </w:r>
            <w:r w:rsidRPr="00C56F35">
              <w:rPr>
                <w:sz w:val="20"/>
              </w:rPr>
              <w:t>Stockpiles</w:t>
            </w:r>
            <w:bookmarkEnd w:id="40"/>
          </w:p>
          <w:p w14:paraId="7A1B6154" w14:textId="77777777" w:rsidR="00C56F35" w:rsidRPr="00C56F35"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Topsoil and subsoil will be stripped and stockpiled separately to facilitate future rehabilitation. Overburden will be mined and initially stockpiled, with direct return of overburden to the mined-out pit utilised wherever practicable. Stockpiled overburden will be progressively returned to the mine void to be progressively covered with subsoil and topsoil.</w:t>
            </w:r>
          </w:p>
          <w:p w14:paraId="0771D153" w14:textId="77777777" w:rsidR="00C56F35" w:rsidRPr="00C56F35" w:rsidRDefault="00C56F35" w:rsidP="00A1077F">
            <w:pPr>
              <w:tabs>
                <w:tab w:val="left" w:pos="4910"/>
                <w:tab w:val="left" w:pos="5913"/>
                <w:tab w:val="left" w:pos="6916"/>
              </w:tabs>
              <w:jc w:val="both"/>
              <w:rPr>
                <w:rFonts w:ascii="Arial" w:hAnsi="Arial"/>
                <w:b/>
              </w:rPr>
            </w:pPr>
          </w:p>
        </w:tc>
      </w:tr>
      <w:tr w:rsidR="00C56F35" w:rsidRPr="004F5EA3" w14:paraId="39597698" w14:textId="77777777" w:rsidTr="00FC3654">
        <w:trPr>
          <w:gridAfter w:val="1"/>
          <w:wAfter w:w="59" w:type="dxa"/>
        </w:trPr>
        <w:tc>
          <w:tcPr>
            <w:tcW w:w="8868" w:type="dxa"/>
            <w:tcBorders>
              <w:top w:val="nil"/>
              <w:bottom w:val="nil"/>
            </w:tcBorders>
          </w:tcPr>
          <w:p w14:paraId="7D0043B5" w14:textId="1087E61F" w:rsidR="00C56F35" w:rsidRPr="00C56F35" w:rsidRDefault="00C56F35" w:rsidP="007A49AF">
            <w:pPr>
              <w:pStyle w:val="Heading3"/>
              <w:keepLines/>
              <w:numPr>
                <w:ilvl w:val="2"/>
                <w:numId w:val="0"/>
              </w:numPr>
              <w:spacing w:before="240" w:after="240"/>
              <w:ind w:left="851" w:hanging="851"/>
              <w:rPr>
                <w:sz w:val="20"/>
              </w:rPr>
            </w:pPr>
            <w:r>
              <w:rPr>
                <w:sz w:val="20"/>
              </w:rPr>
              <w:t>3.6.</w:t>
            </w:r>
            <w:r w:rsidR="00550175">
              <w:rPr>
                <w:sz w:val="20"/>
              </w:rPr>
              <w:t>6</w:t>
            </w:r>
            <w:r>
              <w:rPr>
                <w:sz w:val="20"/>
              </w:rPr>
              <w:t xml:space="preserve"> </w:t>
            </w:r>
            <w:r w:rsidRPr="00C56F35">
              <w:rPr>
                <w:sz w:val="20"/>
              </w:rPr>
              <w:t>Mineral processing</w:t>
            </w:r>
          </w:p>
          <w:p w14:paraId="0E328199" w14:textId="2BA15F5F" w:rsidR="00E17629"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Approximately 9</w:t>
            </w:r>
            <w:r w:rsidR="00550175">
              <w:rPr>
                <w:rFonts w:ascii="Arial" w:hAnsi="Arial"/>
                <w:b w:val="0"/>
                <w:bCs w:val="0"/>
                <w:sz w:val="20"/>
                <w:szCs w:val="20"/>
                <w:lang w:eastAsia="en-AU"/>
              </w:rPr>
              <w:t>–</w:t>
            </w:r>
            <w:r w:rsidRPr="00C56F35">
              <w:rPr>
                <w:rFonts w:ascii="Arial" w:hAnsi="Arial"/>
                <w:b w:val="0"/>
                <w:bCs w:val="0"/>
                <w:sz w:val="20"/>
                <w:szCs w:val="20"/>
                <w:lang w:eastAsia="en-AU"/>
              </w:rPr>
              <w:t xml:space="preserve">10 </w:t>
            </w:r>
            <w:proofErr w:type="spellStart"/>
            <w:r w:rsidR="0090562B">
              <w:rPr>
                <w:rFonts w:ascii="Arial" w:hAnsi="Arial"/>
                <w:b w:val="0"/>
                <w:bCs w:val="0"/>
                <w:sz w:val="20"/>
                <w:szCs w:val="20"/>
                <w:lang w:eastAsia="en-AU"/>
              </w:rPr>
              <w:t>Mtpa</w:t>
            </w:r>
            <w:proofErr w:type="spellEnd"/>
            <w:r w:rsidRPr="00C56F35">
              <w:rPr>
                <w:rFonts w:ascii="Arial" w:hAnsi="Arial"/>
                <w:b w:val="0"/>
                <w:bCs w:val="0"/>
                <w:sz w:val="20"/>
                <w:szCs w:val="20"/>
                <w:lang w:eastAsia="en-AU"/>
              </w:rPr>
              <w:t xml:space="preserve"> of ore and its host material will undergo multiple stages of chemical and physical treatment in the </w:t>
            </w:r>
            <w:r w:rsidR="00550175">
              <w:rPr>
                <w:rFonts w:ascii="Arial" w:hAnsi="Arial"/>
                <w:b w:val="0"/>
                <w:bCs w:val="0"/>
                <w:sz w:val="20"/>
                <w:szCs w:val="20"/>
                <w:lang w:eastAsia="en-AU"/>
              </w:rPr>
              <w:t xml:space="preserve">ore processing and </w:t>
            </w:r>
            <w:r w:rsidRPr="00C56F35">
              <w:rPr>
                <w:rFonts w:ascii="Arial" w:hAnsi="Arial"/>
                <w:b w:val="0"/>
                <w:bCs w:val="0"/>
                <w:sz w:val="20"/>
                <w:szCs w:val="20"/>
                <w:lang w:eastAsia="en-AU"/>
              </w:rPr>
              <w:t>mineral separation plant to separate the ore from the non-valuable host material.</w:t>
            </w:r>
          </w:p>
          <w:p w14:paraId="42A29463" w14:textId="77777777" w:rsidR="00E17629" w:rsidRDefault="00E17629" w:rsidP="00A1077F">
            <w:pPr>
              <w:pStyle w:val="BodyText"/>
              <w:jc w:val="both"/>
              <w:rPr>
                <w:rFonts w:ascii="Arial" w:hAnsi="Arial"/>
                <w:b w:val="0"/>
                <w:bCs w:val="0"/>
                <w:sz w:val="20"/>
                <w:szCs w:val="20"/>
                <w:lang w:eastAsia="en-AU"/>
              </w:rPr>
            </w:pPr>
          </w:p>
          <w:p w14:paraId="72237094" w14:textId="6433B2F0" w:rsidR="00C56F35"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 xml:space="preserve">Treatments </w:t>
            </w:r>
            <w:r w:rsidR="00550175">
              <w:rPr>
                <w:rFonts w:ascii="Arial" w:hAnsi="Arial"/>
                <w:b w:val="0"/>
                <w:bCs w:val="0"/>
                <w:sz w:val="20"/>
                <w:szCs w:val="20"/>
                <w:lang w:eastAsia="en-AU"/>
              </w:rPr>
              <w:t xml:space="preserve">will </w:t>
            </w:r>
            <w:r w:rsidRPr="00C56F35">
              <w:rPr>
                <w:rFonts w:ascii="Arial" w:hAnsi="Arial"/>
                <w:b w:val="0"/>
                <w:bCs w:val="0"/>
                <w:sz w:val="20"/>
                <w:szCs w:val="20"/>
                <w:lang w:eastAsia="en-AU"/>
              </w:rPr>
              <w:t xml:space="preserve">include wet screening, clay separation and froth flotation to produce titanium dioxide mineral products and heavy mineral concentrate (HMC) (containing zircon and rare earth concentrates). The HMC will be further chemically refined to produce purified zircon and a mixed </w:t>
            </w:r>
            <w:r w:rsidR="004021A7">
              <w:rPr>
                <w:rFonts w:ascii="Arial" w:hAnsi="Arial"/>
                <w:b w:val="0"/>
                <w:bCs w:val="0"/>
                <w:sz w:val="20"/>
                <w:szCs w:val="20"/>
                <w:lang w:eastAsia="en-AU"/>
              </w:rPr>
              <w:t>rare earth</w:t>
            </w:r>
            <w:r w:rsidRPr="00C56F35">
              <w:rPr>
                <w:rFonts w:ascii="Arial" w:hAnsi="Arial"/>
                <w:b w:val="0"/>
                <w:bCs w:val="0"/>
                <w:sz w:val="20"/>
                <w:szCs w:val="20"/>
                <w:lang w:eastAsia="en-AU"/>
              </w:rPr>
              <w:t xml:space="preserve"> product.</w:t>
            </w:r>
          </w:p>
          <w:p w14:paraId="54A2DD11" w14:textId="77777777" w:rsidR="00C56F35" w:rsidRPr="00C56F35" w:rsidRDefault="00C56F35" w:rsidP="00A1077F">
            <w:pPr>
              <w:pStyle w:val="BodyText"/>
              <w:jc w:val="both"/>
              <w:rPr>
                <w:rFonts w:ascii="Arial" w:hAnsi="Arial"/>
                <w:b w:val="0"/>
                <w:bCs w:val="0"/>
                <w:sz w:val="20"/>
                <w:szCs w:val="20"/>
                <w:lang w:eastAsia="en-AU"/>
              </w:rPr>
            </w:pPr>
          </w:p>
          <w:p w14:paraId="0707C665" w14:textId="77777777" w:rsidR="00C56F35"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The product will then be packaged and transported via road, rail and/or ship to customers.</w:t>
            </w:r>
          </w:p>
          <w:p w14:paraId="5052D5C6" w14:textId="77777777" w:rsidR="00C56F35" w:rsidRPr="00C56F35" w:rsidRDefault="00C56F35" w:rsidP="00A1077F">
            <w:pPr>
              <w:pStyle w:val="BodyText"/>
              <w:jc w:val="both"/>
              <w:rPr>
                <w:rFonts w:ascii="Arial" w:hAnsi="Arial"/>
                <w:b w:val="0"/>
                <w:bCs w:val="0"/>
                <w:sz w:val="20"/>
                <w:szCs w:val="20"/>
                <w:lang w:eastAsia="en-AU"/>
              </w:rPr>
            </w:pPr>
          </w:p>
          <w:p w14:paraId="14DFF8E8" w14:textId="40ADFF52" w:rsidR="00C56F35"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 xml:space="preserve">The processing plant inputs and outputs are summarised in Figure </w:t>
            </w:r>
            <w:r w:rsidR="00FA2F27">
              <w:rPr>
                <w:rFonts w:ascii="Arial" w:hAnsi="Arial"/>
                <w:b w:val="0"/>
                <w:bCs w:val="0"/>
                <w:sz w:val="20"/>
                <w:szCs w:val="20"/>
                <w:lang w:eastAsia="en-AU"/>
              </w:rPr>
              <w:t>5</w:t>
            </w:r>
            <w:r w:rsidRPr="00C56F35">
              <w:rPr>
                <w:rFonts w:ascii="Arial" w:hAnsi="Arial"/>
                <w:b w:val="0"/>
                <w:bCs w:val="0"/>
                <w:sz w:val="20"/>
                <w:szCs w:val="20"/>
                <w:lang w:eastAsia="en-AU"/>
              </w:rPr>
              <w:t xml:space="preserve"> and Figure </w:t>
            </w:r>
            <w:r w:rsidR="00FA2F27">
              <w:rPr>
                <w:rFonts w:ascii="Arial" w:hAnsi="Arial"/>
                <w:b w:val="0"/>
                <w:bCs w:val="0"/>
                <w:sz w:val="20"/>
                <w:szCs w:val="20"/>
                <w:lang w:eastAsia="en-AU"/>
              </w:rPr>
              <w:t>6</w:t>
            </w:r>
            <w:r w:rsidRPr="00C56F35">
              <w:rPr>
                <w:rFonts w:ascii="Arial" w:hAnsi="Arial"/>
                <w:b w:val="0"/>
                <w:bCs w:val="0"/>
                <w:sz w:val="20"/>
                <w:szCs w:val="20"/>
                <w:lang w:eastAsia="en-AU"/>
              </w:rPr>
              <w:t>. Note that these are conceptual figures and final volumes and configurations may be subject to change.</w:t>
            </w:r>
          </w:p>
          <w:p w14:paraId="6F5C85F0" w14:textId="77777777" w:rsidR="00C56F35" w:rsidRPr="00C56F35"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 xml:space="preserve"> </w:t>
            </w:r>
          </w:p>
          <w:p w14:paraId="4B8B4817" w14:textId="72A1FE49" w:rsidR="00C56F35" w:rsidRPr="00C56F35" w:rsidRDefault="00C56F35" w:rsidP="00A1077F">
            <w:pPr>
              <w:tabs>
                <w:tab w:val="left" w:pos="4910"/>
                <w:tab w:val="left" w:pos="5913"/>
                <w:tab w:val="left" w:pos="6916"/>
              </w:tabs>
              <w:jc w:val="both"/>
              <w:rPr>
                <w:rFonts w:ascii="Arial" w:hAnsi="Arial"/>
                <w:b/>
              </w:rPr>
            </w:pPr>
            <w:r w:rsidRPr="00C56F35">
              <w:rPr>
                <w:rFonts w:ascii="Arial" w:hAnsi="Arial"/>
              </w:rPr>
              <w:t xml:space="preserve">A general arrangement plan and a plot plan of the processing plant are provided in </w:t>
            </w:r>
            <w:r w:rsidRPr="00D55D9A">
              <w:rPr>
                <w:rFonts w:ascii="Arial" w:hAnsi="Arial"/>
              </w:rPr>
              <w:t xml:space="preserve">Appendix </w:t>
            </w:r>
            <w:r w:rsidR="00323595">
              <w:rPr>
                <w:rFonts w:ascii="Arial" w:hAnsi="Arial"/>
              </w:rPr>
              <w:t>B</w:t>
            </w:r>
            <w:r w:rsidRPr="00D55D9A">
              <w:rPr>
                <w:rFonts w:ascii="Arial" w:hAnsi="Arial"/>
              </w:rPr>
              <w:t>. Again, these are conceptual figures and the layouts may change.</w:t>
            </w:r>
          </w:p>
        </w:tc>
      </w:tr>
      <w:tr w:rsidR="00C56F35" w:rsidRPr="004F5EA3" w14:paraId="18D09ECC" w14:textId="77777777" w:rsidTr="00FC3654">
        <w:trPr>
          <w:gridAfter w:val="1"/>
          <w:wAfter w:w="59" w:type="dxa"/>
        </w:trPr>
        <w:tc>
          <w:tcPr>
            <w:tcW w:w="8868" w:type="dxa"/>
            <w:tcBorders>
              <w:top w:val="nil"/>
            </w:tcBorders>
          </w:tcPr>
          <w:p w14:paraId="38276FB3" w14:textId="77777777" w:rsidR="002851F8" w:rsidRDefault="002851F8" w:rsidP="007A49AF">
            <w:pPr>
              <w:pStyle w:val="BodyText"/>
              <w:jc w:val="left"/>
              <w:rPr>
                <w:rFonts w:ascii="Arial" w:hAnsi="Arial"/>
                <w:bCs w:val="0"/>
                <w:sz w:val="20"/>
                <w:szCs w:val="20"/>
                <w:lang w:eastAsia="en-AU"/>
              </w:rPr>
            </w:pPr>
          </w:p>
          <w:p w14:paraId="5BF4EEA2" w14:textId="1AAAB990" w:rsidR="00C56F35" w:rsidRPr="00C56F35" w:rsidRDefault="00C56F35" w:rsidP="007A49AF">
            <w:pPr>
              <w:pStyle w:val="BodyText"/>
              <w:jc w:val="left"/>
              <w:rPr>
                <w:rFonts w:ascii="Arial" w:hAnsi="Arial"/>
                <w:bCs w:val="0"/>
                <w:sz w:val="20"/>
                <w:szCs w:val="20"/>
                <w:lang w:eastAsia="en-AU"/>
              </w:rPr>
            </w:pPr>
            <w:r>
              <w:rPr>
                <w:rFonts w:ascii="Arial" w:hAnsi="Arial"/>
                <w:bCs w:val="0"/>
                <w:sz w:val="20"/>
                <w:szCs w:val="20"/>
                <w:lang w:eastAsia="en-AU"/>
              </w:rPr>
              <w:t>3.6.</w:t>
            </w:r>
            <w:r w:rsidR="00550175">
              <w:rPr>
                <w:rFonts w:ascii="Arial" w:hAnsi="Arial"/>
                <w:bCs w:val="0"/>
                <w:sz w:val="20"/>
                <w:szCs w:val="20"/>
                <w:lang w:eastAsia="en-AU"/>
              </w:rPr>
              <w:t>7</w:t>
            </w:r>
            <w:r>
              <w:rPr>
                <w:rFonts w:ascii="Arial" w:hAnsi="Arial"/>
                <w:bCs w:val="0"/>
                <w:sz w:val="20"/>
                <w:szCs w:val="20"/>
                <w:lang w:eastAsia="en-AU"/>
              </w:rPr>
              <w:t xml:space="preserve"> </w:t>
            </w:r>
            <w:r w:rsidR="00926F0E">
              <w:rPr>
                <w:rFonts w:ascii="Arial" w:hAnsi="Arial"/>
                <w:bCs w:val="0"/>
                <w:sz w:val="20"/>
                <w:szCs w:val="20"/>
                <w:lang w:eastAsia="en-AU"/>
              </w:rPr>
              <w:t>Tailings and refining waste materials</w:t>
            </w:r>
          </w:p>
          <w:p w14:paraId="5E739710" w14:textId="77777777" w:rsidR="00C56F35" w:rsidRPr="00C56F35" w:rsidRDefault="00C56F35" w:rsidP="007A49AF">
            <w:pPr>
              <w:pStyle w:val="BodyText"/>
              <w:jc w:val="left"/>
              <w:rPr>
                <w:rFonts w:ascii="Arial" w:hAnsi="Arial"/>
                <w:b w:val="0"/>
                <w:bCs w:val="0"/>
                <w:sz w:val="20"/>
                <w:szCs w:val="20"/>
                <w:lang w:eastAsia="en-AU"/>
              </w:rPr>
            </w:pPr>
          </w:p>
          <w:p w14:paraId="13773554" w14:textId="4AF6C120" w:rsidR="00C56F35"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Approximately 9</w:t>
            </w:r>
            <w:r w:rsidR="007A49AF">
              <w:rPr>
                <w:rFonts w:ascii="Arial" w:hAnsi="Arial"/>
                <w:b w:val="0"/>
                <w:bCs w:val="0"/>
                <w:sz w:val="20"/>
                <w:szCs w:val="20"/>
                <w:lang w:eastAsia="en-AU"/>
              </w:rPr>
              <w:t>.6</w:t>
            </w:r>
            <w:r w:rsidRPr="00C56F35">
              <w:rPr>
                <w:rFonts w:ascii="Arial" w:hAnsi="Arial"/>
                <w:b w:val="0"/>
                <w:bCs w:val="0"/>
                <w:sz w:val="20"/>
                <w:szCs w:val="20"/>
                <w:lang w:eastAsia="en-AU"/>
              </w:rPr>
              <w:t xml:space="preserve"> </w:t>
            </w:r>
            <w:proofErr w:type="spellStart"/>
            <w:r w:rsidR="0090562B">
              <w:rPr>
                <w:rFonts w:ascii="Arial" w:hAnsi="Arial"/>
                <w:b w:val="0"/>
                <w:bCs w:val="0"/>
                <w:sz w:val="20"/>
                <w:szCs w:val="20"/>
                <w:lang w:eastAsia="en-AU"/>
              </w:rPr>
              <w:t>Mtpa</w:t>
            </w:r>
            <w:proofErr w:type="spellEnd"/>
            <w:r w:rsidRPr="00C56F35">
              <w:rPr>
                <w:rFonts w:ascii="Arial" w:hAnsi="Arial"/>
                <w:b w:val="0"/>
                <w:bCs w:val="0"/>
                <w:sz w:val="20"/>
                <w:szCs w:val="20"/>
                <w:lang w:eastAsia="en-AU"/>
              </w:rPr>
              <w:t xml:space="preserve"> of </w:t>
            </w:r>
            <w:r w:rsidR="00166EF1">
              <w:rPr>
                <w:rFonts w:ascii="Arial" w:hAnsi="Arial"/>
                <w:b w:val="0"/>
                <w:bCs w:val="0"/>
                <w:sz w:val="20"/>
                <w:szCs w:val="20"/>
                <w:lang w:eastAsia="en-AU"/>
              </w:rPr>
              <w:t>combined tailings</w:t>
            </w:r>
            <w:r w:rsidRPr="00C56F35">
              <w:rPr>
                <w:rFonts w:ascii="Arial" w:hAnsi="Arial"/>
                <w:b w:val="0"/>
                <w:bCs w:val="0"/>
                <w:sz w:val="20"/>
                <w:szCs w:val="20"/>
                <w:lang w:eastAsia="en-AU"/>
              </w:rPr>
              <w:t xml:space="preserve"> (a mixture of sand and clay materials) will be generated as a by-product from the </w:t>
            </w:r>
            <w:r w:rsidR="00926F0E">
              <w:rPr>
                <w:rFonts w:ascii="Arial" w:hAnsi="Arial"/>
                <w:b w:val="0"/>
                <w:bCs w:val="0"/>
                <w:sz w:val="20"/>
                <w:szCs w:val="20"/>
                <w:lang w:eastAsia="en-AU"/>
              </w:rPr>
              <w:t xml:space="preserve">ore processing and </w:t>
            </w:r>
            <w:r w:rsidRPr="00C56F35">
              <w:rPr>
                <w:rFonts w:ascii="Arial" w:hAnsi="Arial"/>
                <w:b w:val="0"/>
                <w:bCs w:val="0"/>
                <w:sz w:val="20"/>
                <w:szCs w:val="20"/>
                <w:lang w:eastAsia="en-AU"/>
              </w:rPr>
              <w:t xml:space="preserve">mineral separation plant. Initially, some </w:t>
            </w:r>
            <w:r w:rsidR="00926F0E">
              <w:rPr>
                <w:rFonts w:ascii="Arial" w:hAnsi="Arial"/>
                <w:b w:val="0"/>
                <w:bCs w:val="0"/>
                <w:sz w:val="20"/>
                <w:szCs w:val="20"/>
                <w:lang w:eastAsia="en-AU"/>
              </w:rPr>
              <w:t>combined</w:t>
            </w:r>
            <w:r w:rsidR="00926F0E" w:rsidRPr="00C56F35">
              <w:rPr>
                <w:rFonts w:ascii="Arial" w:hAnsi="Arial"/>
                <w:b w:val="0"/>
                <w:bCs w:val="0"/>
                <w:sz w:val="20"/>
                <w:szCs w:val="20"/>
                <w:lang w:eastAsia="en-AU"/>
              </w:rPr>
              <w:t xml:space="preserve"> </w:t>
            </w:r>
            <w:r w:rsidRPr="00C56F35">
              <w:rPr>
                <w:rFonts w:ascii="Arial" w:hAnsi="Arial"/>
                <w:b w:val="0"/>
                <w:bCs w:val="0"/>
                <w:sz w:val="20"/>
                <w:szCs w:val="20"/>
                <w:lang w:eastAsia="en-AU"/>
              </w:rPr>
              <w:t xml:space="preserve">tailings will be placed into a surface tailing storage facility (or facilities) prior to the mine void space being available. Thereafter, the </w:t>
            </w:r>
            <w:r w:rsidR="00926F0E">
              <w:rPr>
                <w:rFonts w:ascii="Arial" w:hAnsi="Arial"/>
                <w:b w:val="0"/>
                <w:bCs w:val="0"/>
                <w:sz w:val="20"/>
                <w:szCs w:val="20"/>
                <w:lang w:eastAsia="en-AU"/>
              </w:rPr>
              <w:t>combined</w:t>
            </w:r>
            <w:r w:rsidR="00926F0E" w:rsidRPr="00C56F35">
              <w:rPr>
                <w:rFonts w:ascii="Arial" w:hAnsi="Arial"/>
                <w:b w:val="0"/>
                <w:bCs w:val="0"/>
                <w:sz w:val="20"/>
                <w:szCs w:val="20"/>
                <w:lang w:eastAsia="en-AU"/>
              </w:rPr>
              <w:t xml:space="preserve"> </w:t>
            </w:r>
            <w:r w:rsidRPr="00C56F35">
              <w:rPr>
                <w:rFonts w:ascii="Arial" w:hAnsi="Arial"/>
                <w:b w:val="0"/>
                <w:bCs w:val="0"/>
                <w:sz w:val="20"/>
                <w:szCs w:val="20"/>
                <w:lang w:eastAsia="en-AU"/>
              </w:rPr>
              <w:t xml:space="preserve">tailings will be placed within tailings cells within the mine void (and the tailing storage facility). Once each cell is complete it will be made geotechnically stable, and then will be capped with overburden, subsoil and topsoil. </w:t>
            </w:r>
          </w:p>
          <w:p w14:paraId="5F459C4C" w14:textId="77777777" w:rsidR="00C56F35" w:rsidRPr="00C56F35" w:rsidRDefault="00C56F35" w:rsidP="00A1077F">
            <w:pPr>
              <w:pStyle w:val="BodyText"/>
              <w:jc w:val="both"/>
              <w:rPr>
                <w:rFonts w:ascii="Arial" w:hAnsi="Arial"/>
                <w:b w:val="0"/>
                <w:bCs w:val="0"/>
                <w:sz w:val="20"/>
                <w:szCs w:val="20"/>
                <w:lang w:eastAsia="en-AU"/>
              </w:rPr>
            </w:pPr>
          </w:p>
          <w:p w14:paraId="0C8A0613" w14:textId="185B9704" w:rsidR="00C56F35" w:rsidRDefault="00C56F35"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 xml:space="preserve">The </w:t>
            </w:r>
            <w:r w:rsidR="00900ED3">
              <w:rPr>
                <w:rFonts w:ascii="Arial" w:hAnsi="Arial"/>
                <w:b w:val="0"/>
                <w:bCs w:val="0"/>
                <w:sz w:val="20"/>
                <w:szCs w:val="20"/>
                <w:lang w:eastAsia="en-AU"/>
              </w:rPr>
              <w:t>HMC</w:t>
            </w:r>
            <w:r w:rsidRPr="00C56F35">
              <w:rPr>
                <w:rFonts w:ascii="Arial" w:hAnsi="Arial"/>
                <w:b w:val="0"/>
                <w:bCs w:val="0"/>
                <w:sz w:val="20"/>
                <w:szCs w:val="20"/>
                <w:lang w:eastAsia="en-AU"/>
              </w:rPr>
              <w:t xml:space="preserve"> will be </w:t>
            </w:r>
            <w:r w:rsidR="007A49AF">
              <w:rPr>
                <w:rFonts w:ascii="Arial" w:hAnsi="Arial"/>
                <w:b w:val="0"/>
                <w:bCs w:val="0"/>
                <w:sz w:val="20"/>
                <w:szCs w:val="20"/>
                <w:lang w:eastAsia="en-AU"/>
              </w:rPr>
              <w:t>further processed</w:t>
            </w:r>
            <w:r w:rsidRPr="00C56F35">
              <w:rPr>
                <w:rFonts w:ascii="Arial" w:hAnsi="Arial"/>
                <w:b w:val="0"/>
                <w:bCs w:val="0"/>
                <w:sz w:val="20"/>
                <w:szCs w:val="20"/>
                <w:lang w:eastAsia="en-AU"/>
              </w:rPr>
              <w:t xml:space="preserve"> in the refinery to produce zircon and rare earth product</w:t>
            </w:r>
            <w:r w:rsidR="00900ED3">
              <w:rPr>
                <w:rFonts w:ascii="Arial" w:hAnsi="Arial"/>
                <w:b w:val="0"/>
                <w:bCs w:val="0"/>
                <w:sz w:val="20"/>
                <w:szCs w:val="20"/>
                <w:lang w:eastAsia="en-AU"/>
              </w:rPr>
              <w:t>s</w:t>
            </w:r>
            <w:r w:rsidRPr="00C56F35">
              <w:rPr>
                <w:rFonts w:ascii="Arial" w:hAnsi="Arial"/>
                <w:b w:val="0"/>
                <w:bCs w:val="0"/>
                <w:sz w:val="20"/>
                <w:szCs w:val="20"/>
                <w:lang w:eastAsia="en-AU"/>
              </w:rPr>
              <w:t xml:space="preserve">. The refinery will generate approximately 260 </w:t>
            </w:r>
            <w:proofErr w:type="spellStart"/>
            <w:r w:rsidRPr="00C56F35">
              <w:rPr>
                <w:rFonts w:ascii="Arial" w:hAnsi="Arial"/>
                <w:b w:val="0"/>
                <w:bCs w:val="0"/>
                <w:sz w:val="20"/>
                <w:szCs w:val="20"/>
                <w:lang w:eastAsia="en-AU"/>
              </w:rPr>
              <w:t>ktpa</w:t>
            </w:r>
            <w:proofErr w:type="spellEnd"/>
            <w:r w:rsidRPr="00C56F35">
              <w:rPr>
                <w:rFonts w:ascii="Arial" w:hAnsi="Arial"/>
                <w:b w:val="0"/>
                <w:bCs w:val="0"/>
                <w:sz w:val="20"/>
                <w:szCs w:val="20"/>
                <w:lang w:eastAsia="en-AU"/>
              </w:rPr>
              <w:t xml:space="preserve"> of </w:t>
            </w:r>
            <w:r w:rsidR="00926F0E">
              <w:rPr>
                <w:rFonts w:ascii="Arial" w:hAnsi="Arial"/>
                <w:b w:val="0"/>
                <w:bCs w:val="0"/>
                <w:sz w:val="20"/>
                <w:szCs w:val="20"/>
                <w:lang w:eastAsia="en-AU"/>
              </w:rPr>
              <w:t>refinery waste materials</w:t>
            </w:r>
            <w:r w:rsidRPr="00C56F35">
              <w:rPr>
                <w:rFonts w:ascii="Arial" w:hAnsi="Arial"/>
                <w:b w:val="0"/>
                <w:bCs w:val="0"/>
                <w:sz w:val="20"/>
                <w:szCs w:val="20"/>
                <w:lang w:eastAsia="en-AU"/>
              </w:rPr>
              <w:t xml:space="preserve">, largely comprising: </w:t>
            </w:r>
          </w:p>
          <w:p w14:paraId="2617C10C" w14:textId="77777777" w:rsidR="00C56F35" w:rsidRPr="00C56F35" w:rsidRDefault="00C56F35" w:rsidP="00A1077F">
            <w:pPr>
              <w:pStyle w:val="BodyText"/>
              <w:jc w:val="both"/>
              <w:rPr>
                <w:rFonts w:ascii="Arial" w:hAnsi="Arial"/>
                <w:b w:val="0"/>
                <w:bCs w:val="0"/>
                <w:sz w:val="20"/>
                <w:szCs w:val="20"/>
                <w:lang w:eastAsia="en-AU"/>
              </w:rPr>
            </w:pPr>
          </w:p>
          <w:p w14:paraId="7855C166" w14:textId="77777777" w:rsidR="00C56F35" w:rsidRDefault="00C56F35" w:rsidP="00166AB5">
            <w:pPr>
              <w:pStyle w:val="BodyText"/>
              <w:numPr>
                <w:ilvl w:val="0"/>
                <w:numId w:val="3"/>
              </w:numPr>
              <w:ind w:left="426"/>
              <w:jc w:val="both"/>
              <w:rPr>
                <w:rFonts w:ascii="Arial" w:hAnsi="Arial"/>
                <w:b w:val="0"/>
                <w:bCs w:val="0"/>
                <w:sz w:val="20"/>
                <w:szCs w:val="20"/>
                <w:lang w:eastAsia="en-AU"/>
              </w:rPr>
            </w:pPr>
            <w:r w:rsidRPr="00C56F35">
              <w:rPr>
                <w:rFonts w:ascii="Arial" w:hAnsi="Arial"/>
                <w:b w:val="0"/>
                <w:bCs w:val="0"/>
                <w:sz w:val="20"/>
                <w:szCs w:val="20"/>
                <w:lang w:eastAsia="en-AU"/>
              </w:rPr>
              <w:t xml:space="preserve">100 </w:t>
            </w:r>
            <w:proofErr w:type="spellStart"/>
            <w:r w:rsidRPr="00C56F35">
              <w:rPr>
                <w:rFonts w:ascii="Arial" w:hAnsi="Arial"/>
                <w:b w:val="0"/>
                <w:bCs w:val="0"/>
                <w:sz w:val="20"/>
                <w:szCs w:val="20"/>
                <w:lang w:eastAsia="en-AU"/>
              </w:rPr>
              <w:t>ktpa</w:t>
            </w:r>
            <w:proofErr w:type="spellEnd"/>
            <w:r w:rsidRPr="00C56F35">
              <w:rPr>
                <w:rFonts w:ascii="Arial" w:hAnsi="Arial"/>
                <w:b w:val="0"/>
                <w:bCs w:val="0"/>
                <w:sz w:val="20"/>
                <w:szCs w:val="20"/>
                <w:lang w:eastAsia="en-AU"/>
              </w:rPr>
              <w:t xml:space="preserve"> of salt brine - the remnant salt (predominantly sodium sulphate) remaining after desalination water recovery and evaporation of the saline discharge; and </w:t>
            </w:r>
          </w:p>
          <w:p w14:paraId="0CE9504E" w14:textId="77777777" w:rsidR="00C56F35" w:rsidRPr="00C56F35" w:rsidRDefault="00C56F35" w:rsidP="00A1077F">
            <w:pPr>
              <w:pStyle w:val="BodyText"/>
              <w:ind w:left="426"/>
              <w:jc w:val="both"/>
              <w:rPr>
                <w:rFonts w:ascii="Arial" w:hAnsi="Arial"/>
                <w:b w:val="0"/>
                <w:bCs w:val="0"/>
                <w:sz w:val="20"/>
                <w:szCs w:val="20"/>
                <w:lang w:eastAsia="en-AU"/>
              </w:rPr>
            </w:pPr>
          </w:p>
          <w:p w14:paraId="6DBA89B0" w14:textId="2E112CC1" w:rsidR="00C56F35" w:rsidRPr="00A01BC4" w:rsidRDefault="00C56F35" w:rsidP="00166AB5">
            <w:pPr>
              <w:pStyle w:val="BodyText"/>
              <w:numPr>
                <w:ilvl w:val="0"/>
                <w:numId w:val="3"/>
              </w:numPr>
              <w:pBdr>
                <w:bottom w:val="single" w:sz="4" w:space="1" w:color="auto"/>
              </w:pBdr>
              <w:ind w:left="426"/>
              <w:jc w:val="both"/>
              <w:rPr>
                <w:rFonts w:ascii="Arial" w:hAnsi="Arial"/>
                <w:b w:val="0"/>
                <w:bCs w:val="0"/>
                <w:sz w:val="20"/>
                <w:szCs w:val="20"/>
                <w:lang w:eastAsia="en-AU"/>
              </w:rPr>
            </w:pPr>
            <w:r w:rsidRPr="00C56F35">
              <w:rPr>
                <w:rFonts w:ascii="Arial" w:hAnsi="Arial"/>
                <w:b w:val="0"/>
                <w:bCs w:val="0"/>
                <w:sz w:val="20"/>
                <w:szCs w:val="20"/>
                <w:lang w:eastAsia="en-AU"/>
              </w:rPr>
              <w:t xml:space="preserve">160 </w:t>
            </w:r>
            <w:proofErr w:type="spellStart"/>
            <w:r w:rsidRPr="00C56F35">
              <w:rPr>
                <w:rFonts w:ascii="Arial" w:hAnsi="Arial"/>
                <w:b w:val="0"/>
                <w:bCs w:val="0"/>
                <w:sz w:val="20"/>
                <w:szCs w:val="20"/>
                <w:lang w:eastAsia="en-AU"/>
              </w:rPr>
              <w:t>ktpa</w:t>
            </w:r>
            <w:proofErr w:type="spellEnd"/>
            <w:r w:rsidRPr="00C56F35">
              <w:rPr>
                <w:rFonts w:ascii="Arial" w:hAnsi="Arial"/>
                <w:b w:val="0"/>
                <w:bCs w:val="0"/>
                <w:sz w:val="20"/>
                <w:szCs w:val="20"/>
                <w:lang w:eastAsia="en-AU"/>
              </w:rPr>
              <w:t xml:space="preserve"> of gypsum residue - a precipitated solid predominately comprised of calcium </w:t>
            </w:r>
            <w:proofErr w:type="spellStart"/>
            <w:r w:rsidRPr="00C56F35">
              <w:rPr>
                <w:rFonts w:ascii="Arial" w:hAnsi="Arial"/>
                <w:b w:val="0"/>
                <w:bCs w:val="0"/>
                <w:sz w:val="20"/>
                <w:szCs w:val="20"/>
                <w:lang w:eastAsia="en-AU"/>
              </w:rPr>
              <w:t>sulfate</w:t>
            </w:r>
            <w:proofErr w:type="spellEnd"/>
            <w:r w:rsidRPr="00C56F35">
              <w:rPr>
                <w:rFonts w:ascii="Arial" w:hAnsi="Arial"/>
                <w:b w:val="0"/>
                <w:bCs w:val="0"/>
                <w:sz w:val="20"/>
                <w:szCs w:val="20"/>
                <w:lang w:eastAsia="en-AU"/>
              </w:rPr>
              <w:t xml:space="preserve"> dihydrate (gypsum), but also incorporating radionuclides and heavy metals. The gypsum residue will contain 300</w:t>
            </w:r>
            <w:r w:rsidR="00550175">
              <w:rPr>
                <w:rFonts w:ascii="Arial" w:hAnsi="Arial"/>
                <w:b w:val="0"/>
                <w:bCs w:val="0"/>
                <w:sz w:val="20"/>
                <w:szCs w:val="20"/>
                <w:lang w:eastAsia="en-AU"/>
              </w:rPr>
              <w:t>–</w:t>
            </w:r>
            <w:r w:rsidRPr="00C56F35">
              <w:rPr>
                <w:rFonts w:ascii="Arial" w:hAnsi="Arial"/>
                <w:b w:val="0"/>
                <w:bCs w:val="0"/>
                <w:sz w:val="20"/>
                <w:szCs w:val="20"/>
                <w:lang w:eastAsia="en-AU"/>
              </w:rPr>
              <w:t xml:space="preserve">500 </w:t>
            </w:r>
            <w:r w:rsidR="00550175">
              <w:rPr>
                <w:rFonts w:ascii="Arial" w:hAnsi="Arial"/>
                <w:b w:val="0"/>
                <w:bCs w:val="0"/>
                <w:sz w:val="20"/>
                <w:szCs w:val="20"/>
                <w:lang w:eastAsia="en-AU"/>
              </w:rPr>
              <w:t>becquerels per gram (</w:t>
            </w:r>
            <w:proofErr w:type="spellStart"/>
            <w:r w:rsidRPr="00C56F35">
              <w:rPr>
                <w:rFonts w:ascii="Arial" w:hAnsi="Arial"/>
                <w:b w:val="0"/>
                <w:bCs w:val="0"/>
                <w:sz w:val="20"/>
                <w:szCs w:val="20"/>
                <w:lang w:eastAsia="en-AU"/>
              </w:rPr>
              <w:t>Bq</w:t>
            </w:r>
            <w:proofErr w:type="spellEnd"/>
            <w:r w:rsidRPr="00C56F35">
              <w:rPr>
                <w:rFonts w:ascii="Arial" w:hAnsi="Arial"/>
                <w:b w:val="0"/>
                <w:bCs w:val="0"/>
                <w:sz w:val="20"/>
                <w:szCs w:val="20"/>
                <w:lang w:eastAsia="en-AU"/>
              </w:rPr>
              <w:t>/g</w:t>
            </w:r>
            <w:r w:rsidR="00550175">
              <w:rPr>
                <w:rFonts w:ascii="Arial" w:hAnsi="Arial"/>
                <w:b w:val="0"/>
                <w:bCs w:val="0"/>
                <w:sz w:val="20"/>
                <w:szCs w:val="20"/>
                <w:lang w:eastAsia="en-AU"/>
              </w:rPr>
              <w:t>)</w:t>
            </w:r>
            <w:r w:rsidRPr="00C56F35">
              <w:rPr>
                <w:rFonts w:ascii="Arial" w:hAnsi="Arial"/>
                <w:b w:val="0"/>
                <w:bCs w:val="0"/>
                <w:sz w:val="20"/>
                <w:szCs w:val="20"/>
                <w:lang w:eastAsia="en-AU"/>
              </w:rPr>
              <w:t xml:space="preserve"> total activity and is classified as low</w:t>
            </w:r>
            <w:r w:rsidR="0090562B">
              <w:rPr>
                <w:rFonts w:ascii="Arial" w:hAnsi="Arial"/>
                <w:b w:val="0"/>
                <w:bCs w:val="0"/>
                <w:sz w:val="20"/>
                <w:szCs w:val="20"/>
                <w:lang w:eastAsia="en-AU"/>
              </w:rPr>
              <w:t>-</w:t>
            </w:r>
            <w:r w:rsidRPr="00C56F35">
              <w:rPr>
                <w:rFonts w:ascii="Arial" w:hAnsi="Arial"/>
                <w:b w:val="0"/>
                <w:bCs w:val="0"/>
                <w:sz w:val="20"/>
                <w:szCs w:val="20"/>
                <w:lang w:eastAsia="en-AU"/>
              </w:rPr>
              <w:t xml:space="preserve">level radioactive waste, as per the International Atomic Energy Agency’s </w:t>
            </w:r>
            <w:r w:rsidRPr="002851F8">
              <w:rPr>
                <w:rFonts w:ascii="Arial" w:hAnsi="Arial"/>
                <w:b w:val="0"/>
                <w:bCs w:val="0"/>
                <w:i/>
                <w:sz w:val="20"/>
                <w:szCs w:val="20"/>
                <w:lang w:eastAsia="en-AU"/>
              </w:rPr>
              <w:t>Classification of Radioactive Waste General Safety Guide No. 1.</w:t>
            </w:r>
          </w:p>
          <w:p w14:paraId="28411E79" w14:textId="77777777" w:rsidR="00900ED3" w:rsidRDefault="00900ED3" w:rsidP="00A1077F">
            <w:pPr>
              <w:pStyle w:val="ListParagraph"/>
              <w:jc w:val="both"/>
              <w:rPr>
                <w:rFonts w:ascii="Arial" w:hAnsi="Arial"/>
                <w:b/>
                <w:bCs/>
              </w:rPr>
            </w:pPr>
          </w:p>
          <w:p w14:paraId="0828070B" w14:textId="15B21A1E" w:rsidR="00C56F35" w:rsidRDefault="00C56F35" w:rsidP="00FC3654">
            <w:pPr>
              <w:pStyle w:val="BodyText"/>
              <w:jc w:val="both"/>
              <w:rPr>
                <w:rFonts w:ascii="Arial" w:hAnsi="Arial"/>
                <w:b w:val="0"/>
                <w:bCs w:val="0"/>
                <w:sz w:val="20"/>
                <w:szCs w:val="20"/>
                <w:lang w:eastAsia="en-AU"/>
              </w:rPr>
            </w:pPr>
            <w:r w:rsidRPr="00C56F35">
              <w:rPr>
                <w:rFonts w:ascii="Arial" w:hAnsi="Arial"/>
                <w:b w:val="0"/>
                <w:bCs w:val="0"/>
                <w:sz w:val="20"/>
                <w:szCs w:val="20"/>
                <w:lang w:eastAsia="en-AU"/>
              </w:rPr>
              <w:t xml:space="preserve">The disposal method for the refinery </w:t>
            </w:r>
            <w:r w:rsidR="00926F0E">
              <w:rPr>
                <w:rFonts w:ascii="Arial" w:hAnsi="Arial"/>
                <w:b w:val="0"/>
                <w:bCs w:val="0"/>
                <w:sz w:val="20"/>
                <w:szCs w:val="20"/>
                <w:lang w:eastAsia="en-AU"/>
              </w:rPr>
              <w:t>waste</w:t>
            </w:r>
            <w:r w:rsidRPr="00C56F35">
              <w:rPr>
                <w:rFonts w:ascii="Arial" w:hAnsi="Arial"/>
                <w:b w:val="0"/>
                <w:bCs w:val="0"/>
                <w:sz w:val="20"/>
                <w:szCs w:val="20"/>
                <w:lang w:eastAsia="en-AU"/>
              </w:rPr>
              <w:t xml:space="preserve"> streams is yet to be determined, pending the outcome of further hydrometallurgical studies and impact assessments which are expected to be completed during 2019. Conceptually, the two disposal options for the refinery by-product streams are:</w:t>
            </w:r>
          </w:p>
          <w:p w14:paraId="2F2A9D53" w14:textId="77777777" w:rsidR="00FC3654" w:rsidRPr="00FC3654" w:rsidRDefault="00FC3654" w:rsidP="00FC3654"/>
          <w:p w14:paraId="3D1E3366" w14:textId="2CC366E3" w:rsidR="00C56F35" w:rsidRDefault="00550175" w:rsidP="00C70314">
            <w:pPr>
              <w:pStyle w:val="ListBullet"/>
              <w:numPr>
                <w:ilvl w:val="0"/>
                <w:numId w:val="43"/>
              </w:numPr>
              <w:jc w:val="both"/>
              <w:rPr>
                <w:b w:val="0"/>
                <w:bCs w:val="0"/>
              </w:rPr>
            </w:pPr>
            <w:r>
              <w:rPr>
                <w:b w:val="0"/>
                <w:bCs w:val="0"/>
              </w:rPr>
              <w:t>o</w:t>
            </w:r>
            <w:r w:rsidR="007A49AF">
              <w:rPr>
                <w:b w:val="0"/>
                <w:bCs w:val="0"/>
              </w:rPr>
              <w:t xml:space="preserve">ption A - </w:t>
            </w:r>
            <w:r w:rsidR="00C56F35" w:rsidRPr="00C56F35">
              <w:rPr>
                <w:b w:val="0"/>
                <w:bCs w:val="0"/>
              </w:rPr>
              <w:t xml:space="preserve">placed in engineered, lined cells within the Project site for permanent storage; (Figure </w:t>
            </w:r>
            <w:r w:rsidR="00FA2F27">
              <w:rPr>
                <w:b w:val="0"/>
                <w:bCs w:val="0"/>
              </w:rPr>
              <w:t>5</w:t>
            </w:r>
            <w:r w:rsidR="00C56F35" w:rsidRPr="00C56F35">
              <w:rPr>
                <w:b w:val="0"/>
                <w:bCs w:val="0"/>
              </w:rPr>
              <w:t>)</w:t>
            </w:r>
            <w:r w:rsidR="00D55D9A">
              <w:rPr>
                <w:b w:val="0"/>
                <w:bCs w:val="0"/>
              </w:rPr>
              <w:t>;</w:t>
            </w:r>
            <w:r w:rsidR="00C56F35" w:rsidRPr="00C56F35">
              <w:rPr>
                <w:b w:val="0"/>
                <w:bCs w:val="0"/>
              </w:rPr>
              <w:t xml:space="preserve"> or</w:t>
            </w:r>
          </w:p>
          <w:p w14:paraId="4AA6A0D4" w14:textId="380A53BC" w:rsidR="00C56F35" w:rsidRDefault="00550175" w:rsidP="00C70314">
            <w:pPr>
              <w:pStyle w:val="ListBullet"/>
              <w:numPr>
                <w:ilvl w:val="0"/>
                <w:numId w:val="43"/>
              </w:numPr>
              <w:jc w:val="both"/>
              <w:rPr>
                <w:b w:val="0"/>
                <w:bCs w:val="0"/>
              </w:rPr>
            </w:pPr>
            <w:r>
              <w:rPr>
                <w:b w:val="0"/>
                <w:bCs w:val="0"/>
              </w:rPr>
              <w:t>o</w:t>
            </w:r>
            <w:r w:rsidR="007A49AF">
              <w:rPr>
                <w:b w:val="0"/>
                <w:bCs w:val="0"/>
              </w:rPr>
              <w:t xml:space="preserve">ption B - </w:t>
            </w:r>
            <w:r w:rsidR="00C56F35" w:rsidRPr="00C56F35">
              <w:rPr>
                <w:b w:val="0"/>
                <w:bCs w:val="0"/>
              </w:rPr>
              <w:t xml:space="preserve">placed into the mine voids with the </w:t>
            </w:r>
            <w:r w:rsidR="00926F0E">
              <w:rPr>
                <w:b w:val="0"/>
                <w:bCs w:val="0"/>
              </w:rPr>
              <w:t>combined ore processing/MSP</w:t>
            </w:r>
            <w:r w:rsidR="00926F0E" w:rsidRPr="00C56F35">
              <w:rPr>
                <w:b w:val="0"/>
                <w:bCs w:val="0"/>
              </w:rPr>
              <w:t xml:space="preserve"> </w:t>
            </w:r>
            <w:r w:rsidR="00C56F35" w:rsidRPr="00C56F35">
              <w:rPr>
                <w:b w:val="0"/>
                <w:bCs w:val="0"/>
              </w:rPr>
              <w:t xml:space="preserve">tailings (Figure </w:t>
            </w:r>
            <w:r w:rsidR="00FA2F27">
              <w:rPr>
                <w:b w:val="0"/>
                <w:bCs w:val="0"/>
              </w:rPr>
              <w:t>6</w:t>
            </w:r>
            <w:r w:rsidR="00C56F35" w:rsidRPr="00C56F35">
              <w:rPr>
                <w:b w:val="0"/>
                <w:bCs w:val="0"/>
              </w:rPr>
              <w:t>).</w:t>
            </w:r>
          </w:p>
          <w:p w14:paraId="7347890B" w14:textId="7A857E1D" w:rsidR="006F22F4" w:rsidRPr="006F22F4" w:rsidRDefault="00550175" w:rsidP="00550175">
            <w:pPr>
              <w:pStyle w:val="BodyText"/>
              <w:spacing w:after="120"/>
              <w:jc w:val="both"/>
              <w:rPr>
                <w:rFonts w:ascii="Arial" w:hAnsi="Arial"/>
                <w:b w:val="0"/>
                <w:bCs w:val="0"/>
                <w:sz w:val="20"/>
                <w:szCs w:val="20"/>
                <w:lang w:eastAsia="en-AU"/>
              </w:rPr>
            </w:pPr>
            <w:r w:rsidRPr="00550175">
              <w:rPr>
                <w:rFonts w:ascii="Arial" w:hAnsi="Arial"/>
                <w:b w:val="0"/>
                <w:bCs w:val="0"/>
                <w:sz w:val="20"/>
                <w:szCs w:val="20"/>
                <w:lang w:eastAsia="en-AU"/>
              </w:rPr>
              <w:t xml:space="preserve">In option B, the refinery by-products will be mixed with the 9.6 </w:t>
            </w:r>
            <w:proofErr w:type="spellStart"/>
            <w:r w:rsidRPr="00550175">
              <w:rPr>
                <w:rFonts w:ascii="Arial" w:hAnsi="Arial"/>
                <w:b w:val="0"/>
                <w:bCs w:val="0"/>
                <w:sz w:val="20"/>
                <w:szCs w:val="20"/>
                <w:lang w:eastAsia="en-AU"/>
              </w:rPr>
              <w:t>Mtpa</w:t>
            </w:r>
            <w:proofErr w:type="spellEnd"/>
            <w:r w:rsidRPr="00550175">
              <w:rPr>
                <w:rFonts w:ascii="Arial" w:hAnsi="Arial"/>
                <w:b w:val="0"/>
                <w:bCs w:val="0"/>
                <w:sz w:val="20"/>
                <w:szCs w:val="20"/>
                <w:lang w:eastAsia="en-AU"/>
              </w:rPr>
              <w:t xml:space="preserve"> of combined ore processing and MSP tailings, thereby diluting the gypsum residue portion to approximately 1.6% of the overall by-product stream. This has the potential to dilute radioactivity levels to below the threshold for low-level radioactive waste, with the resultant combined tailing stream having a radioactivity lower than the ore prior to extraction.</w:t>
            </w:r>
          </w:p>
          <w:p w14:paraId="2D8E13A6" w14:textId="77777777" w:rsidR="00365621" w:rsidRDefault="006F22F4" w:rsidP="00365621">
            <w:pPr>
              <w:pStyle w:val="BodyText"/>
              <w:spacing w:after="120"/>
              <w:jc w:val="both"/>
              <w:rPr>
                <w:rFonts w:ascii="Arial" w:hAnsi="Arial"/>
                <w:b w:val="0"/>
                <w:bCs w:val="0"/>
                <w:sz w:val="20"/>
                <w:szCs w:val="20"/>
                <w:lang w:eastAsia="en-AU"/>
              </w:rPr>
            </w:pPr>
            <w:r w:rsidRPr="006F22F4">
              <w:rPr>
                <w:rFonts w:ascii="Arial" w:hAnsi="Arial"/>
                <w:b w:val="0"/>
                <w:bCs w:val="0"/>
                <w:sz w:val="20"/>
                <w:szCs w:val="20"/>
                <w:lang w:eastAsia="en-AU"/>
              </w:rPr>
              <w:t xml:space="preserve">Option B offers the benefit of no ongoing required maintenance of engineered structures after the rehabilitation phase. </w:t>
            </w:r>
          </w:p>
          <w:p w14:paraId="1A616821" w14:textId="0CC96808" w:rsidR="006F22F4" w:rsidRPr="006F22F4" w:rsidRDefault="00365621" w:rsidP="00A1077F">
            <w:pPr>
              <w:pStyle w:val="BodyText"/>
              <w:jc w:val="both"/>
              <w:rPr>
                <w:rFonts w:ascii="Arial" w:hAnsi="Arial"/>
                <w:b w:val="0"/>
                <w:bCs w:val="0"/>
                <w:sz w:val="20"/>
                <w:szCs w:val="20"/>
                <w:lang w:eastAsia="en-AU"/>
              </w:rPr>
            </w:pPr>
            <w:r w:rsidRPr="00C56F35">
              <w:rPr>
                <w:rFonts w:ascii="Arial" w:hAnsi="Arial"/>
                <w:b w:val="0"/>
                <w:bCs w:val="0"/>
                <w:sz w:val="20"/>
                <w:szCs w:val="20"/>
                <w:lang w:eastAsia="en-AU"/>
              </w:rPr>
              <w:t xml:space="preserve">The low-level radioactive waste will be permanently stored onsite </w:t>
            </w:r>
            <w:r>
              <w:rPr>
                <w:rFonts w:ascii="Arial" w:hAnsi="Arial"/>
                <w:b w:val="0"/>
                <w:bCs w:val="0"/>
                <w:sz w:val="20"/>
                <w:szCs w:val="20"/>
                <w:lang w:eastAsia="en-AU"/>
              </w:rPr>
              <w:t>in a manner that ensures e</w:t>
            </w:r>
            <w:r w:rsidRPr="00C56F35">
              <w:rPr>
                <w:rFonts w:ascii="Arial" w:hAnsi="Arial"/>
                <w:b w:val="0"/>
                <w:bCs w:val="0"/>
                <w:sz w:val="20"/>
                <w:szCs w:val="20"/>
                <w:lang w:eastAsia="en-AU"/>
              </w:rPr>
              <w:t>xposure to people and the environmental i</w:t>
            </w:r>
            <w:r>
              <w:rPr>
                <w:rFonts w:ascii="Arial" w:hAnsi="Arial"/>
                <w:b w:val="0"/>
                <w:bCs w:val="0"/>
                <w:sz w:val="20"/>
                <w:szCs w:val="20"/>
                <w:lang w:eastAsia="en-AU"/>
              </w:rPr>
              <w:t>s a</w:t>
            </w:r>
            <w:r w:rsidRPr="00C56F35">
              <w:rPr>
                <w:rFonts w:ascii="Arial" w:hAnsi="Arial"/>
                <w:b w:val="0"/>
                <w:bCs w:val="0"/>
                <w:sz w:val="20"/>
                <w:szCs w:val="20"/>
                <w:lang w:eastAsia="en-AU"/>
              </w:rPr>
              <w:t xml:space="preserve">s </w:t>
            </w:r>
            <w:r>
              <w:rPr>
                <w:rFonts w:ascii="Arial" w:hAnsi="Arial"/>
                <w:b w:val="0"/>
                <w:bCs w:val="0"/>
                <w:sz w:val="20"/>
                <w:szCs w:val="20"/>
                <w:lang w:eastAsia="en-AU"/>
              </w:rPr>
              <w:t>l</w:t>
            </w:r>
            <w:r w:rsidRPr="00C56F35">
              <w:rPr>
                <w:rFonts w:ascii="Arial" w:hAnsi="Arial"/>
                <w:b w:val="0"/>
                <w:bCs w:val="0"/>
                <w:sz w:val="20"/>
                <w:szCs w:val="20"/>
                <w:lang w:eastAsia="en-AU"/>
              </w:rPr>
              <w:t xml:space="preserve">ow </w:t>
            </w:r>
            <w:r>
              <w:rPr>
                <w:rFonts w:ascii="Arial" w:hAnsi="Arial"/>
                <w:b w:val="0"/>
                <w:bCs w:val="0"/>
                <w:sz w:val="20"/>
                <w:szCs w:val="20"/>
                <w:lang w:eastAsia="en-AU"/>
              </w:rPr>
              <w:t>a</w:t>
            </w:r>
            <w:r w:rsidRPr="00C56F35">
              <w:rPr>
                <w:rFonts w:ascii="Arial" w:hAnsi="Arial"/>
                <w:b w:val="0"/>
                <w:bCs w:val="0"/>
                <w:sz w:val="20"/>
                <w:szCs w:val="20"/>
                <w:lang w:eastAsia="en-AU"/>
              </w:rPr>
              <w:t xml:space="preserve">s </w:t>
            </w:r>
            <w:r>
              <w:rPr>
                <w:rFonts w:ascii="Arial" w:hAnsi="Arial"/>
                <w:b w:val="0"/>
                <w:bCs w:val="0"/>
                <w:sz w:val="20"/>
                <w:szCs w:val="20"/>
                <w:lang w:eastAsia="en-AU"/>
              </w:rPr>
              <w:t>r</w:t>
            </w:r>
            <w:r w:rsidRPr="00C56F35">
              <w:rPr>
                <w:rFonts w:ascii="Arial" w:hAnsi="Arial"/>
                <w:b w:val="0"/>
                <w:bCs w:val="0"/>
                <w:sz w:val="20"/>
                <w:szCs w:val="20"/>
                <w:lang w:eastAsia="en-AU"/>
              </w:rPr>
              <w:t xml:space="preserve">easonably </w:t>
            </w:r>
            <w:r>
              <w:rPr>
                <w:rFonts w:ascii="Arial" w:hAnsi="Arial"/>
                <w:b w:val="0"/>
                <w:bCs w:val="0"/>
                <w:sz w:val="20"/>
                <w:szCs w:val="20"/>
                <w:lang w:eastAsia="en-AU"/>
              </w:rPr>
              <w:t>a</w:t>
            </w:r>
            <w:r w:rsidRPr="00C56F35">
              <w:rPr>
                <w:rFonts w:ascii="Arial" w:hAnsi="Arial"/>
                <w:b w:val="0"/>
                <w:bCs w:val="0"/>
                <w:sz w:val="20"/>
                <w:szCs w:val="20"/>
                <w:lang w:eastAsia="en-AU"/>
              </w:rPr>
              <w:t xml:space="preserve">chievable (the ALARA principle), in accordance with </w:t>
            </w:r>
            <w:r w:rsidR="00550175">
              <w:rPr>
                <w:rFonts w:ascii="Arial" w:hAnsi="Arial"/>
                <w:b w:val="0"/>
                <w:bCs w:val="0"/>
                <w:sz w:val="20"/>
                <w:szCs w:val="20"/>
                <w:lang w:eastAsia="en-AU"/>
              </w:rPr>
              <w:t xml:space="preserve">Iluka’s </w:t>
            </w:r>
            <w:r w:rsidRPr="00C56F35">
              <w:rPr>
                <w:rFonts w:ascii="Arial" w:hAnsi="Arial"/>
                <w:b w:val="0"/>
                <w:bCs w:val="0"/>
                <w:sz w:val="20"/>
                <w:szCs w:val="20"/>
                <w:lang w:eastAsia="en-AU"/>
              </w:rPr>
              <w:t xml:space="preserve">Radiation Management Licence. </w:t>
            </w:r>
          </w:p>
          <w:p w14:paraId="25E47AA7" w14:textId="77777777" w:rsidR="00A737F4" w:rsidRDefault="00A737F4" w:rsidP="00A1077F">
            <w:pPr>
              <w:pStyle w:val="BodyText"/>
              <w:pBdr>
                <w:bottom w:val="single" w:sz="4" w:space="1" w:color="auto"/>
              </w:pBdr>
              <w:jc w:val="both"/>
              <w:rPr>
                <w:rFonts w:ascii="Arial" w:hAnsi="Arial"/>
                <w:b w:val="0"/>
                <w:bCs w:val="0"/>
                <w:sz w:val="20"/>
                <w:szCs w:val="20"/>
                <w:lang w:eastAsia="en-AU"/>
              </w:rPr>
            </w:pPr>
          </w:p>
          <w:p w14:paraId="1AB47A9D" w14:textId="6DEDB8BC" w:rsidR="00C56F35" w:rsidRPr="00C56F35" w:rsidRDefault="00A737F4" w:rsidP="005267B3">
            <w:pPr>
              <w:pStyle w:val="BodyText"/>
              <w:pBdr>
                <w:bottom w:val="single" w:sz="4" w:space="1" w:color="auto"/>
              </w:pBdr>
              <w:jc w:val="both"/>
              <w:rPr>
                <w:rFonts w:ascii="Arial" w:hAnsi="Arial"/>
                <w:b w:val="0"/>
                <w:bCs w:val="0"/>
                <w:sz w:val="20"/>
                <w:szCs w:val="20"/>
                <w:lang w:eastAsia="en-AU"/>
              </w:rPr>
            </w:pPr>
            <w:r>
              <w:rPr>
                <w:rFonts w:ascii="Arial" w:hAnsi="Arial"/>
                <w:b w:val="0"/>
                <w:bCs w:val="0"/>
                <w:sz w:val="20"/>
                <w:szCs w:val="20"/>
                <w:lang w:eastAsia="en-AU"/>
              </w:rPr>
              <w:t xml:space="preserve">Further detail about radiation management is provided </w:t>
            </w:r>
            <w:r w:rsidRPr="005267B3">
              <w:rPr>
                <w:rFonts w:ascii="Arial" w:hAnsi="Arial"/>
                <w:b w:val="0"/>
                <w:bCs w:val="0"/>
                <w:sz w:val="20"/>
                <w:szCs w:val="20"/>
                <w:lang w:eastAsia="en-AU"/>
              </w:rPr>
              <w:t>in Section</w:t>
            </w:r>
            <w:r w:rsidR="005267B3" w:rsidRPr="005267B3">
              <w:rPr>
                <w:rFonts w:ascii="Arial" w:hAnsi="Arial"/>
                <w:b w:val="0"/>
                <w:bCs w:val="0"/>
                <w:sz w:val="20"/>
                <w:szCs w:val="20"/>
                <w:lang w:eastAsia="en-AU"/>
              </w:rPr>
              <w:t>s 11</w:t>
            </w:r>
            <w:r w:rsidR="005267B3">
              <w:rPr>
                <w:rFonts w:ascii="Arial" w:hAnsi="Arial"/>
                <w:b w:val="0"/>
                <w:bCs w:val="0"/>
                <w:sz w:val="20"/>
                <w:szCs w:val="20"/>
                <w:lang w:eastAsia="en-AU"/>
              </w:rPr>
              <w:t>.2,</w:t>
            </w:r>
            <w:r w:rsidR="00550175" w:rsidRPr="005267B3">
              <w:rPr>
                <w:rFonts w:ascii="Arial" w:hAnsi="Arial"/>
                <w:b w:val="0"/>
                <w:bCs w:val="0"/>
                <w:sz w:val="20"/>
                <w:szCs w:val="20"/>
                <w:lang w:eastAsia="en-AU"/>
              </w:rPr>
              <w:t xml:space="preserve"> 1</w:t>
            </w:r>
            <w:r w:rsidR="005267B3" w:rsidRPr="005267B3">
              <w:rPr>
                <w:rFonts w:ascii="Arial" w:hAnsi="Arial"/>
                <w:b w:val="0"/>
                <w:bCs w:val="0"/>
                <w:sz w:val="20"/>
                <w:szCs w:val="20"/>
                <w:lang w:eastAsia="en-AU"/>
              </w:rPr>
              <w:t>6</w:t>
            </w:r>
            <w:r w:rsidR="00550175" w:rsidRPr="005267B3">
              <w:rPr>
                <w:rFonts w:ascii="Arial" w:hAnsi="Arial"/>
                <w:b w:val="0"/>
                <w:bCs w:val="0"/>
                <w:sz w:val="20"/>
                <w:szCs w:val="20"/>
                <w:lang w:eastAsia="en-AU"/>
              </w:rPr>
              <w:t>.2.2</w:t>
            </w:r>
            <w:r w:rsidR="005267B3">
              <w:rPr>
                <w:rFonts w:ascii="Arial" w:hAnsi="Arial"/>
                <w:b w:val="0"/>
                <w:bCs w:val="0"/>
                <w:sz w:val="20"/>
                <w:szCs w:val="20"/>
                <w:lang w:eastAsia="en-AU"/>
              </w:rPr>
              <w:t xml:space="preserve"> and 18.1.4</w:t>
            </w:r>
            <w:r w:rsidR="00550175" w:rsidRPr="005267B3">
              <w:rPr>
                <w:rFonts w:ascii="Arial" w:hAnsi="Arial"/>
                <w:b w:val="0"/>
                <w:bCs w:val="0"/>
                <w:sz w:val="20"/>
                <w:szCs w:val="20"/>
                <w:lang w:eastAsia="en-AU"/>
              </w:rPr>
              <w:t>.</w:t>
            </w:r>
            <w:r>
              <w:rPr>
                <w:rFonts w:ascii="Arial" w:hAnsi="Arial"/>
                <w:b w:val="0"/>
                <w:bCs w:val="0"/>
                <w:sz w:val="20"/>
                <w:szCs w:val="20"/>
                <w:lang w:eastAsia="en-AU"/>
              </w:rPr>
              <w:t xml:space="preserve"> </w:t>
            </w:r>
          </w:p>
        </w:tc>
      </w:tr>
      <w:tr w:rsidR="00C56F35" w:rsidRPr="004F5EA3" w14:paraId="3E3156BA" w14:textId="77777777" w:rsidTr="00FC3654">
        <w:trPr>
          <w:gridAfter w:val="1"/>
          <w:wAfter w:w="59" w:type="dxa"/>
        </w:trPr>
        <w:tc>
          <w:tcPr>
            <w:tcW w:w="8868" w:type="dxa"/>
            <w:tcBorders>
              <w:bottom w:val="nil"/>
            </w:tcBorders>
          </w:tcPr>
          <w:p w14:paraId="1668AFB6" w14:textId="165BF7C0" w:rsidR="00C56F35" w:rsidRPr="00C56F35" w:rsidRDefault="00C56F35" w:rsidP="00C56F35">
            <w:pPr>
              <w:pStyle w:val="Heading3"/>
              <w:keepLines/>
              <w:numPr>
                <w:ilvl w:val="2"/>
                <w:numId w:val="0"/>
              </w:numPr>
              <w:spacing w:before="240" w:after="240"/>
              <w:ind w:left="851" w:hanging="851"/>
              <w:jc w:val="both"/>
              <w:rPr>
                <w:sz w:val="20"/>
              </w:rPr>
            </w:pPr>
            <w:r>
              <w:rPr>
                <w:sz w:val="20"/>
              </w:rPr>
              <w:lastRenderedPageBreak/>
              <w:t>3.6.</w:t>
            </w:r>
            <w:r w:rsidR="00550175">
              <w:rPr>
                <w:sz w:val="20"/>
              </w:rPr>
              <w:t>8</w:t>
            </w:r>
            <w:r>
              <w:rPr>
                <w:sz w:val="20"/>
              </w:rPr>
              <w:t xml:space="preserve"> </w:t>
            </w:r>
            <w:r w:rsidRPr="00C56F35">
              <w:rPr>
                <w:sz w:val="20"/>
              </w:rPr>
              <w:t xml:space="preserve">Material transport </w:t>
            </w:r>
          </w:p>
          <w:p w14:paraId="4929840D" w14:textId="77777777" w:rsidR="00C56F35" w:rsidRDefault="00C56F35" w:rsidP="00A1077F">
            <w:pPr>
              <w:pStyle w:val="BodyText"/>
              <w:spacing w:after="120"/>
              <w:jc w:val="both"/>
              <w:rPr>
                <w:rFonts w:ascii="Arial" w:hAnsi="Arial"/>
                <w:b w:val="0"/>
                <w:bCs w:val="0"/>
                <w:sz w:val="20"/>
                <w:szCs w:val="20"/>
                <w:lang w:eastAsia="en-AU"/>
              </w:rPr>
            </w:pPr>
            <w:bookmarkStart w:id="41" w:name="_Hlk8974576"/>
            <w:r w:rsidRPr="00C56F35">
              <w:rPr>
                <w:rFonts w:ascii="Arial" w:hAnsi="Arial"/>
                <w:b w:val="0"/>
                <w:bCs w:val="0"/>
                <w:sz w:val="20"/>
                <w:szCs w:val="20"/>
                <w:lang w:eastAsia="en-AU"/>
              </w:rPr>
              <w:t xml:space="preserve">Processing plant/refinery chemicals, and potentially gas, will be sourced from a range of locations and transported </w:t>
            </w:r>
            <w:r w:rsidR="00597BD0">
              <w:rPr>
                <w:rFonts w:ascii="Arial" w:hAnsi="Arial"/>
                <w:b w:val="0"/>
                <w:bCs w:val="0"/>
                <w:sz w:val="20"/>
                <w:szCs w:val="20"/>
                <w:lang w:eastAsia="en-AU"/>
              </w:rPr>
              <w:t xml:space="preserve">to the site </w:t>
            </w:r>
            <w:r w:rsidRPr="00C56F35">
              <w:rPr>
                <w:rFonts w:ascii="Arial" w:hAnsi="Arial"/>
                <w:b w:val="0"/>
                <w:bCs w:val="0"/>
                <w:sz w:val="20"/>
                <w:szCs w:val="20"/>
                <w:lang w:eastAsia="en-AU"/>
              </w:rPr>
              <w:t>via road and/or rail. A gas pipeline to the site may be constructed</w:t>
            </w:r>
            <w:r w:rsidR="002851F8">
              <w:rPr>
                <w:rFonts w:ascii="Arial" w:hAnsi="Arial"/>
                <w:b w:val="0"/>
                <w:bCs w:val="0"/>
                <w:sz w:val="20"/>
                <w:szCs w:val="20"/>
                <w:lang w:eastAsia="en-AU"/>
              </w:rPr>
              <w:t>.</w:t>
            </w:r>
          </w:p>
          <w:p w14:paraId="58BBC3A2" w14:textId="77777777" w:rsidR="00C56F35" w:rsidRDefault="00C56F35" w:rsidP="00A1077F">
            <w:pPr>
              <w:pStyle w:val="BodyText"/>
              <w:spacing w:after="120"/>
              <w:jc w:val="both"/>
              <w:rPr>
                <w:rFonts w:ascii="Arial" w:hAnsi="Arial"/>
                <w:b w:val="0"/>
                <w:bCs w:val="0"/>
                <w:sz w:val="20"/>
                <w:szCs w:val="20"/>
                <w:lang w:eastAsia="en-AU"/>
              </w:rPr>
            </w:pPr>
            <w:r w:rsidRPr="00C56F35">
              <w:rPr>
                <w:rFonts w:ascii="Arial" w:hAnsi="Arial"/>
                <w:b w:val="0"/>
                <w:bCs w:val="0"/>
                <w:sz w:val="20"/>
                <w:szCs w:val="20"/>
                <w:lang w:eastAsia="en-AU"/>
              </w:rPr>
              <w:t>Mine products will be transported via road and/or rail to port for export, most likely from Iluka’s existing facilities at Portland.</w:t>
            </w:r>
          </w:p>
          <w:p w14:paraId="364D00AF" w14:textId="4ADEF9F4" w:rsidR="00A737F4" w:rsidRDefault="00A737F4" w:rsidP="00A1077F">
            <w:pPr>
              <w:pStyle w:val="BodyText"/>
              <w:spacing w:after="120"/>
              <w:jc w:val="both"/>
              <w:rPr>
                <w:rFonts w:ascii="Arial" w:hAnsi="Arial"/>
                <w:b w:val="0"/>
                <w:bCs w:val="0"/>
                <w:sz w:val="20"/>
                <w:szCs w:val="20"/>
                <w:lang w:eastAsia="en-AU"/>
              </w:rPr>
            </w:pPr>
            <w:r w:rsidRPr="00C56F35">
              <w:rPr>
                <w:rFonts w:ascii="Arial" w:hAnsi="Arial"/>
                <w:b w:val="0"/>
                <w:bCs w:val="0"/>
                <w:sz w:val="20"/>
                <w:szCs w:val="20"/>
                <w:lang w:eastAsia="en-AU"/>
              </w:rPr>
              <w:t xml:space="preserve">The zircon and rare earth products are expected to have an activity content over 1 </w:t>
            </w:r>
            <w:proofErr w:type="spellStart"/>
            <w:r w:rsidRPr="00C56F35">
              <w:rPr>
                <w:rFonts w:ascii="Arial" w:hAnsi="Arial"/>
                <w:b w:val="0"/>
                <w:bCs w:val="0"/>
                <w:sz w:val="20"/>
                <w:szCs w:val="20"/>
                <w:lang w:eastAsia="en-AU"/>
              </w:rPr>
              <w:t>Bq</w:t>
            </w:r>
            <w:proofErr w:type="spellEnd"/>
            <w:r w:rsidRPr="00C56F35">
              <w:rPr>
                <w:rFonts w:ascii="Arial" w:hAnsi="Arial"/>
                <w:b w:val="0"/>
                <w:bCs w:val="0"/>
                <w:sz w:val="20"/>
                <w:szCs w:val="20"/>
                <w:lang w:eastAsia="en-AU"/>
              </w:rPr>
              <w:t xml:space="preserve">/g and would therefore </w:t>
            </w:r>
            <w:r w:rsidR="00E4149D">
              <w:rPr>
                <w:rFonts w:ascii="Arial" w:hAnsi="Arial"/>
                <w:b w:val="0"/>
                <w:bCs w:val="0"/>
                <w:sz w:val="20"/>
                <w:szCs w:val="20"/>
                <w:lang w:eastAsia="en-AU"/>
              </w:rPr>
              <w:t>meet the definition of</w:t>
            </w:r>
            <w:r w:rsidRPr="00C56F35">
              <w:rPr>
                <w:rFonts w:ascii="Arial" w:hAnsi="Arial"/>
                <w:b w:val="0"/>
                <w:bCs w:val="0"/>
                <w:sz w:val="20"/>
                <w:szCs w:val="20"/>
                <w:lang w:eastAsia="en-AU"/>
              </w:rPr>
              <w:t xml:space="preserve"> radioactive</w:t>
            </w:r>
            <w:r w:rsidR="00E4149D">
              <w:rPr>
                <w:rFonts w:ascii="Arial" w:hAnsi="Arial"/>
                <w:b w:val="0"/>
                <w:bCs w:val="0"/>
                <w:sz w:val="20"/>
                <w:szCs w:val="20"/>
                <w:lang w:eastAsia="en-AU"/>
              </w:rPr>
              <w:t xml:space="preserve"> material</w:t>
            </w:r>
            <w:r w:rsidR="003A2ABA">
              <w:rPr>
                <w:rFonts w:ascii="Arial" w:hAnsi="Arial"/>
                <w:b w:val="0"/>
                <w:bCs w:val="0"/>
                <w:sz w:val="20"/>
                <w:szCs w:val="20"/>
                <w:lang w:eastAsia="en-AU"/>
              </w:rPr>
              <w:t xml:space="preserve"> in accordance with the </w:t>
            </w:r>
            <w:r w:rsidR="003A2ABA" w:rsidRPr="00A1077F">
              <w:rPr>
                <w:rFonts w:ascii="Arial" w:hAnsi="Arial"/>
                <w:b w:val="0"/>
                <w:bCs w:val="0"/>
                <w:i/>
                <w:sz w:val="20"/>
                <w:szCs w:val="20"/>
                <w:lang w:eastAsia="en-AU"/>
              </w:rPr>
              <w:t>Radiation Act 2005</w:t>
            </w:r>
            <w:r w:rsidR="003A2ABA">
              <w:rPr>
                <w:rFonts w:ascii="Arial" w:hAnsi="Arial"/>
                <w:b w:val="0"/>
                <w:bCs w:val="0"/>
                <w:sz w:val="20"/>
                <w:szCs w:val="20"/>
                <w:lang w:eastAsia="en-AU"/>
              </w:rPr>
              <w:t xml:space="preserve"> and associated </w:t>
            </w:r>
            <w:r w:rsidR="003A2ABA" w:rsidRPr="003A2ABA">
              <w:rPr>
                <w:rFonts w:ascii="Arial" w:hAnsi="Arial"/>
                <w:b w:val="0"/>
                <w:bCs w:val="0"/>
                <w:i/>
                <w:sz w:val="20"/>
                <w:szCs w:val="20"/>
                <w:lang w:eastAsia="en-AU"/>
              </w:rPr>
              <w:t>Radiation R</w:t>
            </w:r>
            <w:r w:rsidR="003A2ABA" w:rsidRPr="00A1077F">
              <w:rPr>
                <w:rFonts w:ascii="Arial" w:hAnsi="Arial"/>
                <w:b w:val="0"/>
                <w:bCs w:val="0"/>
                <w:i/>
                <w:sz w:val="20"/>
                <w:szCs w:val="20"/>
                <w:lang w:eastAsia="en-AU"/>
              </w:rPr>
              <w:t>egulations 201</w:t>
            </w:r>
            <w:r w:rsidR="003A2ABA">
              <w:rPr>
                <w:rFonts w:ascii="Arial" w:hAnsi="Arial"/>
                <w:b w:val="0"/>
                <w:bCs w:val="0"/>
                <w:sz w:val="20"/>
                <w:szCs w:val="20"/>
                <w:lang w:eastAsia="en-AU"/>
              </w:rPr>
              <w:t>7</w:t>
            </w:r>
            <w:r w:rsidRPr="00C56F35">
              <w:rPr>
                <w:rFonts w:ascii="Arial" w:hAnsi="Arial"/>
                <w:b w:val="0"/>
                <w:bCs w:val="0"/>
                <w:sz w:val="20"/>
                <w:szCs w:val="20"/>
                <w:lang w:eastAsia="en-AU"/>
              </w:rPr>
              <w:t>. These products will be temporar</w:t>
            </w:r>
            <w:r w:rsidR="004C7F04">
              <w:rPr>
                <w:rFonts w:ascii="Arial" w:hAnsi="Arial"/>
                <w:b w:val="0"/>
                <w:bCs w:val="0"/>
                <w:sz w:val="20"/>
                <w:szCs w:val="20"/>
                <w:lang w:eastAsia="en-AU"/>
              </w:rPr>
              <w:t>il</w:t>
            </w:r>
            <w:r w:rsidRPr="00C56F35">
              <w:rPr>
                <w:rFonts w:ascii="Arial" w:hAnsi="Arial"/>
                <w:b w:val="0"/>
                <w:bCs w:val="0"/>
                <w:sz w:val="20"/>
                <w:szCs w:val="20"/>
                <w:lang w:eastAsia="en-AU"/>
              </w:rPr>
              <w:t>y stored at site prior to transport</w:t>
            </w:r>
            <w:r>
              <w:rPr>
                <w:rFonts w:ascii="Arial" w:hAnsi="Arial"/>
                <w:b w:val="0"/>
                <w:bCs w:val="0"/>
                <w:sz w:val="20"/>
                <w:szCs w:val="20"/>
                <w:lang w:eastAsia="en-AU"/>
              </w:rPr>
              <w:t>.</w:t>
            </w:r>
          </w:p>
          <w:p w14:paraId="43200374" w14:textId="7C2071B9" w:rsidR="00C56F35" w:rsidRPr="00C56F35" w:rsidRDefault="00C56F35" w:rsidP="00AA57F3">
            <w:pPr>
              <w:pStyle w:val="BodyText"/>
              <w:spacing w:after="120"/>
              <w:jc w:val="both"/>
              <w:rPr>
                <w:rFonts w:ascii="Arial" w:hAnsi="Arial"/>
                <w:b w:val="0"/>
              </w:rPr>
            </w:pPr>
            <w:r w:rsidRPr="00C56F35">
              <w:rPr>
                <w:rFonts w:ascii="Arial" w:hAnsi="Arial"/>
                <w:b w:val="0"/>
                <w:bCs w:val="0"/>
                <w:sz w:val="20"/>
                <w:szCs w:val="20"/>
                <w:lang w:eastAsia="en-AU"/>
              </w:rPr>
              <w:t xml:space="preserve">The likely transport routes and potential traffic impacts will be determined as part of </w:t>
            </w:r>
            <w:r w:rsidR="00900ED3">
              <w:rPr>
                <w:rFonts w:ascii="Arial" w:hAnsi="Arial"/>
                <w:b w:val="0"/>
                <w:bCs w:val="0"/>
                <w:sz w:val="20"/>
                <w:szCs w:val="20"/>
                <w:lang w:eastAsia="en-AU"/>
              </w:rPr>
              <w:t xml:space="preserve">Iluka’s </w:t>
            </w:r>
            <w:r w:rsidR="00AA57F3">
              <w:rPr>
                <w:rFonts w:ascii="Arial" w:hAnsi="Arial"/>
                <w:b w:val="0"/>
                <w:bCs w:val="0"/>
                <w:sz w:val="20"/>
                <w:szCs w:val="20"/>
                <w:lang w:eastAsia="en-AU"/>
              </w:rPr>
              <w:t>preliminary</w:t>
            </w:r>
            <w:r w:rsidR="004C7F04">
              <w:rPr>
                <w:rFonts w:ascii="Arial" w:hAnsi="Arial"/>
                <w:b w:val="0"/>
                <w:bCs w:val="0"/>
                <w:sz w:val="20"/>
                <w:szCs w:val="20"/>
                <w:lang w:eastAsia="en-AU"/>
              </w:rPr>
              <w:t xml:space="preserve"> design and impact assessment</w:t>
            </w:r>
            <w:r w:rsidRPr="00C56F35">
              <w:rPr>
                <w:rFonts w:ascii="Arial" w:hAnsi="Arial"/>
                <w:b w:val="0"/>
                <w:bCs w:val="0"/>
                <w:sz w:val="20"/>
                <w:szCs w:val="20"/>
                <w:lang w:eastAsia="en-AU"/>
              </w:rPr>
              <w:t xml:space="preserve">. </w:t>
            </w:r>
            <w:bookmarkEnd w:id="41"/>
          </w:p>
        </w:tc>
      </w:tr>
      <w:tr w:rsidR="00C56F35" w:rsidRPr="004F5EA3" w14:paraId="15EDDB86" w14:textId="77777777" w:rsidTr="00FC3654">
        <w:trPr>
          <w:gridAfter w:val="1"/>
          <w:wAfter w:w="59" w:type="dxa"/>
        </w:trPr>
        <w:tc>
          <w:tcPr>
            <w:tcW w:w="8868" w:type="dxa"/>
            <w:tcBorders>
              <w:top w:val="nil"/>
            </w:tcBorders>
          </w:tcPr>
          <w:p w14:paraId="05D8F265" w14:textId="60B483D3" w:rsidR="00D73243" w:rsidRPr="00D73243" w:rsidRDefault="00D73243" w:rsidP="00D73243">
            <w:pPr>
              <w:pStyle w:val="Heading3"/>
              <w:keepLines/>
              <w:numPr>
                <w:ilvl w:val="2"/>
                <w:numId w:val="0"/>
              </w:numPr>
              <w:spacing w:before="240" w:after="240"/>
              <w:ind w:left="851" w:hanging="851"/>
              <w:jc w:val="both"/>
              <w:rPr>
                <w:sz w:val="20"/>
              </w:rPr>
            </w:pPr>
            <w:r>
              <w:rPr>
                <w:sz w:val="20"/>
              </w:rPr>
              <w:t>3.6.</w:t>
            </w:r>
            <w:r w:rsidR="00550175">
              <w:rPr>
                <w:sz w:val="20"/>
              </w:rPr>
              <w:t>9</w:t>
            </w:r>
            <w:r>
              <w:rPr>
                <w:sz w:val="20"/>
              </w:rPr>
              <w:t xml:space="preserve"> </w:t>
            </w:r>
            <w:r w:rsidRPr="00D73243">
              <w:rPr>
                <w:sz w:val="20"/>
              </w:rPr>
              <w:t>Water supply</w:t>
            </w:r>
          </w:p>
          <w:p w14:paraId="6ED7B17B" w14:textId="77777777" w:rsidR="00D73243" w:rsidRPr="00D73243" w:rsidRDefault="00D73243" w:rsidP="00D111ED">
            <w:pPr>
              <w:pStyle w:val="BodyText"/>
              <w:spacing w:after="120"/>
              <w:jc w:val="both"/>
              <w:rPr>
                <w:rFonts w:ascii="Arial" w:hAnsi="Arial"/>
                <w:b w:val="0"/>
                <w:bCs w:val="0"/>
                <w:sz w:val="20"/>
                <w:szCs w:val="20"/>
                <w:lang w:eastAsia="en-AU"/>
              </w:rPr>
            </w:pPr>
            <w:bookmarkStart w:id="42" w:name="_Hlk8974524"/>
            <w:r w:rsidRPr="00D73243">
              <w:rPr>
                <w:rFonts w:ascii="Arial" w:hAnsi="Arial"/>
                <w:b w:val="0"/>
                <w:bCs w:val="0"/>
                <w:sz w:val="20"/>
                <w:szCs w:val="20"/>
                <w:lang w:eastAsia="en-AU"/>
              </w:rPr>
              <w:t>An overall process and site water balance is being developed. However, it is anticipated that the mine will require approximately 5.5 gigalitres (GL) per year of water, primarily for mineral processing, tailings disposal, dust suppression and rehabilitation with the bulk being required for processing.</w:t>
            </w:r>
          </w:p>
          <w:p w14:paraId="63C09CA4" w14:textId="77777777" w:rsidR="00D73243" w:rsidRPr="00D73243" w:rsidRDefault="00D73243" w:rsidP="00D111ED">
            <w:pPr>
              <w:pStyle w:val="BodyText"/>
              <w:spacing w:after="120"/>
              <w:jc w:val="both"/>
              <w:rPr>
                <w:rFonts w:ascii="Arial" w:hAnsi="Arial"/>
                <w:b w:val="0"/>
                <w:bCs w:val="0"/>
                <w:sz w:val="20"/>
                <w:szCs w:val="20"/>
                <w:lang w:eastAsia="en-AU"/>
              </w:rPr>
            </w:pPr>
            <w:r w:rsidRPr="00D73243">
              <w:rPr>
                <w:rFonts w:ascii="Arial" w:hAnsi="Arial"/>
                <w:b w:val="0"/>
                <w:bCs w:val="0"/>
                <w:sz w:val="20"/>
                <w:szCs w:val="20"/>
                <w:lang w:eastAsia="en-AU"/>
              </w:rPr>
              <w:t xml:space="preserve">Potential sources of water include: </w:t>
            </w:r>
          </w:p>
          <w:p w14:paraId="6F461B36" w14:textId="77777777" w:rsidR="00D73243" w:rsidRPr="00C70314" w:rsidRDefault="00D73243" w:rsidP="00C70314">
            <w:pPr>
              <w:pStyle w:val="ListBullet"/>
              <w:numPr>
                <w:ilvl w:val="0"/>
                <w:numId w:val="43"/>
              </w:numPr>
              <w:jc w:val="both"/>
              <w:rPr>
                <w:b w:val="0"/>
                <w:bCs w:val="0"/>
              </w:rPr>
            </w:pPr>
            <w:r w:rsidRPr="00C70314">
              <w:rPr>
                <w:b w:val="0"/>
                <w:bCs w:val="0"/>
              </w:rPr>
              <w:t>the Rocklands Reservoir (using the existing Douglas mine allocation of 5 GL per year</w:t>
            </w:r>
            <w:r w:rsidR="0092727F" w:rsidRPr="00C70314">
              <w:rPr>
                <w:b w:val="0"/>
                <w:bCs w:val="0"/>
              </w:rPr>
              <w:t xml:space="preserve">, </w:t>
            </w:r>
            <w:r w:rsidRPr="00C70314">
              <w:rPr>
                <w:b w:val="0"/>
                <w:bCs w:val="0"/>
              </w:rPr>
              <w:t xml:space="preserve">subject to an approved licence transfer); </w:t>
            </w:r>
          </w:p>
          <w:p w14:paraId="6F8EEC70" w14:textId="77777777" w:rsidR="00D73243" w:rsidRPr="00C70314" w:rsidRDefault="00D73243" w:rsidP="00C70314">
            <w:pPr>
              <w:pStyle w:val="ListBullet"/>
              <w:numPr>
                <w:ilvl w:val="0"/>
                <w:numId w:val="43"/>
              </w:numPr>
              <w:jc w:val="both"/>
              <w:rPr>
                <w:b w:val="0"/>
                <w:bCs w:val="0"/>
              </w:rPr>
            </w:pPr>
            <w:r w:rsidRPr="00C70314">
              <w:rPr>
                <w:b w:val="0"/>
                <w:bCs w:val="0"/>
              </w:rPr>
              <w:t xml:space="preserve">the </w:t>
            </w:r>
            <w:r w:rsidR="00D111ED" w:rsidRPr="00C70314">
              <w:rPr>
                <w:b w:val="0"/>
                <w:bCs w:val="0"/>
              </w:rPr>
              <w:t xml:space="preserve">existing </w:t>
            </w:r>
            <w:proofErr w:type="spellStart"/>
            <w:r w:rsidRPr="00C70314">
              <w:rPr>
                <w:b w:val="0"/>
                <w:bCs w:val="0"/>
              </w:rPr>
              <w:t>Strathlynn</w:t>
            </w:r>
            <w:proofErr w:type="spellEnd"/>
            <w:r w:rsidRPr="00C70314">
              <w:rPr>
                <w:b w:val="0"/>
                <w:bCs w:val="0"/>
              </w:rPr>
              <w:t xml:space="preserve"> </w:t>
            </w:r>
            <w:proofErr w:type="spellStart"/>
            <w:r w:rsidRPr="00C70314">
              <w:rPr>
                <w:b w:val="0"/>
                <w:bCs w:val="0"/>
              </w:rPr>
              <w:t>Borefield</w:t>
            </w:r>
            <w:proofErr w:type="spellEnd"/>
            <w:r w:rsidRPr="00C70314">
              <w:rPr>
                <w:b w:val="0"/>
                <w:bCs w:val="0"/>
              </w:rPr>
              <w:t xml:space="preserve"> (using the existing Douglas mine allocation of 3 GL per year</w:t>
            </w:r>
            <w:r w:rsidR="0092727F" w:rsidRPr="00C70314">
              <w:rPr>
                <w:b w:val="0"/>
                <w:bCs w:val="0"/>
              </w:rPr>
              <w:t xml:space="preserve">, </w:t>
            </w:r>
            <w:r w:rsidRPr="00C70314">
              <w:rPr>
                <w:b w:val="0"/>
                <w:bCs w:val="0"/>
              </w:rPr>
              <w:t xml:space="preserve">subject to an approved licence transfer); and </w:t>
            </w:r>
          </w:p>
          <w:p w14:paraId="59116E69" w14:textId="77777777" w:rsidR="00D73243" w:rsidRPr="00C70314" w:rsidRDefault="00D73243" w:rsidP="00C70314">
            <w:pPr>
              <w:pStyle w:val="ListBullet"/>
              <w:numPr>
                <w:ilvl w:val="0"/>
                <w:numId w:val="43"/>
              </w:numPr>
              <w:jc w:val="both"/>
              <w:rPr>
                <w:b w:val="0"/>
                <w:bCs w:val="0"/>
              </w:rPr>
            </w:pPr>
            <w:r w:rsidRPr="00C70314">
              <w:rPr>
                <w:b w:val="0"/>
                <w:bCs w:val="0"/>
              </w:rPr>
              <w:t xml:space="preserve">a new </w:t>
            </w:r>
            <w:proofErr w:type="spellStart"/>
            <w:r w:rsidRPr="00C70314">
              <w:rPr>
                <w:b w:val="0"/>
                <w:bCs w:val="0"/>
              </w:rPr>
              <w:t>borefield</w:t>
            </w:r>
            <w:proofErr w:type="spellEnd"/>
            <w:r w:rsidRPr="00C70314">
              <w:rPr>
                <w:b w:val="0"/>
                <w:bCs w:val="0"/>
              </w:rPr>
              <w:t xml:space="preserve"> closer to the Project mine site. </w:t>
            </w:r>
          </w:p>
          <w:p w14:paraId="0CC59760" w14:textId="697582FD" w:rsidR="0092727F" w:rsidRDefault="00D73243" w:rsidP="00D111ED">
            <w:pPr>
              <w:pStyle w:val="BodyText"/>
              <w:spacing w:after="120"/>
              <w:jc w:val="both"/>
            </w:pPr>
            <w:r w:rsidRPr="00D73243">
              <w:rPr>
                <w:rFonts w:ascii="Arial" w:hAnsi="Arial"/>
                <w:b w:val="0"/>
                <w:bCs w:val="0"/>
                <w:sz w:val="20"/>
                <w:szCs w:val="20"/>
                <w:lang w:eastAsia="en-AU"/>
              </w:rPr>
              <w:t>Discussions with Grampians Wimmera Mallee Water have commenced regarding the infrastructure required to deliver water to the Project site. The preferred option includes a new pipeline connected into the existing Rocklands-Douglas pipeline close to the Douglas mine</w:t>
            </w:r>
            <w:r w:rsidR="00D111ED">
              <w:rPr>
                <w:rFonts w:ascii="Arial" w:hAnsi="Arial"/>
                <w:b w:val="0"/>
                <w:bCs w:val="0"/>
                <w:sz w:val="20"/>
                <w:szCs w:val="20"/>
                <w:lang w:eastAsia="en-AU"/>
              </w:rPr>
              <w:t xml:space="preserve"> to utilise the existing Rocklands Reservoir and </w:t>
            </w:r>
            <w:proofErr w:type="spellStart"/>
            <w:r w:rsidR="00D111ED">
              <w:rPr>
                <w:rFonts w:ascii="Arial" w:hAnsi="Arial"/>
                <w:b w:val="0"/>
                <w:bCs w:val="0"/>
                <w:sz w:val="20"/>
                <w:szCs w:val="20"/>
                <w:lang w:eastAsia="en-AU"/>
              </w:rPr>
              <w:t>Strathlynn</w:t>
            </w:r>
            <w:proofErr w:type="spellEnd"/>
            <w:r w:rsidR="00D111ED">
              <w:rPr>
                <w:rFonts w:ascii="Arial" w:hAnsi="Arial"/>
                <w:b w:val="0"/>
                <w:bCs w:val="0"/>
                <w:sz w:val="20"/>
                <w:szCs w:val="20"/>
                <w:lang w:eastAsia="en-AU"/>
              </w:rPr>
              <w:t xml:space="preserve"> </w:t>
            </w:r>
            <w:proofErr w:type="spellStart"/>
            <w:r w:rsidR="00D111ED">
              <w:rPr>
                <w:rFonts w:ascii="Arial" w:hAnsi="Arial"/>
                <w:b w:val="0"/>
                <w:bCs w:val="0"/>
                <w:sz w:val="20"/>
                <w:szCs w:val="20"/>
                <w:lang w:eastAsia="en-AU"/>
              </w:rPr>
              <w:t>Borefield</w:t>
            </w:r>
            <w:proofErr w:type="spellEnd"/>
            <w:r w:rsidR="00D111ED">
              <w:rPr>
                <w:rFonts w:ascii="Arial" w:hAnsi="Arial"/>
                <w:b w:val="0"/>
                <w:bCs w:val="0"/>
                <w:sz w:val="20"/>
                <w:szCs w:val="20"/>
                <w:lang w:eastAsia="en-AU"/>
              </w:rPr>
              <w:t xml:space="preserve"> allocations</w:t>
            </w:r>
            <w:r w:rsidRPr="00D73243">
              <w:rPr>
                <w:rFonts w:ascii="Arial" w:hAnsi="Arial"/>
                <w:b w:val="0"/>
                <w:bCs w:val="0"/>
                <w:sz w:val="20"/>
                <w:szCs w:val="20"/>
                <w:lang w:eastAsia="en-AU"/>
              </w:rPr>
              <w:t xml:space="preserve">. </w:t>
            </w:r>
            <w:proofErr w:type="spellStart"/>
            <w:r w:rsidR="00FA09D6">
              <w:rPr>
                <w:rFonts w:ascii="Arial" w:hAnsi="Arial"/>
                <w:b w:val="0"/>
                <w:bCs w:val="0"/>
                <w:sz w:val="20"/>
                <w:szCs w:val="20"/>
                <w:lang w:eastAsia="en-AU"/>
              </w:rPr>
              <w:t>GWMWater</w:t>
            </w:r>
            <w:proofErr w:type="spellEnd"/>
            <w:r w:rsidR="00FA09D6">
              <w:rPr>
                <w:rFonts w:ascii="Arial" w:hAnsi="Arial"/>
                <w:b w:val="0"/>
                <w:bCs w:val="0"/>
                <w:sz w:val="20"/>
                <w:szCs w:val="20"/>
                <w:lang w:eastAsia="en-AU"/>
              </w:rPr>
              <w:t xml:space="preserve"> are currently undertaking a reliability study to determine the required size of allocation to guarantee the water supply for the </w:t>
            </w:r>
            <w:r w:rsidR="00D02516">
              <w:rPr>
                <w:rFonts w:ascii="Arial" w:hAnsi="Arial"/>
                <w:b w:val="0"/>
                <w:bCs w:val="0"/>
                <w:sz w:val="20"/>
                <w:szCs w:val="20"/>
                <w:lang w:eastAsia="en-AU"/>
              </w:rPr>
              <w:t>Project</w:t>
            </w:r>
            <w:r w:rsidR="00FA09D6">
              <w:rPr>
                <w:rFonts w:ascii="Arial" w:hAnsi="Arial"/>
                <w:b w:val="0"/>
                <w:bCs w:val="0"/>
                <w:sz w:val="20"/>
                <w:szCs w:val="20"/>
                <w:lang w:eastAsia="en-AU"/>
              </w:rPr>
              <w:t>.</w:t>
            </w:r>
          </w:p>
          <w:p w14:paraId="0B912DD5" w14:textId="09925081" w:rsidR="005C32FF" w:rsidRDefault="005C32FF" w:rsidP="005C32FF">
            <w:pPr>
              <w:pStyle w:val="BodyText"/>
              <w:spacing w:after="120"/>
              <w:jc w:val="both"/>
              <w:rPr>
                <w:rFonts w:ascii="Arial" w:hAnsi="Arial"/>
                <w:b w:val="0"/>
                <w:bCs w:val="0"/>
                <w:sz w:val="20"/>
                <w:szCs w:val="20"/>
                <w:lang w:eastAsia="en-AU"/>
              </w:rPr>
            </w:pPr>
            <w:r w:rsidRPr="005C32FF">
              <w:rPr>
                <w:rFonts w:ascii="Arial" w:hAnsi="Arial"/>
                <w:b w:val="0"/>
                <w:bCs w:val="0"/>
                <w:sz w:val="20"/>
                <w:szCs w:val="20"/>
                <w:lang w:eastAsia="en-AU"/>
              </w:rPr>
              <w:t>Dewatering of the mine pits will be required to allow mining of ore below the groundwater table. Any excess groundwater not utilised for processing or dust suppression will be returned to the aquifer via infiltration or, if the need is determined, via re-injection, and will offset total water demand.</w:t>
            </w:r>
          </w:p>
          <w:p w14:paraId="0C1B611E" w14:textId="77777777" w:rsidR="00D73243" w:rsidRPr="00D73243" w:rsidRDefault="00D73243" w:rsidP="00D111ED">
            <w:pPr>
              <w:pStyle w:val="BodyText"/>
              <w:spacing w:after="120"/>
              <w:jc w:val="both"/>
              <w:rPr>
                <w:rFonts w:ascii="Arial" w:hAnsi="Arial"/>
                <w:b w:val="0"/>
                <w:bCs w:val="0"/>
                <w:sz w:val="20"/>
                <w:szCs w:val="20"/>
                <w:lang w:eastAsia="en-AU"/>
              </w:rPr>
            </w:pPr>
            <w:r w:rsidRPr="00D73243">
              <w:rPr>
                <w:rFonts w:ascii="Arial" w:hAnsi="Arial"/>
                <w:b w:val="0"/>
                <w:bCs w:val="0"/>
                <w:sz w:val="20"/>
                <w:szCs w:val="20"/>
                <w:lang w:eastAsia="en-AU"/>
              </w:rPr>
              <w:t xml:space="preserve">Water will be stored in a series of dams across the Project site that will segregate water of varying quality. </w:t>
            </w:r>
          </w:p>
          <w:bookmarkEnd w:id="42"/>
          <w:p w14:paraId="11697658" w14:textId="77777777" w:rsidR="00C56F35" w:rsidRPr="00C56F35" w:rsidRDefault="00C56F35" w:rsidP="00AA7F70">
            <w:pPr>
              <w:tabs>
                <w:tab w:val="left" w:pos="4910"/>
                <w:tab w:val="left" w:pos="5913"/>
                <w:tab w:val="left" w:pos="6916"/>
              </w:tabs>
              <w:rPr>
                <w:rFonts w:ascii="Arial" w:hAnsi="Arial"/>
                <w:b/>
              </w:rPr>
            </w:pPr>
          </w:p>
        </w:tc>
      </w:tr>
      <w:tr w:rsidR="00AA7F70" w:rsidRPr="004F5EA3" w14:paraId="47013202" w14:textId="77777777" w:rsidTr="00E96A1F">
        <w:trPr>
          <w:gridAfter w:val="1"/>
          <w:wAfter w:w="59" w:type="dxa"/>
        </w:trPr>
        <w:tc>
          <w:tcPr>
            <w:tcW w:w="8868" w:type="dxa"/>
          </w:tcPr>
          <w:p w14:paraId="2A19FB5D" w14:textId="233DF7B4" w:rsidR="00FC3654" w:rsidRPr="00FC3654" w:rsidRDefault="00FC3654" w:rsidP="00550175">
            <w:pPr>
              <w:pStyle w:val="BodyText"/>
              <w:spacing w:after="120"/>
              <w:jc w:val="both"/>
              <w:rPr>
                <w:rFonts w:ascii="Arial" w:hAnsi="Arial"/>
                <w:bCs w:val="0"/>
                <w:sz w:val="20"/>
                <w:szCs w:val="20"/>
                <w:lang w:eastAsia="en-AU"/>
              </w:rPr>
            </w:pPr>
            <w:r w:rsidRPr="00FC3654">
              <w:rPr>
                <w:rFonts w:ascii="Arial" w:hAnsi="Arial"/>
                <w:bCs w:val="0"/>
                <w:sz w:val="20"/>
                <w:szCs w:val="20"/>
              </w:rPr>
              <w:t>3.7 Key decommissioning activities</w:t>
            </w:r>
          </w:p>
          <w:p w14:paraId="387CC058" w14:textId="40F24A52" w:rsidR="00550175" w:rsidRPr="00550175" w:rsidRDefault="00550175" w:rsidP="00550175">
            <w:pPr>
              <w:pStyle w:val="BodyText"/>
              <w:spacing w:after="120"/>
              <w:jc w:val="both"/>
              <w:rPr>
                <w:rFonts w:ascii="Arial" w:hAnsi="Arial"/>
                <w:b w:val="0"/>
                <w:bCs w:val="0"/>
                <w:sz w:val="20"/>
                <w:szCs w:val="20"/>
                <w:lang w:eastAsia="en-AU"/>
              </w:rPr>
            </w:pPr>
            <w:r w:rsidRPr="00550175">
              <w:rPr>
                <w:rFonts w:ascii="Arial" w:hAnsi="Arial"/>
                <w:b w:val="0"/>
                <w:bCs w:val="0"/>
                <w:sz w:val="20"/>
                <w:szCs w:val="20"/>
                <w:lang w:eastAsia="en-AU"/>
              </w:rPr>
              <w:t>Mined areas will be progressively restored and rehabilitated as the mine advances, as agreed with the regulator and with a view to achieving the desired final land use.</w:t>
            </w:r>
          </w:p>
          <w:p w14:paraId="1D06B6FD" w14:textId="2B806392" w:rsidR="00AA7F70" w:rsidRDefault="00AA7F70" w:rsidP="00A1077F">
            <w:pPr>
              <w:pStyle w:val="BodyText"/>
              <w:spacing w:after="120"/>
              <w:jc w:val="both"/>
              <w:rPr>
                <w:rFonts w:ascii="Arial" w:hAnsi="Arial"/>
                <w:b w:val="0"/>
                <w:bCs w:val="0"/>
                <w:sz w:val="20"/>
                <w:szCs w:val="20"/>
                <w:lang w:eastAsia="en-AU"/>
              </w:rPr>
            </w:pPr>
            <w:r w:rsidRPr="00C56F35">
              <w:rPr>
                <w:rFonts w:ascii="Arial" w:hAnsi="Arial"/>
                <w:b w:val="0"/>
                <w:bCs w:val="0"/>
                <w:sz w:val="20"/>
                <w:szCs w:val="20"/>
                <w:lang w:eastAsia="en-AU"/>
              </w:rPr>
              <w:t xml:space="preserve">Where practicable, overburden will be returned directly to the mine void to minimise the requirement for overburden stockpiles outside of the void. The progressive return of overburden to the void will allow subsoil and topsoil replacement and rehabilitation to commence as soon as possible and will minimise the area disturbed at any given time. </w:t>
            </w:r>
          </w:p>
          <w:p w14:paraId="25A6C222" w14:textId="77777777" w:rsidR="00AA7F70" w:rsidRDefault="00AA7F70" w:rsidP="00A1077F">
            <w:pPr>
              <w:pStyle w:val="BodyText"/>
              <w:spacing w:after="120"/>
              <w:jc w:val="both"/>
              <w:rPr>
                <w:rFonts w:ascii="Arial" w:hAnsi="Arial"/>
                <w:b w:val="0"/>
                <w:bCs w:val="0"/>
                <w:sz w:val="20"/>
                <w:szCs w:val="20"/>
                <w:lang w:eastAsia="en-AU"/>
              </w:rPr>
            </w:pPr>
            <w:r w:rsidRPr="00C56F35">
              <w:rPr>
                <w:rFonts w:ascii="Arial" w:hAnsi="Arial"/>
                <w:b w:val="0"/>
                <w:bCs w:val="0"/>
                <w:sz w:val="20"/>
                <w:szCs w:val="20"/>
                <w:lang w:eastAsia="en-AU"/>
              </w:rPr>
              <w:t>Vegetation will be reinstated following placement of mining by-products, overburden, subsoil and topsoil.</w:t>
            </w:r>
          </w:p>
          <w:p w14:paraId="37580694" w14:textId="11519A19" w:rsidR="00891995" w:rsidRPr="00237685" w:rsidRDefault="00AA7F70" w:rsidP="007B6411">
            <w:pPr>
              <w:pStyle w:val="BodyText"/>
              <w:spacing w:after="120"/>
              <w:jc w:val="both"/>
            </w:pPr>
            <w:r w:rsidRPr="00C56F35">
              <w:rPr>
                <w:rFonts w:ascii="Arial" w:hAnsi="Arial"/>
                <w:b w:val="0"/>
                <w:bCs w:val="0"/>
                <w:sz w:val="20"/>
                <w:szCs w:val="20"/>
                <w:lang w:eastAsia="en-AU"/>
              </w:rPr>
              <w:t>At the end of mining activities, infrastructure will be removed and the area rehabilitated so that it is safe and stable, except where such infrastructure supports the approved post-mining land use, or regulators request or agree that some infrastructure components are retained.</w:t>
            </w:r>
            <w:r w:rsidRPr="00C56F35">
              <w:tab/>
            </w:r>
          </w:p>
        </w:tc>
      </w:tr>
      <w:tr w:rsidR="00C56F35" w:rsidRPr="004F5EA3" w14:paraId="52CC37D2" w14:textId="77777777" w:rsidTr="00E96A1F">
        <w:trPr>
          <w:gridAfter w:val="1"/>
          <w:wAfter w:w="59" w:type="dxa"/>
        </w:trPr>
        <w:tc>
          <w:tcPr>
            <w:tcW w:w="8868" w:type="dxa"/>
          </w:tcPr>
          <w:p w14:paraId="13E85331" w14:textId="77777777" w:rsidR="00BA3A1B" w:rsidRPr="00C56F35" w:rsidRDefault="00BA3A1B" w:rsidP="00C56F35">
            <w:pPr>
              <w:pStyle w:val="BodyText"/>
              <w:jc w:val="both"/>
              <w:rPr>
                <w:rFonts w:ascii="Arial" w:hAnsi="Arial"/>
                <w:b w:val="0"/>
                <w:bCs w:val="0"/>
                <w:sz w:val="20"/>
                <w:szCs w:val="20"/>
                <w:lang w:eastAsia="en-AU"/>
              </w:rPr>
            </w:pPr>
          </w:p>
        </w:tc>
      </w:tr>
      <w:tr w:rsidR="00A20F59" w14:paraId="5F9A0D87" w14:textId="77777777" w:rsidTr="00E96A1F">
        <w:tc>
          <w:tcPr>
            <w:tcW w:w="8927" w:type="dxa"/>
            <w:gridSpan w:val="2"/>
          </w:tcPr>
          <w:p w14:paraId="7F8655E4" w14:textId="77777777" w:rsidR="00A20F59" w:rsidRDefault="00A20F59" w:rsidP="00A20F59">
            <w:pPr>
              <w:tabs>
                <w:tab w:val="left" w:pos="5913"/>
                <w:tab w:val="left" w:pos="6916"/>
              </w:tabs>
              <w:rPr>
                <w:rFonts w:ascii="Arial" w:hAnsi="Arial"/>
              </w:rPr>
            </w:pPr>
            <w:r>
              <w:rPr>
                <w:rFonts w:ascii="Arial" w:hAnsi="Arial"/>
                <w:b/>
              </w:rPr>
              <w:t xml:space="preserve">3.8 Is the project an element or stage in a larger project?  </w:t>
            </w:r>
            <w:r>
              <w:rPr>
                <w:rFonts w:ascii="Arial" w:hAnsi="Arial"/>
              </w:rPr>
              <w:t xml:space="preserve">    </w:t>
            </w:r>
          </w:p>
        </w:tc>
      </w:tr>
      <w:tr w:rsidR="007E4B04" w14:paraId="74CC7CCF" w14:textId="77777777" w:rsidTr="00E96A1F">
        <w:tc>
          <w:tcPr>
            <w:tcW w:w="8927" w:type="dxa"/>
            <w:gridSpan w:val="2"/>
          </w:tcPr>
          <w:p w14:paraId="086A65B5" w14:textId="49B40F07" w:rsidR="00A20F59" w:rsidRDefault="00A20F59" w:rsidP="00696687">
            <w:pPr>
              <w:tabs>
                <w:tab w:val="left" w:pos="5913"/>
                <w:tab w:val="left" w:pos="6916"/>
              </w:tabs>
              <w:spacing w:before="40"/>
              <w:ind w:left="720"/>
              <w:jc w:val="both"/>
              <w:rPr>
                <w:rFonts w:ascii="Arial" w:hAnsi="Arial"/>
                <w:b/>
              </w:rPr>
            </w:pPr>
            <w:r w:rsidRPr="000C58FD">
              <w:rPr>
                <w:rFonts w:ascii="Arial" w:hAnsi="Arial"/>
                <w:shd w:val="clear" w:color="auto" w:fill="E6E6E6"/>
              </w:rPr>
              <w:sym w:font="Webdings" w:char="F072"/>
            </w:r>
            <w:r w:rsidRPr="000C58FD">
              <w:rPr>
                <w:rFonts w:ascii="Arial" w:hAnsi="Arial"/>
              </w:rPr>
              <w:t xml:space="preserve"> </w:t>
            </w:r>
            <w:r>
              <w:rPr>
                <w:rFonts w:ascii="Arial" w:hAnsi="Arial"/>
              </w:rPr>
              <w:t xml:space="preserve"> No    </w:t>
            </w:r>
            <w:r w:rsidRPr="002B10D9">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p>
        </w:tc>
      </w:tr>
      <w:tr w:rsidR="00A20F59" w14:paraId="31D1FB19" w14:textId="77777777" w:rsidTr="00E96A1F">
        <w:trPr>
          <w:gridAfter w:val="1"/>
          <w:wAfter w:w="59" w:type="dxa"/>
        </w:trPr>
        <w:tc>
          <w:tcPr>
            <w:tcW w:w="8868" w:type="dxa"/>
          </w:tcPr>
          <w:p w14:paraId="6C5BBE6C" w14:textId="77777777" w:rsidR="00696687" w:rsidRDefault="00696687" w:rsidP="00696687">
            <w:pPr>
              <w:tabs>
                <w:tab w:val="left" w:pos="5913"/>
                <w:tab w:val="left" w:pos="6916"/>
              </w:tabs>
              <w:spacing w:after="120"/>
              <w:jc w:val="both"/>
              <w:rPr>
                <w:rFonts w:ascii="Arial" w:hAnsi="Arial"/>
              </w:rPr>
            </w:pPr>
          </w:p>
          <w:p w14:paraId="7D125E08" w14:textId="476A8796" w:rsidR="00696687" w:rsidRDefault="00696687" w:rsidP="00696687">
            <w:pPr>
              <w:tabs>
                <w:tab w:val="left" w:pos="5913"/>
                <w:tab w:val="left" w:pos="6916"/>
              </w:tabs>
              <w:spacing w:after="120"/>
              <w:jc w:val="both"/>
              <w:rPr>
                <w:rFonts w:ascii="Arial" w:hAnsi="Arial"/>
              </w:rPr>
            </w:pPr>
            <w:r w:rsidRPr="0090562B">
              <w:rPr>
                <w:rFonts w:ascii="Arial" w:hAnsi="Arial"/>
              </w:rPr>
              <w:t xml:space="preserve">No, this </w:t>
            </w:r>
            <w:r w:rsidR="00237685">
              <w:rPr>
                <w:rFonts w:ascii="Arial" w:hAnsi="Arial"/>
              </w:rPr>
              <w:t xml:space="preserve">Project </w:t>
            </w:r>
            <w:r w:rsidRPr="0090562B">
              <w:rPr>
                <w:rFonts w:ascii="Arial" w:hAnsi="Arial"/>
              </w:rPr>
              <w:t xml:space="preserve">is not part of a staged development. </w:t>
            </w:r>
          </w:p>
          <w:p w14:paraId="63DD09E8" w14:textId="77777777" w:rsidR="00A20F59" w:rsidRDefault="00A20F59" w:rsidP="00A1077F">
            <w:pPr>
              <w:tabs>
                <w:tab w:val="left" w:pos="898"/>
                <w:tab w:val="left" w:pos="1901"/>
                <w:tab w:val="left" w:pos="2904"/>
                <w:tab w:val="left" w:pos="3907"/>
                <w:tab w:val="left" w:pos="4910"/>
                <w:tab w:val="left" w:pos="5913"/>
                <w:tab w:val="left" w:pos="6916"/>
              </w:tabs>
              <w:jc w:val="both"/>
              <w:rPr>
                <w:rFonts w:ascii="Arial" w:hAnsi="Arial"/>
              </w:rPr>
            </w:pPr>
          </w:p>
        </w:tc>
      </w:tr>
      <w:tr w:rsidR="007E4B04" w14:paraId="1EE697B4" w14:textId="77777777" w:rsidTr="00E96A1F">
        <w:trPr>
          <w:gridAfter w:val="1"/>
          <w:wAfter w:w="59" w:type="dxa"/>
        </w:trPr>
        <w:tc>
          <w:tcPr>
            <w:tcW w:w="8868" w:type="dxa"/>
          </w:tcPr>
          <w:p w14:paraId="5D5B9EC3" w14:textId="77777777" w:rsidR="00A20F59" w:rsidRDefault="00A20F59" w:rsidP="00C74055">
            <w:pPr>
              <w:tabs>
                <w:tab w:val="left" w:pos="898"/>
                <w:tab w:val="left" w:pos="1901"/>
                <w:tab w:val="left" w:pos="2904"/>
                <w:tab w:val="left" w:pos="3907"/>
                <w:tab w:val="left" w:pos="4910"/>
                <w:tab w:val="left" w:pos="5913"/>
                <w:tab w:val="left" w:pos="6916"/>
              </w:tabs>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A20F59" w14:paraId="0593023B" w14:textId="77777777" w:rsidTr="00E96A1F">
        <w:trPr>
          <w:gridAfter w:val="1"/>
          <w:wAfter w:w="59" w:type="dxa"/>
        </w:trPr>
        <w:tc>
          <w:tcPr>
            <w:tcW w:w="8868" w:type="dxa"/>
          </w:tcPr>
          <w:p w14:paraId="0F568758" w14:textId="77777777" w:rsidR="00A20F59" w:rsidRDefault="00A20F59" w:rsidP="00A20F59">
            <w:pPr>
              <w:tabs>
                <w:tab w:val="left" w:pos="5913"/>
                <w:tab w:val="left" w:pos="6916"/>
              </w:tabs>
              <w:rPr>
                <w:rFonts w:ascii="Arial" w:hAnsi="Arial"/>
                <w:b/>
              </w:rPr>
            </w:pPr>
            <w:r>
              <w:rPr>
                <w:rFonts w:ascii="Arial" w:hAnsi="Arial"/>
                <w:b/>
              </w:rPr>
              <w:t>3.9 Is the project related to any other past, current or mooted proposals in the region?</w:t>
            </w:r>
            <w:r>
              <w:rPr>
                <w:rFonts w:ascii="Arial" w:hAnsi="Arial"/>
                <w:b/>
              </w:rPr>
              <w:tab/>
            </w:r>
          </w:p>
        </w:tc>
      </w:tr>
      <w:tr w:rsidR="00A20F59" w14:paraId="09E72185" w14:textId="77777777" w:rsidTr="00E96A1F">
        <w:trPr>
          <w:gridAfter w:val="1"/>
          <w:wAfter w:w="59" w:type="dxa"/>
        </w:trPr>
        <w:tc>
          <w:tcPr>
            <w:tcW w:w="8868" w:type="dxa"/>
          </w:tcPr>
          <w:p w14:paraId="73C93AF1" w14:textId="7F46466B" w:rsidR="00A20F59" w:rsidRPr="00113DB7" w:rsidRDefault="00A20F59" w:rsidP="00A20F59">
            <w:pPr>
              <w:tabs>
                <w:tab w:val="left" w:pos="898"/>
                <w:tab w:val="left" w:pos="1901"/>
                <w:tab w:val="left" w:pos="2904"/>
                <w:tab w:val="left" w:pos="3907"/>
                <w:tab w:val="left" w:pos="4910"/>
                <w:tab w:val="left" w:pos="5913"/>
                <w:tab w:val="left" w:pos="6916"/>
              </w:tabs>
              <w:spacing w:before="40"/>
              <w:ind w:left="720"/>
              <w:rPr>
                <w:rFonts w:ascii="Arial" w:hAnsi="Arial"/>
              </w:rPr>
            </w:pPr>
            <w:r w:rsidRPr="00113DB7">
              <w:rPr>
                <w:rFonts w:ascii="Arial" w:hAnsi="Arial"/>
                <w:shd w:val="clear" w:color="auto" w:fill="E6E6E6"/>
              </w:rPr>
              <w:sym w:font="Webdings" w:char="F072"/>
            </w:r>
            <w:r w:rsidRPr="00113DB7">
              <w:rPr>
                <w:rFonts w:ascii="Arial" w:hAnsi="Arial"/>
              </w:rPr>
              <w:t xml:space="preserve">  No    </w:t>
            </w:r>
            <w:r w:rsidRPr="00113DB7">
              <w:rPr>
                <w:rFonts w:ascii="Arial" w:hAnsi="Arial"/>
                <w:color w:val="C0C0C0"/>
                <w:shd w:val="clear" w:color="auto" w:fill="E6E6E6"/>
              </w:rPr>
              <w:sym w:font="Webdings" w:char="F072"/>
            </w:r>
            <w:r w:rsidRPr="00113DB7">
              <w:rPr>
                <w:rFonts w:ascii="Arial" w:hAnsi="Arial"/>
              </w:rPr>
              <w:t xml:space="preserve">Yes   </w:t>
            </w:r>
            <w:r w:rsidRPr="00113DB7">
              <w:rPr>
                <w:rFonts w:ascii="Arial" w:hAnsi="Arial"/>
              </w:rPr>
              <w:tab/>
            </w:r>
            <w:r w:rsidRPr="00113DB7">
              <w:rPr>
                <w:rFonts w:ascii="Arial" w:hAnsi="Arial"/>
              </w:rPr>
              <w:tab/>
            </w:r>
            <w:r w:rsidRPr="00113DB7">
              <w:rPr>
                <w:rFonts w:ascii="Arial" w:hAnsi="Arial"/>
              </w:rPr>
              <w:tab/>
            </w:r>
            <w:r w:rsidRPr="00113DB7">
              <w:rPr>
                <w:rFonts w:ascii="Arial" w:hAnsi="Arial"/>
              </w:rPr>
              <w:tab/>
            </w:r>
          </w:p>
        </w:tc>
      </w:tr>
      <w:tr w:rsidR="00A20F59" w14:paraId="42D5815C" w14:textId="77777777" w:rsidTr="00E96A1F">
        <w:trPr>
          <w:gridAfter w:val="1"/>
          <w:wAfter w:w="59" w:type="dxa"/>
        </w:trPr>
        <w:tc>
          <w:tcPr>
            <w:tcW w:w="8868" w:type="dxa"/>
          </w:tcPr>
          <w:p w14:paraId="02FDA970" w14:textId="77777777" w:rsidR="00A20F59" w:rsidRDefault="00A20F59" w:rsidP="00A20F59">
            <w:pPr>
              <w:tabs>
                <w:tab w:val="left" w:pos="898"/>
                <w:tab w:val="left" w:pos="1901"/>
                <w:tab w:val="left" w:pos="2904"/>
                <w:tab w:val="left" w:pos="3907"/>
                <w:tab w:val="left" w:pos="4910"/>
                <w:tab w:val="left" w:pos="5913"/>
                <w:tab w:val="left" w:pos="6916"/>
              </w:tabs>
              <w:ind w:left="720"/>
              <w:rPr>
                <w:rFonts w:ascii="Arial" w:hAnsi="Arial"/>
              </w:rPr>
            </w:pPr>
          </w:p>
          <w:p w14:paraId="5859D10D" w14:textId="77777777" w:rsidR="000C58FD" w:rsidRDefault="000C58FD" w:rsidP="00C74055">
            <w:pPr>
              <w:spacing w:after="120"/>
              <w:jc w:val="both"/>
              <w:rPr>
                <w:rFonts w:ascii="Arial" w:hAnsi="Arial"/>
              </w:rPr>
            </w:pPr>
            <w:r>
              <w:rPr>
                <w:rFonts w:ascii="Arial" w:hAnsi="Arial"/>
              </w:rPr>
              <w:t xml:space="preserve">Although Iluka has operated in western Victoria since 2002 in relation to the Douglas and Echo mines, the Wimmera Project is not related to these past operations. </w:t>
            </w:r>
          </w:p>
          <w:p w14:paraId="08B5D5BE" w14:textId="05AB3475" w:rsidR="003377BF" w:rsidRDefault="00A20F59" w:rsidP="005D4D84">
            <w:pPr>
              <w:spacing w:after="120"/>
              <w:jc w:val="both"/>
              <w:rPr>
                <w:rFonts w:ascii="Arial" w:hAnsi="Arial"/>
              </w:rPr>
            </w:pPr>
            <w:bookmarkStart w:id="43" w:name="_Hlk8976837"/>
            <w:r w:rsidRPr="00A20F59">
              <w:rPr>
                <w:rFonts w:ascii="Arial" w:hAnsi="Arial"/>
              </w:rPr>
              <w:t xml:space="preserve">The </w:t>
            </w:r>
            <w:r w:rsidR="000C58FD">
              <w:rPr>
                <w:rFonts w:ascii="Arial" w:hAnsi="Arial"/>
              </w:rPr>
              <w:t xml:space="preserve">Wimmera </w:t>
            </w:r>
            <w:r w:rsidRPr="00A20F59">
              <w:rPr>
                <w:rFonts w:ascii="Arial" w:hAnsi="Arial"/>
              </w:rPr>
              <w:t xml:space="preserve">mineral sand deposit </w:t>
            </w:r>
            <w:r w:rsidR="00B60F24">
              <w:rPr>
                <w:rFonts w:ascii="Arial" w:hAnsi="Arial"/>
              </w:rPr>
              <w:t xml:space="preserve">is </w:t>
            </w:r>
            <w:r w:rsidRPr="00A20F59">
              <w:rPr>
                <w:rFonts w:ascii="Arial" w:hAnsi="Arial"/>
              </w:rPr>
              <w:t>of a different type to those previously extracted in Victoria, including those operated by Iluka. The Project ore will be processed in a different manner than previously used in Victoria</w:t>
            </w:r>
            <w:r w:rsidR="00367575">
              <w:rPr>
                <w:rFonts w:ascii="Arial" w:hAnsi="Arial"/>
              </w:rPr>
              <w:t>, predominantly due to the froth flotation</w:t>
            </w:r>
            <w:r w:rsidR="00E83992">
              <w:rPr>
                <w:rFonts w:ascii="Arial" w:hAnsi="Arial"/>
              </w:rPr>
              <w:t>, and zircon and rare earth refining processes</w:t>
            </w:r>
            <w:r w:rsidRPr="00A20F59">
              <w:rPr>
                <w:rFonts w:ascii="Arial" w:hAnsi="Arial"/>
              </w:rPr>
              <w:t>.</w:t>
            </w:r>
            <w:bookmarkEnd w:id="43"/>
          </w:p>
        </w:tc>
      </w:tr>
    </w:tbl>
    <w:p w14:paraId="13D08E20" w14:textId="77777777" w:rsidR="00A20F59" w:rsidRDefault="00A20F59">
      <w:pPr>
        <w:tabs>
          <w:tab w:val="left" w:pos="2904"/>
          <w:tab w:val="left" w:pos="3907"/>
          <w:tab w:val="left" w:pos="4910"/>
          <w:tab w:val="left" w:pos="5913"/>
          <w:tab w:val="left" w:pos="6916"/>
        </w:tabs>
        <w:ind w:left="93"/>
        <w:rPr>
          <w:rFonts w:ascii="Arial" w:hAnsi="Arial"/>
          <w:b/>
          <w:sz w:val="22"/>
        </w:rPr>
      </w:pPr>
    </w:p>
    <w:p w14:paraId="42E92416"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t>4</w:t>
      </w:r>
      <w:r w:rsidR="00731F1C">
        <w:rPr>
          <w:rFonts w:ascii="Arial" w:hAnsi="Arial"/>
          <w:b/>
          <w:sz w:val="22"/>
        </w:rPr>
        <w:t xml:space="preserve">.  </w:t>
      </w:r>
      <w:r>
        <w:rPr>
          <w:rFonts w:ascii="Arial" w:hAnsi="Arial"/>
          <w:b/>
          <w:sz w:val="22"/>
        </w:rPr>
        <w:t>Project alternatives</w:t>
      </w:r>
    </w:p>
    <w:p w14:paraId="051A3E42" w14:textId="77777777" w:rsidR="001C34F3" w:rsidRDefault="001C34F3">
      <w:pPr>
        <w:tabs>
          <w:tab w:val="left" w:pos="1901"/>
          <w:tab w:val="left" w:pos="2904"/>
          <w:tab w:val="left" w:pos="3907"/>
          <w:tab w:val="left" w:pos="4910"/>
          <w:tab w:val="left" w:pos="5913"/>
          <w:tab w:val="left" w:pos="6916"/>
        </w:tabs>
        <w:ind w:left="93"/>
        <w:rPr>
          <w:rFonts w:ascii="Arial" w:hAnsi="Arial"/>
          <w:b/>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40"/>
      </w:tblGrid>
      <w:tr w:rsidR="001C34F3" w14:paraId="140152D7" w14:textId="77777777" w:rsidTr="001E301B">
        <w:tc>
          <w:tcPr>
            <w:tcW w:w="9640" w:type="dxa"/>
            <w:tcBorders>
              <w:bottom w:val="single" w:sz="4" w:space="0" w:color="auto"/>
            </w:tcBorders>
          </w:tcPr>
          <w:p w14:paraId="57B065D5" w14:textId="77777777" w:rsidR="001E301B" w:rsidRDefault="001E301B" w:rsidP="004B184D">
            <w:pPr>
              <w:pStyle w:val="BodyText"/>
              <w:spacing w:after="120"/>
              <w:jc w:val="both"/>
              <w:rPr>
                <w:rFonts w:ascii="Arial" w:hAnsi="Arial"/>
                <w:b w:val="0"/>
                <w:bCs w:val="0"/>
                <w:sz w:val="20"/>
                <w:szCs w:val="20"/>
                <w:lang w:eastAsia="en-AU"/>
              </w:rPr>
            </w:pPr>
            <w:bookmarkStart w:id="44" w:name="_Hlk8978041"/>
          </w:p>
          <w:p w14:paraId="0DE95C8E" w14:textId="4C906A0F" w:rsidR="001E301B" w:rsidRPr="001E301B" w:rsidRDefault="001E301B" w:rsidP="004B184D">
            <w:pPr>
              <w:pStyle w:val="BodyText"/>
              <w:spacing w:after="120"/>
              <w:jc w:val="both"/>
              <w:rPr>
                <w:rFonts w:ascii="Arial" w:hAnsi="Arial"/>
                <w:bCs w:val="0"/>
                <w:sz w:val="20"/>
                <w:szCs w:val="20"/>
                <w:lang w:eastAsia="en-AU"/>
              </w:rPr>
            </w:pPr>
            <w:r w:rsidRPr="001E301B">
              <w:rPr>
                <w:rFonts w:ascii="Arial" w:hAnsi="Arial"/>
                <w:bCs w:val="0"/>
                <w:sz w:val="20"/>
                <w:szCs w:val="20"/>
              </w:rPr>
              <w:t>4.1 Brief description of key alternatives considered to date</w:t>
            </w:r>
          </w:p>
          <w:p w14:paraId="14B4AD0B" w14:textId="51F7F750" w:rsidR="004B184D" w:rsidRPr="004B184D" w:rsidRDefault="004B184D" w:rsidP="004B184D">
            <w:pPr>
              <w:pStyle w:val="BodyText"/>
              <w:spacing w:after="120"/>
              <w:jc w:val="both"/>
              <w:rPr>
                <w:rFonts w:ascii="Arial" w:hAnsi="Arial"/>
                <w:b w:val="0"/>
                <w:bCs w:val="0"/>
                <w:sz w:val="20"/>
                <w:szCs w:val="20"/>
                <w:lang w:eastAsia="en-AU"/>
              </w:rPr>
            </w:pPr>
            <w:r w:rsidRPr="004B184D">
              <w:rPr>
                <w:rFonts w:ascii="Arial" w:hAnsi="Arial"/>
                <w:b w:val="0"/>
                <w:bCs w:val="0"/>
                <w:sz w:val="20"/>
                <w:szCs w:val="20"/>
                <w:lang w:eastAsia="en-AU"/>
              </w:rPr>
              <w:t xml:space="preserve">Iluka holds tenements over three fine grained mineral sand deposits in the Murray Basin, namely the adjacent WIM50, WIM50 North and WIM100 deposits located within tenement EL4282 south of Horsham, and the </w:t>
            </w:r>
            <w:proofErr w:type="spellStart"/>
            <w:r w:rsidRPr="004B184D">
              <w:rPr>
                <w:rFonts w:ascii="Arial" w:hAnsi="Arial"/>
                <w:b w:val="0"/>
                <w:bCs w:val="0"/>
                <w:sz w:val="20"/>
                <w:szCs w:val="20"/>
                <w:lang w:eastAsia="en-AU"/>
              </w:rPr>
              <w:t>Goschen</w:t>
            </w:r>
            <w:proofErr w:type="spellEnd"/>
            <w:r w:rsidRPr="004B184D">
              <w:rPr>
                <w:rFonts w:ascii="Arial" w:hAnsi="Arial"/>
                <w:b w:val="0"/>
                <w:bCs w:val="0"/>
                <w:sz w:val="20"/>
                <w:szCs w:val="20"/>
                <w:lang w:eastAsia="en-AU"/>
              </w:rPr>
              <w:t xml:space="preserve"> South deposit located within tenement EL4191 just north of Wycheproof (Figure </w:t>
            </w:r>
            <w:r w:rsidR="00FA2F27">
              <w:rPr>
                <w:rFonts w:ascii="Arial" w:hAnsi="Arial"/>
                <w:b w:val="0"/>
                <w:bCs w:val="0"/>
                <w:sz w:val="20"/>
                <w:szCs w:val="20"/>
                <w:lang w:eastAsia="en-AU"/>
              </w:rPr>
              <w:t>7</w:t>
            </w:r>
            <w:r w:rsidRPr="004B184D">
              <w:rPr>
                <w:rFonts w:ascii="Arial" w:hAnsi="Arial"/>
                <w:b w:val="0"/>
                <w:bCs w:val="0"/>
                <w:sz w:val="20"/>
                <w:szCs w:val="20"/>
                <w:lang w:eastAsia="en-AU"/>
              </w:rPr>
              <w:t xml:space="preserve">). Development of each of these deposits was considered, with the WIM100 deposit selected to progress into preliminary design and assessment because of its relative size and value and because it had fewer potential social, environmental and technical constraints. </w:t>
            </w:r>
          </w:p>
          <w:p w14:paraId="725F2FFF" w14:textId="77777777" w:rsidR="004B184D" w:rsidRPr="004B184D" w:rsidRDefault="004B184D" w:rsidP="004B184D">
            <w:pPr>
              <w:pStyle w:val="BodyText"/>
              <w:spacing w:after="120"/>
              <w:jc w:val="both"/>
              <w:rPr>
                <w:rFonts w:ascii="Arial" w:hAnsi="Arial"/>
                <w:b w:val="0"/>
                <w:bCs w:val="0"/>
                <w:sz w:val="20"/>
                <w:szCs w:val="20"/>
                <w:lang w:eastAsia="en-AU"/>
              </w:rPr>
            </w:pPr>
            <w:r w:rsidRPr="004B184D">
              <w:rPr>
                <w:rFonts w:ascii="Arial" w:hAnsi="Arial"/>
                <w:b w:val="0"/>
                <w:bCs w:val="0"/>
                <w:sz w:val="20"/>
                <w:szCs w:val="20"/>
                <w:lang w:eastAsia="en-AU"/>
              </w:rPr>
              <w:t>Development of the WIM100 deposit, mineral processing plant and refinery is a stand-alone project. Final investment decision for the development of WIM100 will be based on a standalone WIM100 development and not include the value of any future development of the other two deposits.</w:t>
            </w:r>
          </w:p>
          <w:p w14:paraId="2AFB5C7A" w14:textId="6BDE3CB7" w:rsidR="00311AFC" w:rsidRPr="0044477E" w:rsidRDefault="00E32DAA" w:rsidP="00C74055">
            <w:pPr>
              <w:pStyle w:val="BodyText"/>
              <w:spacing w:after="120"/>
              <w:jc w:val="both"/>
              <w:rPr>
                <w:rFonts w:ascii="Arial" w:hAnsi="Arial"/>
                <w:b w:val="0"/>
                <w:bCs w:val="0"/>
                <w:sz w:val="20"/>
                <w:szCs w:val="20"/>
                <w:lang w:eastAsia="en-AU"/>
              </w:rPr>
            </w:pPr>
            <w:r w:rsidRPr="00634D67">
              <w:rPr>
                <w:rFonts w:ascii="Arial" w:hAnsi="Arial"/>
                <w:b w:val="0"/>
                <w:bCs w:val="0"/>
                <w:sz w:val="20"/>
                <w:szCs w:val="20"/>
                <w:lang w:eastAsia="en-AU"/>
              </w:rPr>
              <w:t>Various high level mine layouts were considered including positioning of the process plant and refinery</w:t>
            </w:r>
            <w:r w:rsidRPr="0044477E">
              <w:rPr>
                <w:rFonts w:ascii="Arial" w:hAnsi="Arial"/>
                <w:b w:val="0"/>
                <w:bCs w:val="0"/>
                <w:sz w:val="20"/>
                <w:szCs w:val="20"/>
                <w:lang w:eastAsia="en-AU"/>
              </w:rPr>
              <w:t>, including</w:t>
            </w:r>
            <w:r w:rsidRPr="00634D67">
              <w:rPr>
                <w:rFonts w:ascii="Arial" w:hAnsi="Arial"/>
                <w:b w:val="0"/>
                <w:bCs w:val="0"/>
                <w:sz w:val="20"/>
                <w:szCs w:val="20"/>
                <w:lang w:eastAsia="en-AU"/>
              </w:rPr>
              <w:t xml:space="preserve"> either </w:t>
            </w:r>
            <w:r w:rsidRPr="0044477E">
              <w:rPr>
                <w:rFonts w:ascii="Arial" w:hAnsi="Arial"/>
                <w:b w:val="0"/>
                <w:bCs w:val="0"/>
                <w:sz w:val="20"/>
                <w:szCs w:val="20"/>
                <w:lang w:eastAsia="en-AU"/>
              </w:rPr>
              <w:t>north and north-east</w:t>
            </w:r>
            <w:r w:rsidRPr="00634D67">
              <w:rPr>
                <w:rFonts w:ascii="Arial" w:hAnsi="Arial"/>
                <w:b w:val="0"/>
                <w:bCs w:val="0"/>
                <w:sz w:val="20"/>
                <w:szCs w:val="20"/>
                <w:lang w:eastAsia="en-AU"/>
              </w:rPr>
              <w:t xml:space="preserve">, </w:t>
            </w:r>
            <w:r w:rsidRPr="0044477E">
              <w:rPr>
                <w:rFonts w:ascii="Arial" w:hAnsi="Arial"/>
                <w:b w:val="0"/>
                <w:bCs w:val="0"/>
                <w:sz w:val="20"/>
                <w:szCs w:val="20"/>
                <w:lang w:eastAsia="en-AU"/>
              </w:rPr>
              <w:t>north and north-west,</w:t>
            </w:r>
            <w:r w:rsidRPr="00634D67">
              <w:rPr>
                <w:rFonts w:ascii="Arial" w:hAnsi="Arial"/>
                <w:b w:val="0"/>
                <w:bCs w:val="0"/>
                <w:sz w:val="20"/>
                <w:szCs w:val="20"/>
                <w:lang w:eastAsia="en-AU"/>
              </w:rPr>
              <w:t xml:space="preserve"> or </w:t>
            </w:r>
            <w:r w:rsidRPr="0044477E">
              <w:rPr>
                <w:rFonts w:ascii="Arial" w:hAnsi="Arial"/>
                <w:b w:val="0"/>
                <w:bCs w:val="0"/>
                <w:sz w:val="20"/>
                <w:szCs w:val="20"/>
                <w:lang w:eastAsia="en-AU"/>
              </w:rPr>
              <w:t>south-west</w:t>
            </w:r>
            <w:r w:rsidRPr="00634D67">
              <w:rPr>
                <w:rFonts w:ascii="Arial" w:hAnsi="Arial"/>
                <w:b w:val="0"/>
                <w:bCs w:val="0"/>
                <w:sz w:val="20"/>
                <w:szCs w:val="20"/>
                <w:lang w:eastAsia="en-AU"/>
              </w:rPr>
              <w:t xml:space="preserve"> of the deposit.  The </w:t>
            </w:r>
            <w:r w:rsidRPr="0044477E">
              <w:rPr>
                <w:rFonts w:ascii="Arial" w:hAnsi="Arial"/>
                <w:b w:val="0"/>
                <w:bCs w:val="0"/>
                <w:sz w:val="20"/>
                <w:szCs w:val="20"/>
                <w:lang w:eastAsia="en-AU"/>
              </w:rPr>
              <w:t>south-west</w:t>
            </w:r>
            <w:r w:rsidRPr="00634D67">
              <w:rPr>
                <w:rFonts w:ascii="Arial" w:hAnsi="Arial"/>
                <w:b w:val="0"/>
                <w:bCs w:val="0"/>
                <w:sz w:val="20"/>
                <w:szCs w:val="20"/>
                <w:lang w:eastAsia="en-AU"/>
              </w:rPr>
              <w:t xml:space="preserve"> option was discounted </w:t>
            </w:r>
            <w:r w:rsidRPr="0044477E">
              <w:rPr>
                <w:rFonts w:ascii="Arial" w:hAnsi="Arial"/>
                <w:b w:val="0"/>
                <w:bCs w:val="0"/>
                <w:sz w:val="20"/>
                <w:szCs w:val="20"/>
                <w:lang w:eastAsia="en-AU"/>
              </w:rPr>
              <w:t xml:space="preserve">primarily due to the close proximity of the mineral </w:t>
            </w:r>
            <w:r w:rsidRPr="00634D67">
              <w:rPr>
                <w:rFonts w:ascii="Arial" w:hAnsi="Arial"/>
                <w:b w:val="0"/>
                <w:bCs w:val="0"/>
                <w:sz w:val="20"/>
                <w:szCs w:val="20"/>
                <w:lang w:eastAsia="en-AU"/>
              </w:rPr>
              <w:t xml:space="preserve">processing </w:t>
            </w:r>
            <w:r w:rsidRPr="0044477E">
              <w:rPr>
                <w:rFonts w:ascii="Arial" w:hAnsi="Arial"/>
                <w:b w:val="0"/>
                <w:bCs w:val="0"/>
                <w:sz w:val="20"/>
                <w:szCs w:val="20"/>
                <w:lang w:eastAsia="en-AU"/>
              </w:rPr>
              <w:t xml:space="preserve">and refining </w:t>
            </w:r>
            <w:r w:rsidRPr="00634D67">
              <w:rPr>
                <w:rFonts w:ascii="Arial" w:hAnsi="Arial"/>
                <w:b w:val="0"/>
                <w:bCs w:val="0"/>
                <w:sz w:val="20"/>
                <w:szCs w:val="20"/>
                <w:lang w:eastAsia="en-AU"/>
              </w:rPr>
              <w:t>facilities to Lake Toolondo</w:t>
            </w:r>
            <w:r w:rsidRPr="0044477E">
              <w:rPr>
                <w:rFonts w:ascii="Arial" w:hAnsi="Arial"/>
                <w:b w:val="0"/>
                <w:bCs w:val="0"/>
                <w:sz w:val="20"/>
                <w:szCs w:val="20"/>
                <w:lang w:eastAsia="en-AU"/>
              </w:rPr>
              <w:t xml:space="preserve">, and the associated </w:t>
            </w:r>
            <w:r w:rsidRPr="00634D67">
              <w:rPr>
                <w:rFonts w:ascii="Arial" w:hAnsi="Arial"/>
                <w:b w:val="0"/>
                <w:bCs w:val="0"/>
                <w:sz w:val="20"/>
                <w:szCs w:val="20"/>
                <w:lang w:eastAsia="en-AU"/>
              </w:rPr>
              <w:t xml:space="preserve">environmental </w:t>
            </w:r>
            <w:r w:rsidRPr="0044477E">
              <w:rPr>
                <w:rFonts w:ascii="Arial" w:hAnsi="Arial"/>
                <w:b w:val="0"/>
                <w:bCs w:val="0"/>
                <w:sz w:val="20"/>
                <w:szCs w:val="20"/>
                <w:lang w:eastAsia="en-AU"/>
              </w:rPr>
              <w:t>and recreational sensitivities</w:t>
            </w:r>
            <w:r w:rsidRPr="00634D67">
              <w:rPr>
                <w:rFonts w:ascii="Arial" w:hAnsi="Arial"/>
                <w:b w:val="0"/>
                <w:bCs w:val="0"/>
                <w:sz w:val="20"/>
                <w:szCs w:val="20"/>
                <w:lang w:eastAsia="en-AU"/>
              </w:rPr>
              <w:t>.</w:t>
            </w:r>
            <w:r w:rsidRPr="0044477E">
              <w:rPr>
                <w:rFonts w:ascii="Arial" w:hAnsi="Arial"/>
                <w:b w:val="0"/>
                <w:bCs w:val="0"/>
                <w:sz w:val="20"/>
                <w:szCs w:val="20"/>
                <w:lang w:eastAsia="en-AU"/>
              </w:rPr>
              <w:t xml:space="preserve"> A n</w:t>
            </w:r>
            <w:r w:rsidRPr="00634D67">
              <w:rPr>
                <w:rFonts w:ascii="Arial" w:hAnsi="Arial"/>
                <w:b w:val="0"/>
                <w:bCs w:val="0"/>
                <w:sz w:val="20"/>
                <w:szCs w:val="20"/>
                <w:lang w:eastAsia="en-AU"/>
              </w:rPr>
              <w:t xml:space="preserve">orthern location for the process plant and refinery (extending eastwards) appears to be the most </w:t>
            </w:r>
            <w:r w:rsidR="005610EC">
              <w:rPr>
                <w:rFonts w:ascii="Arial" w:hAnsi="Arial"/>
                <w:b w:val="0"/>
                <w:bCs w:val="0"/>
                <w:sz w:val="20"/>
                <w:szCs w:val="20"/>
                <w:lang w:eastAsia="en-AU"/>
              </w:rPr>
              <w:t xml:space="preserve">efficient </w:t>
            </w:r>
            <w:r w:rsidRPr="00634D67">
              <w:rPr>
                <w:rFonts w:ascii="Arial" w:hAnsi="Arial"/>
                <w:b w:val="0"/>
                <w:bCs w:val="0"/>
                <w:sz w:val="20"/>
                <w:szCs w:val="20"/>
                <w:lang w:eastAsia="en-AU"/>
              </w:rPr>
              <w:t>arrangement</w:t>
            </w:r>
            <w:r w:rsidR="00C74055">
              <w:rPr>
                <w:rFonts w:ascii="Arial" w:hAnsi="Arial"/>
                <w:b w:val="0"/>
                <w:bCs w:val="0"/>
                <w:sz w:val="20"/>
                <w:szCs w:val="20"/>
                <w:lang w:eastAsia="en-AU"/>
              </w:rPr>
              <w:t>,</w:t>
            </w:r>
            <w:r w:rsidRPr="00634D67">
              <w:rPr>
                <w:rFonts w:ascii="Arial" w:hAnsi="Arial"/>
                <w:b w:val="0"/>
                <w:bCs w:val="0"/>
                <w:sz w:val="20"/>
                <w:szCs w:val="20"/>
                <w:lang w:eastAsia="en-AU"/>
              </w:rPr>
              <w:t xml:space="preserve"> as indicated </w:t>
            </w:r>
            <w:r w:rsidR="00C74055">
              <w:rPr>
                <w:rFonts w:ascii="Arial" w:hAnsi="Arial"/>
                <w:b w:val="0"/>
                <w:bCs w:val="0"/>
                <w:sz w:val="20"/>
                <w:szCs w:val="20"/>
                <w:lang w:eastAsia="en-AU"/>
              </w:rPr>
              <w:t xml:space="preserve">by the development envelope </w:t>
            </w:r>
            <w:r w:rsidRPr="00634D67">
              <w:rPr>
                <w:rFonts w:ascii="Arial" w:hAnsi="Arial"/>
                <w:b w:val="0"/>
                <w:bCs w:val="0"/>
                <w:sz w:val="20"/>
                <w:szCs w:val="20"/>
                <w:lang w:eastAsia="en-AU"/>
              </w:rPr>
              <w:t>in Figure 2.</w:t>
            </w:r>
          </w:p>
          <w:p w14:paraId="081776EF" w14:textId="4F080C26" w:rsidR="00103A3D" w:rsidRDefault="00103A3D" w:rsidP="00C74055">
            <w:pPr>
              <w:pStyle w:val="BodyText"/>
              <w:spacing w:after="120"/>
              <w:jc w:val="both"/>
              <w:rPr>
                <w:rFonts w:ascii="Arial" w:hAnsi="Arial"/>
                <w:b w:val="0"/>
                <w:bCs w:val="0"/>
                <w:sz w:val="20"/>
                <w:szCs w:val="20"/>
                <w:lang w:eastAsia="en-AU"/>
              </w:rPr>
            </w:pPr>
            <w:r w:rsidRPr="0090562B">
              <w:rPr>
                <w:rFonts w:ascii="Arial" w:hAnsi="Arial"/>
                <w:b w:val="0"/>
                <w:bCs w:val="0"/>
                <w:sz w:val="20"/>
                <w:szCs w:val="20"/>
                <w:lang w:eastAsia="en-AU"/>
              </w:rPr>
              <w:t xml:space="preserve">The option to process the Wimmera HMC offsite at the Hamilton MSP was considered, however this option was considered to be commercially </w:t>
            </w:r>
            <w:r w:rsidR="0084796B">
              <w:rPr>
                <w:rFonts w:ascii="Arial" w:hAnsi="Arial"/>
                <w:b w:val="0"/>
                <w:bCs w:val="0"/>
                <w:sz w:val="20"/>
                <w:szCs w:val="20"/>
                <w:lang w:eastAsia="en-AU"/>
              </w:rPr>
              <w:t>sub-optimal</w:t>
            </w:r>
            <w:r w:rsidRPr="0090562B">
              <w:rPr>
                <w:rFonts w:ascii="Arial" w:hAnsi="Arial"/>
                <w:b w:val="0"/>
                <w:bCs w:val="0"/>
                <w:sz w:val="20"/>
                <w:szCs w:val="20"/>
                <w:lang w:eastAsia="en-AU"/>
              </w:rPr>
              <w:t xml:space="preserve"> as the Hamilton </w:t>
            </w:r>
            <w:r w:rsidR="005610EC">
              <w:rPr>
                <w:rFonts w:ascii="Arial" w:hAnsi="Arial"/>
                <w:b w:val="0"/>
                <w:bCs w:val="0"/>
                <w:sz w:val="20"/>
                <w:szCs w:val="20"/>
                <w:lang w:eastAsia="en-AU"/>
              </w:rPr>
              <w:t>MSP</w:t>
            </w:r>
            <w:r w:rsidRPr="0090562B">
              <w:rPr>
                <w:rFonts w:ascii="Arial" w:hAnsi="Arial"/>
                <w:b w:val="0"/>
                <w:bCs w:val="0"/>
                <w:sz w:val="20"/>
                <w:szCs w:val="20"/>
                <w:lang w:eastAsia="en-AU"/>
              </w:rPr>
              <w:t xml:space="preserve"> was designed to separate mineral sand feedstock of coarser grain size and uses fundamentally different separation processes and technologies.</w:t>
            </w:r>
          </w:p>
          <w:p w14:paraId="7F14EB8A" w14:textId="7CD6EB99" w:rsidR="00311AFC" w:rsidRPr="0090562B" w:rsidRDefault="0090562B" w:rsidP="00C74055">
            <w:pPr>
              <w:pStyle w:val="BodyText"/>
              <w:spacing w:after="120"/>
              <w:jc w:val="both"/>
              <w:rPr>
                <w:rFonts w:ascii="Arial" w:hAnsi="Arial"/>
                <w:b w:val="0"/>
                <w:bCs w:val="0"/>
                <w:sz w:val="20"/>
                <w:szCs w:val="20"/>
                <w:lang w:eastAsia="en-AU"/>
              </w:rPr>
            </w:pPr>
            <w:r w:rsidRPr="0090562B">
              <w:rPr>
                <w:rFonts w:ascii="Arial" w:hAnsi="Arial"/>
                <w:b w:val="0"/>
                <w:bCs w:val="0"/>
                <w:sz w:val="20"/>
                <w:szCs w:val="20"/>
                <w:lang w:eastAsia="en-AU"/>
              </w:rPr>
              <w:t xml:space="preserve">The option to establish the processing plant and refinery </w:t>
            </w:r>
            <w:r w:rsidR="00103A3D">
              <w:rPr>
                <w:rFonts w:ascii="Arial" w:hAnsi="Arial"/>
                <w:b w:val="0"/>
                <w:bCs w:val="0"/>
                <w:sz w:val="20"/>
                <w:szCs w:val="20"/>
                <w:lang w:eastAsia="en-AU"/>
              </w:rPr>
              <w:t xml:space="preserve">at another </w:t>
            </w:r>
            <w:r w:rsidRPr="0090562B">
              <w:rPr>
                <w:rFonts w:ascii="Arial" w:hAnsi="Arial"/>
                <w:b w:val="0"/>
                <w:bCs w:val="0"/>
                <w:sz w:val="20"/>
                <w:szCs w:val="20"/>
                <w:lang w:eastAsia="en-AU"/>
              </w:rPr>
              <w:t xml:space="preserve">offsite </w:t>
            </w:r>
            <w:r w:rsidR="00103A3D">
              <w:rPr>
                <w:rFonts w:ascii="Arial" w:hAnsi="Arial"/>
                <w:b w:val="0"/>
                <w:bCs w:val="0"/>
                <w:sz w:val="20"/>
                <w:szCs w:val="20"/>
                <w:lang w:eastAsia="en-AU"/>
              </w:rPr>
              <w:t xml:space="preserve">location </w:t>
            </w:r>
            <w:r w:rsidRPr="0090562B">
              <w:rPr>
                <w:rFonts w:ascii="Arial" w:hAnsi="Arial"/>
                <w:b w:val="0"/>
                <w:bCs w:val="0"/>
                <w:sz w:val="20"/>
                <w:szCs w:val="20"/>
                <w:lang w:eastAsia="en-AU"/>
              </w:rPr>
              <w:t xml:space="preserve">was assessed, however this option was not considered to be currently commercially feasible due to the cost involved in trucking the material from the mine site to the processing site. </w:t>
            </w:r>
          </w:p>
          <w:p w14:paraId="15D06A3E" w14:textId="6A032B68" w:rsidR="0090562B" w:rsidRDefault="0090562B" w:rsidP="00C74055">
            <w:pPr>
              <w:pStyle w:val="BodyText"/>
              <w:spacing w:after="120"/>
              <w:jc w:val="both"/>
              <w:rPr>
                <w:rFonts w:ascii="Arial" w:hAnsi="Arial"/>
                <w:b w:val="0"/>
                <w:bCs w:val="0"/>
                <w:sz w:val="20"/>
                <w:szCs w:val="20"/>
                <w:lang w:eastAsia="en-AU"/>
              </w:rPr>
            </w:pPr>
            <w:r w:rsidRPr="0090562B">
              <w:rPr>
                <w:rFonts w:ascii="Arial" w:hAnsi="Arial"/>
                <w:b w:val="0"/>
                <w:bCs w:val="0"/>
                <w:sz w:val="20"/>
                <w:szCs w:val="20"/>
                <w:lang w:eastAsia="en-AU"/>
              </w:rPr>
              <w:t xml:space="preserve">Disposal of Wimmera waste material into the Douglas mine Pit 23 approximately 23 km to the south-west of the Project site was considered. This option is not </w:t>
            </w:r>
            <w:r w:rsidR="005610EC">
              <w:rPr>
                <w:rFonts w:ascii="Arial" w:hAnsi="Arial"/>
                <w:b w:val="0"/>
                <w:bCs w:val="0"/>
                <w:sz w:val="20"/>
                <w:szCs w:val="20"/>
                <w:lang w:eastAsia="en-AU"/>
              </w:rPr>
              <w:t xml:space="preserve">being </w:t>
            </w:r>
            <w:r w:rsidRPr="0090562B">
              <w:rPr>
                <w:rFonts w:ascii="Arial" w:hAnsi="Arial"/>
                <w:b w:val="0"/>
                <w:bCs w:val="0"/>
                <w:sz w:val="20"/>
                <w:szCs w:val="20"/>
                <w:lang w:eastAsia="en-AU"/>
              </w:rPr>
              <w:t xml:space="preserve">considered </w:t>
            </w:r>
            <w:r w:rsidR="0084796B">
              <w:rPr>
                <w:rFonts w:ascii="Arial" w:hAnsi="Arial"/>
                <w:b w:val="0"/>
                <w:bCs w:val="0"/>
                <w:sz w:val="20"/>
                <w:szCs w:val="20"/>
                <w:lang w:eastAsia="en-AU"/>
              </w:rPr>
              <w:t>further</w:t>
            </w:r>
            <w:r w:rsidR="0084796B" w:rsidRPr="0090562B">
              <w:rPr>
                <w:rFonts w:ascii="Arial" w:hAnsi="Arial"/>
                <w:b w:val="0"/>
                <w:bCs w:val="0"/>
                <w:sz w:val="20"/>
                <w:szCs w:val="20"/>
                <w:lang w:eastAsia="en-AU"/>
              </w:rPr>
              <w:t xml:space="preserve"> </w:t>
            </w:r>
            <w:r w:rsidRPr="0090562B">
              <w:rPr>
                <w:rFonts w:ascii="Arial" w:hAnsi="Arial"/>
                <w:b w:val="0"/>
                <w:bCs w:val="0"/>
                <w:sz w:val="20"/>
                <w:szCs w:val="20"/>
                <w:lang w:eastAsia="en-AU"/>
              </w:rPr>
              <w:t xml:space="preserve">as Pit 23 was not designed to receive the types and quantities of material that will be produced by the Wimmera </w:t>
            </w:r>
            <w:r w:rsidR="00D02516">
              <w:rPr>
                <w:rFonts w:ascii="Arial" w:hAnsi="Arial"/>
                <w:b w:val="0"/>
                <w:bCs w:val="0"/>
                <w:sz w:val="20"/>
                <w:szCs w:val="20"/>
                <w:lang w:eastAsia="en-AU"/>
              </w:rPr>
              <w:t>Project</w:t>
            </w:r>
            <w:r w:rsidRPr="0090562B">
              <w:rPr>
                <w:rFonts w:ascii="Arial" w:hAnsi="Arial"/>
                <w:b w:val="0"/>
                <w:bCs w:val="0"/>
                <w:sz w:val="20"/>
                <w:szCs w:val="20"/>
                <w:lang w:eastAsia="en-AU"/>
              </w:rPr>
              <w:t xml:space="preserve"> refinery plant. Similarly, Pit 23 is required to provide a mineral sands by-products disposal location should the Hamilton MSP operations recommence.</w:t>
            </w:r>
          </w:p>
          <w:p w14:paraId="4ADCCF16" w14:textId="17EFAAD7" w:rsidR="001C34F3" w:rsidRDefault="00BE5275" w:rsidP="00BE5275">
            <w:pPr>
              <w:pStyle w:val="BodyText"/>
              <w:spacing w:after="120"/>
              <w:jc w:val="both"/>
            </w:pPr>
            <w:r w:rsidRPr="00BE5275">
              <w:rPr>
                <w:rFonts w:ascii="Arial" w:hAnsi="Arial"/>
                <w:b w:val="0"/>
                <w:bCs w:val="0"/>
                <w:sz w:val="20"/>
                <w:szCs w:val="20"/>
                <w:lang w:eastAsia="en-AU"/>
              </w:rPr>
              <w:t xml:space="preserve">While drilling results indicate that mineralisation occurs under portions of the </w:t>
            </w:r>
            <w:proofErr w:type="spellStart"/>
            <w:r w:rsidR="00561D1B">
              <w:rPr>
                <w:rFonts w:ascii="Arial" w:hAnsi="Arial"/>
                <w:b w:val="0"/>
                <w:bCs w:val="0"/>
                <w:sz w:val="20"/>
                <w:szCs w:val="20"/>
                <w:lang w:eastAsia="en-AU"/>
              </w:rPr>
              <w:t>Jallumba</w:t>
            </w:r>
            <w:proofErr w:type="spellEnd"/>
            <w:r w:rsidR="00561D1B">
              <w:rPr>
                <w:rFonts w:ascii="Arial" w:hAnsi="Arial"/>
                <w:b w:val="0"/>
                <w:bCs w:val="0"/>
                <w:sz w:val="20"/>
                <w:szCs w:val="20"/>
                <w:lang w:eastAsia="en-AU"/>
              </w:rPr>
              <w:t xml:space="preserve"> Marsh Flora Reserve</w:t>
            </w:r>
            <w:r w:rsidRPr="00BE5275">
              <w:rPr>
                <w:rFonts w:ascii="Arial" w:hAnsi="Arial"/>
                <w:b w:val="0"/>
                <w:bCs w:val="0"/>
                <w:sz w:val="20"/>
                <w:szCs w:val="20"/>
                <w:lang w:eastAsia="en-AU"/>
              </w:rPr>
              <w:t xml:space="preserve"> and </w:t>
            </w:r>
            <w:r w:rsidR="0073776F">
              <w:rPr>
                <w:rFonts w:ascii="Arial" w:hAnsi="Arial"/>
                <w:b w:val="0"/>
                <w:bCs w:val="0"/>
                <w:sz w:val="20"/>
                <w:szCs w:val="20"/>
                <w:lang w:eastAsia="en-AU"/>
              </w:rPr>
              <w:t xml:space="preserve">the </w:t>
            </w:r>
            <w:r w:rsidRPr="00BE5275">
              <w:rPr>
                <w:rFonts w:ascii="Arial" w:hAnsi="Arial"/>
                <w:b w:val="0"/>
                <w:bCs w:val="0"/>
                <w:sz w:val="20"/>
                <w:szCs w:val="20"/>
                <w:lang w:eastAsia="en-AU"/>
              </w:rPr>
              <w:t>Red Gum Swamp</w:t>
            </w:r>
            <w:r>
              <w:rPr>
                <w:rFonts w:ascii="Arial" w:hAnsi="Arial"/>
                <w:b w:val="0"/>
                <w:bCs w:val="0"/>
                <w:sz w:val="20"/>
                <w:szCs w:val="20"/>
                <w:lang w:eastAsia="en-AU"/>
              </w:rPr>
              <w:t>,</w:t>
            </w:r>
            <w:r w:rsidRPr="00BE5275">
              <w:rPr>
                <w:rFonts w:ascii="Arial" w:hAnsi="Arial"/>
                <w:b w:val="0"/>
                <w:bCs w:val="0"/>
                <w:sz w:val="20"/>
                <w:szCs w:val="20"/>
                <w:lang w:eastAsia="en-AU"/>
              </w:rPr>
              <w:t xml:space="preserve"> due to the high ecological and Aboriginal cultural heritage values Iluka has chosen to exclude these areas from the proposed mining footprint</w:t>
            </w:r>
            <w:r w:rsidR="00E05BE5">
              <w:rPr>
                <w:rFonts w:ascii="Arial" w:hAnsi="Arial"/>
                <w:b w:val="0"/>
                <w:bCs w:val="0"/>
                <w:sz w:val="20"/>
                <w:szCs w:val="20"/>
                <w:lang w:eastAsia="en-AU"/>
              </w:rPr>
              <w:t xml:space="preserve"> (</w:t>
            </w:r>
            <w:r w:rsidR="0090562B" w:rsidRPr="00C74055">
              <w:rPr>
                <w:rFonts w:ascii="Arial" w:hAnsi="Arial"/>
                <w:b w:val="0"/>
                <w:bCs w:val="0"/>
                <w:sz w:val="20"/>
                <w:szCs w:val="20"/>
                <w:lang w:eastAsia="en-AU"/>
              </w:rPr>
              <w:t xml:space="preserve">Figure </w:t>
            </w:r>
            <w:r w:rsidR="0090562B" w:rsidRPr="00051E24">
              <w:rPr>
                <w:rFonts w:ascii="Arial" w:hAnsi="Arial"/>
                <w:b w:val="0"/>
                <w:bCs w:val="0"/>
                <w:sz w:val="20"/>
                <w:szCs w:val="20"/>
                <w:lang w:eastAsia="en-AU"/>
              </w:rPr>
              <w:t>2</w:t>
            </w:r>
            <w:r w:rsidR="0090562B" w:rsidRPr="00C74055">
              <w:rPr>
                <w:rFonts w:ascii="Arial" w:hAnsi="Arial"/>
                <w:b w:val="0"/>
                <w:bCs w:val="0"/>
                <w:sz w:val="20"/>
                <w:szCs w:val="20"/>
                <w:lang w:eastAsia="en-AU"/>
              </w:rPr>
              <w:t>).</w:t>
            </w:r>
          </w:p>
        </w:tc>
      </w:tr>
      <w:bookmarkEnd w:id="44"/>
      <w:tr w:rsidR="001C34F3" w14:paraId="4E226582" w14:textId="77777777" w:rsidTr="001E301B">
        <w:tc>
          <w:tcPr>
            <w:tcW w:w="9640" w:type="dxa"/>
            <w:tcBorders>
              <w:top w:val="single" w:sz="4" w:space="0" w:color="auto"/>
              <w:bottom w:val="single" w:sz="4" w:space="0" w:color="auto"/>
            </w:tcBorders>
          </w:tcPr>
          <w:p w14:paraId="46DB08C2" w14:textId="77777777" w:rsidR="001E301B" w:rsidRDefault="001E301B" w:rsidP="00C74055">
            <w:pPr>
              <w:spacing w:after="120"/>
              <w:rPr>
                <w:rFonts w:ascii="Arial" w:hAnsi="Arial"/>
              </w:rPr>
            </w:pPr>
          </w:p>
          <w:p w14:paraId="01F9AEB7" w14:textId="77777777" w:rsidR="00F1036B" w:rsidRDefault="00F1036B" w:rsidP="001E301B">
            <w:pPr>
              <w:rPr>
                <w:rFonts w:ascii="Arial" w:hAnsi="Arial"/>
                <w:b/>
              </w:rPr>
            </w:pPr>
          </w:p>
          <w:p w14:paraId="239ED581" w14:textId="77777777" w:rsidR="00F1036B" w:rsidRDefault="00F1036B" w:rsidP="001E301B">
            <w:pPr>
              <w:rPr>
                <w:rFonts w:ascii="Arial" w:hAnsi="Arial"/>
                <w:b/>
              </w:rPr>
            </w:pPr>
          </w:p>
          <w:p w14:paraId="6A0C4D7C" w14:textId="62B061A5" w:rsidR="001E301B" w:rsidRDefault="001E301B" w:rsidP="001E301B">
            <w:pPr>
              <w:rPr>
                <w:rFonts w:ascii="Arial" w:hAnsi="Arial"/>
                <w:b/>
              </w:rPr>
            </w:pPr>
            <w:r>
              <w:rPr>
                <w:rFonts w:ascii="Arial" w:hAnsi="Arial"/>
                <w:b/>
              </w:rPr>
              <w:t xml:space="preserve">4.2 Brief description of key alternatives to be further investigated </w:t>
            </w:r>
            <w:r>
              <w:rPr>
                <w:rFonts w:ascii="Arial" w:hAnsi="Arial"/>
              </w:rPr>
              <w:t>(if known)</w:t>
            </w:r>
            <w:r>
              <w:rPr>
                <w:rFonts w:ascii="Arial" w:hAnsi="Arial"/>
                <w:b/>
              </w:rPr>
              <w:t>:</w:t>
            </w:r>
          </w:p>
          <w:p w14:paraId="009EE037" w14:textId="77777777" w:rsidR="001E301B" w:rsidRDefault="001E301B" w:rsidP="00C74055">
            <w:pPr>
              <w:spacing w:after="120"/>
              <w:rPr>
                <w:rFonts w:ascii="Arial" w:hAnsi="Arial"/>
              </w:rPr>
            </w:pPr>
          </w:p>
          <w:p w14:paraId="245198A3" w14:textId="5BEBD031" w:rsidR="004F5EA3" w:rsidRDefault="004F5EA3" w:rsidP="00C74055">
            <w:pPr>
              <w:spacing w:after="120"/>
              <w:rPr>
                <w:rFonts w:ascii="Arial" w:hAnsi="Arial"/>
              </w:rPr>
            </w:pPr>
            <w:r w:rsidRPr="004F5EA3">
              <w:rPr>
                <w:rFonts w:ascii="Arial" w:hAnsi="Arial"/>
              </w:rPr>
              <w:t>A number of key Project aspects are still being investigated and are not yet determined, including:</w:t>
            </w:r>
          </w:p>
          <w:p w14:paraId="695971CA" w14:textId="0D6EFB91" w:rsidR="004F5EA3" w:rsidRPr="00C70314" w:rsidRDefault="004F5EA3" w:rsidP="00C70314">
            <w:pPr>
              <w:pStyle w:val="ListBullet"/>
              <w:numPr>
                <w:ilvl w:val="0"/>
                <w:numId w:val="43"/>
              </w:numPr>
              <w:jc w:val="both"/>
              <w:rPr>
                <w:b w:val="0"/>
                <w:bCs w:val="0"/>
              </w:rPr>
            </w:pPr>
            <w:r w:rsidRPr="00C70314">
              <w:rPr>
                <w:b w:val="0"/>
                <w:bCs w:val="0"/>
              </w:rPr>
              <w:t>min</w:t>
            </w:r>
            <w:r w:rsidR="005A4794" w:rsidRPr="00C70314">
              <w:rPr>
                <w:b w:val="0"/>
                <w:bCs w:val="0"/>
              </w:rPr>
              <w:t xml:space="preserve">ing </w:t>
            </w:r>
            <w:r w:rsidRPr="00C70314">
              <w:rPr>
                <w:b w:val="0"/>
                <w:bCs w:val="0"/>
              </w:rPr>
              <w:t>method;</w:t>
            </w:r>
          </w:p>
          <w:p w14:paraId="276F44A6" w14:textId="77777777" w:rsidR="004E70D4" w:rsidRPr="00C70314" w:rsidRDefault="004E70D4" w:rsidP="00C70314">
            <w:pPr>
              <w:pStyle w:val="ListBullet"/>
              <w:numPr>
                <w:ilvl w:val="0"/>
                <w:numId w:val="43"/>
              </w:numPr>
              <w:jc w:val="both"/>
              <w:rPr>
                <w:b w:val="0"/>
                <w:bCs w:val="0"/>
              </w:rPr>
            </w:pPr>
            <w:r w:rsidRPr="00C70314">
              <w:rPr>
                <w:b w:val="0"/>
                <w:bCs w:val="0"/>
              </w:rPr>
              <w:t>mine pit footprint;</w:t>
            </w:r>
          </w:p>
          <w:p w14:paraId="72A96E37" w14:textId="77777777" w:rsidR="004E70D4" w:rsidRPr="00C70314" w:rsidRDefault="004E70D4" w:rsidP="00C70314">
            <w:pPr>
              <w:pStyle w:val="ListBullet"/>
              <w:numPr>
                <w:ilvl w:val="0"/>
                <w:numId w:val="43"/>
              </w:numPr>
              <w:jc w:val="both"/>
              <w:rPr>
                <w:b w:val="0"/>
                <w:bCs w:val="0"/>
              </w:rPr>
            </w:pPr>
            <w:r w:rsidRPr="00C70314">
              <w:rPr>
                <w:b w:val="0"/>
                <w:bCs w:val="0"/>
              </w:rPr>
              <w:t>processing plant footprint;</w:t>
            </w:r>
          </w:p>
          <w:p w14:paraId="68F632FB" w14:textId="77777777" w:rsidR="004F5EA3" w:rsidRPr="00C70314" w:rsidRDefault="004F5EA3" w:rsidP="00C70314">
            <w:pPr>
              <w:pStyle w:val="ListBullet"/>
              <w:numPr>
                <w:ilvl w:val="0"/>
                <w:numId w:val="43"/>
              </w:numPr>
              <w:jc w:val="both"/>
              <w:rPr>
                <w:b w:val="0"/>
                <w:bCs w:val="0"/>
              </w:rPr>
            </w:pPr>
            <w:r w:rsidRPr="00C70314">
              <w:rPr>
                <w:b w:val="0"/>
                <w:bCs w:val="0"/>
              </w:rPr>
              <w:t>power supply;</w:t>
            </w:r>
          </w:p>
          <w:p w14:paraId="480EC2E4" w14:textId="77777777" w:rsidR="004F5EA3" w:rsidRPr="00C70314" w:rsidRDefault="004F5EA3" w:rsidP="00C70314">
            <w:pPr>
              <w:pStyle w:val="ListBullet"/>
              <w:numPr>
                <w:ilvl w:val="0"/>
                <w:numId w:val="43"/>
              </w:numPr>
              <w:jc w:val="both"/>
              <w:rPr>
                <w:b w:val="0"/>
                <w:bCs w:val="0"/>
              </w:rPr>
            </w:pPr>
            <w:r w:rsidRPr="00C70314">
              <w:rPr>
                <w:b w:val="0"/>
                <w:bCs w:val="0"/>
              </w:rPr>
              <w:t>gas supply;</w:t>
            </w:r>
          </w:p>
          <w:p w14:paraId="79577A65" w14:textId="77777777" w:rsidR="005A4794" w:rsidRPr="00C70314" w:rsidRDefault="005A4794" w:rsidP="00C70314">
            <w:pPr>
              <w:pStyle w:val="ListBullet"/>
              <w:numPr>
                <w:ilvl w:val="0"/>
                <w:numId w:val="43"/>
              </w:numPr>
              <w:jc w:val="both"/>
              <w:rPr>
                <w:b w:val="0"/>
                <w:bCs w:val="0"/>
              </w:rPr>
            </w:pPr>
            <w:r w:rsidRPr="00C70314">
              <w:rPr>
                <w:b w:val="0"/>
                <w:bCs w:val="0"/>
              </w:rPr>
              <w:t>various processing plant configurations and final equipment selection;</w:t>
            </w:r>
          </w:p>
          <w:p w14:paraId="2BFF5F2B" w14:textId="77777777" w:rsidR="004F5EA3" w:rsidRPr="00C70314" w:rsidRDefault="004F5EA3" w:rsidP="00C70314">
            <w:pPr>
              <w:pStyle w:val="ListBullet"/>
              <w:numPr>
                <w:ilvl w:val="0"/>
                <w:numId w:val="43"/>
              </w:numPr>
              <w:jc w:val="both"/>
              <w:rPr>
                <w:b w:val="0"/>
                <w:bCs w:val="0"/>
              </w:rPr>
            </w:pPr>
            <w:r w:rsidRPr="00C70314">
              <w:rPr>
                <w:b w:val="0"/>
                <w:bCs w:val="0"/>
              </w:rPr>
              <w:t>by-product disposal options;</w:t>
            </w:r>
          </w:p>
          <w:p w14:paraId="7EF2AC70" w14:textId="77777777" w:rsidR="004F5EA3" w:rsidRPr="00C70314" w:rsidRDefault="004F5EA3" w:rsidP="00C70314">
            <w:pPr>
              <w:pStyle w:val="ListBullet"/>
              <w:numPr>
                <w:ilvl w:val="0"/>
                <w:numId w:val="43"/>
              </w:numPr>
              <w:jc w:val="both"/>
              <w:rPr>
                <w:b w:val="0"/>
                <w:bCs w:val="0"/>
              </w:rPr>
            </w:pPr>
            <w:r w:rsidRPr="00C70314">
              <w:rPr>
                <w:b w:val="0"/>
                <w:bCs w:val="0"/>
              </w:rPr>
              <w:t>water supply options and associated infrastructure footprint;</w:t>
            </w:r>
          </w:p>
          <w:p w14:paraId="3ECE5141" w14:textId="77777777" w:rsidR="004F5EA3" w:rsidRPr="00C70314" w:rsidRDefault="004F5EA3" w:rsidP="00C70314">
            <w:pPr>
              <w:pStyle w:val="ListBullet"/>
              <w:numPr>
                <w:ilvl w:val="0"/>
                <w:numId w:val="43"/>
              </w:numPr>
              <w:jc w:val="both"/>
              <w:rPr>
                <w:b w:val="0"/>
                <w:bCs w:val="0"/>
              </w:rPr>
            </w:pPr>
            <w:r w:rsidRPr="00C70314">
              <w:rPr>
                <w:b w:val="0"/>
                <w:bCs w:val="0"/>
              </w:rPr>
              <w:t>routes and modes for transport of material;</w:t>
            </w:r>
          </w:p>
          <w:p w14:paraId="0C0FFB2A" w14:textId="2A99D28E" w:rsidR="004F5EA3" w:rsidRPr="00C70314" w:rsidRDefault="004F5EA3" w:rsidP="00C70314">
            <w:pPr>
              <w:pStyle w:val="ListBullet"/>
              <w:numPr>
                <w:ilvl w:val="0"/>
                <w:numId w:val="43"/>
              </w:numPr>
              <w:jc w:val="both"/>
              <w:rPr>
                <w:b w:val="0"/>
                <w:bCs w:val="0"/>
              </w:rPr>
            </w:pPr>
            <w:r w:rsidRPr="00C70314">
              <w:rPr>
                <w:b w:val="0"/>
                <w:bCs w:val="0"/>
              </w:rPr>
              <w:t xml:space="preserve">location of temporary </w:t>
            </w:r>
            <w:r w:rsidR="00166AB5" w:rsidRPr="00C70314">
              <w:rPr>
                <w:b w:val="0"/>
                <w:bCs w:val="0"/>
              </w:rPr>
              <w:t>construction</w:t>
            </w:r>
            <w:r w:rsidRPr="00C70314">
              <w:rPr>
                <w:b w:val="0"/>
                <w:bCs w:val="0"/>
              </w:rPr>
              <w:t xml:space="preserve"> village; and</w:t>
            </w:r>
          </w:p>
          <w:p w14:paraId="66A61C64" w14:textId="77777777" w:rsidR="001C34F3" w:rsidRPr="00C70314" w:rsidRDefault="004F5EA3" w:rsidP="00C70314">
            <w:pPr>
              <w:pStyle w:val="ListBullet"/>
              <w:numPr>
                <w:ilvl w:val="0"/>
                <w:numId w:val="43"/>
              </w:numPr>
              <w:jc w:val="both"/>
              <w:rPr>
                <w:b w:val="0"/>
                <w:bCs w:val="0"/>
              </w:rPr>
            </w:pPr>
            <w:r w:rsidRPr="00C70314">
              <w:rPr>
                <w:b w:val="0"/>
                <w:bCs w:val="0"/>
              </w:rPr>
              <w:t xml:space="preserve">road upgrades and site access points. </w:t>
            </w:r>
          </w:p>
          <w:p w14:paraId="5C2337D9" w14:textId="31261CA3" w:rsidR="00F1036B" w:rsidRPr="00F1036B" w:rsidRDefault="00F1036B" w:rsidP="00F1036B">
            <w:pPr>
              <w:spacing w:after="120"/>
              <w:jc w:val="both"/>
              <w:rPr>
                <w:rFonts w:ascii="Arial" w:hAnsi="Arial"/>
              </w:rPr>
            </w:pPr>
            <w:r w:rsidRPr="004F5EA3">
              <w:rPr>
                <w:rFonts w:ascii="Arial" w:hAnsi="Arial"/>
              </w:rPr>
              <w:t xml:space="preserve">As the operations workforce will be largely sourced from the region, the Project will not require an onsite airstrip or an onsite </w:t>
            </w:r>
            <w:r>
              <w:rPr>
                <w:rFonts w:ascii="Arial" w:hAnsi="Arial"/>
              </w:rPr>
              <w:t>construction</w:t>
            </w:r>
            <w:r w:rsidRPr="004F5EA3">
              <w:rPr>
                <w:rFonts w:ascii="Arial" w:hAnsi="Arial"/>
              </w:rPr>
              <w:t xml:space="preserve"> village during operations.</w:t>
            </w:r>
          </w:p>
        </w:tc>
      </w:tr>
    </w:tbl>
    <w:p w14:paraId="34C4DBFF" w14:textId="77777777" w:rsidR="004E70D4" w:rsidRDefault="004E70D4">
      <w:pPr>
        <w:tabs>
          <w:tab w:val="left" w:pos="2904"/>
          <w:tab w:val="left" w:pos="3907"/>
          <w:tab w:val="left" w:pos="4910"/>
          <w:tab w:val="left" w:pos="5913"/>
          <w:tab w:val="left" w:pos="6916"/>
        </w:tabs>
        <w:ind w:left="91"/>
        <w:rPr>
          <w:rFonts w:ascii="Arial" w:hAnsi="Arial"/>
          <w:b/>
          <w:sz w:val="22"/>
        </w:rPr>
      </w:pPr>
    </w:p>
    <w:p w14:paraId="7F38A46B" w14:textId="77777777" w:rsidR="001C34F3" w:rsidRDefault="001C34F3">
      <w:pPr>
        <w:jc w:val="both"/>
        <w:rPr>
          <w:rFonts w:ascii="Arial" w:hAnsi="Arial"/>
          <w:b/>
          <w:sz w:val="22"/>
        </w:rPr>
      </w:pPr>
      <w:r>
        <w:rPr>
          <w:rFonts w:ascii="Arial" w:hAnsi="Arial"/>
          <w:b/>
          <w:sz w:val="22"/>
        </w:rPr>
        <w:t>5</w:t>
      </w:r>
      <w:r w:rsidR="00731F1C">
        <w:rPr>
          <w:rFonts w:ascii="Arial" w:hAnsi="Arial"/>
          <w:b/>
          <w:sz w:val="22"/>
        </w:rPr>
        <w:t xml:space="preserve">.  </w:t>
      </w:r>
      <w:r>
        <w:rPr>
          <w:rFonts w:ascii="Arial" w:hAnsi="Arial"/>
          <w:b/>
          <w:sz w:val="22"/>
        </w:rPr>
        <w:t>Proposed exclusions</w:t>
      </w:r>
    </w:p>
    <w:p w14:paraId="3B089475" w14:textId="77777777" w:rsidR="001C34F3" w:rsidRDefault="001C34F3">
      <w:pPr>
        <w:tabs>
          <w:tab w:val="left" w:pos="1901"/>
          <w:tab w:val="left" w:pos="2904"/>
          <w:tab w:val="left" w:pos="3907"/>
          <w:tab w:val="left" w:pos="4910"/>
          <w:tab w:val="left" w:pos="5913"/>
          <w:tab w:val="left" w:pos="6916"/>
        </w:tabs>
        <w:ind w:left="93"/>
        <w:rPr>
          <w:rFonts w:ascii="Arial" w:hAnsi="Arial"/>
          <w:b/>
        </w:rPr>
      </w:pPr>
    </w:p>
    <w:tbl>
      <w:tblPr>
        <w:tblW w:w="10354" w:type="dxa"/>
        <w:tblInd w:w="-426" w:type="dxa"/>
        <w:tblLayout w:type="fixed"/>
        <w:tblLook w:val="01E0" w:firstRow="1" w:lastRow="1" w:firstColumn="1" w:lastColumn="1" w:noHBand="0" w:noVBand="0"/>
      </w:tblPr>
      <w:tblGrid>
        <w:gridCol w:w="9640"/>
        <w:gridCol w:w="714"/>
      </w:tblGrid>
      <w:tr w:rsidR="00051E24" w14:paraId="121A565E" w14:textId="77777777" w:rsidTr="001E301B">
        <w:tc>
          <w:tcPr>
            <w:tcW w:w="10354" w:type="dxa"/>
            <w:gridSpan w:val="2"/>
          </w:tcPr>
          <w:p w14:paraId="53342272" w14:textId="19DD3C1A" w:rsidR="001C34F3" w:rsidRDefault="001C34F3">
            <w:pPr>
              <w:rPr>
                <w:rFonts w:ascii="Arial" w:hAnsi="Arial"/>
              </w:rPr>
            </w:pPr>
          </w:p>
        </w:tc>
      </w:tr>
      <w:tr w:rsidR="00051E24" w14:paraId="63D67D56" w14:textId="77777777" w:rsidTr="001E301B">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714" w:type="dxa"/>
        </w:trPr>
        <w:tc>
          <w:tcPr>
            <w:tcW w:w="9640" w:type="dxa"/>
            <w:tcBorders>
              <w:top w:val="single" w:sz="4" w:space="0" w:color="auto"/>
              <w:bottom w:val="nil"/>
            </w:tcBorders>
          </w:tcPr>
          <w:p w14:paraId="67A9455A" w14:textId="1E255A7B" w:rsidR="00F1036B" w:rsidRDefault="00F1036B" w:rsidP="00F1036B">
            <w:pPr>
              <w:spacing w:after="120"/>
              <w:jc w:val="both"/>
              <w:rPr>
                <w:rFonts w:ascii="Arial" w:hAnsi="Arial"/>
              </w:rPr>
            </w:pPr>
            <w:r>
              <w:rPr>
                <w:rFonts w:ascii="Arial" w:hAnsi="Arial"/>
              </w:rPr>
              <w:t xml:space="preserve">No parts of the Project are proposed to be excluded from this referral.  </w:t>
            </w:r>
          </w:p>
        </w:tc>
      </w:tr>
      <w:tr w:rsidR="00051E24" w14:paraId="49DD5A9F" w14:textId="77777777" w:rsidTr="001E301B">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714" w:type="dxa"/>
        </w:trPr>
        <w:tc>
          <w:tcPr>
            <w:tcW w:w="9640" w:type="dxa"/>
            <w:tcBorders>
              <w:top w:val="nil"/>
            </w:tcBorders>
          </w:tcPr>
          <w:p w14:paraId="36933ECF" w14:textId="77777777" w:rsidR="001C34F3" w:rsidRDefault="001C34F3">
            <w:pPr>
              <w:rPr>
                <w:rFonts w:ascii="Arial" w:hAnsi="Arial"/>
              </w:rPr>
            </w:pPr>
          </w:p>
        </w:tc>
      </w:tr>
    </w:tbl>
    <w:p w14:paraId="4BEA7448"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br w:type="page"/>
      </w:r>
      <w:r>
        <w:rPr>
          <w:rFonts w:ascii="Arial" w:hAnsi="Arial"/>
          <w:b/>
          <w:sz w:val="22"/>
        </w:rPr>
        <w:lastRenderedPageBreak/>
        <w:t>6</w:t>
      </w:r>
      <w:r w:rsidR="00731F1C">
        <w:rPr>
          <w:rFonts w:ascii="Arial" w:hAnsi="Arial"/>
          <w:b/>
          <w:sz w:val="22"/>
        </w:rPr>
        <w:t xml:space="preserve">.  </w:t>
      </w:r>
      <w:r>
        <w:rPr>
          <w:rFonts w:ascii="Arial" w:hAnsi="Arial"/>
          <w:b/>
          <w:sz w:val="22"/>
        </w:rPr>
        <w:t>Project implementation</w:t>
      </w:r>
    </w:p>
    <w:p w14:paraId="7C7BC4EB" w14:textId="77777777" w:rsidR="001C34F3" w:rsidRDefault="001C34F3">
      <w:pPr>
        <w:tabs>
          <w:tab w:val="left" w:pos="2904"/>
          <w:tab w:val="left" w:pos="3907"/>
          <w:tab w:val="left" w:pos="4910"/>
          <w:tab w:val="left" w:pos="5913"/>
          <w:tab w:val="left" w:pos="6916"/>
        </w:tabs>
        <w:ind w:left="93"/>
        <w:rPr>
          <w:rFonts w:ascii="Arial" w:hAnsi="Arial"/>
          <w:b/>
          <w:sz w:val="22"/>
        </w:rPr>
      </w:pPr>
    </w:p>
    <w:tbl>
      <w:tblPr>
        <w:tblW w:w="8926" w:type="dxa"/>
        <w:tblLayout w:type="fixed"/>
        <w:tblLook w:val="01E0" w:firstRow="1" w:lastRow="1" w:firstColumn="1" w:lastColumn="1" w:noHBand="0" w:noVBand="0"/>
      </w:tblPr>
      <w:tblGrid>
        <w:gridCol w:w="8926"/>
      </w:tblGrid>
      <w:tr w:rsidR="001C34F3" w14:paraId="7EA5E1A5" w14:textId="77777777" w:rsidTr="001E301B">
        <w:tc>
          <w:tcPr>
            <w:tcW w:w="8926" w:type="dxa"/>
            <w:tcBorders>
              <w:top w:val="single" w:sz="4" w:space="0" w:color="auto"/>
              <w:left w:val="single" w:sz="4" w:space="0" w:color="auto"/>
              <w:right w:val="single" w:sz="4" w:space="0" w:color="auto"/>
            </w:tcBorders>
          </w:tcPr>
          <w:p w14:paraId="333E789D" w14:textId="77777777" w:rsidR="001C34F3" w:rsidRDefault="00672931">
            <w:pPr>
              <w:rPr>
                <w:rFonts w:ascii="Arial" w:hAnsi="Arial"/>
                <w:b/>
              </w:rPr>
            </w:pPr>
            <w:r>
              <w:rPr>
                <w:rFonts w:ascii="Arial" w:hAnsi="Arial"/>
                <w:b/>
              </w:rPr>
              <w:t xml:space="preserve">6.1 </w:t>
            </w:r>
            <w:r w:rsidR="001C34F3">
              <w:rPr>
                <w:rFonts w:ascii="Arial" w:hAnsi="Arial"/>
                <w:b/>
              </w:rPr>
              <w:t xml:space="preserve">Implementing organisation </w:t>
            </w:r>
            <w:r w:rsidR="001C34F3">
              <w:rPr>
                <w:rFonts w:ascii="Arial" w:hAnsi="Arial"/>
              </w:rPr>
              <w:t xml:space="preserve">(ultimately responsible for project, </w:t>
            </w:r>
            <w:proofErr w:type="spellStart"/>
            <w:r w:rsidR="001C34F3">
              <w:rPr>
                <w:rFonts w:ascii="Arial" w:hAnsi="Arial"/>
              </w:rPr>
              <w:t>ie</w:t>
            </w:r>
            <w:proofErr w:type="spellEnd"/>
            <w:r w:rsidR="00731F1C">
              <w:rPr>
                <w:rFonts w:ascii="Arial" w:hAnsi="Arial"/>
              </w:rPr>
              <w:t xml:space="preserve">.  </w:t>
            </w:r>
            <w:r w:rsidR="001C34F3">
              <w:rPr>
                <w:rFonts w:ascii="Arial" w:hAnsi="Arial"/>
              </w:rPr>
              <w:t>not contractor)</w:t>
            </w:r>
            <w:r w:rsidR="001C34F3">
              <w:rPr>
                <w:rFonts w:ascii="Arial" w:hAnsi="Arial"/>
                <w:b/>
              </w:rPr>
              <w:t>:</w:t>
            </w:r>
          </w:p>
        </w:tc>
      </w:tr>
      <w:tr w:rsidR="001C34F3" w14:paraId="5E643EAC" w14:textId="77777777" w:rsidTr="001E301B">
        <w:tc>
          <w:tcPr>
            <w:tcW w:w="8926" w:type="dxa"/>
            <w:tcBorders>
              <w:left w:val="single" w:sz="4" w:space="0" w:color="auto"/>
              <w:bottom w:val="single" w:sz="4" w:space="0" w:color="auto"/>
              <w:right w:val="single" w:sz="4" w:space="0" w:color="auto"/>
            </w:tcBorders>
          </w:tcPr>
          <w:p w14:paraId="3CCE6323" w14:textId="77777777" w:rsidR="00D46EF9" w:rsidRDefault="00D46EF9" w:rsidP="00672931">
            <w:pPr>
              <w:rPr>
                <w:rFonts w:ascii="Arial" w:hAnsi="Arial"/>
              </w:rPr>
            </w:pPr>
          </w:p>
          <w:p w14:paraId="54BE1AA4" w14:textId="77777777" w:rsidR="00672931" w:rsidRPr="00672931" w:rsidRDefault="00672931" w:rsidP="00672931">
            <w:pPr>
              <w:rPr>
                <w:rFonts w:ascii="Arial" w:hAnsi="Arial"/>
              </w:rPr>
            </w:pPr>
            <w:r w:rsidRPr="00672931">
              <w:rPr>
                <w:rFonts w:ascii="Arial" w:hAnsi="Arial"/>
              </w:rPr>
              <w:t>Iluka Resources Limited (Iluka)</w:t>
            </w:r>
          </w:p>
          <w:p w14:paraId="1C10F91F" w14:textId="77777777" w:rsidR="00672931" w:rsidRPr="00672931" w:rsidRDefault="00672931" w:rsidP="00672931">
            <w:pPr>
              <w:rPr>
                <w:rFonts w:ascii="Arial" w:hAnsi="Arial"/>
              </w:rPr>
            </w:pPr>
            <w:r w:rsidRPr="00672931">
              <w:rPr>
                <w:rFonts w:ascii="Arial" w:hAnsi="Arial"/>
              </w:rPr>
              <w:t>Locked Bag 1001</w:t>
            </w:r>
          </w:p>
          <w:p w14:paraId="5231D12F" w14:textId="77777777" w:rsidR="00672931" w:rsidRPr="00672931" w:rsidRDefault="00672931" w:rsidP="00672931">
            <w:pPr>
              <w:rPr>
                <w:rFonts w:ascii="Arial" w:hAnsi="Arial"/>
              </w:rPr>
            </w:pPr>
            <w:r w:rsidRPr="00672931">
              <w:rPr>
                <w:rFonts w:ascii="Arial" w:hAnsi="Arial"/>
              </w:rPr>
              <w:t>Hamilton Vic</w:t>
            </w:r>
            <w:r w:rsidR="004E70D4">
              <w:rPr>
                <w:rFonts w:ascii="Arial" w:hAnsi="Arial"/>
              </w:rPr>
              <w:t>toria</w:t>
            </w:r>
            <w:r w:rsidRPr="00672931">
              <w:rPr>
                <w:rFonts w:ascii="Arial" w:hAnsi="Arial"/>
              </w:rPr>
              <w:t xml:space="preserve"> 3300</w:t>
            </w:r>
          </w:p>
          <w:p w14:paraId="5C32D762" w14:textId="77777777" w:rsidR="00672931" w:rsidRPr="00672931" w:rsidRDefault="00672931" w:rsidP="00672931">
            <w:pPr>
              <w:rPr>
                <w:rFonts w:ascii="Arial" w:hAnsi="Arial"/>
              </w:rPr>
            </w:pPr>
            <w:r w:rsidRPr="00672931">
              <w:rPr>
                <w:rFonts w:ascii="Arial" w:hAnsi="Arial"/>
              </w:rPr>
              <w:t>Australia</w:t>
            </w:r>
          </w:p>
          <w:p w14:paraId="257DA63E" w14:textId="77777777" w:rsidR="00672931" w:rsidRPr="00672931" w:rsidRDefault="00672931" w:rsidP="00672931">
            <w:pPr>
              <w:rPr>
                <w:rFonts w:ascii="Arial" w:hAnsi="Arial"/>
              </w:rPr>
            </w:pPr>
            <w:r w:rsidRPr="00672931">
              <w:rPr>
                <w:rFonts w:ascii="Arial" w:hAnsi="Arial"/>
              </w:rPr>
              <w:t>ABN 34 008 675 018</w:t>
            </w:r>
          </w:p>
          <w:p w14:paraId="605F519E" w14:textId="77777777" w:rsidR="00672931" w:rsidRPr="00672931" w:rsidRDefault="00672931" w:rsidP="00672931">
            <w:pPr>
              <w:rPr>
                <w:rFonts w:ascii="Arial" w:hAnsi="Arial"/>
              </w:rPr>
            </w:pPr>
            <w:r w:rsidRPr="00672931">
              <w:rPr>
                <w:rFonts w:ascii="Arial" w:hAnsi="Arial"/>
              </w:rPr>
              <w:t>Entity name: Iluka Resource Limited</w:t>
            </w:r>
          </w:p>
          <w:p w14:paraId="43CB03F9" w14:textId="77777777" w:rsidR="001C34F3" w:rsidRDefault="001C34F3">
            <w:pPr>
              <w:rPr>
                <w:rFonts w:ascii="Arial" w:hAnsi="Arial"/>
              </w:rPr>
            </w:pPr>
          </w:p>
        </w:tc>
      </w:tr>
      <w:tr w:rsidR="001C34F3" w14:paraId="16D47360" w14:textId="77777777" w:rsidTr="001E301B">
        <w:tblPrEx>
          <w:tblBorders>
            <w:top w:val="single" w:sz="2" w:space="0" w:color="262626"/>
            <w:bottom w:val="single" w:sz="2" w:space="0" w:color="262626"/>
          </w:tblBorders>
          <w:tblCellMar>
            <w:top w:w="28" w:type="dxa"/>
            <w:left w:w="0" w:type="dxa"/>
            <w:bottom w:w="28" w:type="dxa"/>
            <w:right w:w="85" w:type="dxa"/>
          </w:tblCellMar>
          <w:tblLook w:val="0620" w:firstRow="1" w:lastRow="0" w:firstColumn="0" w:lastColumn="0" w:noHBand="1" w:noVBand="1"/>
        </w:tblPrEx>
        <w:trPr>
          <w:cantSplit/>
          <w:tblHeader/>
        </w:trPr>
        <w:tc>
          <w:tcPr>
            <w:tcW w:w="8926" w:type="dxa"/>
            <w:tcBorders>
              <w:top w:val="single" w:sz="4" w:space="0" w:color="auto"/>
              <w:left w:val="single" w:sz="4" w:space="0" w:color="auto"/>
              <w:bottom w:val="nil"/>
              <w:right w:val="single" w:sz="4" w:space="0" w:color="auto"/>
              <w:tl2br w:val="nil"/>
              <w:tr2bl w:val="nil"/>
            </w:tcBorders>
          </w:tcPr>
          <w:p w14:paraId="46C536CF" w14:textId="107691E1" w:rsidR="001C34F3" w:rsidRDefault="001E301B">
            <w:pPr>
              <w:rPr>
                <w:rFonts w:ascii="Arial" w:hAnsi="Arial"/>
              </w:rPr>
            </w:pPr>
            <w:r>
              <w:rPr>
                <w:rFonts w:ascii="Arial" w:hAnsi="Arial"/>
                <w:b/>
              </w:rPr>
              <w:t xml:space="preserve">  </w:t>
            </w:r>
            <w:r w:rsidR="00672931">
              <w:rPr>
                <w:rFonts w:ascii="Arial" w:hAnsi="Arial"/>
                <w:b/>
              </w:rPr>
              <w:t xml:space="preserve">6.2 </w:t>
            </w:r>
            <w:r w:rsidR="001C34F3">
              <w:rPr>
                <w:rFonts w:ascii="Arial" w:hAnsi="Arial"/>
                <w:b/>
              </w:rPr>
              <w:t>Implementation timeframe:</w:t>
            </w:r>
          </w:p>
        </w:tc>
      </w:tr>
      <w:tr w:rsidR="001C34F3" w14:paraId="13F3566D" w14:textId="77777777" w:rsidTr="001E301B">
        <w:tc>
          <w:tcPr>
            <w:tcW w:w="8926" w:type="dxa"/>
            <w:tcBorders>
              <w:left w:val="single" w:sz="4" w:space="0" w:color="auto"/>
              <w:right w:val="single" w:sz="4" w:space="0" w:color="auto"/>
            </w:tcBorders>
          </w:tcPr>
          <w:p w14:paraId="6F5AEAFC" w14:textId="77777777" w:rsidR="00D46EF9" w:rsidRDefault="00D46EF9" w:rsidP="00672931">
            <w:pPr>
              <w:rPr>
                <w:rFonts w:ascii="Arial" w:hAnsi="Arial"/>
              </w:rPr>
            </w:pPr>
          </w:p>
          <w:p w14:paraId="0DF5BFD5" w14:textId="77777777" w:rsidR="00672931" w:rsidRDefault="00672931" w:rsidP="004803DF">
            <w:pPr>
              <w:spacing w:after="120"/>
              <w:jc w:val="both"/>
              <w:rPr>
                <w:rFonts w:ascii="Arial" w:hAnsi="Arial"/>
              </w:rPr>
            </w:pPr>
            <w:r w:rsidRPr="00672931">
              <w:rPr>
                <w:rFonts w:ascii="Arial" w:hAnsi="Arial"/>
              </w:rPr>
              <w:t>The expected duration of mining activities is 25 years, including initial pre-strip, ore mining, processing and refining, return of all stockpiled overburden and revegetation.</w:t>
            </w:r>
          </w:p>
          <w:p w14:paraId="27CD12A4" w14:textId="7C55D5A6" w:rsidR="00672931" w:rsidRDefault="00672931" w:rsidP="004803DF">
            <w:pPr>
              <w:spacing w:after="120"/>
              <w:jc w:val="both"/>
              <w:rPr>
                <w:rFonts w:ascii="Arial" w:hAnsi="Arial"/>
              </w:rPr>
            </w:pPr>
            <w:r w:rsidRPr="00672931">
              <w:rPr>
                <w:rFonts w:ascii="Arial" w:hAnsi="Arial"/>
              </w:rPr>
              <w:t xml:space="preserve">Iluka is currently </w:t>
            </w:r>
            <w:r w:rsidR="00413DE1">
              <w:rPr>
                <w:rFonts w:ascii="Arial" w:hAnsi="Arial"/>
              </w:rPr>
              <w:t>undertaking</w:t>
            </w:r>
            <w:r w:rsidRPr="00672931">
              <w:rPr>
                <w:rFonts w:ascii="Arial" w:hAnsi="Arial"/>
              </w:rPr>
              <w:t xml:space="preserve"> a wide range of investigations and assessments on the geological, mining, processing, marketing, environmental and socio-political aspects of the Project. This </w:t>
            </w:r>
            <w:r w:rsidR="00413DE1">
              <w:rPr>
                <w:rFonts w:ascii="Arial" w:hAnsi="Arial"/>
              </w:rPr>
              <w:t>preliminary design and assessment work</w:t>
            </w:r>
            <w:r w:rsidR="00413DE1" w:rsidRPr="00672931">
              <w:rPr>
                <w:rFonts w:ascii="Arial" w:hAnsi="Arial"/>
              </w:rPr>
              <w:t xml:space="preserve"> </w:t>
            </w:r>
            <w:r w:rsidRPr="00672931">
              <w:rPr>
                <w:rFonts w:ascii="Arial" w:hAnsi="Arial"/>
              </w:rPr>
              <w:t>will select the most appropriate mining and processing methods and estimate the cost of the Project with a precision of ±30%</w:t>
            </w:r>
            <w:r w:rsidR="00413DE1">
              <w:rPr>
                <w:rFonts w:ascii="Arial" w:hAnsi="Arial"/>
              </w:rPr>
              <w:t xml:space="preserve"> and </w:t>
            </w:r>
            <w:r w:rsidR="004E70D4">
              <w:rPr>
                <w:rFonts w:ascii="Arial" w:hAnsi="Arial"/>
              </w:rPr>
              <w:t>i</w:t>
            </w:r>
            <w:r w:rsidRPr="00672931">
              <w:rPr>
                <w:rFonts w:ascii="Arial" w:hAnsi="Arial"/>
              </w:rPr>
              <w:t>s scheduled to be completed by the end of 2019.</w:t>
            </w:r>
          </w:p>
          <w:p w14:paraId="0150E344" w14:textId="29E2C96B" w:rsidR="00672931" w:rsidRDefault="00672931" w:rsidP="004803DF">
            <w:pPr>
              <w:spacing w:after="120"/>
              <w:jc w:val="both"/>
              <w:rPr>
                <w:rFonts w:ascii="Arial" w:hAnsi="Arial"/>
              </w:rPr>
            </w:pPr>
            <w:r w:rsidRPr="00672931">
              <w:rPr>
                <w:rFonts w:ascii="Arial" w:hAnsi="Arial"/>
              </w:rPr>
              <w:t xml:space="preserve">The </w:t>
            </w:r>
            <w:r w:rsidR="00413DE1">
              <w:rPr>
                <w:rFonts w:ascii="Arial" w:hAnsi="Arial"/>
              </w:rPr>
              <w:t>preliminary design and assessment work</w:t>
            </w:r>
            <w:r w:rsidRPr="00672931">
              <w:rPr>
                <w:rFonts w:ascii="Arial" w:hAnsi="Arial"/>
              </w:rPr>
              <w:t xml:space="preserve"> will be followed by a detailed </w:t>
            </w:r>
            <w:r w:rsidR="00413DE1">
              <w:rPr>
                <w:rFonts w:ascii="Arial" w:hAnsi="Arial"/>
              </w:rPr>
              <w:t>design and impact assessment</w:t>
            </w:r>
            <w:r w:rsidRPr="00672931">
              <w:rPr>
                <w:rFonts w:ascii="Arial" w:hAnsi="Arial"/>
              </w:rPr>
              <w:t xml:space="preserve"> that will confirm and advance the </w:t>
            </w:r>
            <w:r w:rsidR="00D02516">
              <w:rPr>
                <w:rFonts w:ascii="Arial" w:hAnsi="Arial"/>
              </w:rPr>
              <w:t>Project</w:t>
            </w:r>
            <w:r w:rsidRPr="00672931">
              <w:rPr>
                <w:rFonts w:ascii="Arial" w:hAnsi="Arial"/>
              </w:rPr>
              <w:t xml:space="preserve"> design and estimate the cost of the </w:t>
            </w:r>
            <w:r w:rsidR="00D02516">
              <w:rPr>
                <w:rFonts w:ascii="Arial" w:hAnsi="Arial"/>
              </w:rPr>
              <w:t>Project</w:t>
            </w:r>
            <w:r w:rsidRPr="00672931">
              <w:rPr>
                <w:rFonts w:ascii="Arial" w:hAnsi="Arial"/>
              </w:rPr>
              <w:t xml:space="preserve"> with an accuracy of ±15%. Th</w:t>
            </w:r>
            <w:r w:rsidR="00413DE1">
              <w:rPr>
                <w:rFonts w:ascii="Arial" w:hAnsi="Arial"/>
              </w:rPr>
              <w:t>is work</w:t>
            </w:r>
            <w:r w:rsidRPr="00672931">
              <w:rPr>
                <w:rFonts w:ascii="Arial" w:hAnsi="Arial"/>
              </w:rPr>
              <w:t xml:space="preserve"> is scheduled to be completed by mid-2021</w:t>
            </w:r>
            <w:r w:rsidR="00413DE1">
              <w:rPr>
                <w:rFonts w:ascii="Arial" w:hAnsi="Arial"/>
              </w:rPr>
              <w:t xml:space="preserve"> and </w:t>
            </w:r>
            <w:r w:rsidRPr="00672931">
              <w:rPr>
                <w:rFonts w:ascii="Arial" w:hAnsi="Arial"/>
              </w:rPr>
              <w:t xml:space="preserve">will be followed by a decision by the Iluka Board whether to proceed with development of the </w:t>
            </w:r>
            <w:r w:rsidR="00D02516">
              <w:rPr>
                <w:rFonts w:ascii="Arial" w:hAnsi="Arial"/>
              </w:rPr>
              <w:t>Project</w:t>
            </w:r>
            <w:r w:rsidRPr="00672931">
              <w:rPr>
                <w:rFonts w:ascii="Arial" w:hAnsi="Arial"/>
              </w:rPr>
              <w:t xml:space="preserve">. The process to obtain the required government environmental and planning approvals for the </w:t>
            </w:r>
            <w:r w:rsidR="00D02516">
              <w:rPr>
                <w:rFonts w:ascii="Arial" w:hAnsi="Arial"/>
              </w:rPr>
              <w:t>Project</w:t>
            </w:r>
            <w:r w:rsidRPr="00672931">
              <w:rPr>
                <w:rFonts w:ascii="Arial" w:hAnsi="Arial"/>
              </w:rPr>
              <w:t xml:space="preserve"> will proceed in parallel with the </w:t>
            </w:r>
            <w:r w:rsidR="00413DE1">
              <w:rPr>
                <w:rFonts w:ascii="Arial" w:hAnsi="Arial"/>
              </w:rPr>
              <w:t xml:space="preserve">preliminary and detailed design and assessment phases of the </w:t>
            </w:r>
            <w:r w:rsidR="00D02516">
              <w:rPr>
                <w:rFonts w:ascii="Arial" w:hAnsi="Arial"/>
              </w:rPr>
              <w:t>Project</w:t>
            </w:r>
            <w:r w:rsidRPr="00672931">
              <w:rPr>
                <w:rFonts w:ascii="Arial" w:hAnsi="Arial"/>
              </w:rPr>
              <w:t>.</w:t>
            </w:r>
          </w:p>
          <w:p w14:paraId="172B5856" w14:textId="77777777" w:rsidR="00672931" w:rsidRDefault="00672931" w:rsidP="004803DF">
            <w:pPr>
              <w:spacing w:after="120"/>
              <w:jc w:val="both"/>
              <w:rPr>
                <w:rFonts w:ascii="Arial" w:hAnsi="Arial"/>
              </w:rPr>
            </w:pPr>
            <w:r w:rsidRPr="00672931">
              <w:rPr>
                <w:rFonts w:ascii="Arial" w:hAnsi="Arial"/>
              </w:rPr>
              <w:t>Subject to receipt of governmental approvals and obtaining Board approval, the stripping of soil</w:t>
            </w:r>
            <w:r w:rsidR="00ED5B16">
              <w:rPr>
                <w:rFonts w:ascii="Arial" w:hAnsi="Arial"/>
              </w:rPr>
              <w:t xml:space="preserve">, construction activities, </w:t>
            </w:r>
            <w:r w:rsidRPr="00672931">
              <w:rPr>
                <w:rFonts w:ascii="Arial" w:hAnsi="Arial"/>
              </w:rPr>
              <w:t xml:space="preserve">overburden </w:t>
            </w:r>
            <w:r w:rsidR="00ED5B16">
              <w:rPr>
                <w:rFonts w:ascii="Arial" w:hAnsi="Arial"/>
              </w:rPr>
              <w:t xml:space="preserve">mining </w:t>
            </w:r>
            <w:r w:rsidRPr="00672931">
              <w:rPr>
                <w:rFonts w:ascii="Arial" w:hAnsi="Arial"/>
              </w:rPr>
              <w:t>and dewatering are scheduled to commence in mid-202</w:t>
            </w:r>
            <w:r w:rsidR="00ED5B16">
              <w:rPr>
                <w:rFonts w:ascii="Arial" w:hAnsi="Arial"/>
              </w:rPr>
              <w:t>1</w:t>
            </w:r>
            <w:r w:rsidRPr="00672931">
              <w:rPr>
                <w:rFonts w:ascii="Arial" w:hAnsi="Arial"/>
              </w:rPr>
              <w:t>.</w:t>
            </w:r>
          </w:p>
          <w:p w14:paraId="74E88A4C" w14:textId="77777777" w:rsidR="00672931" w:rsidRPr="00672931" w:rsidRDefault="00672931" w:rsidP="004803DF">
            <w:pPr>
              <w:spacing w:after="120"/>
              <w:jc w:val="both"/>
              <w:rPr>
                <w:rFonts w:ascii="Arial" w:hAnsi="Arial"/>
              </w:rPr>
            </w:pPr>
            <w:r w:rsidRPr="00672931">
              <w:rPr>
                <w:rFonts w:ascii="Arial" w:hAnsi="Arial"/>
              </w:rPr>
              <w:t>The mining activities are expected to continue for 25 years. Site rehabilitation and monitoring activities are expected to continue for approximately 15 years following the completion of mining.</w:t>
            </w:r>
          </w:p>
          <w:p w14:paraId="7C91480D" w14:textId="77777777" w:rsidR="00672931" w:rsidRPr="00672931" w:rsidRDefault="00672931" w:rsidP="00634D67">
            <w:pPr>
              <w:jc w:val="both"/>
              <w:rPr>
                <w:rFonts w:ascii="Arial" w:hAnsi="Arial"/>
              </w:rPr>
            </w:pPr>
          </w:p>
          <w:p w14:paraId="6C861740" w14:textId="6BF89164" w:rsidR="00672931" w:rsidRDefault="00672931" w:rsidP="00634D67">
            <w:pPr>
              <w:jc w:val="both"/>
              <w:rPr>
                <w:rFonts w:ascii="Arial" w:hAnsi="Arial"/>
              </w:rPr>
            </w:pPr>
            <w:r w:rsidRPr="00934205">
              <w:rPr>
                <w:rFonts w:ascii="Arial" w:hAnsi="Arial"/>
              </w:rPr>
              <w:t xml:space="preserve">The key stages of the Project are summarised in Table 6.1. </w:t>
            </w:r>
          </w:p>
          <w:p w14:paraId="39EE9094" w14:textId="77777777" w:rsidR="00C87E21" w:rsidRPr="00934205" w:rsidRDefault="00C87E21" w:rsidP="00634D67">
            <w:pPr>
              <w:jc w:val="both"/>
              <w:rPr>
                <w:rFonts w:ascii="Arial" w:hAnsi="Arial"/>
              </w:rPr>
            </w:pPr>
          </w:p>
          <w:tbl>
            <w:tblPr>
              <w:tblW w:w="9125" w:type="dxa"/>
              <w:tblBorders>
                <w:top w:val="single" w:sz="2" w:space="0" w:color="262626"/>
                <w:bottom w:val="single" w:sz="2" w:space="0" w:color="262626"/>
              </w:tblBorders>
              <w:tblLayout w:type="fixed"/>
              <w:tblLook w:val="0620" w:firstRow="1" w:lastRow="0" w:firstColumn="0" w:lastColumn="0" w:noHBand="1" w:noVBand="1"/>
            </w:tblPr>
            <w:tblGrid>
              <w:gridCol w:w="2447"/>
              <w:gridCol w:w="4222"/>
              <w:gridCol w:w="2456"/>
            </w:tblGrid>
            <w:tr w:rsidR="00934205" w14:paraId="295F2522" w14:textId="77777777" w:rsidTr="00C87E21">
              <w:trPr>
                <w:tblHeader/>
              </w:trPr>
              <w:tc>
                <w:tcPr>
                  <w:tcW w:w="9125" w:type="dxa"/>
                  <w:gridSpan w:val="3"/>
                </w:tcPr>
                <w:p w14:paraId="6F36EE41" w14:textId="6FC835CF" w:rsidR="00934205" w:rsidRPr="00A0448B" w:rsidRDefault="00934205" w:rsidP="00634D67">
                  <w:pPr>
                    <w:pStyle w:val="TableCaption"/>
                    <w:tabs>
                      <w:tab w:val="clear" w:pos="1418"/>
                      <w:tab w:val="left" w:pos="1775"/>
                    </w:tabs>
                    <w:ind w:left="924" w:hanging="924"/>
                    <w:rPr>
                      <w:rFonts w:ascii="Arial" w:hAnsi="Arial" w:cs="Arial"/>
                      <w:sz w:val="18"/>
                    </w:rPr>
                  </w:pPr>
                  <w:bookmarkStart w:id="45" w:name="_Toc2343578"/>
                  <w:bookmarkStart w:id="46" w:name="_Toc2343986"/>
                  <w:bookmarkStart w:id="47" w:name="_Toc1745059"/>
                  <w:bookmarkStart w:id="48" w:name="_Toc2774867"/>
                  <w:bookmarkStart w:id="49" w:name="_Toc8400190"/>
                  <w:r w:rsidRPr="00A0448B">
                    <w:rPr>
                      <w:rFonts w:ascii="Arial" w:hAnsi="Arial" w:cs="Arial"/>
                      <w:sz w:val="18"/>
                    </w:rPr>
                    <w:t>Table 6.</w:t>
                  </w:r>
                  <w:r w:rsidR="001F15B9">
                    <w:rPr>
                      <w:rFonts w:ascii="Arial" w:hAnsi="Arial" w:cs="Arial"/>
                      <w:sz w:val="18"/>
                    </w:rPr>
                    <w:t>1</w:t>
                  </w:r>
                  <w:r w:rsidRPr="00A0448B">
                    <w:rPr>
                      <w:rFonts w:ascii="Arial" w:hAnsi="Arial" w:cs="Arial"/>
                      <w:sz w:val="18"/>
                    </w:rPr>
                    <w:tab/>
                    <w:t>Key stages</w:t>
                  </w:r>
                  <w:bookmarkEnd w:id="45"/>
                  <w:bookmarkEnd w:id="46"/>
                  <w:bookmarkEnd w:id="47"/>
                  <w:bookmarkEnd w:id="48"/>
                  <w:bookmarkEnd w:id="49"/>
                </w:p>
              </w:tc>
            </w:tr>
            <w:tr w:rsidR="00934205" w14:paraId="6EA088D4" w14:textId="77777777" w:rsidTr="00D0190B">
              <w:tblPrEx>
                <w:tblBorders>
                  <w:top w:val="none" w:sz="0" w:space="0" w:color="auto"/>
                  <w:bottom w:val="none" w:sz="0" w:space="0" w:color="auto"/>
                </w:tblBorders>
              </w:tblPrEx>
              <w:trPr>
                <w:gridAfter w:val="1"/>
                <w:wAfter w:w="2456" w:type="dxa"/>
              </w:trPr>
              <w:tc>
                <w:tcPr>
                  <w:tcW w:w="2447" w:type="dxa"/>
                  <w:tcBorders>
                    <w:top w:val="single" w:sz="4" w:space="0" w:color="auto"/>
                    <w:left w:val="single" w:sz="4" w:space="0" w:color="auto"/>
                    <w:bottom w:val="single" w:sz="4" w:space="0" w:color="auto"/>
                    <w:right w:val="single" w:sz="4" w:space="0" w:color="auto"/>
                  </w:tcBorders>
                </w:tcPr>
                <w:p w14:paraId="42204405" w14:textId="77777777" w:rsidR="00934205" w:rsidRPr="00A0448B" w:rsidRDefault="00934205" w:rsidP="00634D67">
                  <w:pPr>
                    <w:pStyle w:val="TableHeading"/>
                    <w:tabs>
                      <w:tab w:val="left" w:pos="1775"/>
                    </w:tabs>
                    <w:ind w:left="924" w:hanging="924"/>
                    <w:rPr>
                      <w:rFonts w:ascii="Arial" w:hAnsi="Arial" w:cs="Arial"/>
                      <w:szCs w:val="18"/>
                    </w:rPr>
                  </w:pPr>
                  <w:r w:rsidRPr="00A0448B">
                    <w:rPr>
                      <w:rFonts w:ascii="Arial" w:hAnsi="Arial" w:cs="Arial"/>
                      <w:szCs w:val="18"/>
                    </w:rPr>
                    <w:t>Stage</w:t>
                  </w:r>
                </w:p>
              </w:tc>
              <w:tc>
                <w:tcPr>
                  <w:tcW w:w="4222" w:type="dxa"/>
                  <w:tcBorders>
                    <w:top w:val="single" w:sz="4" w:space="0" w:color="auto"/>
                    <w:left w:val="single" w:sz="4" w:space="0" w:color="auto"/>
                    <w:bottom w:val="single" w:sz="4" w:space="0" w:color="auto"/>
                    <w:right w:val="single" w:sz="4" w:space="0" w:color="auto"/>
                  </w:tcBorders>
                </w:tcPr>
                <w:p w14:paraId="6ADE5645" w14:textId="77777777" w:rsidR="00934205" w:rsidRPr="00A0448B" w:rsidRDefault="00934205" w:rsidP="00634D67">
                  <w:pPr>
                    <w:pStyle w:val="TableHeading"/>
                    <w:tabs>
                      <w:tab w:val="left" w:pos="1775"/>
                    </w:tabs>
                    <w:ind w:left="924" w:hanging="924"/>
                    <w:rPr>
                      <w:rFonts w:ascii="Arial" w:hAnsi="Arial" w:cs="Arial"/>
                      <w:szCs w:val="18"/>
                    </w:rPr>
                  </w:pPr>
                  <w:r w:rsidRPr="00A0448B">
                    <w:rPr>
                      <w:rFonts w:ascii="Arial" w:hAnsi="Arial" w:cs="Arial"/>
                      <w:szCs w:val="18"/>
                    </w:rPr>
                    <w:t>Timing</w:t>
                  </w:r>
                </w:p>
              </w:tc>
            </w:tr>
            <w:tr w:rsidR="00934205" w14:paraId="7B3543B2" w14:textId="77777777" w:rsidTr="00D0190B">
              <w:tblPrEx>
                <w:tblBorders>
                  <w:top w:val="none" w:sz="0" w:space="0" w:color="auto"/>
                  <w:bottom w:val="none" w:sz="0" w:space="0" w:color="auto"/>
                </w:tblBorders>
              </w:tblPrEx>
              <w:trPr>
                <w:gridAfter w:val="1"/>
                <w:wAfter w:w="2456" w:type="dxa"/>
              </w:trPr>
              <w:tc>
                <w:tcPr>
                  <w:tcW w:w="2447" w:type="dxa"/>
                  <w:tcBorders>
                    <w:top w:val="single" w:sz="4" w:space="0" w:color="auto"/>
                    <w:left w:val="single" w:sz="4" w:space="0" w:color="auto"/>
                    <w:bottom w:val="single" w:sz="4" w:space="0" w:color="auto"/>
                    <w:right w:val="single" w:sz="4" w:space="0" w:color="auto"/>
                  </w:tcBorders>
                </w:tcPr>
                <w:p w14:paraId="75E401DE" w14:textId="77777777" w:rsidR="00934205" w:rsidRPr="00A0448B" w:rsidRDefault="00934205" w:rsidP="00634D67">
                  <w:pPr>
                    <w:pStyle w:val="TableText"/>
                    <w:tabs>
                      <w:tab w:val="left" w:pos="1775"/>
                    </w:tabs>
                    <w:ind w:left="924" w:hanging="924"/>
                    <w:rPr>
                      <w:rFonts w:ascii="Arial" w:hAnsi="Arial" w:cs="Arial"/>
                      <w:szCs w:val="18"/>
                    </w:rPr>
                  </w:pPr>
                  <w:r w:rsidRPr="00A0448B">
                    <w:rPr>
                      <w:rFonts w:ascii="Arial" w:hAnsi="Arial" w:cs="Arial"/>
                      <w:szCs w:val="18"/>
                    </w:rPr>
                    <w:t>Approval</w:t>
                  </w:r>
                </w:p>
              </w:tc>
              <w:tc>
                <w:tcPr>
                  <w:tcW w:w="4222" w:type="dxa"/>
                  <w:tcBorders>
                    <w:top w:val="single" w:sz="4" w:space="0" w:color="auto"/>
                    <w:left w:val="single" w:sz="4" w:space="0" w:color="auto"/>
                    <w:bottom w:val="single" w:sz="4" w:space="0" w:color="auto"/>
                    <w:right w:val="single" w:sz="4" w:space="0" w:color="auto"/>
                  </w:tcBorders>
                </w:tcPr>
                <w:p w14:paraId="472896FD" w14:textId="6EF8AD5D" w:rsidR="00934205" w:rsidRPr="00A0448B" w:rsidRDefault="00934205" w:rsidP="00634D67">
                  <w:pPr>
                    <w:pStyle w:val="TableText"/>
                    <w:tabs>
                      <w:tab w:val="left" w:pos="1775"/>
                    </w:tabs>
                    <w:ind w:left="924" w:hanging="924"/>
                    <w:rPr>
                      <w:rFonts w:ascii="Arial" w:hAnsi="Arial" w:cs="Arial"/>
                      <w:szCs w:val="18"/>
                    </w:rPr>
                  </w:pPr>
                  <w:r w:rsidRPr="00A0448B">
                    <w:rPr>
                      <w:rFonts w:ascii="Arial" w:hAnsi="Arial" w:cs="Arial"/>
                      <w:szCs w:val="18"/>
                    </w:rPr>
                    <w:t>2019</w:t>
                  </w:r>
                  <w:r w:rsidR="00C87E21">
                    <w:rPr>
                      <w:rFonts w:ascii="Arial" w:hAnsi="Arial" w:cs="Arial"/>
                      <w:szCs w:val="18"/>
                    </w:rPr>
                    <w:t>–</w:t>
                  </w:r>
                  <w:r w:rsidRPr="00A0448B">
                    <w:rPr>
                      <w:rFonts w:ascii="Arial" w:hAnsi="Arial" w:cs="Arial"/>
                      <w:szCs w:val="18"/>
                    </w:rPr>
                    <w:t>2021</w:t>
                  </w:r>
                </w:p>
              </w:tc>
            </w:tr>
            <w:tr w:rsidR="00934205" w14:paraId="6095A99F" w14:textId="77777777" w:rsidTr="00D0190B">
              <w:tblPrEx>
                <w:tblBorders>
                  <w:top w:val="none" w:sz="0" w:space="0" w:color="auto"/>
                  <w:bottom w:val="none" w:sz="0" w:space="0" w:color="auto"/>
                </w:tblBorders>
              </w:tblPrEx>
              <w:trPr>
                <w:gridAfter w:val="1"/>
                <w:wAfter w:w="2456" w:type="dxa"/>
              </w:trPr>
              <w:tc>
                <w:tcPr>
                  <w:tcW w:w="2447" w:type="dxa"/>
                  <w:tcBorders>
                    <w:top w:val="single" w:sz="4" w:space="0" w:color="auto"/>
                    <w:left w:val="single" w:sz="4" w:space="0" w:color="auto"/>
                    <w:bottom w:val="single" w:sz="4" w:space="0" w:color="auto"/>
                    <w:right w:val="single" w:sz="4" w:space="0" w:color="auto"/>
                  </w:tcBorders>
                </w:tcPr>
                <w:p w14:paraId="4572F10F" w14:textId="77777777" w:rsidR="00934205" w:rsidRPr="00A0448B" w:rsidRDefault="00934205" w:rsidP="00634D67">
                  <w:pPr>
                    <w:pStyle w:val="TableText"/>
                    <w:tabs>
                      <w:tab w:val="left" w:pos="1775"/>
                    </w:tabs>
                    <w:ind w:left="924" w:hanging="924"/>
                    <w:rPr>
                      <w:rFonts w:ascii="Arial" w:hAnsi="Arial" w:cs="Arial"/>
                      <w:szCs w:val="18"/>
                    </w:rPr>
                  </w:pPr>
                  <w:r w:rsidRPr="00A0448B">
                    <w:rPr>
                      <w:rFonts w:ascii="Arial" w:hAnsi="Arial" w:cs="Arial"/>
                      <w:szCs w:val="18"/>
                    </w:rPr>
                    <w:t>Construction</w:t>
                  </w:r>
                </w:p>
              </w:tc>
              <w:tc>
                <w:tcPr>
                  <w:tcW w:w="4222" w:type="dxa"/>
                  <w:tcBorders>
                    <w:top w:val="single" w:sz="4" w:space="0" w:color="auto"/>
                    <w:left w:val="single" w:sz="4" w:space="0" w:color="auto"/>
                    <w:bottom w:val="single" w:sz="4" w:space="0" w:color="auto"/>
                    <w:right w:val="single" w:sz="4" w:space="0" w:color="auto"/>
                  </w:tcBorders>
                </w:tcPr>
                <w:p w14:paraId="6596ADC7" w14:textId="667B6ECD" w:rsidR="00934205" w:rsidRPr="00A0448B" w:rsidRDefault="00C05A1F" w:rsidP="00C05A1F">
                  <w:pPr>
                    <w:pStyle w:val="TableText"/>
                    <w:tabs>
                      <w:tab w:val="left" w:pos="1775"/>
                    </w:tabs>
                    <w:ind w:left="924" w:hanging="924"/>
                    <w:rPr>
                      <w:rFonts w:ascii="Arial" w:hAnsi="Arial" w:cs="Arial"/>
                      <w:szCs w:val="18"/>
                    </w:rPr>
                  </w:pPr>
                  <w:r>
                    <w:rPr>
                      <w:rFonts w:ascii="Arial" w:hAnsi="Arial" w:cs="Arial"/>
                      <w:szCs w:val="18"/>
                    </w:rPr>
                    <w:t xml:space="preserve">Mid </w:t>
                  </w:r>
                  <w:r w:rsidR="00934205" w:rsidRPr="00A0448B">
                    <w:rPr>
                      <w:rFonts w:ascii="Arial" w:hAnsi="Arial" w:cs="Arial"/>
                      <w:szCs w:val="18"/>
                    </w:rPr>
                    <w:t>2021</w:t>
                  </w:r>
                  <w:r>
                    <w:rPr>
                      <w:rFonts w:ascii="Arial" w:hAnsi="Arial" w:cs="Arial"/>
                      <w:szCs w:val="18"/>
                    </w:rPr>
                    <w:t xml:space="preserve">–mid </w:t>
                  </w:r>
                  <w:r w:rsidR="00934205" w:rsidRPr="00A0448B">
                    <w:rPr>
                      <w:rFonts w:ascii="Arial" w:hAnsi="Arial" w:cs="Arial"/>
                      <w:szCs w:val="18"/>
                    </w:rPr>
                    <w:t>202</w:t>
                  </w:r>
                  <w:r>
                    <w:rPr>
                      <w:rFonts w:ascii="Arial" w:hAnsi="Arial" w:cs="Arial"/>
                      <w:szCs w:val="18"/>
                    </w:rPr>
                    <w:t>3</w:t>
                  </w:r>
                </w:p>
              </w:tc>
            </w:tr>
            <w:tr w:rsidR="00934205" w14:paraId="224DF803" w14:textId="77777777" w:rsidTr="00D0190B">
              <w:tblPrEx>
                <w:tblBorders>
                  <w:top w:val="none" w:sz="0" w:space="0" w:color="auto"/>
                  <w:bottom w:val="none" w:sz="0" w:space="0" w:color="auto"/>
                </w:tblBorders>
              </w:tblPrEx>
              <w:trPr>
                <w:gridAfter w:val="1"/>
                <w:wAfter w:w="2456" w:type="dxa"/>
              </w:trPr>
              <w:tc>
                <w:tcPr>
                  <w:tcW w:w="2447" w:type="dxa"/>
                  <w:tcBorders>
                    <w:top w:val="single" w:sz="4" w:space="0" w:color="auto"/>
                    <w:left w:val="single" w:sz="4" w:space="0" w:color="auto"/>
                    <w:bottom w:val="single" w:sz="4" w:space="0" w:color="auto"/>
                    <w:right w:val="single" w:sz="4" w:space="0" w:color="auto"/>
                  </w:tcBorders>
                </w:tcPr>
                <w:p w14:paraId="68991C0A" w14:textId="77777777" w:rsidR="00934205" w:rsidRPr="00A0448B" w:rsidRDefault="00934205" w:rsidP="00634D67">
                  <w:pPr>
                    <w:pStyle w:val="TableText"/>
                    <w:tabs>
                      <w:tab w:val="left" w:pos="1775"/>
                    </w:tabs>
                    <w:ind w:left="924" w:hanging="924"/>
                    <w:rPr>
                      <w:rFonts w:ascii="Arial" w:hAnsi="Arial" w:cs="Arial"/>
                      <w:szCs w:val="18"/>
                    </w:rPr>
                  </w:pPr>
                  <w:r w:rsidRPr="00A0448B">
                    <w:rPr>
                      <w:rFonts w:ascii="Arial" w:hAnsi="Arial" w:cs="Arial"/>
                      <w:szCs w:val="18"/>
                    </w:rPr>
                    <w:t>Operation</w:t>
                  </w:r>
                </w:p>
              </w:tc>
              <w:tc>
                <w:tcPr>
                  <w:tcW w:w="4222" w:type="dxa"/>
                  <w:tcBorders>
                    <w:top w:val="single" w:sz="4" w:space="0" w:color="auto"/>
                    <w:left w:val="single" w:sz="4" w:space="0" w:color="auto"/>
                    <w:bottom w:val="single" w:sz="4" w:space="0" w:color="auto"/>
                    <w:right w:val="single" w:sz="4" w:space="0" w:color="auto"/>
                  </w:tcBorders>
                </w:tcPr>
                <w:p w14:paraId="54D59F52" w14:textId="19A94B85" w:rsidR="00934205" w:rsidRPr="00A0448B" w:rsidRDefault="00C05A1F" w:rsidP="00C05A1F">
                  <w:pPr>
                    <w:pStyle w:val="TableText"/>
                    <w:tabs>
                      <w:tab w:val="left" w:pos="1775"/>
                    </w:tabs>
                    <w:ind w:left="924" w:hanging="924"/>
                    <w:rPr>
                      <w:rFonts w:ascii="Arial" w:hAnsi="Arial" w:cs="Arial"/>
                      <w:szCs w:val="18"/>
                    </w:rPr>
                  </w:pPr>
                  <w:r>
                    <w:rPr>
                      <w:rFonts w:ascii="Arial" w:hAnsi="Arial" w:cs="Arial"/>
                      <w:szCs w:val="18"/>
                    </w:rPr>
                    <w:t xml:space="preserve">Mid </w:t>
                  </w:r>
                  <w:r w:rsidR="00934205" w:rsidRPr="00A0448B">
                    <w:rPr>
                      <w:rFonts w:ascii="Arial" w:hAnsi="Arial" w:cs="Arial"/>
                      <w:szCs w:val="18"/>
                    </w:rPr>
                    <w:t>202</w:t>
                  </w:r>
                  <w:r>
                    <w:rPr>
                      <w:rFonts w:ascii="Arial" w:hAnsi="Arial" w:cs="Arial"/>
                      <w:szCs w:val="18"/>
                    </w:rPr>
                    <w:t>3</w:t>
                  </w:r>
                  <w:r w:rsidR="00C87E21">
                    <w:rPr>
                      <w:rFonts w:ascii="Arial" w:hAnsi="Arial" w:cs="Arial"/>
                      <w:szCs w:val="18"/>
                    </w:rPr>
                    <w:t>–</w:t>
                  </w:r>
                  <w:r w:rsidR="00934205" w:rsidRPr="00A0448B">
                    <w:rPr>
                      <w:rFonts w:ascii="Arial" w:hAnsi="Arial" w:cs="Arial"/>
                      <w:szCs w:val="18"/>
                    </w:rPr>
                    <w:t>204</w:t>
                  </w:r>
                  <w:r>
                    <w:rPr>
                      <w:rFonts w:ascii="Arial" w:hAnsi="Arial" w:cs="Arial"/>
                      <w:szCs w:val="18"/>
                    </w:rPr>
                    <w:t>8</w:t>
                  </w:r>
                  <w:r w:rsidR="00934205" w:rsidRPr="00A0448B">
                    <w:rPr>
                      <w:rFonts w:ascii="Arial" w:hAnsi="Arial" w:cs="Arial"/>
                      <w:szCs w:val="18"/>
                    </w:rPr>
                    <w:t xml:space="preserve"> (25 years)</w:t>
                  </w:r>
                </w:p>
              </w:tc>
            </w:tr>
            <w:tr w:rsidR="005610EC" w14:paraId="1DC87440" w14:textId="77777777" w:rsidTr="00D0190B">
              <w:tblPrEx>
                <w:tblBorders>
                  <w:top w:val="none" w:sz="0" w:space="0" w:color="auto"/>
                  <w:bottom w:val="none" w:sz="0" w:space="0" w:color="auto"/>
                </w:tblBorders>
              </w:tblPrEx>
              <w:trPr>
                <w:gridAfter w:val="1"/>
                <w:wAfter w:w="2456" w:type="dxa"/>
              </w:trPr>
              <w:tc>
                <w:tcPr>
                  <w:tcW w:w="2447" w:type="dxa"/>
                  <w:tcBorders>
                    <w:top w:val="single" w:sz="4" w:space="0" w:color="auto"/>
                    <w:left w:val="single" w:sz="4" w:space="0" w:color="auto"/>
                    <w:bottom w:val="single" w:sz="4" w:space="0" w:color="auto"/>
                    <w:right w:val="single" w:sz="4" w:space="0" w:color="auto"/>
                  </w:tcBorders>
                </w:tcPr>
                <w:p w14:paraId="490E5129" w14:textId="77EEC9E5" w:rsidR="005610EC" w:rsidRPr="00A0448B" w:rsidRDefault="005610EC" w:rsidP="00634D67">
                  <w:pPr>
                    <w:pStyle w:val="TableText"/>
                    <w:tabs>
                      <w:tab w:val="left" w:pos="1775"/>
                    </w:tabs>
                    <w:ind w:left="924" w:hanging="924"/>
                    <w:rPr>
                      <w:rFonts w:ascii="Arial" w:hAnsi="Arial" w:cs="Arial"/>
                      <w:szCs w:val="18"/>
                    </w:rPr>
                  </w:pPr>
                  <w:r w:rsidRPr="00A0448B">
                    <w:rPr>
                      <w:rFonts w:ascii="Arial" w:hAnsi="Arial" w:cs="Arial"/>
                      <w:szCs w:val="18"/>
                    </w:rPr>
                    <w:t>Closure and rehabilitation</w:t>
                  </w:r>
                </w:p>
              </w:tc>
              <w:tc>
                <w:tcPr>
                  <w:tcW w:w="4222" w:type="dxa"/>
                  <w:tcBorders>
                    <w:top w:val="single" w:sz="4" w:space="0" w:color="auto"/>
                    <w:left w:val="single" w:sz="4" w:space="0" w:color="auto"/>
                    <w:bottom w:val="single" w:sz="4" w:space="0" w:color="auto"/>
                    <w:right w:val="single" w:sz="4" w:space="0" w:color="auto"/>
                  </w:tcBorders>
                </w:tcPr>
                <w:p w14:paraId="454C5E3F" w14:textId="210B9EB3" w:rsidR="005610EC" w:rsidRDefault="005610EC" w:rsidP="00C05A1F">
                  <w:pPr>
                    <w:pStyle w:val="TableText"/>
                    <w:tabs>
                      <w:tab w:val="left" w:pos="1775"/>
                    </w:tabs>
                    <w:ind w:left="924" w:hanging="924"/>
                    <w:rPr>
                      <w:rFonts w:ascii="Arial" w:hAnsi="Arial" w:cs="Arial"/>
                      <w:szCs w:val="18"/>
                    </w:rPr>
                  </w:pPr>
                  <w:r w:rsidRPr="00A0448B">
                    <w:rPr>
                      <w:rFonts w:ascii="Arial" w:hAnsi="Arial" w:cs="Arial"/>
                      <w:szCs w:val="18"/>
                    </w:rPr>
                    <w:t>Progressive rehabilitation during operat</w:t>
                  </w:r>
                  <w:r w:rsidR="00C87E21">
                    <w:rPr>
                      <w:rFonts w:ascii="Arial" w:hAnsi="Arial" w:cs="Arial"/>
                      <w:szCs w:val="18"/>
                    </w:rPr>
                    <w:t>ions</w:t>
                  </w:r>
                </w:p>
              </w:tc>
            </w:tr>
            <w:tr w:rsidR="005610EC" w14:paraId="45E731CD" w14:textId="77777777" w:rsidTr="00D0190B">
              <w:tblPrEx>
                <w:tblBorders>
                  <w:top w:val="none" w:sz="0" w:space="0" w:color="auto"/>
                  <w:bottom w:val="none" w:sz="0" w:space="0" w:color="auto"/>
                </w:tblBorders>
              </w:tblPrEx>
              <w:trPr>
                <w:gridAfter w:val="1"/>
                <w:wAfter w:w="2456" w:type="dxa"/>
              </w:trPr>
              <w:tc>
                <w:tcPr>
                  <w:tcW w:w="2447" w:type="dxa"/>
                  <w:tcBorders>
                    <w:top w:val="single" w:sz="4" w:space="0" w:color="auto"/>
                    <w:left w:val="single" w:sz="4" w:space="0" w:color="auto"/>
                    <w:bottom w:val="single" w:sz="4" w:space="0" w:color="auto"/>
                    <w:right w:val="single" w:sz="4" w:space="0" w:color="auto"/>
                  </w:tcBorders>
                </w:tcPr>
                <w:p w14:paraId="3F7978C3" w14:textId="4ABDA6CA" w:rsidR="005610EC" w:rsidRPr="00A0448B" w:rsidRDefault="005610EC" w:rsidP="00634D67">
                  <w:pPr>
                    <w:pStyle w:val="TableText"/>
                    <w:tabs>
                      <w:tab w:val="left" w:pos="1775"/>
                    </w:tabs>
                    <w:ind w:left="924" w:hanging="924"/>
                    <w:rPr>
                      <w:rFonts w:ascii="Arial" w:hAnsi="Arial" w:cs="Arial"/>
                      <w:szCs w:val="18"/>
                    </w:rPr>
                  </w:pPr>
                  <w:r w:rsidRPr="00A0448B">
                    <w:rPr>
                      <w:rFonts w:ascii="Arial" w:hAnsi="Arial" w:cs="Arial"/>
                      <w:szCs w:val="18"/>
                    </w:rPr>
                    <w:t>Post closure rehabilitation</w:t>
                  </w:r>
                </w:p>
              </w:tc>
              <w:tc>
                <w:tcPr>
                  <w:tcW w:w="4222" w:type="dxa"/>
                  <w:tcBorders>
                    <w:top w:val="single" w:sz="4" w:space="0" w:color="auto"/>
                    <w:left w:val="single" w:sz="4" w:space="0" w:color="auto"/>
                    <w:bottom w:val="single" w:sz="4" w:space="0" w:color="auto"/>
                    <w:right w:val="single" w:sz="4" w:space="0" w:color="auto"/>
                  </w:tcBorders>
                </w:tcPr>
                <w:p w14:paraId="321AB6E5" w14:textId="3D49B54D" w:rsidR="005610EC" w:rsidRDefault="005610EC" w:rsidP="00C05A1F">
                  <w:pPr>
                    <w:pStyle w:val="TableText"/>
                    <w:tabs>
                      <w:tab w:val="left" w:pos="1775"/>
                    </w:tabs>
                    <w:ind w:left="924" w:hanging="924"/>
                    <w:rPr>
                      <w:rFonts w:ascii="Arial" w:hAnsi="Arial" w:cs="Arial"/>
                      <w:szCs w:val="18"/>
                    </w:rPr>
                  </w:pPr>
                  <w:r w:rsidRPr="00A0448B">
                    <w:rPr>
                      <w:rFonts w:ascii="Arial" w:hAnsi="Arial" w:cs="Arial"/>
                      <w:szCs w:val="18"/>
                    </w:rPr>
                    <w:t>204</w:t>
                  </w:r>
                  <w:r>
                    <w:rPr>
                      <w:rFonts w:ascii="Arial" w:hAnsi="Arial" w:cs="Arial"/>
                      <w:szCs w:val="18"/>
                    </w:rPr>
                    <w:t>8</w:t>
                  </w:r>
                  <w:r w:rsidR="00C87E21">
                    <w:rPr>
                      <w:rFonts w:ascii="Arial" w:hAnsi="Arial" w:cs="Arial"/>
                      <w:szCs w:val="18"/>
                    </w:rPr>
                    <w:t>–</w:t>
                  </w:r>
                  <w:r w:rsidRPr="00A0448B">
                    <w:rPr>
                      <w:rFonts w:ascii="Arial" w:hAnsi="Arial" w:cs="Arial"/>
                      <w:szCs w:val="18"/>
                    </w:rPr>
                    <w:t>2062</w:t>
                  </w:r>
                </w:p>
              </w:tc>
            </w:tr>
          </w:tbl>
          <w:p w14:paraId="381B8CBF" w14:textId="77777777" w:rsidR="00672931" w:rsidRDefault="00672931">
            <w:pPr>
              <w:rPr>
                <w:rFonts w:ascii="Arial" w:hAnsi="Arial"/>
              </w:rPr>
            </w:pPr>
          </w:p>
        </w:tc>
      </w:tr>
      <w:tr w:rsidR="001C34F3" w14:paraId="6F978ED2" w14:textId="77777777" w:rsidTr="001E301B">
        <w:tc>
          <w:tcPr>
            <w:tcW w:w="8926" w:type="dxa"/>
            <w:tcBorders>
              <w:left w:val="single" w:sz="4" w:space="0" w:color="auto"/>
              <w:right w:val="single" w:sz="4" w:space="0" w:color="auto"/>
            </w:tcBorders>
          </w:tcPr>
          <w:p w14:paraId="0016390E" w14:textId="5A4BA9DC" w:rsidR="001C34F3" w:rsidRDefault="001C34F3">
            <w:pPr>
              <w:rPr>
                <w:rFonts w:ascii="Arial" w:hAnsi="Arial"/>
              </w:rPr>
            </w:pPr>
          </w:p>
        </w:tc>
      </w:tr>
      <w:tr w:rsidR="001C34F3" w14:paraId="13B09F91" w14:textId="77777777" w:rsidTr="001E3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26" w:type="dxa"/>
            <w:tcBorders>
              <w:bottom w:val="single" w:sz="4" w:space="0" w:color="auto"/>
            </w:tcBorders>
          </w:tcPr>
          <w:p w14:paraId="244F0C19" w14:textId="77777777" w:rsidR="00D46EF9" w:rsidRDefault="00D46EF9" w:rsidP="00672931">
            <w:pPr>
              <w:rPr>
                <w:rFonts w:ascii="Arial" w:hAnsi="Arial"/>
              </w:rPr>
            </w:pPr>
          </w:p>
          <w:p w14:paraId="56C86B16" w14:textId="77777777" w:rsidR="001E301B" w:rsidRDefault="001E301B" w:rsidP="00672931">
            <w:pPr>
              <w:rPr>
                <w:rFonts w:ascii="Arial" w:hAnsi="Arial"/>
              </w:rPr>
            </w:pPr>
            <w:r>
              <w:rPr>
                <w:rFonts w:ascii="Arial" w:hAnsi="Arial"/>
                <w:b/>
              </w:rPr>
              <w:t>6.3 Proposed staging</w:t>
            </w:r>
            <w:r w:rsidRPr="00672931">
              <w:rPr>
                <w:rFonts w:ascii="Arial" w:hAnsi="Arial"/>
              </w:rPr>
              <w:t xml:space="preserve"> </w:t>
            </w:r>
          </w:p>
          <w:p w14:paraId="453F2CEA" w14:textId="77777777" w:rsidR="001E301B" w:rsidRDefault="001E301B" w:rsidP="00672931">
            <w:pPr>
              <w:rPr>
                <w:rFonts w:ascii="Arial" w:hAnsi="Arial"/>
              </w:rPr>
            </w:pPr>
          </w:p>
          <w:p w14:paraId="078FDB4D" w14:textId="61C1073A" w:rsidR="00672931" w:rsidRPr="00672931" w:rsidRDefault="00672931" w:rsidP="00672931">
            <w:pPr>
              <w:rPr>
                <w:rFonts w:ascii="Arial" w:hAnsi="Arial"/>
              </w:rPr>
            </w:pPr>
            <w:r w:rsidRPr="00672931">
              <w:rPr>
                <w:rFonts w:ascii="Arial" w:hAnsi="Arial"/>
              </w:rPr>
              <w:t xml:space="preserve">Not applicable. </w:t>
            </w:r>
          </w:p>
          <w:p w14:paraId="34DCBFA3" w14:textId="77777777" w:rsidR="001C34F3" w:rsidRDefault="001C34F3">
            <w:pPr>
              <w:rPr>
                <w:rFonts w:ascii="Arial" w:hAnsi="Arial"/>
              </w:rPr>
            </w:pPr>
          </w:p>
        </w:tc>
      </w:tr>
    </w:tbl>
    <w:p w14:paraId="79E63EDC" w14:textId="77777777" w:rsidR="001C34F3" w:rsidRDefault="001C34F3">
      <w:pPr>
        <w:tabs>
          <w:tab w:val="left" w:pos="2904"/>
          <w:tab w:val="left" w:pos="3907"/>
          <w:tab w:val="left" w:pos="4910"/>
          <w:tab w:val="left" w:pos="5913"/>
          <w:tab w:val="left" w:pos="6916"/>
        </w:tabs>
        <w:ind w:left="93"/>
        <w:rPr>
          <w:rFonts w:ascii="Arial" w:hAnsi="Arial"/>
          <w:b/>
          <w:sz w:val="22"/>
        </w:rPr>
      </w:pPr>
    </w:p>
    <w:p w14:paraId="11067F2D" w14:textId="77777777" w:rsidR="001C34F3" w:rsidRDefault="001C34F3">
      <w:pPr>
        <w:tabs>
          <w:tab w:val="left" w:pos="2904"/>
          <w:tab w:val="left" w:pos="3907"/>
          <w:tab w:val="left" w:pos="4910"/>
          <w:tab w:val="left" w:pos="5913"/>
          <w:tab w:val="left" w:pos="6916"/>
        </w:tabs>
        <w:ind w:left="93"/>
        <w:rPr>
          <w:rFonts w:ascii="Arial" w:hAnsi="Arial"/>
          <w:b/>
          <w:sz w:val="22"/>
        </w:rPr>
      </w:pPr>
    </w:p>
    <w:p w14:paraId="4149A190" w14:textId="77777777" w:rsidR="00552822" w:rsidRDefault="00552822">
      <w:pPr>
        <w:rPr>
          <w:rFonts w:ascii="Arial" w:hAnsi="Arial"/>
          <w:b/>
          <w:sz w:val="22"/>
        </w:rPr>
      </w:pPr>
      <w:r>
        <w:rPr>
          <w:rFonts w:ascii="Arial" w:hAnsi="Arial"/>
          <w:b/>
          <w:sz w:val="22"/>
        </w:rPr>
        <w:br w:type="page"/>
      </w:r>
    </w:p>
    <w:p w14:paraId="40C7DE57" w14:textId="77777777" w:rsidR="002D64C0" w:rsidRDefault="002D64C0">
      <w:pPr>
        <w:tabs>
          <w:tab w:val="left" w:pos="2904"/>
          <w:tab w:val="left" w:pos="3907"/>
          <w:tab w:val="left" w:pos="4910"/>
          <w:tab w:val="left" w:pos="5913"/>
          <w:tab w:val="left" w:pos="6916"/>
        </w:tabs>
        <w:ind w:left="93"/>
        <w:rPr>
          <w:rFonts w:ascii="Arial" w:hAnsi="Arial"/>
          <w:b/>
          <w:sz w:val="22"/>
        </w:rPr>
      </w:pPr>
    </w:p>
    <w:p w14:paraId="4EA97EF4"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t>7</w:t>
      </w:r>
      <w:r w:rsidR="00731F1C">
        <w:rPr>
          <w:rFonts w:ascii="Arial" w:hAnsi="Arial"/>
          <w:b/>
          <w:sz w:val="22"/>
        </w:rPr>
        <w:t xml:space="preserve">.  </w:t>
      </w:r>
      <w:r>
        <w:rPr>
          <w:rFonts w:ascii="Arial" w:hAnsi="Arial"/>
          <w:b/>
          <w:sz w:val="22"/>
        </w:rPr>
        <w:t>Description of proposed site or area of investigation</w:t>
      </w:r>
    </w:p>
    <w:p w14:paraId="57783E31" w14:textId="77777777" w:rsidR="001C34F3" w:rsidRDefault="001C34F3">
      <w:pPr>
        <w:tabs>
          <w:tab w:val="left" w:pos="2904"/>
          <w:tab w:val="left" w:pos="3907"/>
          <w:tab w:val="left" w:pos="4910"/>
          <w:tab w:val="left" w:pos="5913"/>
          <w:tab w:val="left" w:pos="6916"/>
        </w:tabs>
        <w:ind w:left="93"/>
        <w:rPr>
          <w:rFonts w:ascii="Arial" w:hAnsi="Arial"/>
          <w:b/>
          <w:sz w:val="22"/>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1C34F3" w14:paraId="06549B1D" w14:textId="77777777" w:rsidTr="001E301B">
        <w:tc>
          <w:tcPr>
            <w:tcW w:w="8880" w:type="dxa"/>
            <w:tcBorders>
              <w:top w:val="single" w:sz="4" w:space="0" w:color="auto"/>
              <w:bottom w:val="nil"/>
            </w:tcBorders>
          </w:tcPr>
          <w:p w14:paraId="3AF6B8B0" w14:textId="77777777" w:rsidR="00D46EF9" w:rsidRDefault="00672931">
            <w:pPr>
              <w:tabs>
                <w:tab w:val="left" w:pos="5913"/>
                <w:tab w:val="left" w:pos="6916"/>
              </w:tabs>
              <w:rPr>
                <w:rFonts w:ascii="Arial" w:hAnsi="Arial"/>
                <w:b/>
              </w:rPr>
            </w:pPr>
            <w:r>
              <w:rPr>
                <w:rFonts w:ascii="Arial" w:hAnsi="Arial"/>
                <w:b/>
              </w:rPr>
              <w:t>7.1</w:t>
            </w:r>
            <w:bookmarkStart w:id="50" w:name="_Hlk8392120"/>
            <w:r w:rsidR="00D46EF9">
              <w:rPr>
                <w:rFonts w:ascii="Arial" w:hAnsi="Arial"/>
                <w:b/>
              </w:rPr>
              <w:t xml:space="preserve"> </w:t>
            </w:r>
            <w:r w:rsidR="001C34F3">
              <w:rPr>
                <w:rFonts w:ascii="Arial" w:hAnsi="Arial"/>
                <w:b/>
              </w:rPr>
              <w:t xml:space="preserve">Has a preferred site for the project been selected? </w:t>
            </w:r>
          </w:p>
          <w:p w14:paraId="26181E71" w14:textId="77777777" w:rsidR="001C34F3" w:rsidRDefault="001C34F3">
            <w:pPr>
              <w:tabs>
                <w:tab w:val="left" w:pos="5913"/>
                <w:tab w:val="left" w:pos="6916"/>
              </w:tabs>
              <w:rPr>
                <w:rFonts w:ascii="Arial" w:hAnsi="Arial"/>
              </w:rPr>
            </w:pPr>
            <w:r>
              <w:rPr>
                <w:rFonts w:ascii="Arial" w:hAnsi="Arial"/>
                <w:b/>
              </w:rPr>
              <w:t xml:space="preserve"> </w:t>
            </w:r>
            <w:r>
              <w:rPr>
                <w:rFonts w:ascii="Arial" w:hAnsi="Arial"/>
              </w:rPr>
              <w:t xml:space="preserve">    </w:t>
            </w:r>
            <w:bookmarkEnd w:id="50"/>
          </w:p>
        </w:tc>
      </w:tr>
      <w:tr w:rsidR="001C34F3" w14:paraId="0DB0109A" w14:textId="77777777" w:rsidTr="00D77F03">
        <w:tc>
          <w:tcPr>
            <w:tcW w:w="8880" w:type="dxa"/>
            <w:tcBorders>
              <w:top w:val="nil"/>
              <w:bottom w:val="nil"/>
            </w:tcBorders>
          </w:tcPr>
          <w:p w14:paraId="76CF54A4" w14:textId="77777777" w:rsidR="001C34F3" w:rsidRDefault="00A16664">
            <w:pPr>
              <w:tabs>
                <w:tab w:val="left" w:pos="5913"/>
                <w:tab w:val="left" w:pos="6916"/>
              </w:tabs>
              <w:spacing w:before="40"/>
              <w:ind w:left="720"/>
              <w:rPr>
                <w:rFonts w:ascii="Arial" w:hAnsi="Arial"/>
              </w:rPr>
            </w:pPr>
            <w:r>
              <w:rPr>
                <w:rFonts w:ascii="Arial" w:hAnsi="Arial"/>
                <w:color w:val="C0C0C0"/>
                <w:shd w:val="clear" w:color="auto" w:fill="E6E6E6"/>
              </w:rPr>
              <w:sym w:font="Webdings" w:char="F072"/>
            </w:r>
            <w:r w:rsidR="001C34F3">
              <w:rPr>
                <w:rFonts w:ascii="Arial" w:hAnsi="Arial"/>
              </w:rPr>
              <w:t xml:space="preserve">  No    </w:t>
            </w:r>
            <w:r w:rsidRPr="00672931">
              <w:rPr>
                <w:rFonts w:ascii="Arial" w:hAnsi="Arial"/>
                <w:shd w:val="clear" w:color="auto" w:fill="E6E6E6"/>
              </w:rPr>
              <w:sym w:font="Webdings" w:char="F072"/>
            </w:r>
            <w:r w:rsidR="001C34F3">
              <w:rPr>
                <w:rFonts w:ascii="Arial" w:hAnsi="Arial"/>
              </w:rPr>
              <w:t xml:space="preserve">Yes  </w:t>
            </w:r>
          </w:p>
          <w:p w14:paraId="0AEEFEC2" w14:textId="77777777" w:rsidR="00553560" w:rsidRDefault="00553560">
            <w:pPr>
              <w:tabs>
                <w:tab w:val="left" w:pos="5913"/>
                <w:tab w:val="left" w:pos="6916"/>
              </w:tabs>
              <w:spacing w:before="40"/>
              <w:ind w:left="720"/>
              <w:rPr>
                <w:rFonts w:ascii="Arial" w:hAnsi="Arial"/>
                <w:b/>
              </w:rPr>
            </w:pPr>
          </w:p>
        </w:tc>
      </w:tr>
      <w:tr w:rsidR="001C34F3" w14:paraId="155165EE" w14:textId="77777777" w:rsidTr="00D77F03">
        <w:tc>
          <w:tcPr>
            <w:tcW w:w="8880" w:type="dxa"/>
            <w:tcBorders>
              <w:top w:val="nil"/>
              <w:bottom w:val="single" w:sz="4" w:space="0" w:color="auto"/>
            </w:tcBorders>
          </w:tcPr>
          <w:p w14:paraId="4222A878" w14:textId="77777777" w:rsidR="001C34F3" w:rsidRDefault="002D64C0" w:rsidP="00D02516">
            <w:pPr>
              <w:jc w:val="both"/>
              <w:rPr>
                <w:rFonts w:ascii="Arial" w:hAnsi="Arial"/>
              </w:rPr>
            </w:pPr>
            <w:r>
              <w:rPr>
                <w:rFonts w:ascii="Arial" w:hAnsi="Arial"/>
              </w:rPr>
              <w:t xml:space="preserve">The </w:t>
            </w:r>
            <w:r w:rsidR="00672931" w:rsidRPr="00672931">
              <w:rPr>
                <w:rFonts w:ascii="Arial" w:hAnsi="Arial"/>
              </w:rPr>
              <w:t xml:space="preserve">Project site </w:t>
            </w:r>
            <w:r>
              <w:rPr>
                <w:rFonts w:ascii="Arial" w:hAnsi="Arial"/>
              </w:rPr>
              <w:t xml:space="preserve">is shown in </w:t>
            </w:r>
            <w:r w:rsidR="00672931" w:rsidRPr="00672931">
              <w:rPr>
                <w:rFonts w:ascii="Arial" w:hAnsi="Arial"/>
              </w:rPr>
              <w:t xml:space="preserve">Figure 2. The </w:t>
            </w:r>
            <w:r>
              <w:rPr>
                <w:rFonts w:ascii="Arial" w:hAnsi="Arial"/>
              </w:rPr>
              <w:t xml:space="preserve">final </w:t>
            </w:r>
            <w:r w:rsidR="00672931" w:rsidRPr="00672931">
              <w:rPr>
                <w:rFonts w:ascii="Arial" w:hAnsi="Arial"/>
              </w:rPr>
              <w:t xml:space="preserve">siting of infrastructure </w:t>
            </w:r>
            <w:r>
              <w:rPr>
                <w:rFonts w:ascii="Arial" w:hAnsi="Arial"/>
              </w:rPr>
              <w:t xml:space="preserve">within the Project site </w:t>
            </w:r>
            <w:r w:rsidR="00672931" w:rsidRPr="00672931">
              <w:rPr>
                <w:rFonts w:ascii="Arial" w:hAnsi="Arial"/>
              </w:rPr>
              <w:t>and the footprint</w:t>
            </w:r>
            <w:r>
              <w:rPr>
                <w:rFonts w:ascii="Arial" w:hAnsi="Arial"/>
              </w:rPr>
              <w:t xml:space="preserve"> of the offsite Project infrastructure </w:t>
            </w:r>
            <w:r w:rsidR="00672931" w:rsidRPr="00672931">
              <w:rPr>
                <w:rFonts w:ascii="Arial" w:hAnsi="Arial"/>
              </w:rPr>
              <w:t>are yet to be determined, as outlined in Section</w:t>
            </w:r>
            <w:r w:rsidR="00D77F03">
              <w:rPr>
                <w:rFonts w:ascii="Arial" w:hAnsi="Arial"/>
              </w:rPr>
              <w:t>s</w:t>
            </w:r>
            <w:r w:rsidR="00672931" w:rsidRPr="00672931">
              <w:rPr>
                <w:rFonts w:ascii="Arial" w:hAnsi="Arial"/>
              </w:rPr>
              <w:t xml:space="preserve"> 3.3.2</w:t>
            </w:r>
            <w:r w:rsidR="00D77F03">
              <w:rPr>
                <w:rFonts w:ascii="Arial" w:hAnsi="Arial"/>
              </w:rPr>
              <w:t xml:space="preserve"> and 3.4.</w:t>
            </w:r>
          </w:p>
          <w:p w14:paraId="3A8B83F0" w14:textId="3F5BDC63" w:rsidR="008D4567" w:rsidRDefault="008D4567" w:rsidP="00D02516">
            <w:pPr>
              <w:jc w:val="both"/>
              <w:rPr>
                <w:rFonts w:ascii="Arial" w:hAnsi="Arial"/>
              </w:rPr>
            </w:pPr>
          </w:p>
        </w:tc>
      </w:tr>
      <w:tr w:rsidR="001C34F3" w14:paraId="5D11D06E" w14:textId="77777777" w:rsidTr="00D77F03">
        <w:tc>
          <w:tcPr>
            <w:tcW w:w="8880" w:type="dxa"/>
            <w:tcBorders>
              <w:bottom w:val="nil"/>
            </w:tcBorders>
          </w:tcPr>
          <w:p w14:paraId="6EC029D5"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1C34F3" w14:paraId="2C21CC81" w14:textId="77777777" w:rsidTr="00D77F03">
        <w:tc>
          <w:tcPr>
            <w:tcW w:w="8880" w:type="dxa"/>
            <w:tcBorders>
              <w:top w:val="nil"/>
              <w:bottom w:val="nil"/>
            </w:tcBorders>
          </w:tcPr>
          <w:p w14:paraId="0F75F623" w14:textId="77777777" w:rsidR="002D64C0" w:rsidRDefault="00672931">
            <w:pPr>
              <w:tabs>
                <w:tab w:val="left" w:pos="4910"/>
                <w:tab w:val="left" w:pos="5913"/>
                <w:tab w:val="left" w:pos="6916"/>
              </w:tabs>
              <w:rPr>
                <w:rFonts w:ascii="Arial" w:hAnsi="Arial"/>
                <w:b/>
              </w:rPr>
            </w:pPr>
            <w:r>
              <w:rPr>
                <w:rFonts w:ascii="Arial" w:hAnsi="Arial"/>
                <w:b/>
              </w:rPr>
              <w:t xml:space="preserve">7.2 </w:t>
            </w:r>
            <w:r w:rsidR="001C34F3">
              <w:rPr>
                <w:rFonts w:ascii="Arial" w:hAnsi="Arial"/>
                <w:b/>
              </w:rPr>
              <w:t>General description of preferred site</w:t>
            </w:r>
          </w:p>
          <w:p w14:paraId="11F62CCF" w14:textId="77777777" w:rsidR="001C34F3" w:rsidRDefault="001C34F3">
            <w:pPr>
              <w:tabs>
                <w:tab w:val="left" w:pos="4910"/>
                <w:tab w:val="left" w:pos="5913"/>
                <w:tab w:val="left" w:pos="6916"/>
              </w:tabs>
              <w:rPr>
                <w:rFonts w:ascii="Arial" w:hAnsi="Arial"/>
              </w:rPr>
            </w:pPr>
            <w:r>
              <w:rPr>
                <w:rFonts w:ascii="Arial" w:hAnsi="Arial"/>
              </w:rPr>
              <w:tab/>
            </w:r>
          </w:p>
        </w:tc>
      </w:tr>
      <w:tr w:rsidR="001C34F3" w14:paraId="0839AAF1" w14:textId="77777777" w:rsidTr="00D77F03">
        <w:tc>
          <w:tcPr>
            <w:tcW w:w="8880" w:type="dxa"/>
            <w:tcBorders>
              <w:top w:val="nil"/>
              <w:bottom w:val="nil"/>
            </w:tcBorders>
          </w:tcPr>
          <w:p w14:paraId="27AF3965" w14:textId="0DAD2D4B" w:rsidR="001C34F3" w:rsidRPr="00F062D8" w:rsidRDefault="00F062D8" w:rsidP="0084436C">
            <w:pPr>
              <w:rPr>
                <w:rFonts w:ascii="Arial" w:hAnsi="Arial"/>
                <w:b/>
              </w:rPr>
            </w:pPr>
            <w:r w:rsidRPr="00F062D8">
              <w:rPr>
                <w:rFonts w:ascii="Arial" w:hAnsi="Arial"/>
                <w:b/>
              </w:rPr>
              <w:t xml:space="preserve">7.2.1 </w:t>
            </w:r>
            <w:r w:rsidR="002D64C0">
              <w:rPr>
                <w:rFonts w:ascii="Arial" w:hAnsi="Arial"/>
                <w:b/>
              </w:rPr>
              <w:t xml:space="preserve">Project </w:t>
            </w:r>
            <w:r w:rsidR="00B37E0C">
              <w:rPr>
                <w:rFonts w:ascii="Arial" w:hAnsi="Arial"/>
                <w:b/>
              </w:rPr>
              <w:t xml:space="preserve">assessment </w:t>
            </w:r>
            <w:r w:rsidRPr="00F062D8">
              <w:rPr>
                <w:rFonts w:ascii="Arial" w:hAnsi="Arial"/>
                <w:b/>
              </w:rPr>
              <w:t>area</w:t>
            </w:r>
          </w:p>
        </w:tc>
      </w:tr>
      <w:tr w:rsidR="001C34F3" w14:paraId="1612109F" w14:textId="77777777" w:rsidTr="001E301B">
        <w:tc>
          <w:tcPr>
            <w:tcW w:w="8880" w:type="dxa"/>
            <w:tcBorders>
              <w:top w:val="nil"/>
              <w:bottom w:val="single" w:sz="4" w:space="0" w:color="auto"/>
            </w:tcBorders>
          </w:tcPr>
          <w:p w14:paraId="70AB8768" w14:textId="77777777" w:rsidR="00D77F03" w:rsidRDefault="00D77F03" w:rsidP="009F65AA">
            <w:pPr>
              <w:spacing w:after="120"/>
              <w:rPr>
                <w:rFonts w:ascii="Arial" w:hAnsi="Arial"/>
              </w:rPr>
            </w:pPr>
          </w:p>
          <w:p w14:paraId="1775F248" w14:textId="20798337" w:rsidR="00F062D8" w:rsidRDefault="00F062D8" w:rsidP="009F65AA">
            <w:pPr>
              <w:spacing w:after="120"/>
              <w:rPr>
                <w:rFonts w:ascii="Arial" w:hAnsi="Arial"/>
              </w:rPr>
            </w:pPr>
            <w:r w:rsidRPr="00F062D8">
              <w:rPr>
                <w:rFonts w:ascii="Arial" w:hAnsi="Arial"/>
              </w:rPr>
              <w:t>The</w:t>
            </w:r>
            <w:r w:rsidR="002D64C0">
              <w:rPr>
                <w:rFonts w:ascii="Arial" w:hAnsi="Arial"/>
              </w:rPr>
              <w:t xml:space="preserve"> </w:t>
            </w:r>
            <w:r w:rsidRPr="00F062D8">
              <w:rPr>
                <w:rFonts w:ascii="Arial" w:hAnsi="Arial"/>
              </w:rPr>
              <w:t xml:space="preserve">Project </w:t>
            </w:r>
            <w:r w:rsidR="002D64C0">
              <w:rPr>
                <w:rFonts w:ascii="Arial" w:hAnsi="Arial"/>
              </w:rPr>
              <w:t>site</w:t>
            </w:r>
            <w:r w:rsidRPr="00F062D8">
              <w:rPr>
                <w:rFonts w:ascii="Arial" w:hAnsi="Arial"/>
              </w:rPr>
              <w:t xml:space="preserve"> is within the Horsham Rural City Local Government area, which has a population of approximately 19,800, with three-quarters of the population living in the city of Horsham.</w:t>
            </w:r>
          </w:p>
          <w:p w14:paraId="22DC616A" w14:textId="4A57941D" w:rsidR="00F062D8" w:rsidRDefault="007F004F" w:rsidP="009F65AA">
            <w:pPr>
              <w:spacing w:after="120"/>
              <w:jc w:val="both"/>
              <w:rPr>
                <w:rFonts w:ascii="Arial" w:hAnsi="Arial"/>
              </w:rPr>
            </w:pPr>
            <w:r>
              <w:rPr>
                <w:rFonts w:ascii="Arial" w:hAnsi="Arial"/>
              </w:rPr>
              <w:t xml:space="preserve">The environmental study area comprises the Project site and immediate surrounds, and totals 9,780 ha. </w:t>
            </w:r>
            <w:r w:rsidR="00F062D8" w:rsidRPr="00F062D8">
              <w:rPr>
                <w:rFonts w:ascii="Arial" w:hAnsi="Arial"/>
              </w:rPr>
              <w:t>Th</w:t>
            </w:r>
            <w:r w:rsidR="00815503">
              <w:rPr>
                <w:rFonts w:ascii="Arial" w:hAnsi="Arial"/>
              </w:rPr>
              <w:t>is</w:t>
            </w:r>
            <w:r w:rsidR="00F062D8" w:rsidRPr="00F062D8">
              <w:rPr>
                <w:rFonts w:ascii="Arial" w:hAnsi="Arial"/>
              </w:rPr>
              <w:t xml:space="preserve"> area is bound by:</w:t>
            </w:r>
          </w:p>
          <w:p w14:paraId="7B91EE41" w14:textId="77777777" w:rsidR="00F062D8" w:rsidRPr="00C70314" w:rsidRDefault="00F062D8" w:rsidP="00C70314">
            <w:pPr>
              <w:pStyle w:val="ListBullet"/>
              <w:numPr>
                <w:ilvl w:val="0"/>
                <w:numId w:val="43"/>
              </w:numPr>
              <w:jc w:val="both"/>
              <w:rPr>
                <w:b w:val="0"/>
                <w:bCs w:val="0"/>
              </w:rPr>
            </w:pPr>
            <w:r w:rsidRPr="00C70314">
              <w:rPr>
                <w:b w:val="0"/>
                <w:bCs w:val="0"/>
              </w:rPr>
              <w:t>Cooks Lane to the north;</w:t>
            </w:r>
          </w:p>
          <w:p w14:paraId="286E3025" w14:textId="77777777" w:rsidR="00F062D8" w:rsidRPr="00C70314" w:rsidRDefault="00F062D8" w:rsidP="00C70314">
            <w:pPr>
              <w:pStyle w:val="ListBullet"/>
              <w:numPr>
                <w:ilvl w:val="0"/>
                <w:numId w:val="43"/>
              </w:numPr>
              <w:jc w:val="both"/>
              <w:rPr>
                <w:b w:val="0"/>
                <w:bCs w:val="0"/>
              </w:rPr>
            </w:pPr>
            <w:r w:rsidRPr="00C70314">
              <w:rPr>
                <w:b w:val="0"/>
                <w:bCs w:val="0"/>
              </w:rPr>
              <w:t xml:space="preserve">McDonalds Road – </w:t>
            </w:r>
            <w:proofErr w:type="spellStart"/>
            <w:r w:rsidRPr="00C70314">
              <w:rPr>
                <w:b w:val="0"/>
                <w:bCs w:val="0"/>
              </w:rPr>
              <w:t>Wonwondah</w:t>
            </w:r>
            <w:proofErr w:type="spellEnd"/>
            <w:r w:rsidRPr="00C70314">
              <w:rPr>
                <w:b w:val="0"/>
                <w:bCs w:val="0"/>
              </w:rPr>
              <w:t>-Toolondo Road to the east;</w:t>
            </w:r>
          </w:p>
          <w:p w14:paraId="2639D116" w14:textId="77777777" w:rsidR="00F062D8" w:rsidRPr="00C70314" w:rsidRDefault="00F062D8" w:rsidP="00C70314">
            <w:pPr>
              <w:pStyle w:val="ListBullet"/>
              <w:numPr>
                <w:ilvl w:val="0"/>
                <w:numId w:val="43"/>
              </w:numPr>
              <w:jc w:val="both"/>
              <w:rPr>
                <w:b w:val="0"/>
                <w:bCs w:val="0"/>
              </w:rPr>
            </w:pPr>
            <w:r w:rsidRPr="00C70314">
              <w:rPr>
                <w:b w:val="0"/>
                <w:bCs w:val="0"/>
              </w:rPr>
              <w:t xml:space="preserve">Peppertree Lane to the south; and </w:t>
            </w:r>
          </w:p>
          <w:p w14:paraId="13170413" w14:textId="77777777" w:rsidR="00F062D8" w:rsidRPr="00C70314" w:rsidRDefault="00F062D8" w:rsidP="00C70314">
            <w:pPr>
              <w:pStyle w:val="ListBullet"/>
              <w:numPr>
                <w:ilvl w:val="0"/>
                <w:numId w:val="43"/>
              </w:numPr>
              <w:jc w:val="both"/>
              <w:rPr>
                <w:b w:val="0"/>
                <w:bCs w:val="0"/>
              </w:rPr>
            </w:pPr>
            <w:proofErr w:type="spellStart"/>
            <w:r w:rsidRPr="00C70314">
              <w:rPr>
                <w:b w:val="0"/>
                <w:bCs w:val="0"/>
              </w:rPr>
              <w:t>Jenzs</w:t>
            </w:r>
            <w:proofErr w:type="spellEnd"/>
            <w:r w:rsidRPr="00C70314">
              <w:rPr>
                <w:b w:val="0"/>
                <w:bCs w:val="0"/>
              </w:rPr>
              <w:t xml:space="preserve"> Lane – Clarkes Lane to the west. </w:t>
            </w:r>
          </w:p>
          <w:p w14:paraId="75040086" w14:textId="40CD397B" w:rsidR="00815503" w:rsidRDefault="008D4567">
            <w:pPr>
              <w:spacing w:after="120"/>
              <w:jc w:val="both"/>
              <w:rPr>
                <w:rFonts w:ascii="Arial" w:hAnsi="Arial"/>
              </w:rPr>
            </w:pPr>
            <w:r>
              <w:rPr>
                <w:rFonts w:ascii="Arial" w:hAnsi="Arial"/>
              </w:rPr>
              <w:t>As discussed in Table 2.3, p</w:t>
            </w:r>
            <w:r w:rsidR="007F004F" w:rsidRPr="00F062D8">
              <w:rPr>
                <w:rFonts w:ascii="Arial" w:hAnsi="Arial"/>
              </w:rPr>
              <w:t xml:space="preserve">reliminary environmental studies have </w:t>
            </w:r>
            <w:r w:rsidR="007F004F">
              <w:rPr>
                <w:rFonts w:ascii="Arial" w:hAnsi="Arial"/>
              </w:rPr>
              <w:t xml:space="preserve">predominately </w:t>
            </w:r>
            <w:r w:rsidR="007F004F" w:rsidRPr="00F062D8">
              <w:rPr>
                <w:rFonts w:ascii="Arial" w:hAnsi="Arial"/>
              </w:rPr>
              <w:t>been conducted across a</w:t>
            </w:r>
            <w:r w:rsidR="007F004F">
              <w:rPr>
                <w:rFonts w:ascii="Arial" w:hAnsi="Arial"/>
              </w:rPr>
              <w:t>n</w:t>
            </w:r>
            <w:r w:rsidR="007F004F" w:rsidRPr="00F062D8">
              <w:rPr>
                <w:rFonts w:ascii="Arial" w:hAnsi="Arial"/>
              </w:rPr>
              <w:t xml:space="preserve"> area that is approximately </w:t>
            </w:r>
            <w:r w:rsidR="007F004F" w:rsidRPr="009F65AA">
              <w:rPr>
                <w:rFonts w:ascii="Arial" w:hAnsi="Arial"/>
              </w:rPr>
              <w:t>5,600 ha</w:t>
            </w:r>
            <w:r w:rsidR="007F004F" w:rsidRPr="00E86911">
              <w:rPr>
                <w:rFonts w:ascii="Arial" w:hAnsi="Arial"/>
              </w:rPr>
              <w:t>.</w:t>
            </w:r>
            <w:r w:rsidR="007F004F" w:rsidRPr="00F062D8">
              <w:rPr>
                <w:rFonts w:ascii="Arial" w:hAnsi="Arial"/>
              </w:rPr>
              <w:t xml:space="preserve"> </w:t>
            </w:r>
            <w:r w:rsidR="00D77F03">
              <w:rPr>
                <w:rFonts w:ascii="Arial" w:hAnsi="Arial"/>
              </w:rPr>
              <w:t>The b</w:t>
            </w:r>
            <w:r w:rsidR="00815503">
              <w:rPr>
                <w:rFonts w:ascii="Arial" w:hAnsi="Arial"/>
              </w:rPr>
              <w:t xml:space="preserve">aseline groundwater assessment </w:t>
            </w:r>
            <w:r w:rsidR="00D77F03">
              <w:rPr>
                <w:rFonts w:ascii="Arial" w:hAnsi="Arial"/>
              </w:rPr>
              <w:t xml:space="preserve">was </w:t>
            </w:r>
            <w:r w:rsidR="00815503">
              <w:rPr>
                <w:rFonts w:ascii="Arial" w:hAnsi="Arial"/>
              </w:rPr>
              <w:t xml:space="preserve">undertaken </w:t>
            </w:r>
            <w:r w:rsidR="004803DF">
              <w:rPr>
                <w:rFonts w:ascii="Arial" w:hAnsi="Arial"/>
              </w:rPr>
              <w:t xml:space="preserve">across </w:t>
            </w:r>
            <w:r w:rsidR="00815503">
              <w:rPr>
                <w:rFonts w:ascii="Arial" w:hAnsi="Arial"/>
              </w:rPr>
              <w:t xml:space="preserve">a larger </w:t>
            </w:r>
            <w:r w:rsidR="004803DF">
              <w:rPr>
                <w:rFonts w:ascii="Arial" w:hAnsi="Arial"/>
              </w:rPr>
              <w:t xml:space="preserve">study </w:t>
            </w:r>
            <w:r w:rsidR="00815503">
              <w:rPr>
                <w:rFonts w:ascii="Arial" w:hAnsi="Arial"/>
              </w:rPr>
              <w:t xml:space="preserve">area of </w:t>
            </w:r>
            <w:r w:rsidR="00963A12">
              <w:rPr>
                <w:rFonts w:ascii="Arial" w:hAnsi="Arial"/>
              </w:rPr>
              <w:t xml:space="preserve">78,380 ha </w:t>
            </w:r>
            <w:r w:rsidR="004803DF">
              <w:rPr>
                <w:rFonts w:ascii="Arial" w:hAnsi="Arial"/>
              </w:rPr>
              <w:t xml:space="preserve">to </w:t>
            </w:r>
            <w:r w:rsidR="00963A12">
              <w:rPr>
                <w:rFonts w:ascii="Arial" w:hAnsi="Arial"/>
              </w:rPr>
              <w:t>enable inclusion of existing monitoring bores and assessment of groundwater flow patterns at a regional scale</w:t>
            </w:r>
            <w:r w:rsidR="00D77F03">
              <w:rPr>
                <w:rFonts w:ascii="Arial" w:hAnsi="Arial"/>
              </w:rPr>
              <w:t xml:space="preserve"> (Figure </w:t>
            </w:r>
            <w:r w:rsidR="007E61D6">
              <w:rPr>
                <w:rFonts w:ascii="Arial" w:hAnsi="Arial"/>
              </w:rPr>
              <w:t>8</w:t>
            </w:r>
            <w:r w:rsidR="00D77F03">
              <w:rPr>
                <w:rFonts w:ascii="Arial" w:hAnsi="Arial"/>
              </w:rPr>
              <w:t>)</w:t>
            </w:r>
            <w:r w:rsidR="00963A12">
              <w:rPr>
                <w:rFonts w:ascii="Arial" w:hAnsi="Arial"/>
              </w:rPr>
              <w:t>.</w:t>
            </w:r>
          </w:p>
          <w:p w14:paraId="35951AA7" w14:textId="725CADD9" w:rsidR="00F062D8" w:rsidRPr="00F062D8" w:rsidRDefault="00F062D8" w:rsidP="009F65AA">
            <w:pPr>
              <w:spacing w:after="120"/>
              <w:jc w:val="both"/>
              <w:rPr>
                <w:rFonts w:ascii="Arial" w:hAnsi="Arial"/>
              </w:rPr>
            </w:pPr>
            <w:r w:rsidRPr="00F062D8">
              <w:rPr>
                <w:rFonts w:ascii="Arial" w:hAnsi="Arial"/>
              </w:rPr>
              <w:t>The Project site and surrounding land is predominantly zoned as ‘Farming’ under the Horsham Planning Scheme (2018). Dry-land agriculture (</w:t>
            </w:r>
            <w:r w:rsidR="00963A12">
              <w:rPr>
                <w:rFonts w:ascii="Arial" w:hAnsi="Arial"/>
              </w:rPr>
              <w:t xml:space="preserve">mixed broad-acre cereal, pulse and oilseed </w:t>
            </w:r>
            <w:r w:rsidRPr="00F062D8">
              <w:rPr>
                <w:rFonts w:ascii="Arial" w:hAnsi="Arial"/>
              </w:rPr>
              <w:t>cropping</w:t>
            </w:r>
            <w:r w:rsidR="00963A12">
              <w:rPr>
                <w:rFonts w:ascii="Arial" w:hAnsi="Arial"/>
              </w:rPr>
              <w:t>, with some</w:t>
            </w:r>
            <w:r w:rsidRPr="00F062D8">
              <w:rPr>
                <w:rFonts w:ascii="Arial" w:hAnsi="Arial"/>
              </w:rPr>
              <w:t xml:space="preserve"> grazing) is the predominant land use. The population in the vicinity of the Project site is a low-density agricultural community.</w:t>
            </w:r>
          </w:p>
          <w:p w14:paraId="46E00D38" w14:textId="5A3E3F96" w:rsidR="00D77F03" w:rsidRDefault="00F062D8" w:rsidP="009F65AA">
            <w:pPr>
              <w:spacing w:after="120"/>
              <w:jc w:val="both"/>
              <w:rPr>
                <w:rFonts w:ascii="Arial" w:hAnsi="Arial"/>
              </w:rPr>
            </w:pPr>
            <w:r w:rsidRPr="00F062D8">
              <w:rPr>
                <w:rFonts w:ascii="Arial" w:hAnsi="Arial"/>
              </w:rPr>
              <w:t xml:space="preserve">The Project site is currently used for agricultural activities and comprises </w:t>
            </w:r>
            <w:r w:rsidR="00ED4BA7">
              <w:rPr>
                <w:rFonts w:ascii="Arial" w:hAnsi="Arial"/>
              </w:rPr>
              <w:t>farming</w:t>
            </w:r>
            <w:r w:rsidR="00ED4BA7" w:rsidRPr="00F062D8">
              <w:rPr>
                <w:rFonts w:ascii="Arial" w:hAnsi="Arial"/>
              </w:rPr>
              <w:t xml:space="preserve"> </w:t>
            </w:r>
            <w:r w:rsidRPr="00F062D8">
              <w:rPr>
                <w:rFonts w:ascii="Arial" w:hAnsi="Arial"/>
              </w:rPr>
              <w:t>infrastructure</w:t>
            </w:r>
            <w:r w:rsidR="00D77F03">
              <w:rPr>
                <w:rFonts w:ascii="Arial" w:hAnsi="Arial"/>
              </w:rPr>
              <w:t xml:space="preserve">. </w:t>
            </w:r>
          </w:p>
          <w:p w14:paraId="4DC23A29" w14:textId="52FDE41E" w:rsidR="00D77F03" w:rsidRPr="00F062D8" w:rsidRDefault="00D77F03" w:rsidP="00D77F03">
            <w:pPr>
              <w:spacing w:after="120"/>
              <w:jc w:val="both"/>
              <w:rPr>
                <w:rFonts w:ascii="Arial" w:hAnsi="Arial"/>
              </w:rPr>
            </w:pPr>
            <w:r w:rsidRPr="00D34899">
              <w:rPr>
                <w:rFonts w:ascii="Arial" w:hAnsi="Arial"/>
              </w:rPr>
              <w:t xml:space="preserve">There </w:t>
            </w:r>
            <w:r>
              <w:rPr>
                <w:rFonts w:ascii="Arial" w:hAnsi="Arial"/>
              </w:rPr>
              <w:t>are six</w:t>
            </w:r>
            <w:r w:rsidRPr="00D34899">
              <w:rPr>
                <w:rFonts w:ascii="Arial" w:hAnsi="Arial"/>
              </w:rPr>
              <w:t xml:space="preserve"> residences</w:t>
            </w:r>
            <w:r>
              <w:rPr>
                <w:rFonts w:ascii="Arial" w:hAnsi="Arial"/>
              </w:rPr>
              <w:t xml:space="preserve">, associated sheds and a derelict holiday shack </w:t>
            </w:r>
            <w:r w:rsidRPr="00D34899">
              <w:rPr>
                <w:rFonts w:ascii="Arial" w:hAnsi="Arial"/>
              </w:rPr>
              <w:t xml:space="preserve">located within the </w:t>
            </w:r>
            <w:r>
              <w:rPr>
                <w:rFonts w:ascii="Arial" w:hAnsi="Arial"/>
              </w:rPr>
              <w:t xml:space="preserve">mine layout development envelope. In addition, there </w:t>
            </w:r>
            <w:r w:rsidRPr="009D10AA">
              <w:rPr>
                <w:rFonts w:ascii="Arial" w:hAnsi="Arial"/>
              </w:rPr>
              <w:t xml:space="preserve">are a scattering of </w:t>
            </w:r>
            <w:r>
              <w:rPr>
                <w:rFonts w:ascii="Arial" w:hAnsi="Arial"/>
              </w:rPr>
              <w:t xml:space="preserve">rural </w:t>
            </w:r>
            <w:r w:rsidRPr="009D10AA">
              <w:rPr>
                <w:rFonts w:ascii="Arial" w:hAnsi="Arial"/>
              </w:rPr>
              <w:t xml:space="preserve">residences within approximately 5 km of the </w:t>
            </w:r>
            <w:r>
              <w:rPr>
                <w:rFonts w:ascii="Arial" w:hAnsi="Arial"/>
              </w:rPr>
              <w:t>mine layout development envelope, including</w:t>
            </w:r>
            <w:r w:rsidRPr="00D34899">
              <w:rPr>
                <w:rFonts w:ascii="Arial" w:hAnsi="Arial"/>
              </w:rPr>
              <w:t xml:space="preserve"> </w:t>
            </w:r>
            <w:r>
              <w:rPr>
                <w:rFonts w:ascii="Arial" w:hAnsi="Arial"/>
              </w:rPr>
              <w:t>four</w:t>
            </w:r>
            <w:r w:rsidRPr="00D34899">
              <w:rPr>
                <w:rFonts w:ascii="Arial" w:hAnsi="Arial"/>
              </w:rPr>
              <w:t xml:space="preserve"> residences located within 2 km </w:t>
            </w:r>
            <w:r>
              <w:rPr>
                <w:rFonts w:ascii="Arial" w:hAnsi="Arial"/>
              </w:rPr>
              <w:t xml:space="preserve">and </w:t>
            </w:r>
            <w:r w:rsidRPr="009D10AA">
              <w:rPr>
                <w:rFonts w:ascii="Arial" w:hAnsi="Arial"/>
              </w:rPr>
              <w:t>a settlement of approximately 10</w:t>
            </w:r>
            <w:r w:rsidR="009A264B">
              <w:rPr>
                <w:rFonts w:ascii="Arial" w:hAnsi="Arial"/>
              </w:rPr>
              <w:t>–</w:t>
            </w:r>
            <w:r w:rsidRPr="009D10AA">
              <w:rPr>
                <w:rFonts w:ascii="Arial" w:hAnsi="Arial"/>
              </w:rPr>
              <w:t xml:space="preserve">20 residences </w:t>
            </w:r>
            <w:r>
              <w:rPr>
                <w:rFonts w:ascii="Arial" w:hAnsi="Arial"/>
              </w:rPr>
              <w:t xml:space="preserve">located </w:t>
            </w:r>
            <w:r w:rsidRPr="009D10AA">
              <w:rPr>
                <w:rFonts w:ascii="Arial" w:hAnsi="Arial"/>
              </w:rPr>
              <w:t xml:space="preserve">approximately 4 km south of the </w:t>
            </w:r>
            <w:r>
              <w:rPr>
                <w:rFonts w:ascii="Arial" w:hAnsi="Arial"/>
              </w:rPr>
              <w:t>mine layout development envelope</w:t>
            </w:r>
            <w:r w:rsidRPr="009D10AA">
              <w:rPr>
                <w:rFonts w:ascii="Arial" w:hAnsi="Arial"/>
              </w:rPr>
              <w:t>, just north of the Toolondo Reservoir</w:t>
            </w:r>
            <w:r>
              <w:rPr>
                <w:rFonts w:ascii="Arial" w:hAnsi="Arial"/>
              </w:rPr>
              <w:t xml:space="preserve"> (Figure 2)</w:t>
            </w:r>
            <w:r w:rsidRPr="009D10AA">
              <w:rPr>
                <w:rFonts w:ascii="Arial" w:hAnsi="Arial"/>
              </w:rPr>
              <w:t xml:space="preserve">. </w:t>
            </w:r>
          </w:p>
          <w:p w14:paraId="2218A5E7" w14:textId="18EEE4FC" w:rsidR="001C34F3" w:rsidRDefault="00F062D8" w:rsidP="009F65AA">
            <w:pPr>
              <w:spacing w:after="120"/>
              <w:jc w:val="both"/>
              <w:rPr>
                <w:rFonts w:ascii="Arial" w:hAnsi="Arial"/>
              </w:rPr>
            </w:pPr>
            <w:bookmarkStart w:id="51" w:name="_Hlk8975530"/>
            <w:r w:rsidRPr="00F062D8">
              <w:rPr>
                <w:rFonts w:ascii="Arial" w:hAnsi="Arial"/>
              </w:rPr>
              <w:t>Some Crown land is also present on the Project site, associated with roads, roadside reserves,</w:t>
            </w:r>
            <w:r w:rsidR="0073776F">
              <w:rPr>
                <w:rFonts w:ascii="Arial" w:hAnsi="Arial"/>
              </w:rPr>
              <w:t xml:space="preserve"> the</w:t>
            </w:r>
            <w:r w:rsidRPr="00F062D8">
              <w:rPr>
                <w:rFonts w:ascii="Arial" w:hAnsi="Arial"/>
              </w:rPr>
              <w:t xml:space="preserve"> Red Gum Swamp and the </w:t>
            </w:r>
            <w:proofErr w:type="spellStart"/>
            <w:r w:rsidRPr="00F062D8">
              <w:rPr>
                <w:rFonts w:ascii="Arial" w:hAnsi="Arial"/>
              </w:rPr>
              <w:t>Jallumba</w:t>
            </w:r>
            <w:proofErr w:type="spellEnd"/>
            <w:r w:rsidRPr="00F062D8">
              <w:rPr>
                <w:rFonts w:ascii="Arial" w:hAnsi="Arial"/>
              </w:rPr>
              <w:t xml:space="preserve"> Marsh Flora Reserve (Figure </w:t>
            </w:r>
            <w:r w:rsidR="007E61D6">
              <w:rPr>
                <w:rFonts w:ascii="Arial" w:hAnsi="Arial"/>
              </w:rPr>
              <w:t>9</w:t>
            </w:r>
            <w:r w:rsidRPr="00F062D8">
              <w:rPr>
                <w:rFonts w:ascii="Arial" w:hAnsi="Arial"/>
              </w:rPr>
              <w:t>).</w:t>
            </w:r>
            <w:r w:rsidR="002D64C0">
              <w:rPr>
                <w:rFonts w:ascii="Arial" w:hAnsi="Arial"/>
              </w:rPr>
              <w:t xml:space="preserve"> </w:t>
            </w:r>
            <w:r w:rsidR="002D64C0" w:rsidRPr="00941196">
              <w:rPr>
                <w:rFonts w:ascii="Arial" w:hAnsi="Arial"/>
              </w:rPr>
              <w:t xml:space="preserve">There is also some Crown </w:t>
            </w:r>
            <w:r w:rsidR="002D64C0">
              <w:rPr>
                <w:rFonts w:ascii="Arial" w:hAnsi="Arial"/>
              </w:rPr>
              <w:t>l</w:t>
            </w:r>
            <w:r w:rsidR="002D64C0" w:rsidRPr="00941196">
              <w:rPr>
                <w:rFonts w:ascii="Arial" w:hAnsi="Arial"/>
              </w:rPr>
              <w:t>and associated with easements for some of the now decommissioned water distribution channels.</w:t>
            </w:r>
          </w:p>
          <w:bookmarkEnd w:id="51"/>
          <w:p w14:paraId="26A153A1" w14:textId="77777777" w:rsidR="00177B40" w:rsidRDefault="00177B40" w:rsidP="00177B40">
            <w:pPr>
              <w:rPr>
                <w:rFonts w:ascii="Arial" w:hAnsi="Arial"/>
              </w:rPr>
            </w:pPr>
          </w:p>
        </w:tc>
      </w:tr>
      <w:tr w:rsidR="001C34F3" w14:paraId="64AAF53D" w14:textId="77777777" w:rsidTr="001E301B">
        <w:tc>
          <w:tcPr>
            <w:tcW w:w="8880" w:type="dxa"/>
            <w:tcBorders>
              <w:top w:val="single" w:sz="4" w:space="0" w:color="auto"/>
              <w:bottom w:val="single" w:sz="4" w:space="0" w:color="auto"/>
            </w:tcBorders>
          </w:tcPr>
          <w:p w14:paraId="4E146207" w14:textId="77777777" w:rsidR="00F062D8" w:rsidRDefault="00177B40" w:rsidP="00F062D8">
            <w:pPr>
              <w:rPr>
                <w:rFonts w:ascii="Arial" w:hAnsi="Arial"/>
                <w:b/>
              </w:rPr>
            </w:pPr>
            <w:r>
              <w:rPr>
                <w:rFonts w:ascii="Arial" w:hAnsi="Arial"/>
                <w:b/>
              </w:rPr>
              <w:t xml:space="preserve">7.2.2 </w:t>
            </w:r>
            <w:r w:rsidR="00F062D8" w:rsidRPr="00F062D8">
              <w:rPr>
                <w:rFonts w:ascii="Arial" w:hAnsi="Arial"/>
                <w:b/>
              </w:rPr>
              <w:t>Roads</w:t>
            </w:r>
          </w:p>
          <w:p w14:paraId="7F017E35" w14:textId="77777777" w:rsidR="00F062D8" w:rsidRPr="00F062D8" w:rsidRDefault="00F062D8" w:rsidP="00F062D8">
            <w:pPr>
              <w:rPr>
                <w:rFonts w:ascii="Arial" w:hAnsi="Arial"/>
                <w:b/>
              </w:rPr>
            </w:pPr>
          </w:p>
          <w:p w14:paraId="7753A505" w14:textId="6AE1C5A4" w:rsidR="00F062D8" w:rsidRDefault="00F062D8" w:rsidP="009F65AA">
            <w:pPr>
              <w:spacing w:after="120"/>
              <w:rPr>
                <w:rFonts w:ascii="Arial" w:hAnsi="Arial"/>
              </w:rPr>
            </w:pPr>
            <w:bookmarkStart w:id="52" w:name="_Hlk8977814"/>
            <w:r w:rsidRPr="00F062D8">
              <w:rPr>
                <w:rFonts w:ascii="Arial" w:hAnsi="Arial"/>
              </w:rPr>
              <w:t xml:space="preserve">A number of minor roads traverse the </w:t>
            </w:r>
            <w:r w:rsidR="00774F21">
              <w:rPr>
                <w:rFonts w:ascii="Arial" w:hAnsi="Arial"/>
              </w:rPr>
              <w:t>E</w:t>
            </w:r>
            <w:r w:rsidR="00D02516">
              <w:rPr>
                <w:rFonts w:ascii="Arial" w:hAnsi="Arial"/>
              </w:rPr>
              <w:t xml:space="preserve">nvironmental study </w:t>
            </w:r>
            <w:r w:rsidRPr="00F062D8">
              <w:rPr>
                <w:rFonts w:ascii="Arial" w:hAnsi="Arial"/>
              </w:rPr>
              <w:t xml:space="preserve">area (Figure 2), including: </w:t>
            </w:r>
          </w:p>
          <w:p w14:paraId="5EEEB510" w14:textId="77777777" w:rsidR="00F062D8" w:rsidRPr="00C70314" w:rsidRDefault="00F062D8" w:rsidP="00C70314">
            <w:pPr>
              <w:pStyle w:val="ListBullet"/>
              <w:numPr>
                <w:ilvl w:val="0"/>
                <w:numId w:val="43"/>
              </w:numPr>
              <w:jc w:val="both"/>
              <w:rPr>
                <w:b w:val="0"/>
                <w:bCs w:val="0"/>
              </w:rPr>
            </w:pPr>
            <w:r w:rsidRPr="00C70314">
              <w:rPr>
                <w:b w:val="0"/>
                <w:bCs w:val="0"/>
              </w:rPr>
              <w:t>Peaches Flat Lane – Nurrabiel Church Road (running east-west);</w:t>
            </w:r>
          </w:p>
          <w:p w14:paraId="06A51795" w14:textId="77777777" w:rsidR="00F062D8" w:rsidRPr="00C70314" w:rsidRDefault="00F062D8" w:rsidP="00C70314">
            <w:pPr>
              <w:pStyle w:val="ListBullet"/>
              <w:numPr>
                <w:ilvl w:val="0"/>
                <w:numId w:val="43"/>
              </w:numPr>
              <w:jc w:val="both"/>
              <w:rPr>
                <w:b w:val="0"/>
                <w:bCs w:val="0"/>
              </w:rPr>
            </w:pPr>
            <w:proofErr w:type="spellStart"/>
            <w:r w:rsidRPr="00C70314">
              <w:rPr>
                <w:b w:val="0"/>
                <w:bCs w:val="0"/>
              </w:rPr>
              <w:t>Jallumba</w:t>
            </w:r>
            <w:proofErr w:type="spellEnd"/>
            <w:r w:rsidRPr="00C70314">
              <w:rPr>
                <w:b w:val="0"/>
                <w:bCs w:val="0"/>
              </w:rPr>
              <w:t xml:space="preserve">-Clear Lake Road – </w:t>
            </w:r>
            <w:proofErr w:type="spellStart"/>
            <w:r w:rsidRPr="00C70314">
              <w:rPr>
                <w:b w:val="0"/>
                <w:bCs w:val="0"/>
              </w:rPr>
              <w:t>Jallumba-Mockinya</w:t>
            </w:r>
            <w:proofErr w:type="spellEnd"/>
            <w:r w:rsidRPr="00C70314">
              <w:rPr>
                <w:b w:val="0"/>
                <w:bCs w:val="0"/>
              </w:rPr>
              <w:t xml:space="preserve"> Road (running east-west);</w:t>
            </w:r>
          </w:p>
          <w:p w14:paraId="068670C5" w14:textId="77777777" w:rsidR="00F062D8" w:rsidRPr="00C70314" w:rsidRDefault="00F062D8" w:rsidP="00C70314">
            <w:pPr>
              <w:pStyle w:val="ListBullet"/>
              <w:numPr>
                <w:ilvl w:val="0"/>
                <w:numId w:val="43"/>
              </w:numPr>
              <w:jc w:val="both"/>
              <w:rPr>
                <w:b w:val="0"/>
                <w:bCs w:val="0"/>
              </w:rPr>
            </w:pPr>
            <w:proofErr w:type="spellStart"/>
            <w:r w:rsidRPr="00C70314">
              <w:rPr>
                <w:b w:val="0"/>
                <w:bCs w:val="0"/>
              </w:rPr>
              <w:t>Carchap</w:t>
            </w:r>
            <w:proofErr w:type="spellEnd"/>
            <w:r w:rsidRPr="00C70314">
              <w:rPr>
                <w:b w:val="0"/>
                <w:bCs w:val="0"/>
              </w:rPr>
              <w:t xml:space="preserve"> Land – Toolondo Gun Club Road (running east-west);</w:t>
            </w:r>
          </w:p>
          <w:p w14:paraId="6EA0ED89" w14:textId="77777777" w:rsidR="00F062D8" w:rsidRPr="00C70314" w:rsidRDefault="00F062D8" w:rsidP="00C70314">
            <w:pPr>
              <w:pStyle w:val="ListBullet"/>
              <w:numPr>
                <w:ilvl w:val="0"/>
                <w:numId w:val="43"/>
              </w:numPr>
              <w:jc w:val="both"/>
              <w:rPr>
                <w:b w:val="0"/>
                <w:bCs w:val="0"/>
              </w:rPr>
            </w:pPr>
            <w:r w:rsidRPr="00C70314">
              <w:rPr>
                <w:b w:val="0"/>
                <w:bCs w:val="0"/>
              </w:rPr>
              <w:lastRenderedPageBreak/>
              <w:t xml:space="preserve">Quick Sinclair </w:t>
            </w:r>
            <w:proofErr w:type="spellStart"/>
            <w:r w:rsidRPr="00C70314">
              <w:rPr>
                <w:b w:val="0"/>
                <w:bCs w:val="0"/>
              </w:rPr>
              <w:t>Russells</w:t>
            </w:r>
            <w:proofErr w:type="spellEnd"/>
            <w:r w:rsidRPr="00C70314">
              <w:rPr>
                <w:b w:val="0"/>
                <w:bCs w:val="0"/>
              </w:rPr>
              <w:t xml:space="preserve"> Road (running north-south);</w:t>
            </w:r>
          </w:p>
          <w:p w14:paraId="2EC594E9" w14:textId="77777777" w:rsidR="00F062D8" w:rsidRPr="00C70314" w:rsidRDefault="00F062D8" w:rsidP="00C70314">
            <w:pPr>
              <w:pStyle w:val="ListBullet"/>
              <w:numPr>
                <w:ilvl w:val="0"/>
                <w:numId w:val="43"/>
              </w:numPr>
              <w:jc w:val="both"/>
              <w:rPr>
                <w:b w:val="0"/>
                <w:bCs w:val="0"/>
              </w:rPr>
            </w:pPr>
            <w:r w:rsidRPr="00C70314">
              <w:rPr>
                <w:b w:val="0"/>
                <w:bCs w:val="0"/>
              </w:rPr>
              <w:t>Natimuk-Hamilton Road (</w:t>
            </w:r>
            <w:r w:rsidR="00AA47B0" w:rsidRPr="00C70314">
              <w:rPr>
                <w:b w:val="0"/>
                <w:bCs w:val="0"/>
              </w:rPr>
              <w:t xml:space="preserve">a </w:t>
            </w:r>
            <w:r w:rsidRPr="00C70314">
              <w:rPr>
                <w:b w:val="0"/>
                <w:bCs w:val="0"/>
              </w:rPr>
              <w:t>main transport route</w:t>
            </w:r>
            <w:r w:rsidR="00AA47B0" w:rsidRPr="00C70314">
              <w:rPr>
                <w:b w:val="0"/>
                <w:bCs w:val="0"/>
              </w:rPr>
              <w:t xml:space="preserve">, managed by VicRoads, </w:t>
            </w:r>
            <w:r w:rsidRPr="00C70314">
              <w:rPr>
                <w:b w:val="0"/>
                <w:bCs w:val="0"/>
              </w:rPr>
              <w:t>running north-south); and</w:t>
            </w:r>
          </w:p>
          <w:p w14:paraId="6CEE7719" w14:textId="71253354" w:rsidR="00F062D8" w:rsidRPr="00C70314" w:rsidRDefault="00F062D8" w:rsidP="00C70314">
            <w:pPr>
              <w:pStyle w:val="ListBullet"/>
              <w:numPr>
                <w:ilvl w:val="0"/>
                <w:numId w:val="43"/>
              </w:numPr>
              <w:jc w:val="both"/>
              <w:rPr>
                <w:b w:val="0"/>
                <w:bCs w:val="0"/>
              </w:rPr>
            </w:pPr>
            <w:proofErr w:type="spellStart"/>
            <w:r w:rsidRPr="00C70314">
              <w:rPr>
                <w:b w:val="0"/>
                <w:bCs w:val="0"/>
              </w:rPr>
              <w:t>Jallumba</w:t>
            </w:r>
            <w:proofErr w:type="spellEnd"/>
            <w:r w:rsidRPr="00C70314">
              <w:rPr>
                <w:b w:val="0"/>
                <w:bCs w:val="0"/>
              </w:rPr>
              <w:t>-Douglas Road (running west from Natimuk-Hamilton Road).</w:t>
            </w:r>
          </w:p>
          <w:p w14:paraId="3B2F14F4" w14:textId="77777777" w:rsidR="009A264B" w:rsidRPr="00F062D8" w:rsidRDefault="009A264B" w:rsidP="00AD07F1">
            <w:pPr>
              <w:pStyle w:val="ListBullet"/>
              <w:numPr>
                <w:ilvl w:val="0"/>
                <w:numId w:val="0"/>
              </w:numPr>
              <w:ind w:left="779"/>
            </w:pPr>
          </w:p>
          <w:p w14:paraId="135BECBA" w14:textId="77777777" w:rsidR="00F062D8" w:rsidRPr="00F062D8" w:rsidRDefault="00177B40" w:rsidP="00F062D8">
            <w:pPr>
              <w:rPr>
                <w:rFonts w:ascii="Arial" w:hAnsi="Arial"/>
                <w:b/>
              </w:rPr>
            </w:pPr>
            <w:r>
              <w:rPr>
                <w:rFonts w:ascii="Arial" w:hAnsi="Arial"/>
                <w:b/>
              </w:rPr>
              <w:t xml:space="preserve">7.2.3 </w:t>
            </w:r>
            <w:r w:rsidR="00F062D8" w:rsidRPr="00F062D8">
              <w:rPr>
                <w:rFonts w:ascii="Arial" w:hAnsi="Arial"/>
                <w:b/>
              </w:rPr>
              <w:t>Nearby infrastructure</w:t>
            </w:r>
          </w:p>
          <w:p w14:paraId="48954BC0" w14:textId="77777777" w:rsidR="00F062D8" w:rsidRDefault="00F062D8" w:rsidP="00F062D8">
            <w:pPr>
              <w:rPr>
                <w:rFonts w:ascii="Arial" w:hAnsi="Arial"/>
              </w:rPr>
            </w:pPr>
          </w:p>
          <w:p w14:paraId="2287D6B9" w14:textId="77777777" w:rsidR="006F22F4" w:rsidRDefault="006F22F4" w:rsidP="009F65AA">
            <w:pPr>
              <w:spacing w:after="120"/>
              <w:rPr>
                <w:rFonts w:ascii="Arial" w:hAnsi="Arial"/>
              </w:rPr>
            </w:pPr>
            <w:r w:rsidRPr="006F22F4">
              <w:rPr>
                <w:rFonts w:ascii="Arial" w:hAnsi="Arial"/>
              </w:rPr>
              <w:t>Key infrastructure near the Project site includes:</w:t>
            </w:r>
          </w:p>
          <w:p w14:paraId="5045461B" w14:textId="77777777" w:rsidR="006F22F4" w:rsidRPr="00C70314" w:rsidRDefault="006F22F4" w:rsidP="00C70314">
            <w:pPr>
              <w:pStyle w:val="ListBullet"/>
              <w:numPr>
                <w:ilvl w:val="0"/>
                <w:numId w:val="43"/>
              </w:numPr>
              <w:jc w:val="both"/>
              <w:rPr>
                <w:b w:val="0"/>
                <w:bCs w:val="0"/>
              </w:rPr>
            </w:pPr>
            <w:r w:rsidRPr="00C70314">
              <w:rPr>
                <w:b w:val="0"/>
                <w:bCs w:val="0"/>
              </w:rPr>
              <w:t xml:space="preserve">a gas pipeline at Horsham, approximately 33–45 km to the north-east of the Project site; </w:t>
            </w:r>
          </w:p>
          <w:p w14:paraId="0C9F5DEB" w14:textId="77777777" w:rsidR="006F22F4" w:rsidRPr="00C70314" w:rsidRDefault="006F22F4" w:rsidP="00C70314">
            <w:pPr>
              <w:pStyle w:val="ListBullet"/>
              <w:numPr>
                <w:ilvl w:val="0"/>
                <w:numId w:val="43"/>
              </w:numPr>
              <w:jc w:val="both"/>
              <w:rPr>
                <w:b w:val="0"/>
                <w:bCs w:val="0"/>
              </w:rPr>
            </w:pPr>
            <w:r w:rsidRPr="00C70314">
              <w:rPr>
                <w:b w:val="0"/>
                <w:bCs w:val="0"/>
              </w:rPr>
              <w:t xml:space="preserve">an overhead 66-kv electricity powerline along the </w:t>
            </w:r>
            <w:proofErr w:type="spellStart"/>
            <w:r w:rsidRPr="00C70314">
              <w:rPr>
                <w:b w:val="0"/>
                <w:bCs w:val="0"/>
              </w:rPr>
              <w:t>Wonwondah</w:t>
            </w:r>
            <w:proofErr w:type="spellEnd"/>
            <w:r w:rsidRPr="00C70314">
              <w:rPr>
                <w:b w:val="0"/>
                <w:bCs w:val="0"/>
              </w:rPr>
              <w:t>-Toolondo Road, approximately 5 km to the east of the Project site;</w:t>
            </w:r>
          </w:p>
          <w:p w14:paraId="58E2A742" w14:textId="77777777" w:rsidR="006F22F4" w:rsidRPr="00C70314" w:rsidRDefault="006F22F4" w:rsidP="00C70314">
            <w:pPr>
              <w:pStyle w:val="ListBullet"/>
              <w:numPr>
                <w:ilvl w:val="0"/>
                <w:numId w:val="43"/>
              </w:numPr>
              <w:jc w:val="both"/>
              <w:rPr>
                <w:b w:val="0"/>
                <w:bCs w:val="0"/>
              </w:rPr>
            </w:pPr>
            <w:r w:rsidRPr="00C70314">
              <w:rPr>
                <w:b w:val="0"/>
                <w:bCs w:val="0"/>
              </w:rPr>
              <w:t>the Rocklands-Douglas water supply pipeline close to the Douglas mine, approximately 23 km to the south-west of the Project site;</w:t>
            </w:r>
          </w:p>
          <w:p w14:paraId="0A37733C" w14:textId="77777777" w:rsidR="006F22F4" w:rsidRPr="00C70314" w:rsidRDefault="006F22F4" w:rsidP="00C70314">
            <w:pPr>
              <w:pStyle w:val="ListBullet"/>
              <w:numPr>
                <w:ilvl w:val="0"/>
                <w:numId w:val="43"/>
              </w:numPr>
              <w:jc w:val="both"/>
              <w:rPr>
                <w:b w:val="0"/>
                <w:bCs w:val="0"/>
              </w:rPr>
            </w:pPr>
            <w:r w:rsidRPr="00C70314">
              <w:rPr>
                <w:b w:val="0"/>
                <w:bCs w:val="0"/>
              </w:rPr>
              <w:t>an underground telecommunication cable located within the Hamilton-Natimuk Road reserve that runs north-south through the western portion of the Project site;</w:t>
            </w:r>
          </w:p>
          <w:p w14:paraId="0C4C79A0" w14:textId="77777777" w:rsidR="006F22F4" w:rsidRPr="00C70314" w:rsidRDefault="006F22F4" w:rsidP="00C70314">
            <w:pPr>
              <w:pStyle w:val="ListBullet"/>
              <w:numPr>
                <w:ilvl w:val="0"/>
                <w:numId w:val="43"/>
              </w:numPr>
              <w:jc w:val="both"/>
              <w:rPr>
                <w:b w:val="0"/>
                <w:bCs w:val="0"/>
              </w:rPr>
            </w:pPr>
            <w:r w:rsidRPr="00C70314">
              <w:rPr>
                <w:b w:val="0"/>
                <w:bCs w:val="0"/>
              </w:rPr>
              <w:t>Port of Portland, a deep-water bulk port, approximately 200 km to the south of the Project site;</w:t>
            </w:r>
          </w:p>
          <w:p w14:paraId="6CE2A4C5" w14:textId="77777777" w:rsidR="006F22F4" w:rsidRPr="00C70314" w:rsidRDefault="006F22F4" w:rsidP="00C70314">
            <w:pPr>
              <w:pStyle w:val="ListBullet"/>
              <w:numPr>
                <w:ilvl w:val="0"/>
                <w:numId w:val="43"/>
              </w:numPr>
              <w:jc w:val="both"/>
              <w:rPr>
                <w:b w:val="0"/>
                <w:bCs w:val="0"/>
              </w:rPr>
            </w:pPr>
            <w:r w:rsidRPr="00C70314">
              <w:rPr>
                <w:b w:val="0"/>
                <w:bCs w:val="0"/>
              </w:rPr>
              <w:t>an operational (standard gauge) rail line runs from Hamilton (approximately 100 km to the south of the Project site) to Portland (approximately 200 km to the south of the Project site);</w:t>
            </w:r>
          </w:p>
          <w:p w14:paraId="4DD81BDE" w14:textId="77777777" w:rsidR="006F22F4" w:rsidRPr="00C70314" w:rsidRDefault="006F22F4" w:rsidP="00C70314">
            <w:pPr>
              <w:pStyle w:val="ListBullet"/>
              <w:numPr>
                <w:ilvl w:val="0"/>
                <w:numId w:val="43"/>
              </w:numPr>
              <w:jc w:val="both"/>
              <w:rPr>
                <w:b w:val="0"/>
                <w:bCs w:val="0"/>
              </w:rPr>
            </w:pPr>
            <w:r w:rsidRPr="00C70314">
              <w:rPr>
                <w:b w:val="0"/>
                <w:bCs w:val="0"/>
              </w:rPr>
              <w:t xml:space="preserve">a disused </w:t>
            </w:r>
            <w:r w:rsidR="00E86911" w:rsidRPr="00C70314">
              <w:rPr>
                <w:b w:val="0"/>
                <w:bCs w:val="0"/>
              </w:rPr>
              <w:t xml:space="preserve">and decommissioned </w:t>
            </w:r>
            <w:r w:rsidRPr="00C70314">
              <w:rPr>
                <w:b w:val="0"/>
                <w:bCs w:val="0"/>
              </w:rPr>
              <w:t xml:space="preserve">rail line runs from </w:t>
            </w:r>
            <w:proofErr w:type="spellStart"/>
            <w:r w:rsidRPr="00C70314">
              <w:rPr>
                <w:b w:val="0"/>
                <w:bCs w:val="0"/>
              </w:rPr>
              <w:t>Jallumba</w:t>
            </w:r>
            <w:proofErr w:type="spellEnd"/>
            <w:r w:rsidRPr="00C70314">
              <w:rPr>
                <w:b w:val="0"/>
                <w:bCs w:val="0"/>
              </w:rPr>
              <w:t xml:space="preserve"> to Hamilton;</w:t>
            </w:r>
          </w:p>
          <w:p w14:paraId="76B1E8B0" w14:textId="77777777" w:rsidR="006F22F4" w:rsidRPr="00C70314" w:rsidRDefault="006F22F4" w:rsidP="00C70314">
            <w:pPr>
              <w:pStyle w:val="ListBullet"/>
              <w:numPr>
                <w:ilvl w:val="0"/>
                <w:numId w:val="43"/>
              </w:numPr>
              <w:jc w:val="both"/>
              <w:rPr>
                <w:b w:val="0"/>
                <w:bCs w:val="0"/>
              </w:rPr>
            </w:pPr>
            <w:r w:rsidRPr="00C70314">
              <w:rPr>
                <w:b w:val="0"/>
                <w:bCs w:val="0"/>
              </w:rPr>
              <w:t>Horsham airport, approximately 41 km to the north-east of the Project site;</w:t>
            </w:r>
          </w:p>
          <w:p w14:paraId="2238AE5C" w14:textId="77777777" w:rsidR="006F22F4" w:rsidRPr="00C70314" w:rsidRDefault="006F22F4" w:rsidP="00C70314">
            <w:pPr>
              <w:pStyle w:val="ListBullet"/>
              <w:numPr>
                <w:ilvl w:val="0"/>
                <w:numId w:val="43"/>
              </w:numPr>
              <w:jc w:val="both"/>
              <w:rPr>
                <w:b w:val="0"/>
                <w:bCs w:val="0"/>
              </w:rPr>
            </w:pPr>
            <w:r w:rsidRPr="00C70314">
              <w:rPr>
                <w:b w:val="0"/>
                <w:bCs w:val="0"/>
              </w:rPr>
              <w:t>Wimmera Base Hospital in Horsham, approximately 40 km to the north-east of the Project site;</w:t>
            </w:r>
          </w:p>
          <w:p w14:paraId="7385D42A" w14:textId="77777777" w:rsidR="006F22F4" w:rsidRPr="00C70314" w:rsidRDefault="006F22F4" w:rsidP="00C70314">
            <w:pPr>
              <w:pStyle w:val="ListBullet"/>
              <w:numPr>
                <w:ilvl w:val="0"/>
                <w:numId w:val="43"/>
              </w:numPr>
              <w:jc w:val="both"/>
              <w:rPr>
                <w:b w:val="0"/>
                <w:bCs w:val="0"/>
              </w:rPr>
            </w:pPr>
            <w:r w:rsidRPr="00C70314">
              <w:rPr>
                <w:b w:val="0"/>
                <w:bCs w:val="0"/>
              </w:rPr>
              <w:t>Hamilton Base Hospital, approximately 100 km to the south of the Project site; and</w:t>
            </w:r>
          </w:p>
          <w:p w14:paraId="702939CE" w14:textId="77777777" w:rsidR="006F22F4" w:rsidRPr="00C70314" w:rsidRDefault="006F22F4" w:rsidP="00C70314">
            <w:pPr>
              <w:pStyle w:val="ListBullet"/>
              <w:numPr>
                <w:ilvl w:val="0"/>
                <w:numId w:val="43"/>
              </w:numPr>
              <w:jc w:val="both"/>
              <w:rPr>
                <w:b w:val="0"/>
                <w:bCs w:val="0"/>
              </w:rPr>
            </w:pPr>
            <w:r w:rsidRPr="00C70314">
              <w:rPr>
                <w:b w:val="0"/>
                <w:bCs w:val="0"/>
              </w:rPr>
              <w:t xml:space="preserve">Toolondo reservoir, approximately 4 km to the south of the Project site. </w:t>
            </w:r>
          </w:p>
          <w:p w14:paraId="6BD1C23F" w14:textId="77777777" w:rsidR="001E301B" w:rsidRDefault="001E301B" w:rsidP="00F062D8">
            <w:pPr>
              <w:rPr>
                <w:rFonts w:ascii="Arial" w:hAnsi="Arial"/>
                <w:b/>
              </w:rPr>
            </w:pPr>
            <w:bookmarkStart w:id="53" w:name="_Toc4063428"/>
            <w:bookmarkStart w:id="54" w:name="_Toc5889573"/>
            <w:bookmarkStart w:id="55" w:name="_Toc5893552"/>
            <w:bookmarkStart w:id="56" w:name="_Toc5957533"/>
            <w:bookmarkStart w:id="57" w:name="_Toc5957661"/>
            <w:bookmarkEnd w:id="52"/>
          </w:p>
          <w:p w14:paraId="789B7910" w14:textId="23AAD59E" w:rsidR="00F062D8" w:rsidRPr="00F062D8" w:rsidRDefault="00177B40" w:rsidP="00F062D8">
            <w:pPr>
              <w:rPr>
                <w:rFonts w:ascii="Arial" w:hAnsi="Arial"/>
                <w:b/>
              </w:rPr>
            </w:pPr>
            <w:r>
              <w:rPr>
                <w:rFonts w:ascii="Arial" w:hAnsi="Arial"/>
                <w:b/>
              </w:rPr>
              <w:t xml:space="preserve">7.2.4 </w:t>
            </w:r>
            <w:r w:rsidR="00F062D8" w:rsidRPr="00F062D8">
              <w:rPr>
                <w:rFonts w:ascii="Arial" w:hAnsi="Arial"/>
                <w:b/>
              </w:rPr>
              <w:t xml:space="preserve">Topography </w:t>
            </w:r>
            <w:bookmarkEnd w:id="53"/>
            <w:bookmarkEnd w:id="54"/>
            <w:bookmarkEnd w:id="55"/>
            <w:bookmarkEnd w:id="56"/>
            <w:bookmarkEnd w:id="57"/>
          </w:p>
          <w:p w14:paraId="7F8043EF" w14:textId="77777777" w:rsidR="00F062D8" w:rsidRDefault="00F062D8" w:rsidP="00F062D8">
            <w:pPr>
              <w:rPr>
                <w:rFonts w:ascii="Arial" w:hAnsi="Arial"/>
              </w:rPr>
            </w:pPr>
          </w:p>
          <w:p w14:paraId="76BB2207" w14:textId="15170C68" w:rsidR="00F062D8" w:rsidRDefault="00F062D8" w:rsidP="0024218B">
            <w:pPr>
              <w:spacing w:after="120"/>
              <w:jc w:val="both"/>
              <w:rPr>
                <w:rFonts w:ascii="Arial" w:hAnsi="Arial"/>
              </w:rPr>
            </w:pPr>
            <w:r w:rsidRPr="00F062D8">
              <w:rPr>
                <w:rFonts w:ascii="Arial" w:hAnsi="Arial"/>
              </w:rPr>
              <w:t xml:space="preserve">The Project site is relatively flat and consists of low-level plains above flood level (GHD 2018), ranging from 150 m Australian height datum (AHD) and 200 m AHD. The high point is a slight sandy ridge running north to south along the western boundary and the low points comprise the </w:t>
            </w:r>
            <w:proofErr w:type="spellStart"/>
            <w:r w:rsidRPr="00F062D8">
              <w:rPr>
                <w:rFonts w:ascii="Arial" w:hAnsi="Arial"/>
              </w:rPr>
              <w:t>Jallumba</w:t>
            </w:r>
            <w:proofErr w:type="spellEnd"/>
            <w:r w:rsidRPr="00F062D8">
              <w:rPr>
                <w:rFonts w:ascii="Arial" w:hAnsi="Arial"/>
              </w:rPr>
              <w:t xml:space="preserve"> Marsh Flora Reserve and </w:t>
            </w:r>
            <w:r w:rsidR="0073776F">
              <w:rPr>
                <w:rFonts w:ascii="Arial" w:hAnsi="Arial"/>
              </w:rPr>
              <w:t xml:space="preserve">the </w:t>
            </w:r>
            <w:r w:rsidRPr="00F062D8">
              <w:rPr>
                <w:rFonts w:ascii="Arial" w:hAnsi="Arial"/>
              </w:rPr>
              <w:t xml:space="preserve">Red Gum Swamp. </w:t>
            </w:r>
          </w:p>
          <w:p w14:paraId="041570A4" w14:textId="15D9DE8E" w:rsidR="00F062D8" w:rsidRDefault="00F062D8" w:rsidP="0024218B">
            <w:pPr>
              <w:spacing w:after="120"/>
              <w:jc w:val="both"/>
              <w:rPr>
                <w:rFonts w:ascii="Arial" w:hAnsi="Arial"/>
              </w:rPr>
            </w:pPr>
            <w:r w:rsidRPr="00F062D8">
              <w:rPr>
                <w:rFonts w:ascii="Arial" w:hAnsi="Arial"/>
              </w:rPr>
              <w:t xml:space="preserve">Regionally, the Black Range is a topographic high point of greater than 400 m AHD to the south-east of the </w:t>
            </w:r>
            <w:r w:rsidR="006F22F4">
              <w:rPr>
                <w:rFonts w:ascii="Arial" w:hAnsi="Arial"/>
              </w:rPr>
              <w:t>Project site</w:t>
            </w:r>
            <w:r w:rsidRPr="00634D67">
              <w:rPr>
                <w:rFonts w:ascii="Arial" w:hAnsi="Arial"/>
              </w:rPr>
              <w:t>,</w:t>
            </w:r>
            <w:r w:rsidRPr="00F062D8">
              <w:rPr>
                <w:rFonts w:ascii="Arial" w:hAnsi="Arial"/>
              </w:rPr>
              <w:t xml:space="preserve"> and the northern trending Douglas Depression forms a topographic low along the western boundary of the study area (GHD 2018).</w:t>
            </w:r>
          </w:p>
          <w:p w14:paraId="458EEE10" w14:textId="77777777" w:rsidR="00F062D8" w:rsidRPr="00F062D8" w:rsidRDefault="00F062D8" w:rsidP="00F062D8">
            <w:pPr>
              <w:rPr>
                <w:rFonts w:ascii="Arial" w:hAnsi="Arial"/>
              </w:rPr>
            </w:pPr>
          </w:p>
          <w:p w14:paraId="174FB548" w14:textId="77777777" w:rsidR="00F062D8" w:rsidRPr="00F062D8" w:rsidRDefault="00177B40" w:rsidP="00F062D8">
            <w:pPr>
              <w:rPr>
                <w:rFonts w:ascii="Arial" w:hAnsi="Arial"/>
                <w:b/>
              </w:rPr>
            </w:pPr>
            <w:bookmarkStart w:id="58" w:name="_Toc4063429"/>
            <w:bookmarkStart w:id="59" w:name="_Toc5889574"/>
            <w:bookmarkStart w:id="60" w:name="_Toc5893553"/>
            <w:bookmarkStart w:id="61" w:name="_Toc5957534"/>
            <w:bookmarkStart w:id="62" w:name="_Toc5957662"/>
            <w:r>
              <w:rPr>
                <w:rFonts w:ascii="Arial" w:hAnsi="Arial"/>
                <w:b/>
              </w:rPr>
              <w:t xml:space="preserve">7.2.5 </w:t>
            </w:r>
            <w:r w:rsidR="00F062D8" w:rsidRPr="00F062D8">
              <w:rPr>
                <w:rFonts w:ascii="Arial" w:hAnsi="Arial"/>
                <w:b/>
              </w:rPr>
              <w:t xml:space="preserve">Current condition </w:t>
            </w:r>
            <w:bookmarkEnd w:id="58"/>
            <w:bookmarkEnd w:id="59"/>
            <w:bookmarkEnd w:id="60"/>
            <w:bookmarkEnd w:id="61"/>
            <w:bookmarkEnd w:id="62"/>
          </w:p>
          <w:p w14:paraId="67EA39FC" w14:textId="77777777" w:rsidR="00F062D8" w:rsidRPr="00F062D8" w:rsidRDefault="00F062D8" w:rsidP="00F062D8">
            <w:pPr>
              <w:rPr>
                <w:rFonts w:ascii="Arial" w:hAnsi="Arial"/>
              </w:rPr>
            </w:pPr>
          </w:p>
          <w:p w14:paraId="1FBF668B" w14:textId="33B928A8" w:rsidR="00F062D8" w:rsidRDefault="00F062D8" w:rsidP="0024218B">
            <w:pPr>
              <w:spacing w:after="120"/>
              <w:jc w:val="both"/>
              <w:rPr>
                <w:rFonts w:ascii="Arial" w:hAnsi="Arial"/>
              </w:rPr>
            </w:pPr>
            <w:bookmarkStart w:id="63" w:name="_Hlk5195839"/>
            <w:r w:rsidRPr="00F062D8">
              <w:rPr>
                <w:rFonts w:ascii="Arial" w:hAnsi="Arial"/>
              </w:rPr>
              <w:t>The predominant land use in and around the Project site is agriculture (</w:t>
            </w:r>
            <w:r w:rsidR="005E5103">
              <w:rPr>
                <w:rFonts w:ascii="Arial" w:hAnsi="Arial"/>
              </w:rPr>
              <w:t xml:space="preserve">mixed broad-acre cereal, pulse and oilseed </w:t>
            </w:r>
            <w:r w:rsidR="005E5103" w:rsidRPr="00F062D8">
              <w:rPr>
                <w:rFonts w:ascii="Arial" w:hAnsi="Arial"/>
              </w:rPr>
              <w:t>cropping</w:t>
            </w:r>
            <w:r w:rsidR="005E5103">
              <w:rPr>
                <w:rFonts w:ascii="Arial" w:hAnsi="Arial"/>
              </w:rPr>
              <w:t>, with some</w:t>
            </w:r>
            <w:r w:rsidR="005E5103" w:rsidRPr="00F062D8">
              <w:rPr>
                <w:rFonts w:ascii="Arial" w:hAnsi="Arial"/>
              </w:rPr>
              <w:t xml:space="preserve"> grazing</w:t>
            </w:r>
            <w:r w:rsidRPr="00F062D8">
              <w:rPr>
                <w:rFonts w:ascii="Arial" w:hAnsi="Arial"/>
              </w:rPr>
              <w:t xml:space="preserve">). </w:t>
            </w:r>
          </w:p>
          <w:p w14:paraId="0CCDAEDA" w14:textId="2082FC8A" w:rsidR="00F062D8" w:rsidRDefault="00F062D8" w:rsidP="0024218B">
            <w:pPr>
              <w:spacing w:after="120"/>
              <w:jc w:val="both"/>
              <w:rPr>
                <w:rFonts w:ascii="Arial" w:hAnsi="Arial"/>
              </w:rPr>
            </w:pPr>
            <w:r w:rsidRPr="00F062D8">
              <w:rPr>
                <w:rFonts w:ascii="Arial" w:hAnsi="Arial"/>
              </w:rPr>
              <w:lastRenderedPageBreak/>
              <w:t>The Project site is dissected by a series of road networks and constructed open channels including the Natimuk Channel (decommissioned), Arapiles Channel (decommissioned), Toolondo Channel and the Rocklands Toolondo Channel (</w:t>
            </w:r>
            <w:bookmarkEnd w:id="63"/>
            <w:r w:rsidRPr="00F062D8">
              <w:rPr>
                <w:rFonts w:ascii="Arial" w:hAnsi="Arial"/>
              </w:rPr>
              <w:t>Figure 2).</w:t>
            </w:r>
          </w:p>
          <w:p w14:paraId="49B99831" w14:textId="3AE9094C" w:rsidR="00F062D8" w:rsidRPr="00F062D8" w:rsidRDefault="00F062D8" w:rsidP="0024218B">
            <w:pPr>
              <w:spacing w:after="120"/>
              <w:jc w:val="both"/>
              <w:rPr>
                <w:rFonts w:ascii="Arial" w:hAnsi="Arial"/>
              </w:rPr>
            </w:pPr>
            <w:r w:rsidRPr="00F062D8">
              <w:rPr>
                <w:rFonts w:ascii="Arial" w:hAnsi="Arial"/>
              </w:rPr>
              <w:t xml:space="preserve">Remnant native vegetation exists mainly as scattered trees within paddocks and along road reserves; however, there are some larger patches on private and Crown land. The </w:t>
            </w:r>
            <w:r w:rsidR="008658EC">
              <w:rPr>
                <w:rFonts w:ascii="Arial" w:hAnsi="Arial"/>
              </w:rPr>
              <w:t xml:space="preserve">ecological study </w:t>
            </w:r>
            <w:r w:rsidRPr="00F062D8">
              <w:rPr>
                <w:rFonts w:ascii="Arial" w:hAnsi="Arial"/>
              </w:rPr>
              <w:t xml:space="preserve">area contains a number of perennial or ephemeral wetlands including those present at </w:t>
            </w:r>
            <w:proofErr w:type="spellStart"/>
            <w:r w:rsidRPr="00F062D8">
              <w:rPr>
                <w:rFonts w:ascii="Arial" w:hAnsi="Arial"/>
              </w:rPr>
              <w:t>Jallumba</w:t>
            </w:r>
            <w:proofErr w:type="spellEnd"/>
            <w:r w:rsidRPr="00F062D8">
              <w:rPr>
                <w:rFonts w:ascii="Arial" w:hAnsi="Arial"/>
              </w:rPr>
              <w:t xml:space="preserve"> Marsh Flora Reserve and </w:t>
            </w:r>
            <w:r w:rsidR="0073776F">
              <w:rPr>
                <w:rFonts w:ascii="Arial" w:hAnsi="Arial"/>
              </w:rPr>
              <w:t xml:space="preserve">the </w:t>
            </w:r>
            <w:r w:rsidRPr="00F062D8">
              <w:rPr>
                <w:rFonts w:ascii="Arial" w:hAnsi="Arial"/>
              </w:rPr>
              <w:t>Red Gum Swamp (</w:t>
            </w:r>
            <w:proofErr w:type="spellStart"/>
            <w:r w:rsidRPr="00F062D8">
              <w:rPr>
                <w:rFonts w:ascii="Arial" w:hAnsi="Arial"/>
              </w:rPr>
              <w:t>Jallumba</w:t>
            </w:r>
            <w:proofErr w:type="spellEnd"/>
            <w:r w:rsidRPr="00F062D8">
              <w:rPr>
                <w:rFonts w:ascii="Arial" w:hAnsi="Arial"/>
              </w:rPr>
              <w:t xml:space="preserve"> Wildlife Reserve) (Figure 3). </w:t>
            </w:r>
          </w:p>
          <w:p w14:paraId="70107613" w14:textId="4C7451DE" w:rsidR="005C35F8" w:rsidRDefault="00640F98" w:rsidP="0024218B">
            <w:pPr>
              <w:spacing w:after="120"/>
              <w:jc w:val="both"/>
              <w:rPr>
                <w:rFonts w:ascii="Arial" w:hAnsi="Arial"/>
              </w:rPr>
            </w:pPr>
            <w:r w:rsidRPr="00640F98">
              <w:rPr>
                <w:rFonts w:ascii="Arial" w:hAnsi="Arial"/>
              </w:rPr>
              <w:t xml:space="preserve">However, due to the considerable long-term disturbance of the Project site through agricultural activity, the predominant form of vegetation within the Project site is exotic vegetation such as introduced economic crops, grasses, weeds, and some patches of degraded native vegetation, as well as two conservation reserves, </w:t>
            </w:r>
            <w:r w:rsidR="00F062D8" w:rsidRPr="00F062D8">
              <w:rPr>
                <w:rFonts w:ascii="Arial" w:hAnsi="Arial"/>
              </w:rPr>
              <w:t xml:space="preserve">(Figure 2). </w:t>
            </w:r>
          </w:p>
          <w:p w14:paraId="77BA3C7D" w14:textId="77777777" w:rsidR="00F062D8" w:rsidRPr="00F062D8" w:rsidRDefault="00F062D8" w:rsidP="00F062D8">
            <w:pPr>
              <w:rPr>
                <w:rFonts w:ascii="Arial" w:hAnsi="Arial"/>
              </w:rPr>
            </w:pPr>
          </w:p>
          <w:p w14:paraId="3EAF6D77" w14:textId="77777777" w:rsidR="00F062D8" w:rsidRPr="00F062D8" w:rsidRDefault="00177B40" w:rsidP="00F062D8">
            <w:pPr>
              <w:rPr>
                <w:rFonts w:ascii="Arial" w:hAnsi="Arial"/>
                <w:b/>
              </w:rPr>
            </w:pPr>
            <w:r>
              <w:rPr>
                <w:rFonts w:ascii="Arial" w:hAnsi="Arial"/>
                <w:b/>
              </w:rPr>
              <w:t xml:space="preserve">7.2.6 </w:t>
            </w:r>
            <w:r w:rsidR="00F062D8" w:rsidRPr="00F062D8">
              <w:rPr>
                <w:rFonts w:ascii="Arial" w:hAnsi="Arial"/>
                <w:b/>
              </w:rPr>
              <w:t xml:space="preserve">Other </w:t>
            </w:r>
          </w:p>
          <w:p w14:paraId="6B0730FD" w14:textId="77777777" w:rsidR="00F062D8" w:rsidRPr="00F062D8" w:rsidRDefault="00F062D8" w:rsidP="00F062D8">
            <w:pPr>
              <w:rPr>
                <w:rFonts w:ascii="Arial" w:hAnsi="Arial"/>
              </w:rPr>
            </w:pPr>
          </w:p>
          <w:p w14:paraId="0DEF540C" w14:textId="77777777" w:rsidR="00F062D8" w:rsidRPr="00F062D8" w:rsidRDefault="00F062D8" w:rsidP="00F062D8">
            <w:pPr>
              <w:rPr>
                <w:rFonts w:ascii="Arial" w:hAnsi="Arial"/>
              </w:rPr>
            </w:pPr>
            <w:r w:rsidRPr="00F062D8">
              <w:rPr>
                <w:rFonts w:ascii="Arial" w:hAnsi="Arial"/>
              </w:rPr>
              <w:t>Biodiversity, groundwater and surface water are described in Section 8.</w:t>
            </w:r>
          </w:p>
          <w:p w14:paraId="317806D5" w14:textId="77777777" w:rsidR="001C34F3" w:rsidRDefault="001C34F3">
            <w:pPr>
              <w:rPr>
                <w:rFonts w:ascii="Arial" w:hAnsi="Arial"/>
              </w:rPr>
            </w:pPr>
          </w:p>
        </w:tc>
      </w:tr>
      <w:tr w:rsidR="001C34F3" w14:paraId="45D306E4" w14:textId="77777777" w:rsidTr="00D77F03">
        <w:tc>
          <w:tcPr>
            <w:tcW w:w="8880" w:type="dxa"/>
            <w:tcBorders>
              <w:bottom w:val="nil"/>
            </w:tcBorders>
          </w:tcPr>
          <w:p w14:paraId="0D8F1987" w14:textId="77777777" w:rsidR="001C34F3" w:rsidRDefault="001C34F3">
            <w:pPr>
              <w:rPr>
                <w:rFonts w:ascii="Arial" w:hAnsi="Arial"/>
              </w:rPr>
            </w:pPr>
          </w:p>
        </w:tc>
      </w:tr>
      <w:tr w:rsidR="001C34F3" w14:paraId="0DB71E62" w14:textId="77777777" w:rsidTr="008D4567">
        <w:trPr>
          <w:trHeight w:val="387"/>
        </w:trPr>
        <w:tc>
          <w:tcPr>
            <w:tcW w:w="8880" w:type="dxa"/>
            <w:tcBorders>
              <w:top w:val="nil"/>
              <w:bottom w:val="nil"/>
            </w:tcBorders>
          </w:tcPr>
          <w:p w14:paraId="4BBC312B" w14:textId="77777777" w:rsidR="001C34F3" w:rsidRDefault="00F062D8">
            <w:pPr>
              <w:rPr>
                <w:rFonts w:ascii="Arial" w:hAnsi="Arial"/>
              </w:rPr>
            </w:pPr>
            <w:r>
              <w:rPr>
                <w:rFonts w:ascii="Arial" w:hAnsi="Arial"/>
                <w:b/>
              </w:rPr>
              <w:t xml:space="preserve">7.3 </w:t>
            </w:r>
            <w:r w:rsidR="001C34F3">
              <w:rPr>
                <w:rFonts w:ascii="Arial" w:hAnsi="Arial"/>
                <w:b/>
              </w:rPr>
              <w:t>Site area</w:t>
            </w:r>
          </w:p>
        </w:tc>
      </w:tr>
      <w:tr w:rsidR="001C34F3" w14:paraId="5BABA5EC" w14:textId="77777777" w:rsidTr="00D77F03">
        <w:trPr>
          <w:trHeight w:val="596"/>
        </w:trPr>
        <w:tc>
          <w:tcPr>
            <w:tcW w:w="8880" w:type="dxa"/>
            <w:tcBorders>
              <w:top w:val="nil"/>
              <w:bottom w:val="nil"/>
            </w:tcBorders>
          </w:tcPr>
          <w:p w14:paraId="5D6A8CE2" w14:textId="105A5BCB" w:rsidR="001C34F3" w:rsidRDefault="005C35F8" w:rsidP="00D02516">
            <w:pPr>
              <w:spacing w:after="120"/>
              <w:jc w:val="both"/>
              <w:rPr>
                <w:rFonts w:ascii="Arial" w:hAnsi="Arial"/>
              </w:rPr>
            </w:pPr>
            <w:r>
              <w:rPr>
                <w:rFonts w:ascii="Arial" w:hAnsi="Arial"/>
              </w:rPr>
              <w:t>T</w:t>
            </w:r>
            <w:r w:rsidR="00F062D8" w:rsidRPr="00F062D8">
              <w:rPr>
                <w:rFonts w:ascii="Arial" w:hAnsi="Arial"/>
              </w:rPr>
              <w:t xml:space="preserve">he Project site </w:t>
            </w:r>
            <w:r w:rsidR="006546C5">
              <w:rPr>
                <w:rFonts w:ascii="Arial" w:hAnsi="Arial"/>
              </w:rPr>
              <w:t>(mine layout development envelope)</w:t>
            </w:r>
            <w:r w:rsidR="006546C5" w:rsidRPr="00F062D8">
              <w:rPr>
                <w:rFonts w:ascii="Arial" w:hAnsi="Arial"/>
              </w:rPr>
              <w:t xml:space="preserve"> </w:t>
            </w:r>
            <w:r w:rsidR="000C0670">
              <w:rPr>
                <w:rFonts w:ascii="Arial" w:hAnsi="Arial"/>
              </w:rPr>
              <w:t>is expected to</w:t>
            </w:r>
            <w:r w:rsidR="000C0670" w:rsidRPr="00F062D8">
              <w:rPr>
                <w:rFonts w:ascii="Arial" w:hAnsi="Arial"/>
              </w:rPr>
              <w:t xml:space="preserve"> </w:t>
            </w:r>
            <w:r w:rsidR="00F062D8" w:rsidRPr="00F062D8">
              <w:rPr>
                <w:rFonts w:ascii="Arial" w:hAnsi="Arial"/>
              </w:rPr>
              <w:t xml:space="preserve">be approximately </w:t>
            </w:r>
            <w:r w:rsidR="006546C5">
              <w:rPr>
                <w:rFonts w:ascii="Arial" w:hAnsi="Arial"/>
              </w:rPr>
              <w:t>2,5</w:t>
            </w:r>
            <w:r w:rsidR="0081354D">
              <w:rPr>
                <w:rFonts w:ascii="Arial" w:hAnsi="Arial"/>
              </w:rPr>
              <w:t>80</w:t>
            </w:r>
            <w:r w:rsidR="00F062D8" w:rsidRPr="00F062D8">
              <w:rPr>
                <w:rFonts w:ascii="Arial" w:hAnsi="Arial"/>
              </w:rPr>
              <w:t xml:space="preserve"> ha</w:t>
            </w:r>
            <w:r>
              <w:rPr>
                <w:rFonts w:ascii="Arial" w:hAnsi="Arial"/>
              </w:rPr>
              <w:t>, a</w:t>
            </w:r>
            <w:r w:rsidRPr="00F062D8">
              <w:rPr>
                <w:rFonts w:ascii="Arial" w:hAnsi="Arial"/>
              </w:rPr>
              <w:t>s described in Section 3.3.2</w:t>
            </w:r>
            <w:r w:rsidR="00F062D8" w:rsidRPr="00F062D8">
              <w:rPr>
                <w:rFonts w:ascii="Arial" w:hAnsi="Arial"/>
              </w:rPr>
              <w:t xml:space="preserve">. </w:t>
            </w:r>
            <w:r w:rsidR="000C1924">
              <w:rPr>
                <w:rFonts w:ascii="Arial" w:hAnsi="Arial"/>
              </w:rPr>
              <w:t xml:space="preserve">As previously noted, the </w:t>
            </w:r>
            <w:r w:rsidR="007F48D5">
              <w:rPr>
                <w:rFonts w:ascii="Arial" w:hAnsi="Arial"/>
              </w:rPr>
              <w:t xml:space="preserve">mine layout will be finalised using the </w:t>
            </w:r>
            <w:r w:rsidR="000C1924">
              <w:rPr>
                <w:rFonts w:ascii="Arial" w:hAnsi="Arial"/>
              </w:rPr>
              <w:t xml:space="preserve">results of the 2019 </w:t>
            </w:r>
            <w:r w:rsidR="007F48D5">
              <w:rPr>
                <w:rFonts w:ascii="Arial" w:hAnsi="Arial"/>
              </w:rPr>
              <w:t xml:space="preserve">and 2020 </w:t>
            </w:r>
            <w:r w:rsidR="000C1924">
              <w:rPr>
                <w:rFonts w:ascii="Arial" w:hAnsi="Arial"/>
              </w:rPr>
              <w:t>resource drilling program</w:t>
            </w:r>
            <w:r w:rsidR="007F48D5">
              <w:rPr>
                <w:rFonts w:ascii="Arial" w:hAnsi="Arial"/>
              </w:rPr>
              <w:t>s</w:t>
            </w:r>
            <w:r w:rsidR="000C1924">
              <w:rPr>
                <w:rFonts w:ascii="Arial" w:hAnsi="Arial"/>
              </w:rPr>
              <w:t xml:space="preserve">. </w:t>
            </w:r>
            <w:r w:rsidR="006546C5">
              <w:rPr>
                <w:rFonts w:ascii="Arial" w:hAnsi="Arial"/>
              </w:rPr>
              <w:t>The area</w:t>
            </w:r>
            <w:r w:rsidR="00640F98">
              <w:rPr>
                <w:rFonts w:ascii="Arial" w:hAnsi="Arial"/>
              </w:rPr>
              <w:t>s</w:t>
            </w:r>
            <w:r w:rsidR="006546C5">
              <w:rPr>
                <w:rFonts w:ascii="Arial" w:hAnsi="Arial"/>
              </w:rPr>
              <w:t xml:space="preserve"> associated with </w:t>
            </w:r>
            <w:r w:rsidR="00D02516">
              <w:rPr>
                <w:rFonts w:ascii="Arial" w:hAnsi="Arial"/>
              </w:rPr>
              <w:t>offsite</w:t>
            </w:r>
            <w:r w:rsidR="006546C5">
              <w:rPr>
                <w:rFonts w:ascii="Arial" w:hAnsi="Arial"/>
              </w:rPr>
              <w:t xml:space="preserve"> infrastructure such as </w:t>
            </w:r>
            <w:r w:rsidR="00640F98">
              <w:rPr>
                <w:rFonts w:ascii="Arial" w:hAnsi="Arial"/>
              </w:rPr>
              <w:t>the temporary construction camp, water</w:t>
            </w:r>
            <w:r w:rsidR="006546C5">
              <w:rPr>
                <w:rFonts w:ascii="Arial" w:hAnsi="Arial"/>
              </w:rPr>
              <w:t xml:space="preserve"> and energy supply infrastructure </w:t>
            </w:r>
            <w:r w:rsidR="00640F98">
              <w:rPr>
                <w:rFonts w:ascii="Arial" w:hAnsi="Arial"/>
              </w:rPr>
              <w:t xml:space="preserve">are </w:t>
            </w:r>
            <w:r w:rsidR="006546C5">
              <w:rPr>
                <w:rFonts w:ascii="Arial" w:hAnsi="Arial"/>
              </w:rPr>
              <w:t>yet to be determined.</w:t>
            </w:r>
          </w:p>
        </w:tc>
      </w:tr>
      <w:tr w:rsidR="001C34F3" w14:paraId="7396E7DA" w14:textId="77777777" w:rsidTr="00D77F03">
        <w:tc>
          <w:tcPr>
            <w:tcW w:w="8880" w:type="dxa"/>
            <w:tcBorders>
              <w:top w:val="nil"/>
              <w:bottom w:val="single" w:sz="4" w:space="0" w:color="auto"/>
            </w:tcBorders>
          </w:tcPr>
          <w:p w14:paraId="6309372F" w14:textId="77777777" w:rsidR="001C34F3" w:rsidRDefault="00F062D8">
            <w:pPr>
              <w:rPr>
                <w:rFonts w:ascii="Arial" w:hAnsi="Arial"/>
              </w:rPr>
            </w:pPr>
            <w:r>
              <w:rPr>
                <w:rFonts w:ascii="Arial" w:hAnsi="Arial"/>
                <w:b/>
              </w:rPr>
              <w:t xml:space="preserve">7.4 </w:t>
            </w:r>
            <w:r w:rsidR="001C34F3">
              <w:rPr>
                <w:rFonts w:ascii="Arial" w:hAnsi="Arial"/>
                <w:b/>
              </w:rPr>
              <w:t xml:space="preserve">Route length </w:t>
            </w:r>
          </w:p>
        </w:tc>
      </w:tr>
      <w:tr w:rsidR="001C34F3" w14:paraId="53744FB8" w14:textId="77777777" w:rsidTr="00D77F03">
        <w:tc>
          <w:tcPr>
            <w:tcW w:w="8880" w:type="dxa"/>
            <w:tcBorders>
              <w:top w:val="single" w:sz="4" w:space="0" w:color="auto"/>
            </w:tcBorders>
          </w:tcPr>
          <w:p w14:paraId="7F4997F8" w14:textId="77777777" w:rsidR="00177B40" w:rsidRDefault="00177B40">
            <w:pPr>
              <w:rPr>
                <w:rFonts w:ascii="Arial" w:hAnsi="Arial"/>
              </w:rPr>
            </w:pPr>
          </w:p>
          <w:p w14:paraId="4557F603" w14:textId="77777777" w:rsidR="001C34F3" w:rsidRDefault="00177B40">
            <w:pPr>
              <w:rPr>
                <w:rFonts w:ascii="Arial" w:hAnsi="Arial"/>
              </w:rPr>
            </w:pPr>
            <w:r>
              <w:rPr>
                <w:rFonts w:ascii="Arial" w:hAnsi="Arial"/>
              </w:rPr>
              <w:t xml:space="preserve">Not applicable. </w:t>
            </w:r>
          </w:p>
          <w:p w14:paraId="5A85A0BD" w14:textId="77777777" w:rsidR="00177B40" w:rsidRDefault="00177B40">
            <w:pPr>
              <w:rPr>
                <w:rFonts w:ascii="Arial" w:hAnsi="Arial"/>
              </w:rPr>
            </w:pPr>
          </w:p>
        </w:tc>
      </w:tr>
      <w:tr w:rsidR="001C34F3" w14:paraId="51F2E6AC" w14:textId="77777777" w:rsidTr="00D77F03">
        <w:tc>
          <w:tcPr>
            <w:tcW w:w="8880" w:type="dxa"/>
            <w:tcBorders>
              <w:top w:val="nil"/>
              <w:bottom w:val="nil"/>
            </w:tcBorders>
          </w:tcPr>
          <w:p w14:paraId="3023369D" w14:textId="3675F476" w:rsidR="001C34F3" w:rsidRDefault="00F062D8">
            <w:pPr>
              <w:rPr>
                <w:rFonts w:ascii="Arial" w:hAnsi="Arial"/>
                <w:b/>
              </w:rPr>
            </w:pPr>
            <w:r>
              <w:rPr>
                <w:rFonts w:ascii="Arial" w:hAnsi="Arial"/>
                <w:b/>
              </w:rPr>
              <w:t xml:space="preserve">7.5 </w:t>
            </w:r>
            <w:r w:rsidR="001C34F3">
              <w:rPr>
                <w:rFonts w:ascii="Arial" w:hAnsi="Arial"/>
                <w:b/>
              </w:rPr>
              <w:t>Current land use and development</w:t>
            </w:r>
          </w:p>
        </w:tc>
      </w:tr>
      <w:tr w:rsidR="001C34F3" w14:paraId="2FB48487" w14:textId="77777777" w:rsidTr="00D77F03">
        <w:tc>
          <w:tcPr>
            <w:tcW w:w="8880" w:type="dxa"/>
            <w:tcBorders>
              <w:bottom w:val="nil"/>
            </w:tcBorders>
          </w:tcPr>
          <w:p w14:paraId="6E8832D1" w14:textId="77777777" w:rsidR="00177B40" w:rsidRDefault="00177B40" w:rsidP="00F062D8">
            <w:pPr>
              <w:rPr>
                <w:rFonts w:ascii="Arial" w:hAnsi="Arial"/>
              </w:rPr>
            </w:pPr>
          </w:p>
          <w:p w14:paraId="7A127010" w14:textId="77777777" w:rsidR="00F062D8" w:rsidRDefault="00F062D8" w:rsidP="009F65AA">
            <w:pPr>
              <w:spacing w:after="120"/>
              <w:jc w:val="both"/>
              <w:rPr>
                <w:rFonts w:ascii="Arial" w:hAnsi="Arial"/>
              </w:rPr>
            </w:pPr>
            <w:r w:rsidRPr="00F062D8">
              <w:rPr>
                <w:rFonts w:ascii="Arial" w:hAnsi="Arial"/>
              </w:rPr>
              <w:t xml:space="preserve">The Project site is largely used for mixed cropping and sheep grazing. </w:t>
            </w:r>
          </w:p>
          <w:p w14:paraId="306204A2" w14:textId="77777777" w:rsidR="00F062D8" w:rsidRDefault="00F062D8" w:rsidP="009F65AA">
            <w:pPr>
              <w:spacing w:after="120"/>
              <w:jc w:val="both"/>
              <w:rPr>
                <w:rFonts w:ascii="Arial" w:hAnsi="Arial"/>
              </w:rPr>
            </w:pPr>
            <w:r w:rsidRPr="00F062D8">
              <w:rPr>
                <w:rFonts w:ascii="Arial" w:hAnsi="Arial"/>
              </w:rPr>
              <w:t xml:space="preserve">Typical developments within the Project site and surrounding area include </w:t>
            </w:r>
            <w:r w:rsidR="003872F1">
              <w:rPr>
                <w:rFonts w:ascii="Arial" w:hAnsi="Arial"/>
              </w:rPr>
              <w:t xml:space="preserve">low density rural </w:t>
            </w:r>
            <w:r w:rsidRPr="00F062D8">
              <w:rPr>
                <w:rFonts w:ascii="Arial" w:hAnsi="Arial"/>
              </w:rPr>
              <w:t>dwellings and ancillary farming related infrastructure.</w:t>
            </w:r>
          </w:p>
          <w:p w14:paraId="3B588734" w14:textId="1396B014" w:rsidR="00D34899" w:rsidRPr="00F062D8" w:rsidRDefault="00D34899" w:rsidP="009F65AA">
            <w:pPr>
              <w:spacing w:after="120"/>
              <w:jc w:val="both"/>
              <w:rPr>
                <w:rFonts w:ascii="Arial" w:hAnsi="Arial"/>
              </w:rPr>
            </w:pPr>
            <w:r w:rsidRPr="00D34899">
              <w:rPr>
                <w:rFonts w:ascii="Arial" w:hAnsi="Arial"/>
              </w:rPr>
              <w:t xml:space="preserve">There </w:t>
            </w:r>
            <w:r w:rsidR="009D10AA">
              <w:rPr>
                <w:rFonts w:ascii="Arial" w:hAnsi="Arial"/>
              </w:rPr>
              <w:t xml:space="preserve">are </w:t>
            </w:r>
            <w:r w:rsidR="00A77F1D">
              <w:rPr>
                <w:rFonts w:ascii="Arial" w:hAnsi="Arial"/>
              </w:rPr>
              <w:t>six</w:t>
            </w:r>
            <w:r w:rsidR="00A77F1D" w:rsidRPr="00D34899">
              <w:rPr>
                <w:rFonts w:ascii="Arial" w:hAnsi="Arial"/>
              </w:rPr>
              <w:t xml:space="preserve"> </w:t>
            </w:r>
            <w:r w:rsidRPr="00D34899">
              <w:rPr>
                <w:rFonts w:ascii="Arial" w:hAnsi="Arial"/>
              </w:rPr>
              <w:t>residences</w:t>
            </w:r>
            <w:r w:rsidR="009D10AA">
              <w:rPr>
                <w:rFonts w:ascii="Arial" w:hAnsi="Arial"/>
              </w:rPr>
              <w:t xml:space="preserve">, associated sheds and a derelict holiday shack </w:t>
            </w:r>
            <w:r w:rsidRPr="00D34899">
              <w:rPr>
                <w:rFonts w:ascii="Arial" w:hAnsi="Arial"/>
              </w:rPr>
              <w:t xml:space="preserve">located within the </w:t>
            </w:r>
            <w:r w:rsidR="00682C1B">
              <w:rPr>
                <w:rFonts w:ascii="Arial" w:hAnsi="Arial"/>
              </w:rPr>
              <w:t>mine layout development envelope</w:t>
            </w:r>
            <w:r w:rsidR="009D10AA">
              <w:rPr>
                <w:rFonts w:ascii="Arial" w:hAnsi="Arial"/>
              </w:rPr>
              <w:t xml:space="preserve">. In addition, there </w:t>
            </w:r>
            <w:r w:rsidR="009D10AA" w:rsidRPr="009D10AA">
              <w:rPr>
                <w:rFonts w:ascii="Arial" w:hAnsi="Arial"/>
              </w:rPr>
              <w:t>are a</w:t>
            </w:r>
            <w:r w:rsidRPr="009D10AA">
              <w:rPr>
                <w:rFonts w:ascii="Arial" w:hAnsi="Arial"/>
              </w:rPr>
              <w:t xml:space="preserve"> scattering of </w:t>
            </w:r>
            <w:r w:rsidR="003872F1">
              <w:rPr>
                <w:rFonts w:ascii="Arial" w:hAnsi="Arial"/>
              </w:rPr>
              <w:t xml:space="preserve">rural </w:t>
            </w:r>
            <w:r w:rsidRPr="009D10AA">
              <w:rPr>
                <w:rFonts w:ascii="Arial" w:hAnsi="Arial"/>
              </w:rPr>
              <w:t xml:space="preserve">residences within approximately 5 km of the </w:t>
            </w:r>
            <w:r w:rsidR="00682C1B">
              <w:rPr>
                <w:rFonts w:ascii="Arial" w:hAnsi="Arial"/>
              </w:rPr>
              <w:t>mine layout development envelope</w:t>
            </w:r>
            <w:r w:rsidR="009D10AA">
              <w:rPr>
                <w:rFonts w:ascii="Arial" w:hAnsi="Arial"/>
              </w:rPr>
              <w:t>, including</w:t>
            </w:r>
            <w:r w:rsidR="009D10AA" w:rsidRPr="00D34899">
              <w:rPr>
                <w:rFonts w:ascii="Arial" w:hAnsi="Arial"/>
              </w:rPr>
              <w:t xml:space="preserve"> </w:t>
            </w:r>
            <w:r w:rsidR="00A77F1D">
              <w:rPr>
                <w:rFonts w:ascii="Arial" w:hAnsi="Arial"/>
              </w:rPr>
              <w:t>four</w:t>
            </w:r>
            <w:r w:rsidR="00A77F1D" w:rsidRPr="00D34899">
              <w:rPr>
                <w:rFonts w:ascii="Arial" w:hAnsi="Arial"/>
              </w:rPr>
              <w:t xml:space="preserve"> </w:t>
            </w:r>
            <w:r w:rsidR="009D10AA" w:rsidRPr="00D34899">
              <w:rPr>
                <w:rFonts w:ascii="Arial" w:hAnsi="Arial"/>
              </w:rPr>
              <w:t xml:space="preserve">residences located within 2 km </w:t>
            </w:r>
            <w:r w:rsidR="009D10AA">
              <w:rPr>
                <w:rFonts w:ascii="Arial" w:hAnsi="Arial"/>
              </w:rPr>
              <w:t xml:space="preserve">and </w:t>
            </w:r>
            <w:r w:rsidRPr="009D10AA">
              <w:rPr>
                <w:rFonts w:ascii="Arial" w:hAnsi="Arial"/>
              </w:rPr>
              <w:t xml:space="preserve">a settlement of approximately 10-20 residences </w:t>
            </w:r>
            <w:r w:rsidR="009D10AA">
              <w:rPr>
                <w:rFonts w:ascii="Arial" w:hAnsi="Arial"/>
              </w:rPr>
              <w:t xml:space="preserve">located </w:t>
            </w:r>
            <w:r w:rsidRPr="009D10AA">
              <w:rPr>
                <w:rFonts w:ascii="Arial" w:hAnsi="Arial"/>
              </w:rPr>
              <w:t xml:space="preserve">approximately 4 km south of the </w:t>
            </w:r>
            <w:r w:rsidR="00682C1B">
              <w:rPr>
                <w:rFonts w:ascii="Arial" w:hAnsi="Arial"/>
              </w:rPr>
              <w:t>mine layout development envelope</w:t>
            </w:r>
            <w:r w:rsidRPr="009D10AA">
              <w:rPr>
                <w:rFonts w:ascii="Arial" w:hAnsi="Arial"/>
              </w:rPr>
              <w:t>, just north of the Toolondo Reservoir</w:t>
            </w:r>
            <w:r w:rsidR="009D10AA">
              <w:rPr>
                <w:rFonts w:ascii="Arial" w:hAnsi="Arial"/>
              </w:rPr>
              <w:t xml:space="preserve"> (Figure 2)</w:t>
            </w:r>
            <w:r w:rsidRPr="009D10AA">
              <w:rPr>
                <w:rFonts w:ascii="Arial" w:hAnsi="Arial"/>
              </w:rPr>
              <w:t xml:space="preserve">. </w:t>
            </w:r>
          </w:p>
          <w:p w14:paraId="4E47B340" w14:textId="77777777" w:rsidR="001C34F3" w:rsidRDefault="001C34F3">
            <w:pPr>
              <w:rPr>
                <w:rFonts w:ascii="Arial" w:hAnsi="Arial"/>
              </w:rPr>
            </w:pPr>
          </w:p>
        </w:tc>
      </w:tr>
      <w:tr w:rsidR="001C34F3" w14:paraId="74F68DB5" w14:textId="77777777" w:rsidTr="00D77F03">
        <w:tc>
          <w:tcPr>
            <w:tcW w:w="8880" w:type="dxa"/>
            <w:tcBorders>
              <w:top w:val="nil"/>
              <w:bottom w:val="nil"/>
            </w:tcBorders>
          </w:tcPr>
          <w:p w14:paraId="3E637FEA" w14:textId="77777777" w:rsidR="00177B40" w:rsidRDefault="00F062D8" w:rsidP="00640F98">
            <w:pPr>
              <w:rPr>
                <w:rFonts w:ascii="Arial" w:hAnsi="Arial"/>
              </w:rPr>
            </w:pPr>
            <w:r>
              <w:rPr>
                <w:rFonts w:ascii="Arial" w:hAnsi="Arial"/>
                <w:b/>
              </w:rPr>
              <w:t xml:space="preserve">7.6 </w:t>
            </w:r>
            <w:r w:rsidR="001C34F3">
              <w:rPr>
                <w:rFonts w:ascii="Arial" w:hAnsi="Arial"/>
                <w:b/>
              </w:rPr>
              <w:t>Description of local setting</w:t>
            </w:r>
            <w:r w:rsidR="001C34F3">
              <w:rPr>
                <w:rFonts w:ascii="Arial" w:hAnsi="Arial"/>
              </w:rPr>
              <w:t xml:space="preserve"> </w:t>
            </w:r>
          </w:p>
          <w:p w14:paraId="15017BC9" w14:textId="5DE89330" w:rsidR="00640F98" w:rsidRDefault="00640F98" w:rsidP="00640F98">
            <w:pPr>
              <w:rPr>
                <w:rFonts w:ascii="Arial" w:hAnsi="Arial"/>
              </w:rPr>
            </w:pPr>
          </w:p>
        </w:tc>
      </w:tr>
      <w:tr w:rsidR="001C34F3" w14:paraId="6203BEB2" w14:textId="77777777" w:rsidTr="00D77F03">
        <w:tc>
          <w:tcPr>
            <w:tcW w:w="8880" w:type="dxa"/>
            <w:tcBorders>
              <w:top w:val="nil"/>
              <w:bottom w:val="single" w:sz="4" w:space="0" w:color="auto"/>
            </w:tcBorders>
          </w:tcPr>
          <w:p w14:paraId="31A741BB" w14:textId="77777777" w:rsidR="00F062D8" w:rsidRDefault="00F062D8" w:rsidP="009F65AA">
            <w:pPr>
              <w:spacing w:after="120"/>
              <w:jc w:val="both"/>
              <w:rPr>
                <w:rFonts w:ascii="Arial" w:hAnsi="Arial"/>
              </w:rPr>
            </w:pPr>
            <w:r w:rsidRPr="00F062D8">
              <w:rPr>
                <w:rFonts w:ascii="Arial" w:hAnsi="Arial"/>
              </w:rPr>
              <w:t xml:space="preserve">The majority of </w:t>
            </w:r>
            <w:r w:rsidR="003872F1">
              <w:rPr>
                <w:rFonts w:ascii="Arial" w:hAnsi="Arial"/>
              </w:rPr>
              <w:t>rural</w:t>
            </w:r>
            <w:r w:rsidRPr="00F062D8">
              <w:rPr>
                <w:rFonts w:ascii="Arial" w:hAnsi="Arial"/>
              </w:rPr>
              <w:t xml:space="preserve"> dwellings within the region are associated with the farming properties.</w:t>
            </w:r>
          </w:p>
          <w:p w14:paraId="789168D7" w14:textId="77777777" w:rsidR="00F062D8" w:rsidRDefault="00F062D8" w:rsidP="009F65AA">
            <w:pPr>
              <w:spacing w:after="120"/>
              <w:jc w:val="both"/>
              <w:rPr>
                <w:rFonts w:ascii="Arial" w:hAnsi="Arial"/>
              </w:rPr>
            </w:pPr>
            <w:r w:rsidRPr="00F062D8">
              <w:rPr>
                <w:rFonts w:ascii="Arial" w:hAnsi="Arial"/>
              </w:rPr>
              <w:t xml:space="preserve">Two conservation/recreation reserves are </w:t>
            </w:r>
            <w:r w:rsidR="007B7F31">
              <w:rPr>
                <w:rFonts w:ascii="Arial" w:hAnsi="Arial"/>
              </w:rPr>
              <w:t xml:space="preserve">partially </w:t>
            </w:r>
            <w:r w:rsidRPr="00F062D8">
              <w:rPr>
                <w:rFonts w:ascii="Arial" w:hAnsi="Arial"/>
              </w:rPr>
              <w:t>located within the Project site:</w:t>
            </w:r>
          </w:p>
          <w:p w14:paraId="7D6FEC00" w14:textId="77777777" w:rsidR="00F062D8" w:rsidRPr="00C70314" w:rsidRDefault="00F062D8" w:rsidP="00C70314">
            <w:pPr>
              <w:pStyle w:val="ListBullet"/>
              <w:numPr>
                <w:ilvl w:val="0"/>
                <w:numId w:val="43"/>
              </w:numPr>
              <w:jc w:val="both"/>
              <w:rPr>
                <w:b w:val="0"/>
                <w:bCs w:val="0"/>
              </w:rPr>
            </w:pPr>
            <w:r w:rsidRPr="00C70314">
              <w:rPr>
                <w:b w:val="0"/>
                <w:bCs w:val="0"/>
              </w:rPr>
              <w:t xml:space="preserve">the </w:t>
            </w:r>
            <w:proofErr w:type="spellStart"/>
            <w:r w:rsidRPr="00C70314">
              <w:rPr>
                <w:b w:val="0"/>
                <w:bCs w:val="0"/>
              </w:rPr>
              <w:t>Jallumba</w:t>
            </w:r>
            <w:proofErr w:type="spellEnd"/>
            <w:r w:rsidRPr="00C70314">
              <w:rPr>
                <w:b w:val="0"/>
                <w:bCs w:val="0"/>
              </w:rPr>
              <w:t xml:space="preserve"> Marsh Flora Reserve (a</w:t>
            </w:r>
            <w:r w:rsidR="00177B40" w:rsidRPr="00C70314">
              <w:rPr>
                <w:b w:val="0"/>
                <w:bCs w:val="0"/>
              </w:rPr>
              <w:t xml:space="preserve"> </w:t>
            </w:r>
            <w:r w:rsidRPr="00C70314">
              <w:rPr>
                <w:b w:val="0"/>
                <w:bCs w:val="0"/>
              </w:rPr>
              <w:t>79</w:t>
            </w:r>
            <w:r w:rsidR="00177B40" w:rsidRPr="00C70314">
              <w:rPr>
                <w:b w:val="0"/>
                <w:bCs w:val="0"/>
              </w:rPr>
              <w:t xml:space="preserve"> </w:t>
            </w:r>
            <w:r w:rsidRPr="00C70314">
              <w:rPr>
                <w:b w:val="0"/>
                <w:bCs w:val="0"/>
              </w:rPr>
              <w:t>ha nature conservation reserve)</w:t>
            </w:r>
            <w:r w:rsidR="007B7F31" w:rsidRPr="00C70314">
              <w:rPr>
                <w:b w:val="0"/>
                <w:bCs w:val="0"/>
              </w:rPr>
              <w:t>;</w:t>
            </w:r>
            <w:r w:rsidRPr="00C70314">
              <w:rPr>
                <w:b w:val="0"/>
                <w:bCs w:val="0"/>
              </w:rPr>
              <w:t xml:space="preserve"> and </w:t>
            </w:r>
          </w:p>
          <w:p w14:paraId="49BDAB6B" w14:textId="494FF9B8" w:rsidR="00F062D8" w:rsidRPr="00C70314" w:rsidRDefault="00F062D8" w:rsidP="00C70314">
            <w:pPr>
              <w:pStyle w:val="ListBullet"/>
              <w:numPr>
                <w:ilvl w:val="0"/>
                <w:numId w:val="43"/>
              </w:numPr>
              <w:jc w:val="both"/>
              <w:rPr>
                <w:b w:val="0"/>
                <w:bCs w:val="0"/>
              </w:rPr>
            </w:pPr>
            <w:r w:rsidRPr="00C70314">
              <w:rPr>
                <w:b w:val="0"/>
                <w:bCs w:val="0"/>
              </w:rPr>
              <w:t xml:space="preserve">the northern end of the Red Gum Swamp </w:t>
            </w:r>
            <w:proofErr w:type="spellStart"/>
            <w:r w:rsidRPr="00C70314">
              <w:rPr>
                <w:b w:val="0"/>
                <w:bCs w:val="0"/>
              </w:rPr>
              <w:t>Jallumba</w:t>
            </w:r>
            <w:proofErr w:type="spellEnd"/>
            <w:r w:rsidRPr="00C70314">
              <w:rPr>
                <w:b w:val="0"/>
                <w:bCs w:val="0"/>
              </w:rPr>
              <w:t xml:space="preserve"> Wildlife Reserve (a 177</w:t>
            </w:r>
            <w:r w:rsidR="007B7F31" w:rsidRPr="00C70314">
              <w:rPr>
                <w:b w:val="0"/>
                <w:bCs w:val="0"/>
              </w:rPr>
              <w:t xml:space="preserve"> </w:t>
            </w:r>
            <w:r w:rsidRPr="00C70314">
              <w:rPr>
                <w:b w:val="0"/>
                <w:bCs w:val="0"/>
              </w:rPr>
              <w:t xml:space="preserve">ha wildlife hunting reserve) (Figure 2). </w:t>
            </w:r>
          </w:p>
          <w:p w14:paraId="0C66059C" w14:textId="43B34D12" w:rsidR="00F062D8" w:rsidRDefault="00F062D8" w:rsidP="009F65AA">
            <w:pPr>
              <w:spacing w:after="120"/>
              <w:jc w:val="both"/>
              <w:rPr>
                <w:rFonts w:ascii="Arial" w:hAnsi="Arial"/>
              </w:rPr>
            </w:pPr>
            <w:r w:rsidRPr="00F062D8">
              <w:rPr>
                <w:rFonts w:ascii="Arial" w:hAnsi="Arial"/>
              </w:rPr>
              <w:t xml:space="preserve">There are two former Iluka mines located within the region, namely Echo mine approximately 7 km to the east of the Project site and Douglas mine approximately 20 km to the south-east of the Project site (Figure </w:t>
            </w:r>
            <w:r w:rsidR="00640F98">
              <w:rPr>
                <w:rFonts w:ascii="Arial" w:hAnsi="Arial"/>
              </w:rPr>
              <w:t>1</w:t>
            </w:r>
            <w:r w:rsidRPr="00F062D8">
              <w:rPr>
                <w:rFonts w:ascii="Arial" w:hAnsi="Arial"/>
              </w:rPr>
              <w:t xml:space="preserve">). </w:t>
            </w:r>
            <w:r w:rsidR="00640F98">
              <w:rPr>
                <w:rFonts w:ascii="Arial" w:hAnsi="Arial"/>
              </w:rPr>
              <w:t>Extraction at b</w:t>
            </w:r>
            <w:r w:rsidRPr="00F062D8">
              <w:rPr>
                <w:rFonts w:ascii="Arial" w:hAnsi="Arial"/>
              </w:rPr>
              <w:t xml:space="preserve">oth mine sites </w:t>
            </w:r>
            <w:r w:rsidR="00640F98">
              <w:rPr>
                <w:rFonts w:ascii="Arial" w:hAnsi="Arial"/>
              </w:rPr>
              <w:t xml:space="preserve">has ceased </w:t>
            </w:r>
            <w:r w:rsidRPr="00F062D8">
              <w:rPr>
                <w:rFonts w:ascii="Arial" w:hAnsi="Arial"/>
              </w:rPr>
              <w:t xml:space="preserve">and </w:t>
            </w:r>
            <w:r w:rsidR="00640F98">
              <w:rPr>
                <w:rFonts w:ascii="Arial" w:hAnsi="Arial"/>
              </w:rPr>
              <w:t xml:space="preserve">the sites </w:t>
            </w:r>
            <w:r w:rsidRPr="00F062D8">
              <w:rPr>
                <w:rFonts w:ascii="Arial" w:hAnsi="Arial"/>
              </w:rPr>
              <w:t>are in rehabilitation and/or closure monitoring phase.</w:t>
            </w:r>
          </w:p>
          <w:p w14:paraId="40F1EE10" w14:textId="3843B642" w:rsidR="001C34F3" w:rsidRDefault="00F062D8" w:rsidP="009F65AA">
            <w:pPr>
              <w:spacing w:after="120"/>
              <w:jc w:val="both"/>
              <w:rPr>
                <w:rFonts w:ascii="Arial" w:hAnsi="Arial"/>
              </w:rPr>
            </w:pPr>
            <w:r w:rsidRPr="00F062D8">
              <w:rPr>
                <w:rFonts w:ascii="Arial" w:hAnsi="Arial"/>
              </w:rPr>
              <w:t>There are several small settlements within the region including Toolondo, located approximately 4 km to the south of the Project site and Noradjuha approximately 11 km to the north of the Project site (Figure 3). Horsham is the largest regional centre, located approximately 30 km to the north-east of the Project site.</w:t>
            </w:r>
          </w:p>
          <w:p w14:paraId="1C46C517" w14:textId="77777777" w:rsidR="007B7F31" w:rsidRDefault="007B7F31" w:rsidP="009F65AA">
            <w:pPr>
              <w:spacing w:after="120"/>
              <w:rPr>
                <w:rFonts w:ascii="Arial" w:hAnsi="Arial"/>
              </w:rPr>
            </w:pPr>
            <w:r>
              <w:rPr>
                <w:rFonts w:ascii="Arial" w:hAnsi="Arial"/>
              </w:rPr>
              <w:lastRenderedPageBreak/>
              <w:t>Nearby infrastructure is outlined in Section 7.2.3.</w:t>
            </w:r>
          </w:p>
        </w:tc>
      </w:tr>
      <w:tr w:rsidR="001C34F3" w14:paraId="5586C9A1" w14:textId="77777777" w:rsidTr="00D77F03">
        <w:tc>
          <w:tcPr>
            <w:tcW w:w="8880" w:type="dxa"/>
            <w:tcBorders>
              <w:bottom w:val="nil"/>
            </w:tcBorders>
          </w:tcPr>
          <w:p w14:paraId="44B7AD79"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1C34F3" w14:paraId="19049B57" w14:textId="77777777" w:rsidTr="001E301B">
        <w:tc>
          <w:tcPr>
            <w:tcW w:w="8880" w:type="dxa"/>
            <w:tcBorders>
              <w:top w:val="nil"/>
              <w:bottom w:val="single" w:sz="4" w:space="0" w:color="auto"/>
            </w:tcBorders>
          </w:tcPr>
          <w:p w14:paraId="2EF21B0D" w14:textId="07D2BC05" w:rsidR="001C34F3" w:rsidRDefault="00F062D8">
            <w:pPr>
              <w:rPr>
                <w:rFonts w:ascii="Arial" w:hAnsi="Arial"/>
              </w:rPr>
            </w:pPr>
            <w:r>
              <w:rPr>
                <w:rFonts w:ascii="Arial" w:hAnsi="Arial"/>
                <w:b/>
              </w:rPr>
              <w:t xml:space="preserve">7.7 </w:t>
            </w:r>
            <w:r w:rsidR="001C34F3">
              <w:rPr>
                <w:rFonts w:ascii="Arial" w:hAnsi="Arial"/>
                <w:b/>
              </w:rPr>
              <w:t>Planning context</w:t>
            </w:r>
            <w:r w:rsidR="001C34F3">
              <w:rPr>
                <w:rFonts w:ascii="Arial" w:hAnsi="Arial"/>
              </w:rPr>
              <w:t xml:space="preserve"> </w:t>
            </w:r>
          </w:p>
        </w:tc>
      </w:tr>
      <w:tr w:rsidR="001C34F3" w14:paraId="0567B64D" w14:textId="77777777" w:rsidTr="001E301B">
        <w:tc>
          <w:tcPr>
            <w:tcW w:w="8880" w:type="dxa"/>
            <w:tcBorders>
              <w:top w:val="single" w:sz="4" w:space="0" w:color="auto"/>
              <w:bottom w:val="single" w:sz="4" w:space="0" w:color="auto"/>
            </w:tcBorders>
          </w:tcPr>
          <w:p w14:paraId="60C8155F" w14:textId="77777777" w:rsidR="00177B40" w:rsidRDefault="00177B40" w:rsidP="00F062D8">
            <w:pPr>
              <w:rPr>
                <w:rFonts w:ascii="Arial" w:hAnsi="Arial"/>
                <w:b/>
              </w:rPr>
            </w:pPr>
          </w:p>
          <w:p w14:paraId="76E8C343" w14:textId="77777777" w:rsidR="00F062D8" w:rsidRDefault="00177B40" w:rsidP="00F062D8">
            <w:pPr>
              <w:rPr>
                <w:rFonts w:ascii="Arial" w:hAnsi="Arial"/>
                <w:b/>
              </w:rPr>
            </w:pPr>
            <w:r>
              <w:rPr>
                <w:rFonts w:ascii="Arial" w:hAnsi="Arial"/>
                <w:b/>
              </w:rPr>
              <w:t xml:space="preserve">7.7.1 </w:t>
            </w:r>
            <w:r w:rsidR="00F062D8" w:rsidRPr="00177B40">
              <w:rPr>
                <w:rFonts w:ascii="Arial" w:hAnsi="Arial"/>
                <w:b/>
              </w:rPr>
              <w:t xml:space="preserve">Zoning </w:t>
            </w:r>
          </w:p>
          <w:p w14:paraId="5A97D4CE" w14:textId="77777777" w:rsidR="00177B40" w:rsidRDefault="00177B40" w:rsidP="00F062D8">
            <w:pPr>
              <w:rPr>
                <w:rFonts w:ascii="Arial" w:hAnsi="Arial"/>
                <w:b/>
              </w:rPr>
            </w:pPr>
          </w:p>
          <w:p w14:paraId="02762880" w14:textId="05C8589F" w:rsidR="00643F46" w:rsidRDefault="00F062D8" w:rsidP="0024218B">
            <w:pPr>
              <w:spacing w:after="120"/>
              <w:jc w:val="both"/>
              <w:rPr>
                <w:rFonts w:ascii="Arial" w:hAnsi="Arial"/>
              </w:rPr>
            </w:pPr>
            <w:r w:rsidRPr="00F062D8">
              <w:rPr>
                <w:rFonts w:ascii="Arial" w:hAnsi="Arial"/>
              </w:rPr>
              <w:t xml:space="preserve">The Project site and surrounding land is predominantly zoned as Farming Zone (FZ) under the Horsham Planning Scheme (2018). Smaller portions of the Project site are zoned Public Conservation and Resource Zones (PCRZ) (in relation to the </w:t>
            </w:r>
            <w:proofErr w:type="spellStart"/>
            <w:r w:rsidRPr="00F062D8">
              <w:rPr>
                <w:rFonts w:ascii="Arial" w:hAnsi="Arial"/>
              </w:rPr>
              <w:t>Jallumba</w:t>
            </w:r>
            <w:proofErr w:type="spellEnd"/>
            <w:r w:rsidRPr="00F062D8">
              <w:rPr>
                <w:rFonts w:ascii="Arial" w:hAnsi="Arial"/>
              </w:rPr>
              <w:t xml:space="preserve"> Marsh Nature Conservation Reserve and the Red Gum Swamp, </w:t>
            </w:r>
            <w:proofErr w:type="spellStart"/>
            <w:r w:rsidRPr="00F062D8">
              <w:rPr>
                <w:rFonts w:ascii="Arial" w:hAnsi="Arial"/>
              </w:rPr>
              <w:t>Jallumba</w:t>
            </w:r>
            <w:proofErr w:type="spellEnd"/>
            <w:r w:rsidRPr="00F062D8">
              <w:rPr>
                <w:rFonts w:ascii="Arial" w:hAnsi="Arial"/>
              </w:rPr>
              <w:t xml:space="preserve"> Wildlife Reserve), and Road </w:t>
            </w:r>
            <w:r w:rsidR="0073686C">
              <w:rPr>
                <w:rFonts w:ascii="Arial" w:hAnsi="Arial"/>
              </w:rPr>
              <w:t>Z</w:t>
            </w:r>
            <w:r w:rsidRPr="00F062D8">
              <w:rPr>
                <w:rFonts w:ascii="Arial" w:hAnsi="Arial"/>
              </w:rPr>
              <w:t xml:space="preserve">one </w:t>
            </w:r>
            <w:r w:rsidR="006646B0">
              <w:rPr>
                <w:rFonts w:ascii="Arial" w:hAnsi="Arial"/>
              </w:rPr>
              <w:t>C</w:t>
            </w:r>
            <w:r w:rsidRPr="00F062D8">
              <w:rPr>
                <w:rFonts w:ascii="Arial" w:hAnsi="Arial"/>
              </w:rPr>
              <w:t>ategory 1 (RDZ1) (in relation to roads)</w:t>
            </w:r>
            <w:r w:rsidR="007E61D6">
              <w:rPr>
                <w:rFonts w:ascii="Arial" w:hAnsi="Arial"/>
              </w:rPr>
              <w:t xml:space="preserve"> (</w:t>
            </w:r>
            <w:r w:rsidRPr="00F062D8">
              <w:rPr>
                <w:rFonts w:ascii="Arial" w:hAnsi="Arial"/>
              </w:rPr>
              <w:t xml:space="preserve">Figure </w:t>
            </w:r>
            <w:r w:rsidR="00643F46">
              <w:rPr>
                <w:rFonts w:ascii="Arial" w:hAnsi="Arial"/>
              </w:rPr>
              <w:t>1</w:t>
            </w:r>
            <w:r w:rsidR="007E61D6">
              <w:rPr>
                <w:rFonts w:ascii="Arial" w:hAnsi="Arial"/>
              </w:rPr>
              <w:t>0)</w:t>
            </w:r>
            <w:r w:rsidRPr="00F062D8">
              <w:rPr>
                <w:rFonts w:ascii="Arial" w:hAnsi="Arial"/>
              </w:rPr>
              <w:t xml:space="preserve">. </w:t>
            </w:r>
          </w:p>
          <w:p w14:paraId="4D6FA9A7" w14:textId="77777777" w:rsidR="00F062D8" w:rsidRDefault="00177B40" w:rsidP="00F062D8">
            <w:pPr>
              <w:rPr>
                <w:rFonts w:ascii="Arial" w:hAnsi="Arial"/>
                <w:b/>
              </w:rPr>
            </w:pPr>
            <w:r>
              <w:rPr>
                <w:rFonts w:ascii="Arial" w:hAnsi="Arial"/>
                <w:b/>
              </w:rPr>
              <w:t xml:space="preserve">7.7.2 </w:t>
            </w:r>
            <w:r w:rsidR="00F062D8" w:rsidRPr="00F062D8">
              <w:rPr>
                <w:rFonts w:ascii="Arial" w:hAnsi="Arial"/>
                <w:b/>
              </w:rPr>
              <w:t>Overlays</w:t>
            </w:r>
          </w:p>
          <w:p w14:paraId="4FCC3FF6" w14:textId="77777777" w:rsidR="00F062D8" w:rsidRPr="00F062D8" w:rsidRDefault="00F062D8" w:rsidP="00F062D8">
            <w:pPr>
              <w:rPr>
                <w:rFonts w:ascii="Arial" w:hAnsi="Arial"/>
                <w:b/>
              </w:rPr>
            </w:pPr>
          </w:p>
          <w:p w14:paraId="69BEA777" w14:textId="77777777" w:rsidR="00F062D8" w:rsidRDefault="00F062D8" w:rsidP="00BA0E91">
            <w:pPr>
              <w:spacing w:after="120"/>
              <w:rPr>
                <w:rFonts w:ascii="Arial" w:hAnsi="Arial"/>
              </w:rPr>
            </w:pPr>
            <w:r w:rsidRPr="00F062D8">
              <w:rPr>
                <w:rFonts w:ascii="Arial" w:hAnsi="Arial"/>
              </w:rPr>
              <w:t xml:space="preserve">The following planning overlays, identified in the Horsham Planning Scheme, occur across the Project site: </w:t>
            </w:r>
          </w:p>
          <w:p w14:paraId="522B7E09" w14:textId="7C097717" w:rsidR="00F062D8" w:rsidRPr="00C70314" w:rsidRDefault="00F062D8" w:rsidP="00C70314">
            <w:pPr>
              <w:pStyle w:val="ListBullet"/>
              <w:numPr>
                <w:ilvl w:val="0"/>
                <w:numId w:val="43"/>
              </w:numPr>
              <w:jc w:val="both"/>
              <w:rPr>
                <w:b w:val="0"/>
                <w:bCs w:val="0"/>
              </w:rPr>
            </w:pPr>
            <w:r w:rsidRPr="00C70314">
              <w:rPr>
                <w:b w:val="0"/>
                <w:bCs w:val="0"/>
              </w:rPr>
              <w:t xml:space="preserve">ESO4 Environmental significance 4 - Water catchment protection (Figure </w:t>
            </w:r>
            <w:r w:rsidR="00643F46" w:rsidRPr="00C70314">
              <w:rPr>
                <w:b w:val="0"/>
                <w:bCs w:val="0"/>
              </w:rPr>
              <w:t>1</w:t>
            </w:r>
            <w:r w:rsidR="007E61D6" w:rsidRPr="00C70314">
              <w:rPr>
                <w:b w:val="0"/>
                <w:bCs w:val="0"/>
              </w:rPr>
              <w:t>1</w:t>
            </w:r>
            <w:r w:rsidRPr="00C70314">
              <w:rPr>
                <w:b w:val="0"/>
                <w:bCs w:val="0"/>
              </w:rPr>
              <w:t>);</w:t>
            </w:r>
          </w:p>
          <w:p w14:paraId="698EF822" w14:textId="0B09106C" w:rsidR="00F062D8" w:rsidRPr="00C70314" w:rsidRDefault="00F062D8" w:rsidP="00C70314">
            <w:pPr>
              <w:pStyle w:val="ListBullet"/>
              <w:numPr>
                <w:ilvl w:val="0"/>
                <w:numId w:val="43"/>
              </w:numPr>
              <w:jc w:val="both"/>
              <w:rPr>
                <w:b w:val="0"/>
                <w:bCs w:val="0"/>
              </w:rPr>
            </w:pPr>
            <w:r w:rsidRPr="00C70314">
              <w:rPr>
                <w:b w:val="0"/>
                <w:bCs w:val="0"/>
              </w:rPr>
              <w:t xml:space="preserve">ESO5 Environmental significance 5 - Channel and reservoir protection (Figure </w:t>
            </w:r>
            <w:r w:rsidR="00643F46" w:rsidRPr="00C70314">
              <w:rPr>
                <w:b w:val="0"/>
                <w:bCs w:val="0"/>
              </w:rPr>
              <w:t>1</w:t>
            </w:r>
            <w:r w:rsidR="007E61D6" w:rsidRPr="00C70314">
              <w:rPr>
                <w:b w:val="0"/>
                <w:bCs w:val="0"/>
              </w:rPr>
              <w:t>2</w:t>
            </w:r>
            <w:r w:rsidRPr="00C70314">
              <w:rPr>
                <w:b w:val="0"/>
                <w:bCs w:val="0"/>
              </w:rPr>
              <w:t>);</w:t>
            </w:r>
            <w:r w:rsidR="00B3508F" w:rsidRPr="00C70314">
              <w:rPr>
                <w:b w:val="0"/>
                <w:bCs w:val="0"/>
              </w:rPr>
              <w:t xml:space="preserve"> and</w:t>
            </w:r>
          </w:p>
          <w:p w14:paraId="2CD21A87" w14:textId="0AD1CE44" w:rsidR="006646B0" w:rsidRPr="00C70314" w:rsidRDefault="006646B0" w:rsidP="00C70314">
            <w:pPr>
              <w:pStyle w:val="ListBullet"/>
              <w:numPr>
                <w:ilvl w:val="0"/>
                <w:numId w:val="43"/>
              </w:numPr>
              <w:jc w:val="both"/>
              <w:rPr>
                <w:b w:val="0"/>
                <w:bCs w:val="0"/>
              </w:rPr>
            </w:pPr>
            <w:r w:rsidRPr="00C70314">
              <w:rPr>
                <w:b w:val="0"/>
                <w:bCs w:val="0"/>
              </w:rPr>
              <w:t xml:space="preserve">LSIO-FO Land Subject to Inundation (Red Gum Swamp) (Figure </w:t>
            </w:r>
            <w:r w:rsidR="00643F46" w:rsidRPr="00C70314">
              <w:rPr>
                <w:b w:val="0"/>
                <w:bCs w:val="0"/>
              </w:rPr>
              <w:t>1</w:t>
            </w:r>
            <w:r w:rsidR="007E61D6" w:rsidRPr="00C70314">
              <w:rPr>
                <w:b w:val="0"/>
                <w:bCs w:val="0"/>
              </w:rPr>
              <w:t>3</w:t>
            </w:r>
            <w:r w:rsidRPr="00C70314">
              <w:rPr>
                <w:b w:val="0"/>
                <w:bCs w:val="0"/>
              </w:rPr>
              <w:t>)</w:t>
            </w:r>
            <w:r w:rsidR="00643F46" w:rsidRPr="00C70314">
              <w:rPr>
                <w:b w:val="0"/>
                <w:bCs w:val="0"/>
              </w:rPr>
              <w:t>.</w:t>
            </w:r>
          </w:p>
          <w:p w14:paraId="0FC9E684" w14:textId="04BBD67B" w:rsidR="00F062D8" w:rsidRDefault="00F062D8" w:rsidP="00BA0E91">
            <w:pPr>
              <w:spacing w:after="120"/>
              <w:jc w:val="both"/>
              <w:rPr>
                <w:rFonts w:ascii="Arial" w:hAnsi="Arial"/>
              </w:rPr>
            </w:pPr>
            <w:r w:rsidRPr="00F062D8">
              <w:rPr>
                <w:rFonts w:ascii="Arial" w:hAnsi="Arial"/>
              </w:rPr>
              <w:t>The following overlays have been identified within the region of the Project site</w:t>
            </w:r>
            <w:r w:rsidR="008F3B3F">
              <w:rPr>
                <w:rFonts w:ascii="Arial" w:hAnsi="Arial"/>
              </w:rPr>
              <w:t xml:space="preserve"> but will not be affected by the proposed </w:t>
            </w:r>
            <w:r w:rsidR="00D02516">
              <w:rPr>
                <w:rFonts w:ascii="Arial" w:hAnsi="Arial"/>
              </w:rPr>
              <w:t>P</w:t>
            </w:r>
            <w:r w:rsidR="008F3B3F">
              <w:rPr>
                <w:rFonts w:ascii="Arial" w:hAnsi="Arial"/>
              </w:rPr>
              <w:t>roject</w:t>
            </w:r>
            <w:r>
              <w:rPr>
                <w:rFonts w:ascii="Arial" w:hAnsi="Arial"/>
              </w:rPr>
              <w:t>:</w:t>
            </w:r>
          </w:p>
          <w:p w14:paraId="4F9D02C2" w14:textId="77777777" w:rsidR="00F062D8" w:rsidRPr="00C70314" w:rsidRDefault="00F062D8" w:rsidP="00C70314">
            <w:pPr>
              <w:pStyle w:val="ListBullet"/>
              <w:numPr>
                <w:ilvl w:val="0"/>
                <w:numId w:val="43"/>
              </w:numPr>
              <w:jc w:val="both"/>
              <w:rPr>
                <w:b w:val="0"/>
                <w:bCs w:val="0"/>
              </w:rPr>
            </w:pPr>
            <w:r w:rsidRPr="00C70314">
              <w:rPr>
                <w:b w:val="0"/>
                <w:bCs w:val="0"/>
              </w:rPr>
              <w:t>ESO2 Environmental significance - Natimuk Douglas wetlands;</w:t>
            </w:r>
          </w:p>
          <w:p w14:paraId="557FBE24" w14:textId="77777777" w:rsidR="00F062D8" w:rsidRPr="00C70314" w:rsidRDefault="00F062D8" w:rsidP="00C70314">
            <w:pPr>
              <w:pStyle w:val="ListBullet"/>
              <w:numPr>
                <w:ilvl w:val="0"/>
                <w:numId w:val="43"/>
              </w:numPr>
              <w:jc w:val="both"/>
              <w:rPr>
                <w:b w:val="0"/>
                <w:bCs w:val="0"/>
              </w:rPr>
            </w:pPr>
            <w:r w:rsidRPr="00C70314">
              <w:rPr>
                <w:b w:val="0"/>
                <w:bCs w:val="0"/>
              </w:rPr>
              <w:t>ESO</w:t>
            </w:r>
            <w:r w:rsidR="008F3B3F" w:rsidRPr="00C70314">
              <w:rPr>
                <w:b w:val="0"/>
                <w:bCs w:val="0"/>
              </w:rPr>
              <w:t>3</w:t>
            </w:r>
            <w:r w:rsidRPr="00C70314">
              <w:rPr>
                <w:b w:val="0"/>
                <w:bCs w:val="0"/>
              </w:rPr>
              <w:t xml:space="preserve"> Environmental significance - Watercourse protection; and</w:t>
            </w:r>
          </w:p>
          <w:p w14:paraId="20AE59F9" w14:textId="217F3171" w:rsidR="00F062D8" w:rsidRPr="00C70314" w:rsidRDefault="00F062D8" w:rsidP="00C70314">
            <w:pPr>
              <w:pStyle w:val="ListBullet"/>
              <w:numPr>
                <w:ilvl w:val="0"/>
                <w:numId w:val="43"/>
              </w:numPr>
              <w:jc w:val="both"/>
              <w:rPr>
                <w:b w:val="0"/>
                <w:bCs w:val="0"/>
              </w:rPr>
            </w:pPr>
            <w:r w:rsidRPr="00C70314">
              <w:rPr>
                <w:b w:val="0"/>
                <w:bCs w:val="0"/>
              </w:rPr>
              <w:t>BMO Bushfire management overlay</w:t>
            </w:r>
            <w:r w:rsidR="00643F46" w:rsidRPr="00C70314">
              <w:rPr>
                <w:b w:val="0"/>
                <w:bCs w:val="0"/>
              </w:rPr>
              <w:t>.</w:t>
            </w:r>
          </w:p>
          <w:p w14:paraId="5BBE78B3" w14:textId="2798924C" w:rsidR="0076457E" w:rsidRPr="00C70314" w:rsidRDefault="00FC6D91" w:rsidP="00C70314">
            <w:pPr>
              <w:pStyle w:val="ListBullet"/>
              <w:numPr>
                <w:ilvl w:val="0"/>
                <w:numId w:val="43"/>
              </w:numPr>
              <w:jc w:val="both"/>
              <w:rPr>
                <w:b w:val="0"/>
                <w:bCs w:val="0"/>
              </w:rPr>
            </w:pPr>
            <w:r w:rsidRPr="00C70314">
              <w:rPr>
                <w:b w:val="0"/>
                <w:bCs w:val="0"/>
              </w:rPr>
              <w:t xml:space="preserve">The regional BMOs identified within the Horsham Planning Scheme </w:t>
            </w:r>
            <w:r w:rsidR="008F3B3F" w:rsidRPr="00C70314">
              <w:rPr>
                <w:b w:val="0"/>
                <w:bCs w:val="0"/>
              </w:rPr>
              <w:t xml:space="preserve">will </w:t>
            </w:r>
            <w:r w:rsidRPr="00C70314">
              <w:rPr>
                <w:b w:val="0"/>
                <w:bCs w:val="0"/>
              </w:rPr>
              <w:t xml:space="preserve">be </w:t>
            </w:r>
            <w:r w:rsidR="00AC481A" w:rsidRPr="00C70314">
              <w:rPr>
                <w:b w:val="0"/>
                <w:bCs w:val="0"/>
              </w:rPr>
              <w:t>identified in</w:t>
            </w:r>
            <w:r w:rsidRPr="00C70314">
              <w:rPr>
                <w:b w:val="0"/>
                <w:bCs w:val="0"/>
              </w:rPr>
              <w:t xml:space="preserve"> the Bushfire Management Plan developed for the overall </w:t>
            </w:r>
            <w:r w:rsidR="00D02516" w:rsidRPr="00C70314">
              <w:rPr>
                <w:b w:val="0"/>
                <w:bCs w:val="0"/>
              </w:rPr>
              <w:t>Project</w:t>
            </w:r>
            <w:r w:rsidR="00AC481A" w:rsidRPr="00C70314">
              <w:rPr>
                <w:b w:val="0"/>
                <w:bCs w:val="0"/>
              </w:rPr>
              <w:t>.</w:t>
            </w:r>
          </w:p>
          <w:p w14:paraId="352963AA" w14:textId="77777777" w:rsidR="00F062D8" w:rsidRDefault="00177B40" w:rsidP="00F062D8">
            <w:pPr>
              <w:rPr>
                <w:rFonts w:ascii="Arial" w:hAnsi="Arial"/>
                <w:b/>
              </w:rPr>
            </w:pPr>
            <w:r>
              <w:rPr>
                <w:rFonts w:ascii="Arial" w:hAnsi="Arial"/>
                <w:b/>
              </w:rPr>
              <w:t xml:space="preserve">7.7.3 </w:t>
            </w:r>
            <w:r w:rsidR="00F062D8" w:rsidRPr="00F062D8">
              <w:rPr>
                <w:rFonts w:ascii="Arial" w:hAnsi="Arial"/>
                <w:b/>
              </w:rPr>
              <w:t>State planning policy framework</w:t>
            </w:r>
          </w:p>
          <w:p w14:paraId="0FE1352C" w14:textId="77777777" w:rsidR="00F062D8" w:rsidRPr="00F062D8" w:rsidRDefault="00F062D8" w:rsidP="00F062D8">
            <w:pPr>
              <w:rPr>
                <w:rFonts w:ascii="Arial" w:hAnsi="Arial"/>
                <w:b/>
              </w:rPr>
            </w:pPr>
          </w:p>
          <w:p w14:paraId="4DC1863E" w14:textId="77777777" w:rsidR="00F062D8" w:rsidRDefault="00F062D8" w:rsidP="0084436C">
            <w:pPr>
              <w:jc w:val="both"/>
              <w:rPr>
                <w:rFonts w:ascii="Arial" w:hAnsi="Arial"/>
              </w:rPr>
            </w:pPr>
            <w:r w:rsidRPr="00F062D8">
              <w:rPr>
                <w:rFonts w:ascii="Arial" w:hAnsi="Arial"/>
              </w:rPr>
              <w:t xml:space="preserve">The following </w:t>
            </w:r>
            <w:r w:rsidR="009C5CBB">
              <w:rPr>
                <w:rFonts w:ascii="Arial" w:hAnsi="Arial"/>
              </w:rPr>
              <w:t>Victorian Planning Provision</w:t>
            </w:r>
            <w:r w:rsidR="00FC6D91">
              <w:rPr>
                <w:rFonts w:ascii="Arial" w:hAnsi="Arial"/>
              </w:rPr>
              <w:t>s</w:t>
            </w:r>
            <w:r w:rsidR="009C5CBB">
              <w:rPr>
                <w:rFonts w:ascii="Arial" w:hAnsi="Arial"/>
              </w:rPr>
              <w:t xml:space="preserve"> of the</w:t>
            </w:r>
            <w:r w:rsidR="0076457E">
              <w:rPr>
                <w:rFonts w:ascii="Arial" w:hAnsi="Arial"/>
              </w:rPr>
              <w:t xml:space="preserve"> </w:t>
            </w:r>
            <w:r w:rsidRPr="00F062D8">
              <w:rPr>
                <w:rFonts w:ascii="Arial" w:hAnsi="Arial"/>
              </w:rPr>
              <w:t>Horsham Planning Scheme clauses apply to the Project site:</w:t>
            </w:r>
          </w:p>
          <w:p w14:paraId="1447C747" w14:textId="77777777" w:rsidR="00F062D8" w:rsidRPr="00C70314" w:rsidRDefault="00F062D8" w:rsidP="00C70314">
            <w:pPr>
              <w:pStyle w:val="ListBullet"/>
              <w:numPr>
                <w:ilvl w:val="0"/>
                <w:numId w:val="43"/>
              </w:numPr>
              <w:jc w:val="both"/>
              <w:rPr>
                <w:b w:val="0"/>
                <w:bCs w:val="0"/>
              </w:rPr>
            </w:pPr>
            <w:r w:rsidRPr="00C70314">
              <w:rPr>
                <w:b w:val="0"/>
                <w:bCs w:val="0"/>
              </w:rPr>
              <w:t>11.03-5S Distinctive areas and landscapes;</w:t>
            </w:r>
          </w:p>
          <w:p w14:paraId="20B49E99" w14:textId="77777777" w:rsidR="00F062D8" w:rsidRPr="00C70314" w:rsidRDefault="00F062D8" w:rsidP="00C70314">
            <w:pPr>
              <w:pStyle w:val="ListBullet"/>
              <w:numPr>
                <w:ilvl w:val="0"/>
                <w:numId w:val="43"/>
              </w:numPr>
              <w:jc w:val="both"/>
              <w:rPr>
                <w:b w:val="0"/>
                <w:bCs w:val="0"/>
              </w:rPr>
            </w:pPr>
            <w:r w:rsidRPr="00C70314">
              <w:rPr>
                <w:b w:val="0"/>
                <w:bCs w:val="0"/>
              </w:rPr>
              <w:t>12.01-1S Protection of biodiversity;</w:t>
            </w:r>
          </w:p>
          <w:p w14:paraId="4C352913" w14:textId="2F33B624" w:rsidR="00F062D8" w:rsidRPr="00C70314" w:rsidRDefault="00F062D8" w:rsidP="00C70314">
            <w:pPr>
              <w:pStyle w:val="ListBullet"/>
              <w:numPr>
                <w:ilvl w:val="0"/>
                <w:numId w:val="43"/>
              </w:numPr>
              <w:jc w:val="both"/>
              <w:rPr>
                <w:b w:val="0"/>
                <w:bCs w:val="0"/>
              </w:rPr>
            </w:pPr>
            <w:r w:rsidRPr="00C70314">
              <w:rPr>
                <w:b w:val="0"/>
                <w:bCs w:val="0"/>
              </w:rPr>
              <w:t xml:space="preserve">12.01-1R Protection of biodiversity </w:t>
            </w:r>
            <w:r w:rsidR="00643F46" w:rsidRPr="00C70314">
              <w:rPr>
                <w:b w:val="0"/>
                <w:bCs w:val="0"/>
              </w:rPr>
              <w:t>-</w:t>
            </w:r>
            <w:r w:rsidRPr="00C70314">
              <w:rPr>
                <w:b w:val="0"/>
                <w:bCs w:val="0"/>
              </w:rPr>
              <w:t xml:space="preserve"> Wimmera Southern Mallee;</w:t>
            </w:r>
          </w:p>
          <w:p w14:paraId="2E75A169" w14:textId="77777777" w:rsidR="00F062D8" w:rsidRPr="00C70314" w:rsidRDefault="00F062D8" w:rsidP="00C70314">
            <w:pPr>
              <w:pStyle w:val="ListBullet"/>
              <w:numPr>
                <w:ilvl w:val="0"/>
                <w:numId w:val="43"/>
              </w:numPr>
              <w:jc w:val="both"/>
              <w:rPr>
                <w:b w:val="0"/>
                <w:bCs w:val="0"/>
              </w:rPr>
            </w:pPr>
            <w:r w:rsidRPr="00C70314">
              <w:rPr>
                <w:b w:val="0"/>
                <w:bCs w:val="0"/>
              </w:rPr>
              <w:t>12.01-2S Native vegetation management;</w:t>
            </w:r>
          </w:p>
          <w:p w14:paraId="71BDF502" w14:textId="77777777" w:rsidR="00F062D8" w:rsidRPr="00C70314" w:rsidRDefault="00F062D8" w:rsidP="00C70314">
            <w:pPr>
              <w:pStyle w:val="ListBullet"/>
              <w:numPr>
                <w:ilvl w:val="0"/>
                <w:numId w:val="43"/>
              </w:numPr>
              <w:jc w:val="both"/>
              <w:rPr>
                <w:b w:val="0"/>
                <w:bCs w:val="0"/>
              </w:rPr>
            </w:pPr>
            <w:r w:rsidRPr="00C70314">
              <w:rPr>
                <w:b w:val="0"/>
                <w:bCs w:val="0"/>
              </w:rPr>
              <w:t>12.03-1S River corridors, waterways, lakes and wetlands;</w:t>
            </w:r>
          </w:p>
          <w:p w14:paraId="1F6D52F4" w14:textId="77777777" w:rsidR="00F062D8" w:rsidRPr="00C70314" w:rsidRDefault="00F062D8" w:rsidP="00C70314">
            <w:pPr>
              <w:pStyle w:val="ListBullet"/>
              <w:numPr>
                <w:ilvl w:val="0"/>
                <w:numId w:val="43"/>
              </w:numPr>
              <w:jc w:val="both"/>
              <w:rPr>
                <w:b w:val="0"/>
                <w:bCs w:val="0"/>
              </w:rPr>
            </w:pPr>
            <w:r w:rsidRPr="00C70314">
              <w:rPr>
                <w:b w:val="0"/>
                <w:bCs w:val="0"/>
              </w:rPr>
              <w:t>12.05-1S Environmentally sensitive areas;</w:t>
            </w:r>
          </w:p>
          <w:p w14:paraId="40140C9E" w14:textId="77777777" w:rsidR="00F062D8" w:rsidRPr="00C70314" w:rsidRDefault="00F062D8" w:rsidP="00C70314">
            <w:pPr>
              <w:pStyle w:val="ListBullet"/>
              <w:numPr>
                <w:ilvl w:val="0"/>
                <w:numId w:val="43"/>
              </w:numPr>
              <w:jc w:val="both"/>
              <w:rPr>
                <w:b w:val="0"/>
                <w:bCs w:val="0"/>
              </w:rPr>
            </w:pPr>
            <w:r w:rsidRPr="00C70314">
              <w:rPr>
                <w:b w:val="0"/>
                <w:bCs w:val="0"/>
              </w:rPr>
              <w:t>12.05-2S Landscapes;</w:t>
            </w:r>
          </w:p>
          <w:p w14:paraId="5C34E928" w14:textId="77777777" w:rsidR="00F062D8" w:rsidRPr="00C70314" w:rsidRDefault="00F062D8" w:rsidP="00C70314">
            <w:pPr>
              <w:pStyle w:val="ListBullet"/>
              <w:numPr>
                <w:ilvl w:val="0"/>
                <w:numId w:val="43"/>
              </w:numPr>
              <w:jc w:val="both"/>
              <w:rPr>
                <w:b w:val="0"/>
                <w:bCs w:val="0"/>
              </w:rPr>
            </w:pPr>
            <w:r w:rsidRPr="00C70314">
              <w:rPr>
                <w:b w:val="0"/>
                <w:bCs w:val="0"/>
              </w:rPr>
              <w:t>13.01-1S Natural hazards and climate change;</w:t>
            </w:r>
          </w:p>
          <w:p w14:paraId="74E1829D" w14:textId="77777777" w:rsidR="00F062D8" w:rsidRPr="00C70314" w:rsidRDefault="00F062D8" w:rsidP="00C70314">
            <w:pPr>
              <w:pStyle w:val="ListBullet"/>
              <w:numPr>
                <w:ilvl w:val="0"/>
                <w:numId w:val="43"/>
              </w:numPr>
              <w:jc w:val="both"/>
              <w:rPr>
                <w:b w:val="0"/>
                <w:bCs w:val="0"/>
              </w:rPr>
            </w:pPr>
            <w:r w:rsidRPr="00C70314">
              <w:rPr>
                <w:b w:val="0"/>
                <w:bCs w:val="0"/>
              </w:rPr>
              <w:t>13.02-1S Bushfire planning;</w:t>
            </w:r>
          </w:p>
          <w:p w14:paraId="0A5CAE22" w14:textId="77777777" w:rsidR="00F062D8" w:rsidRPr="00C70314" w:rsidRDefault="00F062D8" w:rsidP="00C70314">
            <w:pPr>
              <w:pStyle w:val="ListBullet"/>
              <w:numPr>
                <w:ilvl w:val="0"/>
                <w:numId w:val="43"/>
              </w:numPr>
              <w:jc w:val="both"/>
              <w:rPr>
                <w:b w:val="0"/>
                <w:bCs w:val="0"/>
              </w:rPr>
            </w:pPr>
            <w:r w:rsidRPr="00C70314">
              <w:rPr>
                <w:b w:val="0"/>
                <w:bCs w:val="0"/>
              </w:rPr>
              <w:t>13.03-1S Floodplain management;</w:t>
            </w:r>
          </w:p>
          <w:p w14:paraId="209113D0" w14:textId="77777777" w:rsidR="00F062D8" w:rsidRPr="00C70314" w:rsidRDefault="00F062D8" w:rsidP="00C70314">
            <w:pPr>
              <w:pStyle w:val="ListBullet"/>
              <w:numPr>
                <w:ilvl w:val="0"/>
                <w:numId w:val="43"/>
              </w:numPr>
              <w:jc w:val="both"/>
              <w:rPr>
                <w:b w:val="0"/>
                <w:bCs w:val="0"/>
              </w:rPr>
            </w:pPr>
            <w:r w:rsidRPr="00C70314">
              <w:rPr>
                <w:b w:val="0"/>
                <w:bCs w:val="0"/>
              </w:rPr>
              <w:lastRenderedPageBreak/>
              <w:t>13.04-1S Contaminated and potentially contaminated land;</w:t>
            </w:r>
          </w:p>
          <w:p w14:paraId="78B1D4A5" w14:textId="77777777" w:rsidR="00F062D8" w:rsidRPr="00C70314" w:rsidRDefault="00F062D8" w:rsidP="00C70314">
            <w:pPr>
              <w:pStyle w:val="ListBullet"/>
              <w:numPr>
                <w:ilvl w:val="0"/>
                <w:numId w:val="43"/>
              </w:numPr>
              <w:jc w:val="both"/>
              <w:rPr>
                <w:b w:val="0"/>
                <w:bCs w:val="0"/>
              </w:rPr>
            </w:pPr>
            <w:r w:rsidRPr="00C70314">
              <w:rPr>
                <w:b w:val="0"/>
                <w:bCs w:val="0"/>
              </w:rPr>
              <w:t>13.04-2S Erosion and landslip;</w:t>
            </w:r>
          </w:p>
          <w:p w14:paraId="5937C616" w14:textId="77777777" w:rsidR="00F062D8" w:rsidRPr="00C70314" w:rsidRDefault="00F062D8" w:rsidP="00C70314">
            <w:pPr>
              <w:pStyle w:val="ListBullet"/>
              <w:numPr>
                <w:ilvl w:val="0"/>
                <w:numId w:val="43"/>
              </w:numPr>
              <w:jc w:val="both"/>
              <w:rPr>
                <w:b w:val="0"/>
                <w:bCs w:val="0"/>
              </w:rPr>
            </w:pPr>
            <w:r w:rsidRPr="00C70314">
              <w:rPr>
                <w:b w:val="0"/>
                <w:bCs w:val="0"/>
              </w:rPr>
              <w:t>13.04-3S Salinity;</w:t>
            </w:r>
          </w:p>
          <w:p w14:paraId="4BB7157B" w14:textId="77777777" w:rsidR="00F062D8" w:rsidRPr="00C70314" w:rsidRDefault="00F062D8" w:rsidP="00C70314">
            <w:pPr>
              <w:pStyle w:val="ListBullet"/>
              <w:numPr>
                <w:ilvl w:val="0"/>
                <w:numId w:val="43"/>
              </w:numPr>
              <w:jc w:val="both"/>
              <w:rPr>
                <w:b w:val="0"/>
                <w:bCs w:val="0"/>
              </w:rPr>
            </w:pPr>
            <w:r w:rsidRPr="00C70314">
              <w:rPr>
                <w:b w:val="0"/>
                <w:bCs w:val="0"/>
              </w:rPr>
              <w:t>13.05-1S Noise abatement;</w:t>
            </w:r>
          </w:p>
          <w:p w14:paraId="49BFE135" w14:textId="77777777" w:rsidR="00F062D8" w:rsidRPr="00C70314" w:rsidRDefault="00F062D8" w:rsidP="00C70314">
            <w:pPr>
              <w:pStyle w:val="ListBullet"/>
              <w:numPr>
                <w:ilvl w:val="0"/>
                <w:numId w:val="43"/>
              </w:numPr>
              <w:jc w:val="both"/>
              <w:rPr>
                <w:b w:val="0"/>
                <w:bCs w:val="0"/>
              </w:rPr>
            </w:pPr>
            <w:r w:rsidRPr="00C70314">
              <w:rPr>
                <w:b w:val="0"/>
                <w:bCs w:val="0"/>
              </w:rPr>
              <w:t>13.06-1S Air quality management;</w:t>
            </w:r>
          </w:p>
          <w:p w14:paraId="612F79B4" w14:textId="77777777" w:rsidR="00F062D8" w:rsidRPr="00C70314" w:rsidRDefault="00F062D8" w:rsidP="00C70314">
            <w:pPr>
              <w:pStyle w:val="ListBullet"/>
              <w:numPr>
                <w:ilvl w:val="0"/>
                <w:numId w:val="43"/>
              </w:numPr>
              <w:jc w:val="both"/>
              <w:rPr>
                <w:b w:val="0"/>
                <w:bCs w:val="0"/>
              </w:rPr>
            </w:pPr>
            <w:r w:rsidRPr="00C70314">
              <w:rPr>
                <w:b w:val="0"/>
                <w:bCs w:val="0"/>
              </w:rPr>
              <w:t>14.03-1S Resource exploration and extraction;</w:t>
            </w:r>
          </w:p>
          <w:p w14:paraId="755CEB38" w14:textId="77777777" w:rsidR="00F062D8" w:rsidRPr="00C70314" w:rsidRDefault="00F062D8" w:rsidP="00C70314">
            <w:pPr>
              <w:pStyle w:val="ListBullet"/>
              <w:numPr>
                <w:ilvl w:val="0"/>
                <w:numId w:val="43"/>
              </w:numPr>
              <w:jc w:val="both"/>
              <w:rPr>
                <w:b w:val="0"/>
                <w:bCs w:val="0"/>
              </w:rPr>
            </w:pPr>
            <w:r w:rsidRPr="00C70314">
              <w:rPr>
                <w:b w:val="0"/>
                <w:bCs w:val="0"/>
              </w:rPr>
              <w:t>15.03-2S Aboriginal cultural heritage; and</w:t>
            </w:r>
          </w:p>
          <w:p w14:paraId="08B8B4B7" w14:textId="77777777" w:rsidR="00F062D8" w:rsidRPr="00C70314" w:rsidRDefault="00F062D8" w:rsidP="00C70314">
            <w:pPr>
              <w:pStyle w:val="ListBullet"/>
              <w:numPr>
                <w:ilvl w:val="0"/>
                <w:numId w:val="43"/>
              </w:numPr>
              <w:jc w:val="both"/>
              <w:rPr>
                <w:b w:val="0"/>
                <w:bCs w:val="0"/>
              </w:rPr>
            </w:pPr>
            <w:r w:rsidRPr="00C70314">
              <w:rPr>
                <w:b w:val="0"/>
                <w:bCs w:val="0"/>
              </w:rPr>
              <w:t>17.01-1R Diversified economy - Wimmera Southern Mallee.</w:t>
            </w:r>
          </w:p>
          <w:p w14:paraId="30F97D37" w14:textId="77777777" w:rsidR="00F062D8" w:rsidRDefault="00F062D8" w:rsidP="00F062D8">
            <w:pPr>
              <w:rPr>
                <w:rFonts w:ascii="Arial" w:hAnsi="Arial"/>
              </w:rPr>
            </w:pPr>
          </w:p>
          <w:p w14:paraId="7832CF13" w14:textId="77777777" w:rsidR="00F062D8" w:rsidRDefault="00F062D8" w:rsidP="007D4281">
            <w:pPr>
              <w:spacing w:after="120"/>
              <w:jc w:val="both"/>
              <w:rPr>
                <w:rFonts w:ascii="Arial" w:hAnsi="Arial"/>
              </w:rPr>
            </w:pPr>
            <w:r w:rsidRPr="00F062D8">
              <w:rPr>
                <w:rFonts w:ascii="Arial" w:hAnsi="Arial"/>
              </w:rPr>
              <w:t>Resource exploration and extraction (</w:t>
            </w:r>
            <w:r w:rsidR="008F3B3F">
              <w:rPr>
                <w:rFonts w:ascii="Arial" w:hAnsi="Arial"/>
              </w:rPr>
              <w:t>C</w:t>
            </w:r>
            <w:r w:rsidRPr="00F062D8">
              <w:rPr>
                <w:rFonts w:ascii="Arial" w:hAnsi="Arial"/>
              </w:rPr>
              <w:t xml:space="preserve">lause 14.03-1S) of the State Planning Policy Framework is identified as a relevant clause in this section of the Horsham Planning Scheme. Specifically, this clause provides an objective for the encouragement of exploration and extraction of natural resources in accordance with acceptable environmental standards. Strategies for achieving such a balance include protection of natural resource exploration and extraction opportunities where consistent with overall planning considerations and acceptable environmental practice. Provisions are also made for the determination of buffer areas between </w:t>
            </w:r>
            <w:r w:rsidR="008F3B3F">
              <w:rPr>
                <w:rFonts w:ascii="Arial" w:hAnsi="Arial"/>
              </w:rPr>
              <w:t>mining activities</w:t>
            </w:r>
            <w:r w:rsidRPr="00F062D8">
              <w:rPr>
                <w:rFonts w:ascii="Arial" w:hAnsi="Arial"/>
              </w:rPr>
              <w:t xml:space="preserve"> and sensitive land uses. It is considered this clause provides the relevant authority the ability to approve resource extraction activities with appropriate buffers to </w:t>
            </w:r>
            <w:r w:rsidR="008F3B3F">
              <w:rPr>
                <w:rFonts w:ascii="Arial" w:hAnsi="Arial"/>
              </w:rPr>
              <w:t>minimise potential</w:t>
            </w:r>
            <w:r w:rsidR="008F3B3F" w:rsidRPr="00F062D8">
              <w:rPr>
                <w:rFonts w:ascii="Arial" w:hAnsi="Arial"/>
              </w:rPr>
              <w:t xml:space="preserve"> </w:t>
            </w:r>
            <w:r w:rsidRPr="00F062D8">
              <w:rPr>
                <w:rFonts w:ascii="Arial" w:hAnsi="Arial"/>
              </w:rPr>
              <w:t>impact</w:t>
            </w:r>
            <w:r w:rsidR="008F3B3F">
              <w:rPr>
                <w:rFonts w:ascii="Arial" w:hAnsi="Arial"/>
              </w:rPr>
              <w:t>s</w:t>
            </w:r>
            <w:r w:rsidRPr="00F062D8">
              <w:rPr>
                <w:rFonts w:ascii="Arial" w:hAnsi="Arial"/>
              </w:rPr>
              <w:t xml:space="preserve"> on adjacent sensitive land uses.</w:t>
            </w:r>
          </w:p>
          <w:p w14:paraId="503F0536" w14:textId="77777777" w:rsidR="00F062D8" w:rsidRDefault="00F062D8" w:rsidP="007D4281">
            <w:pPr>
              <w:autoSpaceDE w:val="0"/>
              <w:autoSpaceDN w:val="0"/>
              <w:adjustRightInd w:val="0"/>
              <w:spacing w:after="120"/>
              <w:jc w:val="both"/>
              <w:rPr>
                <w:rFonts w:ascii="Arial" w:hAnsi="Arial"/>
              </w:rPr>
            </w:pPr>
            <w:r w:rsidRPr="00F062D8">
              <w:rPr>
                <w:rFonts w:ascii="Arial" w:hAnsi="Arial"/>
              </w:rPr>
              <w:t xml:space="preserve">The Wimmera Southern Mallee is specifically identified in </w:t>
            </w:r>
            <w:r w:rsidR="008F3B3F">
              <w:rPr>
                <w:rFonts w:ascii="Arial" w:hAnsi="Arial"/>
              </w:rPr>
              <w:t>C</w:t>
            </w:r>
            <w:r w:rsidRPr="00F062D8">
              <w:rPr>
                <w:rFonts w:ascii="Arial" w:hAnsi="Arial"/>
              </w:rPr>
              <w:t>lause 17.01-1R to capitalise on the economic development opportunities through mining activities identified as a regional asset.</w:t>
            </w:r>
          </w:p>
          <w:p w14:paraId="1CB7C575" w14:textId="77777777" w:rsidR="00F062D8" w:rsidRPr="00F062D8" w:rsidRDefault="00F062D8" w:rsidP="00F062D8">
            <w:pPr>
              <w:rPr>
                <w:rFonts w:ascii="Arial" w:hAnsi="Arial"/>
              </w:rPr>
            </w:pPr>
          </w:p>
          <w:p w14:paraId="511ECF01" w14:textId="77777777" w:rsidR="00F062D8" w:rsidRPr="00F062D8" w:rsidRDefault="00177B40" w:rsidP="00F062D8">
            <w:pPr>
              <w:rPr>
                <w:rFonts w:ascii="Arial" w:hAnsi="Arial"/>
                <w:b/>
              </w:rPr>
            </w:pPr>
            <w:r>
              <w:rPr>
                <w:rFonts w:ascii="Arial" w:hAnsi="Arial"/>
                <w:b/>
              </w:rPr>
              <w:t xml:space="preserve">7.7.4 </w:t>
            </w:r>
            <w:r w:rsidR="00F062D8" w:rsidRPr="00F062D8">
              <w:rPr>
                <w:rFonts w:ascii="Arial" w:hAnsi="Arial"/>
                <w:b/>
              </w:rPr>
              <w:t>Local planning policy framework</w:t>
            </w:r>
          </w:p>
          <w:p w14:paraId="25F8275E" w14:textId="77777777" w:rsidR="00F062D8" w:rsidRPr="00F062D8" w:rsidRDefault="00F062D8" w:rsidP="00F062D8">
            <w:pPr>
              <w:rPr>
                <w:rFonts w:ascii="Arial" w:hAnsi="Arial"/>
              </w:rPr>
            </w:pPr>
          </w:p>
          <w:p w14:paraId="3C0AF7FF" w14:textId="77777777" w:rsidR="00F062D8" w:rsidRDefault="00F062D8" w:rsidP="008E1C14">
            <w:pPr>
              <w:jc w:val="both"/>
              <w:rPr>
                <w:rFonts w:ascii="Arial" w:hAnsi="Arial"/>
              </w:rPr>
            </w:pPr>
            <w:r w:rsidRPr="00F062D8">
              <w:rPr>
                <w:rFonts w:ascii="Arial" w:hAnsi="Arial"/>
              </w:rPr>
              <w:t xml:space="preserve">The following </w:t>
            </w:r>
            <w:r w:rsidR="00FC6D91">
              <w:rPr>
                <w:rFonts w:ascii="Arial" w:hAnsi="Arial"/>
              </w:rPr>
              <w:t>Local Planning Provisions of</w:t>
            </w:r>
            <w:r w:rsidR="0076457E">
              <w:rPr>
                <w:rFonts w:ascii="Arial" w:hAnsi="Arial"/>
              </w:rPr>
              <w:t xml:space="preserve"> </w:t>
            </w:r>
            <w:r w:rsidRPr="00F062D8">
              <w:rPr>
                <w:rFonts w:ascii="Arial" w:hAnsi="Arial"/>
              </w:rPr>
              <w:t>Horsham Planning Scheme clauses apply to the Project site:</w:t>
            </w:r>
          </w:p>
          <w:p w14:paraId="0BD8C9FB" w14:textId="77777777" w:rsidR="00F062D8" w:rsidRPr="00C70314" w:rsidRDefault="00F062D8" w:rsidP="00C70314">
            <w:pPr>
              <w:pStyle w:val="ListBullet"/>
              <w:numPr>
                <w:ilvl w:val="0"/>
                <w:numId w:val="43"/>
              </w:numPr>
              <w:jc w:val="both"/>
              <w:rPr>
                <w:b w:val="0"/>
                <w:bCs w:val="0"/>
              </w:rPr>
            </w:pPr>
            <w:r w:rsidRPr="00C70314">
              <w:rPr>
                <w:b w:val="0"/>
                <w:bCs w:val="0"/>
              </w:rPr>
              <w:t>21.03-1 Biodiversity conservation and habitat protection;</w:t>
            </w:r>
          </w:p>
          <w:p w14:paraId="16C95B95" w14:textId="77777777" w:rsidR="00F062D8" w:rsidRPr="00C70314" w:rsidRDefault="00F062D8" w:rsidP="00C70314">
            <w:pPr>
              <w:pStyle w:val="ListBullet"/>
              <w:numPr>
                <w:ilvl w:val="0"/>
                <w:numId w:val="43"/>
              </w:numPr>
              <w:jc w:val="both"/>
              <w:rPr>
                <w:b w:val="0"/>
                <w:bCs w:val="0"/>
              </w:rPr>
            </w:pPr>
            <w:r w:rsidRPr="00C70314">
              <w:rPr>
                <w:b w:val="0"/>
                <w:bCs w:val="0"/>
              </w:rPr>
              <w:t>21.03-4 Ecological sustainable development;</w:t>
            </w:r>
          </w:p>
          <w:p w14:paraId="45CB1BD9" w14:textId="77777777" w:rsidR="00F062D8" w:rsidRPr="00C70314" w:rsidRDefault="00F062D8" w:rsidP="00C70314">
            <w:pPr>
              <w:pStyle w:val="ListBullet"/>
              <w:numPr>
                <w:ilvl w:val="0"/>
                <w:numId w:val="43"/>
              </w:numPr>
              <w:jc w:val="both"/>
              <w:rPr>
                <w:b w:val="0"/>
                <w:bCs w:val="0"/>
              </w:rPr>
            </w:pPr>
            <w:r w:rsidRPr="00C70314">
              <w:rPr>
                <w:b w:val="0"/>
                <w:bCs w:val="0"/>
              </w:rPr>
              <w:t>21.05-4 Mining and extractive industry;</w:t>
            </w:r>
            <w:r w:rsidR="00284E2F" w:rsidRPr="00C70314">
              <w:rPr>
                <w:b w:val="0"/>
                <w:bCs w:val="0"/>
              </w:rPr>
              <w:t xml:space="preserve"> and</w:t>
            </w:r>
          </w:p>
          <w:p w14:paraId="1BF840EE" w14:textId="77777777" w:rsidR="00F062D8" w:rsidRPr="00C70314" w:rsidRDefault="00F062D8" w:rsidP="00C70314">
            <w:pPr>
              <w:pStyle w:val="ListBullet"/>
              <w:numPr>
                <w:ilvl w:val="0"/>
                <w:numId w:val="43"/>
              </w:numPr>
              <w:jc w:val="both"/>
              <w:rPr>
                <w:b w:val="0"/>
                <w:bCs w:val="0"/>
              </w:rPr>
            </w:pPr>
            <w:r w:rsidRPr="00C70314">
              <w:rPr>
                <w:b w:val="0"/>
                <w:bCs w:val="0"/>
              </w:rPr>
              <w:t>22.02 Resource protection policy.</w:t>
            </w:r>
          </w:p>
          <w:p w14:paraId="4A150412" w14:textId="6758E833" w:rsidR="00F062D8" w:rsidRDefault="00F062D8" w:rsidP="00BA0E91">
            <w:pPr>
              <w:spacing w:after="120"/>
              <w:jc w:val="both"/>
              <w:rPr>
                <w:rFonts w:ascii="Arial" w:hAnsi="Arial"/>
              </w:rPr>
            </w:pPr>
            <w:r w:rsidRPr="00F062D8">
              <w:rPr>
                <w:rFonts w:ascii="Arial" w:hAnsi="Arial"/>
              </w:rPr>
              <w:t xml:space="preserve">Mineral sands resources are identified by </w:t>
            </w:r>
            <w:r w:rsidR="007120A5">
              <w:rPr>
                <w:rFonts w:ascii="Arial" w:hAnsi="Arial"/>
              </w:rPr>
              <w:t>C</w:t>
            </w:r>
            <w:r w:rsidRPr="00F062D8">
              <w:rPr>
                <w:rFonts w:ascii="Arial" w:hAnsi="Arial"/>
              </w:rPr>
              <w:t xml:space="preserve">lause 21.05-4 as being a resource of abundance within greater Horsham region and provides the potential for regional growth in employment and other major economic benefits. </w:t>
            </w:r>
          </w:p>
          <w:p w14:paraId="6939B831" w14:textId="77777777" w:rsidR="00352BCF" w:rsidRPr="00F062D8" w:rsidRDefault="00352BCF" w:rsidP="00F062D8">
            <w:pPr>
              <w:rPr>
                <w:rFonts w:ascii="Arial" w:hAnsi="Arial"/>
              </w:rPr>
            </w:pPr>
          </w:p>
          <w:p w14:paraId="665C25BC" w14:textId="77777777" w:rsidR="00F062D8" w:rsidRPr="00F062D8" w:rsidRDefault="00177B40" w:rsidP="00F062D8">
            <w:pPr>
              <w:rPr>
                <w:rFonts w:ascii="Arial" w:hAnsi="Arial"/>
                <w:b/>
              </w:rPr>
            </w:pPr>
            <w:r>
              <w:rPr>
                <w:rFonts w:ascii="Arial" w:hAnsi="Arial"/>
                <w:b/>
              </w:rPr>
              <w:t xml:space="preserve">7.7.5 </w:t>
            </w:r>
            <w:r w:rsidR="00F062D8" w:rsidRPr="00F062D8">
              <w:rPr>
                <w:rFonts w:ascii="Arial" w:hAnsi="Arial"/>
                <w:b/>
              </w:rPr>
              <w:t>Wimmera Southern Mallee Regional Growth Plan</w:t>
            </w:r>
          </w:p>
          <w:p w14:paraId="782099C0" w14:textId="77777777" w:rsidR="00F062D8" w:rsidRPr="00F062D8" w:rsidRDefault="00F062D8" w:rsidP="00F062D8">
            <w:pPr>
              <w:rPr>
                <w:rFonts w:ascii="Arial" w:hAnsi="Arial"/>
              </w:rPr>
            </w:pPr>
          </w:p>
          <w:p w14:paraId="15B74FA4" w14:textId="77777777" w:rsidR="00F062D8" w:rsidRDefault="00F062D8" w:rsidP="00BA0E91">
            <w:pPr>
              <w:spacing w:after="120"/>
              <w:jc w:val="both"/>
              <w:rPr>
                <w:rFonts w:ascii="Arial" w:hAnsi="Arial"/>
              </w:rPr>
            </w:pPr>
            <w:r w:rsidRPr="00F062D8">
              <w:rPr>
                <w:rFonts w:ascii="Arial" w:hAnsi="Arial"/>
              </w:rPr>
              <w:t xml:space="preserve">The Wimmera Southern Mallee Regional Growth Plan (Victorian Government 2014) (the Plan) provides a regional approach to land use planning in the Wimmera Southern Mallee </w:t>
            </w:r>
            <w:r w:rsidR="00A622B5">
              <w:rPr>
                <w:rFonts w:ascii="Arial" w:hAnsi="Arial"/>
              </w:rPr>
              <w:t>R</w:t>
            </w:r>
            <w:r w:rsidRPr="00F062D8">
              <w:rPr>
                <w:rFonts w:ascii="Arial" w:hAnsi="Arial"/>
              </w:rPr>
              <w:t xml:space="preserve">egion. This region includes the municipalities of Hindmarsh, Horsham, Northern Grampians, West Wimmera and </w:t>
            </w:r>
            <w:proofErr w:type="spellStart"/>
            <w:r w:rsidRPr="00F062D8">
              <w:rPr>
                <w:rFonts w:ascii="Arial" w:hAnsi="Arial"/>
              </w:rPr>
              <w:t>Yarriambiack</w:t>
            </w:r>
            <w:proofErr w:type="spellEnd"/>
            <w:r w:rsidRPr="00F062D8">
              <w:rPr>
                <w:rFonts w:ascii="Arial" w:hAnsi="Arial"/>
              </w:rPr>
              <w:t xml:space="preserve"> and as such is applicable to the Project site. </w:t>
            </w:r>
          </w:p>
          <w:p w14:paraId="347707D7" w14:textId="77777777" w:rsidR="00F062D8" w:rsidRDefault="00F062D8" w:rsidP="00BA0E91">
            <w:pPr>
              <w:spacing w:after="120"/>
              <w:jc w:val="both"/>
              <w:rPr>
                <w:rFonts w:ascii="Arial" w:hAnsi="Arial"/>
              </w:rPr>
            </w:pPr>
            <w:r w:rsidRPr="00F062D8">
              <w:rPr>
                <w:rFonts w:ascii="Arial" w:hAnsi="Arial"/>
              </w:rPr>
              <w:t xml:space="preserve">The Plan has been incorporated into the Victoria Planning Provisions. It identifies opportunities for accommodating growth and managing change over the next 30 years with a specific focus on using regional assets to facilitate economic diversification (to complement the agricultural sector) and build community resilience. </w:t>
            </w:r>
          </w:p>
          <w:p w14:paraId="5574A4F6" w14:textId="77777777" w:rsidR="00A622B5" w:rsidRDefault="00F062D8" w:rsidP="00BA0E91">
            <w:pPr>
              <w:spacing w:after="120"/>
              <w:jc w:val="both"/>
              <w:rPr>
                <w:rFonts w:ascii="Arial" w:hAnsi="Arial"/>
              </w:rPr>
            </w:pPr>
            <w:r w:rsidRPr="00F062D8">
              <w:rPr>
                <w:rFonts w:ascii="Arial" w:hAnsi="Arial"/>
              </w:rPr>
              <w:t xml:space="preserve">The Plan recognises that resource projects </w:t>
            </w:r>
            <w:r w:rsidR="00A622B5">
              <w:rPr>
                <w:rFonts w:ascii="Arial" w:hAnsi="Arial"/>
              </w:rPr>
              <w:t xml:space="preserve">(such as the Wimmera Project) </w:t>
            </w:r>
            <w:r w:rsidRPr="00F062D8">
              <w:rPr>
                <w:rFonts w:ascii="Arial" w:hAnsi="Arial"/>
              </w:rPr>
              <w:t xml:space="preserve">can contribute significantly to economic development and help to diversify the economy of the region, with mining </w:t>
            </w:r>
            <w:r w:rsidRPr="00F062D8">
              <w:rPr>
                <w:rFonts w:ascii="Arial" w:hAnsi="Arial"/>
              </w:rPr>
              <w:lastRenderedPageBreak/>
              <w:t xml:space="preserve">including mineral sand mining, among the largest potential sectors of the regional economy by 2031. </w:t>
            </w:r>
          </w:p>
          <w:p w14:paraId="76E953BF" w14:textId="77777777" w:rsidR="00F062D8" w:rsidRDefault="00F062D8" w:rsidP="00BA0E91">
            <w:pPr>
              <w:spacing w:after="120"/>
              <w:jc w:val="both"/>
              <w:rPr>
                <w:rFonts w:ascii="Arial" w:hAnsi="Arial"/>
              </w:rPr>
            </w:pPr>
            <w:r w:rsidRPr="00F062D8">
              <w:rPr>
                <w:rFonts w:ascii="Arial" w:hAnsi="Arial"/>
              </w:rPr>
              <w:t>The Plan proposes the following actions:</w:t>
            </w:r>
          </w:p>
          <w:p w14:paraId="703EB32E" w14:textId="77777777" w:rsidR="00F062D8" w:rsidRPr="00C70314" w:rsidRDefault="00F062D8" w:rsidP="00C70314">
            <w:pPr>
              <w:pStyle w:val="ListBullet"/>
              <w:numPr>
                <w:ilvl w:val="0"/>
                <w:numId w:val="43"/>
              </w:numPr>
              <w:jc w:val="both"/>
              <w:rPr>
                <w:b w:val="0"/>
                <w:bCs w:val="0"/>
              </w:rPr>
            </w:pPr>
            <w:r w:rsidRPr="00C70314">
              <w:rPr>
                <w:b w:val="0"/>
                <w:bCs w:val="0"/>
              </w:rPr>
              <w:t>identify, manage and facilitate access to locally sourced natural resources where appropriate, including sand, stone and minerals;</w:t>
            </w:r>
          </w:p>
          <w:p w14:paraId="306CE206" w14:textId="77777777" w:rsidR="00F062D8" w:rsidRPr="00C70314" w:rsidRDefault="00F062D8" w:rsidP="00C70314">
            <w:pPr>
              <w:pStyle w:val="ListBullet"/>
              <w:numPr>
                <w:ilvl w:val="0"/>
                <w:numId w:val="43"/>
              </w:numPr>
              <w:jc w:val="both"/>
              <w:rPr>
                <w:b w:val="0"/>
                <w:bCs w:val="0"/>
              </w:rPr>
            </w:pPr>
            <w:r w:rsidRPr="00C70314">
              <w:rPr>
                <w:b w:val="0"/>
                <w:bCs w:val="0"/>
              </w:rPr>
              <w:t xml:space="preserve">avoid urban growth and rural living in areas of valuable earth resources; and </w:t>
            </w:r>
          </w:p>
          <w:p w14:paraId="5C27D2D3" w14:textId="77777777" w:rsidR="00F062D8" w:rsidRPr="00C70314" w:rsidRDefault="00F062D8" w:rsidP="00C70314">
            <w:pPr>
              <w:pStyle w:val="ListBullet"/>
              <w:numPr>
                <w:ilvl w:val="0"/>
                <w:numId w:val="43"/>
              </w:numPr>
              <w:jc w:val="both"/>
              <w:rPr>
                <w:b w:val="0"/>
                <w:bCs w:val="0"/>
              </w:rPr>
            </w:pPr>
            <w:r w:rsidRPr="00C70314">
              <w:rPr>
                <w:b w:val="0"/>
                <w:bCs w:val="0"/>
              </w:rPr>
              <w:t>identify housing, transport and infrastructure needs associated with mining at mineral sand deposits near Horsham and Donald and plan to manage any impacts in advance of the commencement of mining.</w:t>
            </w:r>
          </w:p>
          <w:p w14:paraId="7ECFCFE6" w14:textId="77777777" w:rsidR="001C34F3" w:rsidRDefault="00F062D8" w:rsidP="00BA0E91">
            <w:pPr>
              <w:spacing w:after="120"/>
              <w:jc w:val="both"/>
              <w:rPr>
                <w:rFonts w:ascii="Arial" w:hAnsi="Arial"/>
              </w:rPr>
            </w:pPr>
            <w:r w:rsidRPr="00F062D8">
              <w:rPr>
                <w:rFonts w:ascii="Arial" w:hAnsi="Arial"/>
              </w:rPr>
              <w:t>The Plan recognises that mining will assist in regional employment diversification, increase local employment and attract new people to the region.</w:t>
            </w:r>
          </w:p>
        </w:tc>
      </w:tr>
      <w:tr w:rsidR="001C34F3" w14:paraId="1AB4C239" w14:textId="77777777" w:rsidTr="00D77F03">
        <w:tblPrEx>
          <w:tblBorders>
            <w:insideH w:val="none" w:sz="0" w:space="0" w:color="auto"/>
          </w:tblBorders>
        </w:tblPrEx>
        <w:tc>
          <w:tcPr>
            <w:tcW w:w="8880" w:type="dxa"/>
          </w:tcPr>
          <w:p w14:paraId="1BEF6B0E" w14:textId="77777777" w:rsidR="009A264B" w:rsidRDefault="009A264B" w:rsidP="00F062D8">
            <w:pPr>
              <w:rPr>
                <w:rFonts w:ascii="Arial" w:hAnsi="Arial"/>
                <w:b/>
              </w:rPr>
            </w:pPr>
          </w:p>
          <w:p w14:paraId="0AC18CDA" w14:textId="3CC63BC3" w:rsidR="009A264B" w:rsidRDefault="009A264B" w:rsidP="00F062D8">
            <w:pPr>
              <w:rPr>
                <w:rFonts w:ascii="Arial" w:hAnsi="Arial"/>
              </w:rPr>
            </w:pPr>
            <w:r>
              <w:rPr>
                <w:rFonts w:ascii="Arial" w:hAnsi="Arial"/>
                <w:b/>
              </w:rPr>
              <w:t>7.8 Local government area(s</w:t>
            </w:r>
            <w:r>
              <w:rPr>
                <w:rFonts w:ascii="Arial" w:hAnsi="Arial"/>
              </w:rPr>
              <w:t>)</w:t>
            </w:r>
          </w:p>
          <w:p w14:paraId="7F02E002" w14:textId="77777777" w:rsidR="009A264B" w:rsidRDefault="009A264B" w:rsidP="00F062D8">
            <w:pPr>
              <w:rPr>
                <w:rFonts w:ascii="Arial" w:hAnsi="Arial"/>
              </w:rPr>
            </w:pPr>
          </w:p>
          <w:p w14:paraId="0F5C2FE3" w14:textId="3E452E02" w:rsidR="00F062D8" w:rsidRPr="00F062D8" w:rsidRDefault="00F062D8" w:rsidP="00F062D8">
            <w:pPr>
              <w:rPr>
                <w:rFonts w:ascii="Arial" w:hAnsi="Arial"/>
              </w:rPr>
            </w:pPr>
            <w:r w:rsidRPr="00F062D8">
              <w:rPr>
                <w:rFonts w:ascii="Arial" w:hAnsi="Arial"/>
              </w:rPr>
              <w:t xml:space="preserve">The </w:t>
            </w:r>
            <w:r w:rsidR="0076457E">
              <w:rPr>
                <w:rFonts w:ascii="Arial" w:hAnsi="Arial"/>
              </w:rPr>
              <w:t xml:space="preserve">entire </w:t>
            </w:r>
            <w:r w:rsidRPr="00F062D8">
              <w:rPr>
                <w:rFonts w:ascii="Arial" w:hAnsi="Arial"/>
              </w:rPr>
              <w:t>Project site</w:t>
            </w:r>
            <w:r w:rsidR="008E1C14">
              <w:rPr>
                <w:rFonts w:ascii="Arial" w:hAnsi="Arial"/>
              </w:rPr>
              <w:t xml:space="preserve">, </w:t>
            </w:r>
            <w:r w:rsidR="00977DFA">
              <w:rPr>
                <w:rFonts w:ascii="Arial" w:hAnsi="Arial"/>
              </w:rPr>
              <w:t>and all</w:t>
            </w:r>
            <w:r w:rsidR="008E1C14">
              <w:rPr>
                <w:rFonts w:ascii="Arial" w:hAnsi="Arial"/>
              </w:rPr>
              <w:t xml:space="preserve"> </w:t>
            </w:r>
            <w:r w:rsidR="00D02516">
              <w:rPr>
                <w:rFonts w:ascii="Arial" w:hAnsi="Arial"/>
              </w:rPr>
              <w:t>offsite</w:t>
            </w:r>
            <w:r w:rsidR="008E1C14">
              <w:rPr>
                <w:rFonts w:ascii="Arial" w:hAnsi="Arial"/>
              </w:rPr>
              <w:t xml:space="preserve"> infrastructure corridors and areas,</w:t>
            </w:r>
            <w:r w:rsidRPr="00F062D8">
              <w:rPr>
                <w:rFonts w:ascii="Arial" w:hAnsi="Arial"/>
              </w:rPr>
              <w:t xml:space="preserve"> </w:t>
            </w:r>
            <w:r w:rsidR="00643F46">
              <w:rPr>
                <w:rFonts w:ascii="Arial" w:hAnsi="Arial"/>
              </w:rPr>
              <w:t>are</w:t>
            </w:r>
            <w:r w:rsidRPr="00F062D8">
              <w:rPr>
                <w:rFonts w:ascii="Arial" w:hAnsi="Arial"/>
              </w:rPr>
              <w:t xml:space="preserve"> within the Horsham Rural City Council local government area.</w:t>
            </w:r>
          </w:p>
          <w:p w14:paraId="5EA5D3A1" w14:textId="77777777" w:rsidR="001C34F3" w:rsidRDefault="001C34F3">
            <w:pPr>
              <w:rPr>
                <w:rFonts w:ascii="Arial" w:hAnsi="Arial"/>
              </w:rPr>
            </w:pPr>
          </w:p>
        </w:tc>
      </w:tr>
    </w:tbl>
    <w:p w14:paraId="238BCC6A" w14:textId="77777777" w:rsidR="001C34F3" w:rsidRDefault="001C34F3">
      <w:pPr>
        <w:tabs>
          <w:tab w:val="left" w:pos="2904"/>
          <w:tab w:val="left" w:pos="3907"/>
          <w:tab w:val="left" w:pos="4910"/>
          <w:tab w:val="left" w:pos="5913"/>
          <w:tab w:val="left" w:pos="6916"/>
        </w:tabs>
        <w:ind w:left="93"/>
        <w:rPr>
          <w:rFonts w:ascii="Arial" w:hAnsi="Arial"/>
          <w:b/>
          <w:sz w:val="22"/>
        </w:rPr>
      </w:pPr>
    </w:p>
    <w:p w14:paraId="09D78B42" w14:textId="77777777" w:rsidR="001C34F3" w:rsidRDefault="001C34F3">
      <w:pPr>
        <w:tabs>
          <w:tab w:val="left" w:pos="2904"/>
          <w:tab w:val="left" w:pos="3907"/>
          <w:tab w:val="left" w:pos="4910"/>
          <w:tab w:val="left" w:pos="5913"/>
          <w:tab w:val="left" w:pos="6916"/>
        </w:tabs>
        <w:ind w:left="93"/>
        <w:rPr>
          <w:rFonts w:ascii="Arial" w:hAnsi="Arial"/>
          <w:b/>
          <w:sz w:val="22"/>
        </w:rPr>
      </w:pPr>
      <w:r w:rsidRPr="007C1CFF">
        <w:rPr>
          <w:rFonts w:ascii="Arial" w:hAnsi="Arial"/>
          <w:b/>
          <w:sz w:val="22"/>
        </w:rPr>
        <w:t>8</w:t>
      </w:r>
      <w:r w:rsidR="00731F1C" w:rsidRPr="007C1CFF">
        <w:rPr>
          <w:rFonts w:ascii="Arial" w:hAnsi="Arial"/>
          <w:b/>
          <w:sz w:val="22"/>
        </w:rPr>
        <w:t xml:space="preserve">.  </w:t>
      </w:r>
      <w:r w:rsidRPr="007C1CFF">
        <w:rPr>
          <w:rFonts w:ascii="Arial" w:hAnsi="Arial"/>
          <w:b/>
          <w:sz w:val="22"/>
        </w:rPr>
        <w:t xml:space="preserve"> Existing environment</w:t>
      </w:r>
    </w:p>
    <w:p w14:paraId="2D062344" w14:textId="77777777" w:rsidR="001C34F3" w:rsidRDefault="001C34F3">
      <w:pPr>
        <w:tabs>
          <w:tab w:val="left" w:pos="2904"/>
          <w:tab w:val="left" w:pos="3907"/>
          <w:tab w:val="left" w:pos="4910"/>
          <w:tab w:val="left" w:pos="5913"/>
          <w:tab w:val="left" w:pos="6916"/>
        </w:tabs>
        <w:ind w:left="93"/>
        <w:rPr>
          <w:rFonts w:ascii="Arial" w:hAnsi="Arial"/>
          <w:b/>
          <w:sz w:val="22"/>
        </w:rPr>
      </w:pPr>
    </w:p>
    <w:tbl>
      <w:tblPr>
        <w:tblW w:w="885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51"/>
      </w:tblGrid>
      <w:tr w:rsidR="001C34F3" w14:paraId="1E6BDE8B" w14:textId="77777777" w:rsidTr="001E301B">
        <w:tc>
          <w:tcPr>
            <w:tcW w:w="8851" w:type="dxa"/>
            <w:tcBorders>
              <w:top w:val="single" w:sz="4" w:space="0" w:color="auto"/>
              <w:bottom w:val="single" w:sz="4" w:space="0" w:color="auto"/>
            </w:tcBorders>
          </w:tcPr>
          <w:p w14:paraId="48EC3951" w14:textId="77777777" w:rsidR="00177B40" w:rsidRDefault="001C34F3" w:rsidP="00643F46">
            <w:pPr>
              <w:rPr>
                <w:rFonts w:ascii="Arial" w:hAnsi="Arial"/>
              </w:rPr>
            </w:pPr>
            <w:r>
              <w:rPr>
                <w:rFonts w:ascii="Arial" w:hAnsi="Arial"/>
                <w:b/>
              </w:rPr>
              <w:t xml:space="preserve">Overview of key environmental assets/sensitivities in project area and vicinity                  </w:t>
            </w:r>
          </w:p>
          <w:p w14:paraId="5BC48D41" w14:textId="09D8456E" w:rsidR="00643F46" w:rsidRDefault="00643F46" w:rsidP="00643F46">
            <w:pPr>
              <w:rPr>
                <w:rFonts w:ascii="Arial" w:hAnsi="Arial"/>
                <w:b/>
              </w:rPr>
            </w:pPr>
          </w:p>
        </w:tc>
      </w:tr>
      <w:tr w:rsidR="001C34F3" w14:paraId="69476F0C" w14:textId="77777777" w:rsidTr="001E301B">
        <w:tblPrEx>
          <w:tblBorders>
            <w:top w:val="single" w:sz="2" w:space="0" w:color="262626"/>
            <w:left w:val="none" w:sz="0" w:space="0" w:color="auto"/>
            <w:bottom w:val="single" w:sz="2" w:space="0" w:color="262626"/>
            <w:right w:val="none" w:sz="0" w:space="0" w:color="auto"/>
            <w:insideV w:val="none" w:sz="0" w:space="0" w:color="auto"/>
          </w:tblBorders>
          <w:tblCellMar>
            <w:top w:w="28" w:type="dxa"/>
            <w:left w:w="0" w:type="dxa"/>
            <w:bottom w:w="28" w:type="dxa"/>
          </w:tblCellMar>
          <w:tblLook w:val="0620" w:firstRow="1" w:lastRow="0" w:firstColumn="0" w:lastColumn="0" w:noHBand="1" w:noVBand="1"/>
        </w:tblPrEx>
        <w:trPr>
          <w:tblHeader/>
        </w:trPr>
        <w:tc>
          <w:tcPr>
            <w:tcW w:w="8851" w:type="dxa"/>
            <w:tcBorders>
              <w:top w:val="single" w:sz="4" w:space="0" w:color="auto"/>
              <w:left w:val="single" w:sz="4" w:space="0" w:color="auto"/>
              <w:bottom w:val="single" w:sz="4" w:space="0" w:color="auto"/>
              <w:right w:val="single" w:sz="4" w:space="0" w:color="auto"/>
              <w:tl2br w:val="nil"/>
              <w:tr2bl w:val="nil"/>
            </w:tcBorders>
          </w:tcPr>
          <w:p w14:paraId="2B452B80" w14:textId="5934D1FD" w:rsidR="00F062D8" w:rsidRDefault="00F062D8" w:rsidP="00F062D8">
            <w:pPr>
              <w:rPr>
                <w:rFonts w:ascii="Arial" w:hAnsi="Arial"/>
                <w:b/>
              </w:rPr>
            </w:pPr>
            <w:r>
              <w:rPr>
                <w:rFonts w:ascii="Arial" w:hAnsi="Arial"/>
                <w:b/>
              </w:rPr>
              <w:t>8.1</w:t>
            </w:r>
            <w:r w:rsidR="0073558F">
              <w:rPr>
                <w:rFonts w:ascii="Arial" w:hAnsi="Arial"/>
                <w:b/>
              </w:rPr>
              <w:t xml:space="preserve">. </w:t>
            </w:r>
            <w:r w:rsidRPr="00F062D8">
              <w:rPr>
                <w:rFonts w:ascii="Arial" w:hAnsi="Arial"/>
                <w:b/>
              </w:rPr>
              <w:t>Biodiversity</w:t>
            </w:r>
            <w:r w:rsidR="0073558F">
              <w:rPr>
                <w:rFonts w:ascii="Arial" w:hAnsi="Arial"/>
                <w:b/>
              </w:rPr>
              <w:t xml:space="preserve"> </w:t>
            </w:r>
          </w:p>
          <w:p w14:paraId="17A29F66" w14:textId="77777777" w:rsidR="00F062D8" w:rsidRPr="00F062D8" w:rsidRDefault="00F062D8" w:rsidP="00F062D8">
            <w:pPr>
              <w:rPr>
                <w:rFonts w:ascii="Arial" w:hAnsi="Arial"/>
                <w:b/>
              </w:rPr>
            </w:pPr>
          </w:p>
          <w:p w14:paraId="75393DB4" w14:textId="1AD558AE" w:rsidR="00BD04E8" w:rsidRPr="00BD04E8" w:rsidRDefault="00BD04E8" w:rsidP="00BD04E8">
            <w:pPr>
              <w:spacing w:after="120"/>
              <w:jc w:val="both"/>
              <w:rPr>
                <w:rFonts w:ascii="Arial" w:hAnsi="Arial"/>
              </w:rPr>
            </w:pPr>
            <w:bookmarkStart w:id="64" w:name="_Hlk5176443"/>
            <w:r w:rsidRPr="00BD04E8">
              <w:rPr>
                <w:rFonts w:ascii="Arial" w:hAnsi="Arial"/>
              </w:rPr>
              <w:t xml:space="preserve">A baseline ecological assessment has been undertaken by Cardno (2019a, Appendix </w:t>
            </w:r>
            <w:r w:rsidR="00323595">
              <w:rPr>
                <w:rFonts w:ascii="Arial" w:hAnsi="Arial"/>
              </w:rPr>
              <w:t>C</w:t>
            </w:r>
            <w:r w:rsidRPr="00BD04E8">
              <w:rPr>
                <w:rFonts w:ascii="Arial" w:hAnsi="Arial"/>
              </w:rPr>
              <w:t xml:space="preserve">) to inform design of the Project and future detailed surveys. </w:t>
            </w:r>
            <w:r w:rsidR="0073558F">
              <w:rPr>
                <w:rFonts w:ascii="Arial" w:hAnsi="Arial"/>
              </w:rPr>
              <w:t xml:space="preserve">The ecological study area is shown in Figure </w:t>
            </w:r>
            <w:r w:rsidR="007E61D6">
              <w:rPr>
                <w:rFonts w:ascii="Arial" w:hAnsi="Arial"/>
              </w:rPr>
              <w:t>14</w:t>
            </w:r>
            <w:r w:rsidR="0073558F">
              <w:rPr>
                <w:rFonts w:ascii="Arial" w:hAnsi="Arial"/>
              </w:rPr>
              <w:t xml:space="preserve">. </w:t>
            </w:r>
            <w:r w:rsidRPr="00BD04E8">
              <w:rPr>
                <w:rFonts w:ascii="Arial" w:hAnsi="Arial"/>
              </w:rPr>
              <w:t>The assessment was based on a review of biodiversity databases and spatial datasets, preliminary vegetation mapping and field-based habitat assessments to identify threatened species and communities that may occur in the Project site.</w:t>
            </w:r>
          </w:p>
          <w:p w14:paraId="30012418" w14:textId="77777777" w:rsidR="00BD04E8" w:rsidRPr="00BD04E8" w:rsidRDefault="00BD04E8" w:rsidP="00BD04E8">
            <w:pPr>
              <w:spacing w:after="120"/>
              <w:jc w:val="both"/>
              <w:rPr>
                <w:rFonts w:ascii="Arial" w:hAnsi="Arial"/>
              </w:rPr>
            </w:pPr>
            <w:r w:rsidRPr="00BD04E8">
              <w:rPr>
                <w:rFonts w:ascii="Arial" w:hAnsi="Arial"/>
              </w:rPr>
              <w:t>As part of the desktop assessment a likelihood of presence assessment was undertaken for all 97 threatened species identified via the Victorian Biodiversity Atlas (VBA) and EPBC Protected Matters Search Tool (PMST) search. Each species was assigned one of the following likelihood of presence ratings, based on the location, date and number of records, as well as modelled EVC data:</w:t>
            </w:r>
          </w:p>
          <w:p w14:paraId="36D27061" w14:textId="77777777" w:rsidR="00BD04E8" w:rsidRPr="00BD04E8" w:rsidRDefault="00BD04E8" w:rsidP="00C70314">
            <w:pPr>
              <w:pStyle w:val="ListParagraph"/>
              <w:numPr>
                <w:ilvl w:val="0"/>
                <w:numId w:val="42"/>
              </w:numPr>
              <w:spacing w:after="120"/>
              <w:jc w:val="both"/>
              <w:rPr>
                <w:rFonts w:ascii="Arial" w:hAnsi="Arial"/>
              </w:rPr>
            </w:pPr>
            <w:r w:rsidRPr="00BD04E8">
              <w:rPr>
                <w:rFonts w:ascii="Arial" w:hAnsi="Arial"/>
                <w:b/>
                <w:bCs/>
              </w:rPr>
              <w:t>known</w:t>
            </w:r>
            <w:r w:rsidRPr="00BD04E8">
              <w:rPr>
                <w:rFonts w:ascii="Arial" w:hAnsi="Arial"/>
              </w:rPr>
              <w:t>: species has been recorded in the study area by a qualified ecologist in the past 20 years;</w:t>
            </w:r>
          </w:p>
          <w:p w14:paraId="422E13E7" w14:textId="77777777" w:rsidR="00BD04E8" w:rsidRPr="00BD04E8" w:rsidRDefault="00BD04E8" w:rsidP="00C70314">
            <w:pPr>
              <w:pStyle w:val="ListParagraph"/>
              <w:numPr>
                <w:ilvl w:val="0"/>
                <w:numId w:val="42"/>
              </w:numPr>
              <w:spacing w:after="120"/>
              <w:jc w:val="both"/>
              <w:rPr>
                <w:rFonts w:ascii="Arial" w:hAnsi="Arial"/>
              </w:rPr>
            </w:pPr>
            <w:r w:rsidRPr="00BD04E8">
              <w:rPr>
                <w:rFonts w:ascii="Arial" w:hAnsi="Arial"/>
                <w:b/>
                <w:bCs/>
              </w:rPr>
              <w:t>likely</w:t>
            </w:r>
            <w:r w:rsidRPr="00BD04E8">
              <w:rPr>
                <w:rFonts w:ascii="Arial" w:hAnsi="Arial"/>
              </w:rPr>
              <w:t>: suitable habitat for the species occurs in the study area and species has been recorded proximate to the study area;</w:t>
            </w:r>
          </w:p>
          <w:p w14:paraId="7CBE5683" w14:textId="77777777" w:rsidR="00BD04E8" w:rsidRPr="00BD04E8" w:rsidRDefault="00BD04E8" w:rsidP="00C70314">
            <w:pPr>
              <w:pStyle w:val="ListParagraph"/>
              <w:numPr>
                <w:ilvl w:val="0"/>
                <w:numId w:val="42"/>
              </w:numPr>
              <w:spacing w:after="120"/>
              <w:jc w:val="both"/>
              <w:rPr>
                <w:rFonts w:ascii="Arial" w:hAnsi="Arial"/>
              </w:rPr>
            </w:pPr>
            <w:r w:rsidRPr="00BD04E8">
              <w:rPr>
                <w:rFonts w:ascii="Arial" w:hAnsi="Arial"/>
                <w:b/>
                <w:bCs/>
              </w:rPr>
              <w:t>possible</w:t>
            </w:r>
            <w:r w:rsidRPr="00BD04E8">
              <w:rPr>
                <w:rFonts w:ascii="Arial" w:hAnsi="Arial"/>
              </w:rPr>
              <w:t>: suitable habitat for the species occurs in the study area but no recent records from the study area or proximate areas, OR, suitable habitat for the species may occur in the study area and there are recent records for the species proximate to the study area; and</w:t>
            </w:r>
          </w:p>
          <w:p w14:paraId="2D09D860" w14:textId="77777777" w:rsidR="00BD04E8" w:rsidRPr="00BD04E8" w:rsidRDefault="00BD04E8" w:rsidP="00C70314">
            <w:pPr>
              <w:pStyle w:val="ListParagraph"/>
              <w:numPr>
                <w:ilvl w:val="0"/>
                <w:numId w:val="42"/>
              </w:numPr>
              <w:spacing w:after="120"/>
              <w:jc w:val="both"/>
              <w:rPr>
                <w:rFonts w:ascii="Arial" w:hAnsi="Arial"/>
              </w:rPr>
            </w:pPr>
            <w:r w:rsidRPr="00BD04E8">
              <w:rPr>
                <w:rFonts w:ascii="Arial" w:hAnsi="Arial"/>
                <w:b/>
                <w:bCs/>
              </w:rPr>
              <w:t>unlikely</w:t>
            </w:r>
            <w:r w:rsidRPr="00BD04E8">
              <w:rPr>
                <w:rFonts w:ascii="Arial" w:hAnsi="Arial"/>
              </w:rPr>
              <w:t>: suitable habitat for the species does not occur in the study area and no recent records from the study area or proximate areas.</w:t>
            </w:r>
          </w:p>
          <w:p w14:paraId="6DBEAD38" w14:textId="2163ACAC" w:rsidR="00BD04E8" w:rsidRPr="00BD04E8" w:rsidRDefault="00BD04E8" w:rsidP="00BD04E8">
            <w:pPr>
              <w:spacing w:after="120"/>
              <w:jc w:val="both"/>
              <w:rPr>
                <w:rFonts w:ascii="Arial" w:hAnsi="Arial"/>
              </w:rPr>
            </w:pPr>
            <w:r w:rsidRPr="00BD04E8">
              <w:rPr>
                <w:rFonts w:ascii="Arial" w:hAnsi="Arial"/>
              </w:rPr>
              <w:t xml:space="preserve">Baseline surveys were conducted across multiple sites within the ecological study in November 2018. The surveys confirmed the presence of one ecological community listed under the Victorian </w:t>
            </w:r>
            <w:r w:rsidRPr="00BD04E8">
              <w:rPr>
                <w:rFonts w:ascii="Arial" w:hAnsi="Arial"/>
                <w:i/>
                <w:iCs/>
              </w:rPr>
              <w:t>Flora and Fauna Guarantee Act 198</w:t>
            </w:r>
            <w:r w:rsidRPr="00BD04E8">
              <w:rPr>
                <w:rFonts w:ascii="Arial" w:hAnsi="Arial"/>
              </w:rPr>
              <w:t xml:space="preserve">8 (FFG Act), namely Victorian Temperate Woodland Bird Community and likely presence of two further ecological communities, namely </w:t>
            </w:r>
            <w:bookmarkStart w:id="65" w:name="_Hlk6906270"/>
            <w:r w:rsidRPr="00BD04E8">
              <w:rPr>
                <w:rFonts w:ascii="Arial" w:hAnsi="Arial"/>
              </w:rPr>
              <w:t xml:space="preserve">Semi-arid Northwest Plains </w:t>
            </w:r>
            <w:proofErr w:type="spellStart"/>
            <w:r w:rsidRPr="00BD04E8">
              <w:rPr>
                <w:rFonts w:ascii="Arial" w:hAnsi="Arial"/>
              </w:rPr>
              <w:t>Buloke</w:t>
            </w:r>
            <w:proofErr w:type="spellEnd"/>
            <w:r w:rsidRPr="00BD04E8">
              <w:rPr>
                <w:rFonts w:ascii="Arial" w:hAnsi="Arial"/>
              </w:rPr>
              <w:t xml:space="preserve"> Grassy Woodland Community and Red Gum Swamp Community No. 1 </w:t>
            </w:r>
            <w:bookmarkEnd w:id="65"/>
            <w:r w:rsidRPr="00BD04E8">
              <w:rPr>
                <w:rFonts w:ascii="Arial" w:hAnsi="Arial"/>
              </w:rPr>
              <w:t xml:space="preserve">(Figure </w:t>
            </w:r>
            <w:r w:rsidR="007E61D6">
              <w:rPr>
                <w:rFonts w:ascii="Arial" w:hAnsi="Arial"/>
              </w:rPr>
              <w:t>8</w:t>
            </w:r>
            <w:r w:rsidRPr="00BD04E8">
              <w:rPr>
                <w:rFonts w:ascii="Arial" w:hAnsi="Arial"/>
              </w:rPr>
              <w:t>).</w:t>
            </w:r>
          </w:p>
          <w:p w14:paraId="47082F16" w14:textId="77777777" w:rsidR="00BD04E8" w:rsidRPr="00BD04E8" w:rsidRDefault="00BD04E8" w:rsidP="00BD04E8">
            <w:pPr>
              <w:spacing w:after="120"/>
              <w:jc w:val="both"/>
              <w:rPr>
                <w:rFonts w:ascii="Arial" w:hAnsi="Arial"/>
              </w:rPr>
            </w:pPr>
            <w:r w:rsidRPr="00BD04E8">
              <w:rPr>
                <w:rFonts w:ascii="Arial" w:hAnsi="Arial"/>
              </w:rPr>
              <w:t xml:space="preserve">Five species listed under the FFG Act were also recorded: </w:t>
            </w:r>
            <w:proofErr w:type="spellStart"/>
            <w:r w:rsidRPr="00BD04E8">
              <w:rPr>
                <w:rFonts w:ascii="Arial" w:hAnsi="Arial"/>
              </w:rPr>
              <w:t>Buloke</w:t>
            </w:r>
            <w:proofErr w:type="spellEnd"/>
            <w:r w:rsidRPr="00BD04E8">
              <w:rPr>
                <w:rFonts w:ascii="Arial" w:hAnsi="Arial"/>
              </w:rPr>
              <w:t xml:space="preserve"> (</w:t>
            </w:r>
            <w:proofErr w:type="spellStart"/>
            <w:r w:rsidRPr="00BD04E8">
              <w:rPr>
                <w:rFonts w:ascii="Arial" w:hAnsi="Arial"/>
                <w:i/>
                <w:iCs/>
              </w:rPr>
              <w:t>Allocasuarina</w:t>
            </w:r>
            <w:proofErr w:type="spellEnd"/>
            <w:r w:rsidRPr="00BD04E8">
              <w:rPr>
                <w:rFonts w:ascii="Arial" w:hAnsi="Arial"/>
                <w:i/>
                <w:iCs/>
              </w:rPr>
              <w:t xml:space="preserve"> </w:t>
            </w:r>
            <w:proofErr w:type="spellStart"/>
            <w:r w:rsidRPr="00BD04E8">
              <w:rPr>
                <w:rFonts w:ascii="Arial" w:hAnsi="Arial"/>
                <w:i/>
                <w:iCs/>
              </w:rPr>
              <w:t>luehmannii</w:t>
            </w:r>
            <w:proofErr w:type="spellEnd"/>
            <w:r w:rsidRPr="00BD04E8">
              <w:rPr>
                <w:rFonts w:ascii="Arial" w:hAnsi="Arial"/>
              </w:rPr>
              <w:t>), Magpie Goose (</w:t>
            </w:r>
            <w:proofErr w:type="spellStart"/>
            <w:r w:rsidRPr="00BD04E8">
              <w:rPr>
                <w:rFonts w:ascii="Arial" w:hAnsi="Arial"/>
                <w:i/>
                <w:iCs/>
              </w:rPr>
              <w:t>Anseranus</w:t>
            </w:r>
            <w:proofErr w:type="spellEnd"/>
            <w:r w:rsidRPr="00BD04E8">
              <w:rPr>
                <w:rFonts w:ascii="Arial" w:hAnsi="Arial"/>
                <w:i/>
                <w:iCs/>
              </w:rPr>
              <w:t xml:space="preserve"> </w:t>
            </w:r>
            <w:proofErr w:type="spellStart"/>
            <w:r w:rsidRPr="00BD04E8">
              <w:rPr>
                <w:rFonts w:ascii="Arial" w:hAnsi="Arial"/>
                <w:i/>
                <w:iCs/>
              </w:rPr>
              <w:t>semipalmata</w:t>
            </w:r>
            <w:proofErr w:type="spellEnd"/>
            <w:r w:rsidRPr="00BD04E8">
              <w:rPr>
                <w:rFonts w:ascii="Arial" w:hAnsi="Arial"/>
              </w:rPr>
              <w:t>), Diamond Firetail (</w:t>
            </w:r>
            <w:proofErr w:type="spellStart"/>
            <w:r w:rsidRPr="00BD04E8">
              <w:rPr>
                <w:rFonts w:ascii="Arial" w:hAnsi="Arial"/>
                <w:i/>
                <w:iCs/>
              </w:rPr>
              <w:t>Stagnopleura</w:t>
            </w:r>
            <w:proofErr w:type="spellEnd"/>
            <w:r w:rsidRPr="00BD04E8">
              <w:rPr>
                <w:rFonts w:ascii="Arial" w:hAnsi="Arial"/>
                <w:i/>
                <w:iCs/>
              </w:rPr>
              <w:t xml:space="preserve"> </w:t>
            </w:r>
            <w:proofErr w:type="spellStart"/>
            <w:r w:rsidRPr="00BD04E8">
              <w:rPr>
                <w:rFonts w:ascii="Arial" w:hAnsi="Arial"/>
                <w:i/>
                <w:iCs/>
              </w:rPr>
              <w:t>guttata</w:t>
            </w:r>
            <w:proofErr w:type="spellEnd"/>
            <w:r w:rsidRPr="00BD04E8">
              <w:rPr>
                <w:rFonts w:ascii="Arial" w:hAnsi="Arial"/>
              </w:rPr>
              <w:t>), Whiskered Tern (</w:t>
            </w:r>
            <w:proofErr w:type="spellStart"/>
            <w:r w:rsidRPr="00BD04E8">
              <w:rPr>
                <w:rFonts w:ascii="Arial" w:hAnsi="Arial"/>
                <w:i/>
                <w:iCs/>
              </w:rPr>
              <w:t>Chlidonyas</w:t>
            </w:r>
            <w:proofErr w:type="spellEnd"/>
            <w:r w:rsidRPr="00BD04E8">
              <w:rPr>
                <w:rFonts w:ascii="Arial" w:hAnsi="Arial"/>
                <w:i/>
                <w:iCs/>
              </w:rPr>
              <w:t xml:space="preserve"> </w:t>
            </w:r>
            <w:proofErr w:type="spellStart"/>
            <w:r w:rsidRPr="00BD04E8">
              <w:rPr>
                <w:rFonts w:ascii="Arial" w:hAnsi="Arial"/>
                <w:i/>
                <w:iCs/>
              </w:rPr>
              <w:t>hybrida</w:t>
            </w:r>
            <w:proofErr w:type="spellEnd"/>
            <w:r w:rsidRPr="00BD04E8">
              <w:rPr>
                <w:rFonts w:ascii="Arial" w:hAnsi="Arial"/>
              </w:rPr>
              <w:t xml:space="preserve">) and Brown </w:t>
            </w:r>
            <w:proofErr w:type="spellStart"/>
            <w:r w:rsidRPr="00BD04E8">
              <w:rPr>
                <w:rFonts w:ascii="Arial" w:hAnsi="Arial"/>
              </w:rPr>
              <w:t>Toadlet</w:t>
            </w:r>
            <w:proofErr w:type="spellEnd"/>
            <w:r w:rsidRPr="00BD04E8">
              <w:rPr>
                <w:rFonts w:ascii="Arial" w:hAnsi="Arial"/>
              </w:rPr>
              <w:t xml:space="preserve"> (</w:t>
            </w:r>
            <w:proofErr w:type="spellStart"/>
            <w:r w:rsidRPr="00BD04E8">
              <w:rPr>
                <w:rFonts w:ascii="Arial" w:hAnsi="Arial"/>
                <w:i/>
                <w:iCs/>
              </w:rPr>
              <w:t>Pseudophryne</w:t>
            </w:r>
            <w:proofErr w:type="spellEnd"/>
            <w:r w:rsidRPr="00BD04E8">
              <w:rPr>
                <w:rFonts w:ascii="Arial" w:hAnsi="Arial"/>
                <w:i/>
                <w:iCs/>
              </w:rPr>
              <w:t xml:space="preserve"> </w:t>
            </w:r>
            <w:proofErr w:type="spellStart"/>
            <w:r w:rsidRPr="00BD04E8">
              <w:rPr>
                <w:rFonts w:ascii="Arial" w:hAnsi="Arial"/>
                <w:i/>
                <w:iCs/>
              </w:rPr>
              <w:t>bibronii</w:t>
            </w:r>
            <w:proofErr w:type="spellEnd"/>
            <w:r w:rsidRPr="00BD04E8">
              <w:rPr>
                <w:rFonts w:ascii="Arial" w:hAnsi="Arial"/>
              </w:rPr>
              <w:t>).</w:t>
            </w:r>
          </w:p>
          <w:p w14:paraId="20032EA5" w14:textId="77777777" w:rsidR="00BD04E8" w:rsidRPr="00BD04E8" w:rsidRDefault="00BD04E8" w:rsidP="00BD04E8">
            <w:pPr>
              <w:spacing w:after="120"/>
              <w:jc w:val="both"/>
              <w:rPr>
                <w:rFonts w:ascii="Arial" w:hAnsi="Arial"/>
              </w:rPr>
            </w:pPr>
            <w:r w:rsidRPr="00BD04E8">
              <w:rPr>
                <w:rFonts w:ascii="Arial" w:hAnsi="Arial"/>
              </w:rPr>
              <w:lastRenderedPageBreak/>
              <w:t xml:space="preserve">Three threatened ecological communities listed under the EPBC Act, namely </w:t>
            </w:r>
            <w:proofErr w:type="spellStart"/>
            <w:r w:rsidRPr="00BD04E8">
              <w:rPr>
                <w:rFonts w:ascii="Arial" w:hAnsi="Arial"/>
              </w:rPr>
              <w:t>Buloke</w:t>
            </w:r>
            <w:proofErr w:type="spellEnd"/>
            <w:r w:rsidRPr="00BD04E8">
              <w:rPr>
                <w:rFonts w:ascii="Arial" w:hAnsi="Arial"/>
              </w:rPr>
              <w:t xml:space="preserve"> Woodlands of the Riverina and Murray-Darling Depression Bioregions, Grey Box (</w:t>
            </w:r>
            <w:r w:rsidRPr="00BD04E8">
              <w:rPr>
                <w:rFonts w:ascii="Arial" w:hAnsi="Arial"/>
                <w:i/>
                <w:iCs/>
              </w:rPr>
              <w:t xml:space="preserve">Eucalyptus </w:t>
            </w:r>
            <w:proofErr w:type="spellStart"/>
            <w:r w:rsidRPr="00BD04E8">
              <w:rPr>
                <w:rFonts w:ascii="Arial" w:hAnsi="Arial"/>
                <w:i/>
                <w:iCs/>
              </w:rPr>
              <w:t>microcarpa</w:t>
            </w:r>
            <w:proofErr w:type="spellEnd"/>
            <w:r w:rsidRPr="00BD04E8">
              <w:rPr>
                <w:rFonts w:ascii="Arial" w:hAnsi="Arial"/>
              </w:rPr>
              <w:t xml:space="preserve">) Woodlands and Derived Native Grasslands of South Eastern Australia and Seasonal Herbaceous Wetlands (Freshwater) of the Temperate Lowland Plains, were potentially recorded during baseline surveys. Detailed field surveys and data analysis are required to confirm the presence and extent of these listed communities. </w:t>
            </w:r>
          </w:p>
          <w:p w14:paraId="352126A4" w14:textId="771DC075" w:rsidR="00BD04E8" w:rsidRPr="00BD04E8" w:rsidRDefault="00BD04E8" w:rsidP="00BD04E8">
            <w:pPr>
              <w:spacing w:after="120"/>
              <w:jc w:val="both"/>
              <w:rPr>
                <w:rFonts w:ascii="Arial" w:hAnsi="Arial"/>
              </w:rPr>
            </w:pPr>
            <w:r w:rsidRPr="00BD04E8">
              <w:rPr>
                <w:rFonts w:ascii="Arial" w:hAnsi="Arial"/>
              </w:rPr>
              <w:t xml:space="preserve">The likelihood of presence ratings for threatened flora and fauna species identified during the desktop assessment were revised after the field assessment. Twelve species were assessed as ‘known’ in the study area, four species were assessed as ‘likely’ to occur, 33 as ‘possible’ and 48 as ‘unlikely’. The likelihood of presence assessment is presented as Appendix A of the Cardno baseline ecological assessment report (Appendix </w:t>
            </w:r>
            <w:r w:rsidR="00323595">
              <w:rPr>
                <w:rFonts w:ascii="Arial" w:hAnsi="Arial"/>
              </w:rPr>
              <w:t>C</w:t>
            </w:r>
            <w:r w:rsidRPr="00BD04E8">
              <w:rPr>
                <w:rFonts w:ascii="Arial" w:hAnsi="Arial"/>
              </w:rPr>
              <w:t xml:space="preserve">). </w:t>
            </w:r>
          </w:p>
          <w:p w14:paraId="53D42BFB" w14:textId="53F47B46" w:rsidR="00BD04E8" w:rsidRPr="00BD04E8" w:rsidRDefault="00BD04E8" w:rsidP="00BD04E8">
            <w:pPr>
              <w:spacing w:after="120"/>
              <w:jc w:val="both"/>
              <w:rPr>
                <w:rFonts w:ascii="Arial" w:hAnsi="Arial"/>
              </w:rPr>
            </w:pPr>
            <w:r w:rsidRPr="00BD04E8">
              <w:rPr>
                <w:rFonts w:ascii="Arial" w:hAnsi="Arial"/>
              </w:rPr>
              <w:t>Targeted surveys for species listed under the EPBC Act have not yet been conducted. However, the Red-tailed Black Cockatoo (</w:t>
            </w:r>
            <w:r w:rsidRPr="00BD04E8">
              <w:rPr>
                <w:rFonts w:ascii="Arial" w:hAnsi="Arial"/>
                <w:i/>
                <w:iCs/>
              </w:rPr>
              <w:t xml:space="preserve">Calyptorhynchus </w:t>
            </w:r>
            <w:proofErr w:type="spellStart"/>
            <w:r w:rsidRPr="00BD04E8">
              <w:rPr>
                <w:rFonts w:ascii="Arial" w:hAnsi="Arial"/>
                <w:i/>
                <w:iCs/>
              </w:rPr>
              <w:t>banksii</w:t>
            </w:r>
            <w:proofErr w:type="spellEnd"/>
            <w:r w:rsidRPr="00BD04E8">
              <w:rPr>
                <w:rFonts w:ascii="Arial" w:hAnsi="Arial"/>
                <w:i/>
                <w:iCs/>
              </w:rPr>
              <w:t xml:space="preserve"> </w:t>
            </w:r>
            <w:proofErr w:type="spellStart"/>
            <w:r w:rsidRPr="00BD04E8">
              <w:rPr>
                <w:rFonts w:ascii="Arial" w:hAnsi="Arial"/>
                <w:i/>
                <w:iCs/>
              </w:rPr>
              <w:t>graptogyne</w:t>
            </w:r>
            <w:proofErr w:type="spellEnd"/>
            <w:r w:rsidRPr="00BD04E8">
              <w:rPr>
                <w:rFonts w:ascii="Arial" w:hAnsi="Arial"/>
              </w:rPr>
              <w:t>), Growling Grass Frog (</w:t>
            </w:r>
            <w:proofErr w:type="spellStart"/>
            <w:r w:rsidRPr="00BD04E8">
              <w:rPr>
                <w:rFonts w:ascii="Arial" w:hAnsi="Arial"/>
                <w:i/>
                <w:iCs/>
              </w:rPr>
              <w:t>Litoria</w:t>
            </w:r>
            <w:proofErr w:type="spellEnd"/>
            <w:r w:rsidRPr="00BD04E8">
              <w:rPr>
                <w:rFonts w:ascii="Arial" w:hAnsi="Arial"/>
                <w:i/>
                <w:iCs/>
              </w:rPr>
              <w:t xml:space="preserve"> </w:t>
            </w:r>
            <w:proofErr w:type="spellStart"/>
            <w:r w:rsidRPr="00BD04E8">
              <w:rPr>
                <w:rFonts w:ascii="Arial" w:hAnsi="Arial"/>
                <w:i/>
                <w:iCs/>
              </w:rPr>
              <w:t>raniformis</w:t>
            </w:r>
            <w:proofErr w:type="spellEnd"/>
            <w:r w:rsidRPr="00BD04E8">
              <w:rPr>
                <w:rFonts w:ascii="Arial" w:hAnsi="Arial"/>
              </w:rPr>
              <w:t>) and Australasian Bittern (</w:t>
            </w:r>
            <w:r w:rsidRPr="00BD04E8">
              <w:rPr>
                <w:rFonts w:ascii="Arial" w:hAnsi="Arial"/>
                <w:i/>
                <w:iCs/>
              </w:rPr>
              <w:t xml:space="preserve">Botaurus </w:t>
            </w:r>
            <w:proofErr w:type="spellStart"/>
            <w:r w:rsidRPr="00BD04E8">
              <w:rPr>
                <w:rFonts w:ascii="Arial" w:hAnsi="Arial"/>
                <w:i/>
                <w:iCs/>
              </w:rPr>
              <w:t>poiciloptilus</w:t>
            </w:r>
            <w:proofErr w:type="spellEnd"/>
            <w:r w:rsidRPr="00BD04E8">
              <w:rPr>
                <w:rFonts w:ascii="Arial" w:hAnsi="Arial"/>
              </w:rPr>
              <w:t xml:space="preserve">) have been previously recorded in the locality and are considered likely to occur given the presence of suitable habitat including woodlands and wetlands (Figure </w:t>
            </w:r>
            <w:r>
              <w:rPr>
                <w:rFonts w:ascii="Arial" w:hAnsi="Arial"/>
              </w:rPr>
              <w:t>1</w:t>
            </w:r>
            <w:r w:rsidR="007E61D6">
              <w:rPr>
                <w:rFonts w:ascii="Arial" w:hAnsi="Arial"/>
              </w:rPr>
              <w:t>5</w:t>
            </w:r>
            <w:r w:rsidRPr="00BD04E8">
              <w:rPr>
                <w:rFonts w:ascii="Arial" w:hAnsi="Arial"/>
              </w:rPr>
              <w:t>).</w:t>
            </w:r>
          </w:p>
          <w:p w14:paraId="0DA82430" w14:textId="77777777" w:rsidR="00BD04E8" w:rsidRPr="00BD04E8" w:rsidRDefault="00BD04E8" w:rsidP="00BD04E8">
            <w:pPr>
              <w:spacing w:after="120"/>
              <w:jc w:val="both"/>
              <w:rPr>
                <w:rFonts w:ascii="Arial" w:hAnsi="Arial"/>
              </w:rPr>
            </w:pPr>
            <w:r w:rsidRPr="00BD04E8">
              <w:rPr>
                <w:rFonts w:ascii="Arial" w:hAnsi="Arial"/>
              </w:rPr>
              <w:t>Detailed targeted surveys will be undertaken during optimal seasonal conditions in 2019 to verify the presence of the potentially occurring listed species and ecological communities.</w:t>
            </w:r>
          </w:p>
          <w:bookmarkEnd w:id="64"/>
          <w:p w14:paraId="7A4AE147" w14:textId="28BFA585" w:rsidR="00BD04E8" w:rsidRDefault="00BD04E8" w:rsidP="00BD04E8">
            <w:pPr>
              <w:spacing w:after="120"/>
              <w:rPr>
                <w:rFonts w:ascii="Arial" w:hAnsi="Arial"/>
              </w:rPr>
            </w:pPr>
            <w:r w:rsidRPr="00F062D8">
              <w:rPr>
                <w:rFonts w:ascii="Arial" w:hAnsi="Arial"/>
              </w:rPr>
              <w:t>Biodiversity is discussed further in Section</w:t>
            </w:r>
            <w:r w:rsidR="00801C64">
              <w:rPr>
                <w:rFonts w:ascii="Arial" w:hAnsi="Arial"/>
              </w:rPr>
              <w:t>s</w:t>
            </w:r>
            <w:r w:rsidRPr="00F062D8">
              <w:rPr>
                <w:rFonts w:ascii="Arial" w:hAnsi="Arial"/>
              </w:rPr>
              <w:t xml:space="preserve"> 11</w:t>
            </w:r>
            <w:r w:rsidR="00801C64">
              <w:rPr>
                <w:rFonts w:ascii="Arial" w:hAnsi="Arial"/>
              </w:rPr>
              <w:t xml:space="preserve"> and 12</w:t>
            </w:r>
            <w:r w:rsidRPr="00F062D8">
              <w:rPr>
                <w:rFonts w:ascii="Arial" w:hAnsi="Arial"/>
              </w:rPr>
              <w:t xml:space="preserve">. </w:t>
            </w:r>
          </w:p>
          <w:p w14:paraId="7FD56A73" w14:textId="3961BB22" w:rsidR="0073558F" w:rsidRDefault="0073558F" w:rsidP="00BD04E8">
            <w:pPr>
              <w:spacing w:after="120"/>
              <w:rPr>
                <w:rFonts w:ascii="Arial" w:hAnsi="Arial"/>
              </w:rPr>
            </w:pPr>
          </w:p>
          <w:p w14:paraId="7554DCD8" w14:textId="3A83B002" w:rsidR="0073558F" w:rsidRDefault="0073558F" w:rsidP="00BD04E8">
            <w:pPr>
              <w:spacing w:after="120"/>
              <w:rPr>
                <w:rFonts w:ascii="Arial" w:hAnsi="Arial"/>
                <w:b/>
                <w:bCs/>
              </w:rPr>
            </w:pPr>
            <w:r w:rsidRPr="0073558F">
              <w:rPr>
                <w:rFonts w:ascii="Arial" w:hAnsi="Arial"/>
                <w:b/>
                <w:bCs/>
              </w:rPr>
              <w:t>8.1.1 Biodiversity associated with offsite infrastructure</w:t>
            </w:r>
          </w:p>
          <w:p w14:paraId="69040C4C" w14:textId="77777777" w:rsidR="008D4567" w:rsidRPr="0073558F" w:rsidRDefault="008D4567" w:rsidP="00BD04E8">
            <w:pPr>
              <w:spacing w:after="120"/>
              <w:rPr>
                <w:rFonts w:ascii="Arial" w:hAnsi="Arial"/>
                <w:b/>
                <w:bCs/>
              </w:rPr>
            </w:pPr>
          </w:p>
          <w:p w14:paraId="2FB56ADF" w14:textId="77777777" w:rsidR="0073558F" w:rsidRPr="0073558F" w:rsidRDefault="0073558F" w:rsidP="0073558F">
            <w:pPr>
              <w:spacing w:after="120"/>
              <w:jc w:val="both"/>
              <w:rPr>
                <w:rFonts w:ascii="Arial" w:hAnsi="Arial"/>
              </w:rPr>
            </w:pPr>
            <w:r w:rsidRPr="0073558F">
              <w:rPr>
                <w:rFonts w:ascii="Arial" w:hAnsi="Arial"/>
              </w:rPr>
              <w:t>Engineering options studies to identify the requirement, preferred location and location/alignment of offsite infrastructure are underway, and hence potential impacts associated with such works are unknown.</w:t>
            </w:r>
          </w:p>
          <w:p w14:paraId="5DD1A9B4" w14:textId="388E0089" w:rsidR="0073558F" w:rsidRPr="0073558F" w:rsidRDefault="0073558F" w:rsidP="0073558F">
            <w:pPr>
              <w:spacing w:after="120"/>
              <w:jc w:val="both"/>
              <w:rPr>
                <w:rFonts w:ascii="Arial" w:hAnsi="Arial"/>
              </w:rPr>
            </w:pPr>
            <w:r>
              <w:rPr>
                <w:rFonts w:ascii="Arial" w:hAnsi="Arial"/>
              </w:rPr>
              <w:t>I</w:t>
            </w:r>
            <w:r w:rsidRPr="0073558F">
              <w:rPr>
                <w:rFonts w:ascii="Arial" w:hAnsi="Arial"/>
              </w:rPr>
              <w:t>ndicative alignments for the following offsite infrastructure were used within the Department</w:t>
            </w:r>
            <w:r>
              <w:rPr>
                <w:rFonts w:ascii="Arial" w:hAnsi="Arial"/>
              </w:rPr>
              <w:t xml:space="preserve"> of the Environment and Energy</w:t>
            </w:r>
            <w:r w:rsidRPr="0073558F">
              <w:rPr>
                <w:rFonts w:ascii="Arial" w:hAnsi="Arial"/>
              </w:rPr>
              <w:t>’s on-line PMST to identify species that may be, are likely, or are known to be present within an associated infrastructure corridor:</w:t>
            </w:r>
          </w:p>
          <w:p w14:paraId="4F683D2D" w14:textId="77777777" w:rsidR="0073558F" w:rsidRPr="0073558F" w:rsidRDefault="0073558F" w:rsidP="00C70314">
            <w:pPr>
              <w:pStyle w:val="ListParagraph"/>
              <w:numPr>
                <w:ilvl w:val="0"/>
                <w:numId w:val="45"/>
              </w:numPr>
              <w:spacing w:after="120"/>
              <w:jc w:val="both"/>
              <w:rPr>
                <w:rFonts w:ascii="Arial" w:hAnsi="Arial"/>
              </w:rPr>
            </w:pPr>
            <w:r w:rsidRPr="0073558F">
              <w:rPr>
                <w:rFonts w:ascii="Arial" w:hAnsi="Arial"/>
              </w:rPr>
              <w:t>Water pipeline of approximate length 30 km from the existing Rocklands Douglas pipeline to the Project site. Assuming an infrastructure corridor disturbance width of 40 m the total disturbance area is approximately 120 ha.</w:t>
            </w:r>
          </w:p>
          <w:p w14:paraId="6CFFB891" w14:textId="77777777" w:rsidR="0073558F" w:rsidRPr="0073558F" w:rsidRDefault="0073558F" w:rsidP="00C70314">
            <w:pPr>
              <w:pStyle w:val="ListParagraph"/>
              <w:numPr>
                <w:ilvl w:val="0"/>
                <w:numId w:val="45"/>
              </w:numPr>
              <w:spacing w:after="120"/>
              <w:jc w:val="both"/>
              <w:rPr>
                <w:rFonts w:ascii="Arial" w:hAnsi="Arial"/>
              </w:rPr>
            </w:pPr>
            <w:r w:rsidRPr="0073558F">
              <w:rPr>
                <w:rFonts w:ascii="Arial" w:hAnsi="Arial"/>
              </w:rPr>
              <w:t>Power line extension from the Toolondo-</w:t>
            </w:r>
            <w:proofErr w:type="spellStart"/>
            <w:r w:rsidRPr="0073558F">
              <w:rPr>
                <w:rFonts w:ascii="Arial" w:hAnsi="Arial"/>
              </w:rPr>
              <w:t>Wonwondah</w:t>
            </w:r>
            <w:proofErr w:type="spellEnd"/>
            <w:r w:rsidRPr="0073558F">
              <w:rPr>
                <w:rFonts w:ascii="Arial" w:hAnsi="Arial"/>
              </w:rPr>
              <w:t xml:space="preserve"> Road to the Project site, using one of the following alignment options:</w:t>
            </w:r>
          </w:p>
          <w:p w14:paraId="29588EFC" w14:textId="4B00C8C2" w:rsidR="0073558F" w:rsidRPr="0073558F" w:rsidRDefault="0073558F" w:rsidP="00C70314">
            <w:pPr>
              <w:pStyle w:val="ListParagraph"/>
              <w:numPr>
                <w:ilvl w:val="0"/>
                <w:numId w:val="46"/>
              </w:numPr>
              <w:spacing w:after="120"/>
              <w:jc w:val="both"/>
              <w:rPr>
                <w:rFonts w:ascii="Arial" w:hAnsi="Arial"/>
              </w:rPr>
            </w:pPr>
            <w:r>
              <w:rPr>
                <w:rFonts w:ascii="Arial" w:hAnsi="Arial"/>
              </w:rPr>
              <w:t xml:space="preserve">      </w:t>
            </w:r>
            <w:r w:rsidRPr="0073558F">
              <w:rPr>
                <w:rFonts w:ascii="Arial" w:hAnsi="Arial"/>
              </w:rPr>
              <w:t>along Nurrabiel Church Road (5,400 m).</w:t>
            </w:r>
          </w:p>
          <w:p w14:paraId="45721A36" w14:textId="7BAE1346" w:rsidR="0073558F" w:rsidRPr="0073558F" w:rsidRDefault="0073558F" w:rsidP="00C70314">
            <w:pPr>
              <w:pStyle w:val="ListParagraph"/>
              <w:numPr>
                <w:ilvl w:val="0"/>
                <w:numId w:val="46"/>
              </w:numPr>
              <w:spacing w:after="120"/>
              <w:jc w:val="both"/>
              <w:rPr>
                <w:rFonts w:ascii="Arial" w:hAnsi="Arial"/>
              </w:rPr>
            </w:pPr>
            <w:r>
              <w:rPr>
                <w:rFonts w:ascii="Arial" w:hAnsi="Arial"/>
              </w:rPr>
              <w:t xml:space="preserve">      </w:t>
            </w:r>
            <w:r w:rsidRPr="0073558F">
              <w:rPr>
                <w:rFonts w:ascii="Arial" w:hAnsi="Arial"/>
              </w:rPr>
              <w:t xml:space="preserve">along </w:t>
            </w:r>
            <w:proofErr w:type="spellStart"/>
            <w:r w:rsidRPr="0073558F">
              <w:rPr>
                <w:rFonts w:ascii="Arial" w:hAnsi="Arial"/>
              </w:rPr>
              <w:t>Jallumba-Mockinya</w:t>
            </w:r>
            <w:proofErr w:type="spellEnd"/>
            <w:r w:rsidRPr="0073558F">
              <w:rPr>
                <w:rFonts w:ascii="Arial" w:hAnsi="Arial"/>
              </w:rPr>
              <w:t xml:space="preserve"> Road (4,900 m).</w:t>
            </w:r>
          </w:p>
          <w:p w14:paraId="45645A17" w14:textId="77777777" w:rsidR="0073558F" w:rsidRPr="0073558F" w:rsidRDefault="0073558F" w:rsidP="00C70314">
            <w:pPr>
              <w:pStyle w:val="ListParagraph"/>
              <w:numPr>
                <w:ilvl w:val="0"/>
                <w:numId w:val="45"/>
              </w:numPr>
              <w:spacing w:after="120"/>
              <w:jc w:val="both"/>
              <w:rPr>
                <w:rFonts w:ascii="Arial" w:hAnsi="Arial"/>
              </w:rPr>
            </w:pPr>
            <w:r w:rsidRPr="0073558F">
              <w:rPr>
                <w:rFonts w:ascii="Arial" w:hAnsi="Arial"/>
              </w:rPr>
              <w:t>Gas pipeline of approximate length 37 km from the Western Highway letdown point to the Project site. Assuming an infrastructure corridor disturbance width of 40 m the total disturbance area is approximately 149 ha.</w:t>
            </w:r>
          </w:p>
          <w:p w14:paraId="35E10158" w14:textId="39298955" w:rsidR="0073558F" w:rsidRPr="0073558F" w:rsidRDefault="0073558F" w:rsidP="0073558F">
            <w:pPr>
              <w:spacing w:after="120"/>
              <w:jc w:val="both"/>
              <w:rPr>
                <w:rFonts w:ascii="Arial" w:hAnsi="Arial"/>
              </w:rPr>
            </w:pPr>
            <w:r w:rsidRPr="0073558F">
              <w:rPr>
                <w:rFonts w:ascii="Arial" w:hAnsi="Arial"/>
              </w:rPr>
              <w:t xml:space="preserve">The infrastructure corridors were defined as a line with a 1 km buffer within the PMST. The PMST reports are attached as Appendix </w:t>
            </w:r>
            <w:r w:rsidR="00323595">
              <w:rPr>
                <w:rFonts w:ascii="Arial" w:hAnsi="Arial"/>
              </w:rPr>
              <w:t>A</w:t>
            </w:r>
            <w:r w:rsidRPr="0073558F">
              <w:rPr>
                <w:rFonts w:ascii="Arial" w:hAnsi="Arial"/>
              </w:rPr>
              <w:t>.</w:t>
            </w:r>
          </w:p>
          <w:p w14:paraId="13FD5068" w14:textId="50F0ACBC" w:rsidR="0073558F" w:rsidRPr="0073558F" w:rsidRDefault="0073558F" w:rsidP="0073558F">
            <w:pPr>
              <w:spacing w:after="120"/>
              <w:jc w:val="both"/>
              <w:rPr>
                <w:rFonts w:ascii="Arial" w:hAnsi="Arial"/>
              </w:rPr>
            </w:pPr>
            <w:r w:rsidRPr="0073558F">
              <w:rPr>
                <w:rFonts w:ascii="Arial" w:hAnsi="Arial"/>
              </w:rPr>
              <w:t>The PMST reports for the offsite infrastructure (pipelines, power line extension and construction camp) indicate that up to 11 migratory species, 26 listed threatened species and 3 listed ecological communities may occur in or relate to the</w:t>
            </w:r>
            <w:r>
              <w:rPr>
                <w:rFonts w:ascii="Arial" w:hAnsi="Arial"/>
              </w:rPr>
              <w:t>se</w:t>
            </w:r>
            <w:r w:rsidRPr="0073558F">
              <w:rPr>
                <w:rFonts w:ascii="Arial" w:hAnsi="Arial"/>
              </w:rPr>
              <w:t xml:space="preserve"> corridors and footprints</w:t>
            </w:r>
            <w:r>
              <w:rPr>
                <w:rFonts w:ascii="Arial" w:hAnsi="Arial"/>
              </w:rPr>
              <w:t>. H</w:t>
            </w:r>
            <w:r w:rsidRPr="0073558F">
              <w:rPr>
                <w:rFonts w:ascii="Arial" w:hAnsi="Arial"/>
              </w:rPr>
              <w:t>owever</w:t>
            </w:r>
            <w:r>
              <w:rPr>
                <w:rFonts w:ascii="Arial" w:hAnsi="Arial"/>
              </w:rPr>
              <w:t>,</w:t>
            </w:r>
            <w:r w:rsidRPr="0073558F">
              <w:rPr>
                <w:rFonts w:ascii="Arial" w:hAnsi="Arial"/>
              </w:rPr>
              <w:t xml:space="preserve"> as specific alignment locations are yet to be determined the likelihood of significant impact</w:t>
            </w:r>
            <w:r>
              <w:rPr>
                <w:rFonts w:ascii="Arial" w:hAnsi="Arial"/>
              </w:rPr>
              <w:t>s</w:t>
            </w:r>
            <w:r w:rsidRPr="0073558F">
              <w:rPr>
                <w:rFonts w:ascii="Arial" w:hAnsi="Arial"/>
              </w:rPr>
              <w:t xml:space="preserve"> is not known. </w:t>
            </w:r>
          </w:p>
          <w:p w14:paraId="78026B89" w14:textId="03A18633" w:rsidR="0073558F" w:rsidRPr="0073558F" w:rsidRDefault="0073558F" w:rsidP="0073558F">
            <w:pPr>
              <w:spacing w:after="120"/>
              <w:jc w:val="both"/>
              <w:rPr>
                <w:rFonts w:ascii="Arial" w:hAnsi="Arial"/>
              </w:rPr>
            </w:pPr>
            <w:r w:rsidRPr="0073558F">
              <w:rPr>
                <w:rFonts w:ascii="Arial" w:hAnsi="Arial"/>
              </w:rPr>
              <w:t xml:space="preserve">Following consultation with Horsham Rural City Council, options for the location of the construction camp on the southern fringes of Horsham are being investigated. As the specific location of the proposed construction camp has not yet been confirmed, a polygon with a 1 km buffer was delineated over the southern half of Horsham within the PMST, and the resulting PMST report attached is as Appendix </w:t>
            </w:r>
            <w:r w:rsidR="00323595">
              <w:rPr>
                <w:rFonts w:ascii="Arial" w:hAnsi="Arial"/>
              </w:rPr>
              <w:t>A</w:t>
            </w:r>
            <w:r w:rsidRPr="0073558F">
              <w:rPr>
                <w:rFonts w:ascii="Arial" w:hAnsi="Arial"/>
              </w:rPr>
              <w:t>.</w:t>
            </w:r>
          </w:p>
          <w:p w14:paraId="0FE46B19" w14:textId="38B2156E" w:rsidR="0073558F" w:rsidRPr="0073558F" w:rsidRDefault="0073558F" w:rsidP="0073558F">
            <w:pPr>
              <w:spacing w:after="120"/>
              <w:jc w:val="both"/>
              <w:rPr>
                <w:rFonts w:ascii="Arial" w:hAnsi="Arial"/>
              </w:rPr>
            </w:pPr>
            <w:r>
              <w:rPr>
                <w:rFonts w:ascii="Arial" w:hAnsi="Arial"/>
              </w:rPr>
              <w:t xml:space="preserve">Iluka will apply </w:t>
            </w:r>
            <w:r w:rsidRPr="0073558F">
              <w:rPr>
                <w:rFonts w:ascii="Arial" w:hAnsi="Arial"/>
              </w:rPr>
              <w:t xml:space="preserve">the ‘avoid, minimise and offset’ principle </w:t>
            </w:r>
            <w:r>
              <w:rPr>
                <w:rFonts w:ascii="Arial" w:hAnsi="Arial"/>
              </w:rPr>
              <w:t xml:space="preserve">to identify the </w:t>
            </w:r>
            <w:r w:rsidRPr="0073558F">
              <w:rPr>
                <w:rFonts w:ascii="Arial" w:hAnsi="Arial"/>
              </w:rPr>
              <w:t>preferred locations and routes for both onsite and offsite infrastructure.</w:t>
            </w:r>
          </w:p>
          <w:p w14:paraId="50B71A3A" w14:textId="77777777" w:rsidR="00F062D8" w:rsidRDefault="00F062D8" w:rsidP="00F062D8">
            <w:pPr>
              <w:rPr>
                <w:rFonts w:ascii="Arial" w:hAnsi="Arial"/>
              </w:rPr>
            </w:pPr>
            <w:bookmarkStart w:id="66" w:name="_Toc7770266"/>
          </w:p>
          <w:p w14:paraId="1B75FC9D" w14:textId="77777777" w:rsidR="00F062D8" w:rsidRPr="001A5DEE" w:rsidRDefault="001A5DEE" w:rsidP="00F062D8">
            <w:pPr>
              <w:rPr>
                <w:rFonts w:ascii="Arial" w:hAnsi="Arial"/>
                <w:b/>
              </w:rPr>
            </w:pPr>
            <w:r>
              <w:rPr>
                <w:rFonts w:ascii="Arial" w:hAnsi="Arial"/>
                <w:b/>
              </w:rPr>
              <w:t xml:space="preserve">8.2 </w:t>
            </w:r>
            <w:r w:rsidR="00F062D8" w:rsidRPr="001A5DEE">
              <w:rPr>
                <w:rFonts w:ascii="Arial" w:hAnsi="Arial"/>
                <w:b/>
              </w:rPr>
              <w:t>Geology</w:t>
            </w:r>
            <w:bookmarkEnd w:id="66"/>
          </w:p>
          <w:p w14:paraId="1868C8D6" w14:textId="77777777" w:rsidR="00F062D8" w:rsidRPr="00F062D8" w:rsidRDefault="00F062D8" w:rsidP="00F062D8">
            <w:pPr>
              <w:rPr>
                <w:rFonts w:ascii="Arial" w:hAnsi="Arial"/>
              </w:rPr>
            </w:pPr>
          </w:p>
          <w:p w14:paraId="06ED7D42" w14:textId="77777777" w:rsidR="00F062D8" w:rsidRPr="00B1449D" w:rsidRDefault="00F062D8" w:rsidP="007F48D5">
            <w:pPr>
              <w:spacing w:after="120"/>
              <w:jc w:val="both"/>
              <w:rPr>
                <w:rFonts w:ascii="Arial" w:hAnsi="Arial"/>
              </w:rPr>
            </w:pPr>
            <w:r w:rsidRPr="00F062D8">
              <w:rPr>
                <w:rFonts w:ascii="Arial" w:hAnsi="Arial"/>
              </w:rPr>
              <w:t>The Project site is located near the south-western edge of the Murray Basin, which at its widest, extends 1,</w:t>
            </w:r>
            <w:r w:rsidRPr="00B1449D">
              <w:rPr>
                <w:rFonts w:ascii="Arial" w:hAnsi="Arial"/>
              </w:rPr>
              <w:t>200 km from near Cooma in N</w:t>
            </w:r>
            <w:r w:rsidR="007970FC" w:rsidRPr="00B1449D">
              <w:rPr>
                <w:rFonts w:ascii="Arial" w:hAnsi="Arial"/>
              </w:rPr>
              <w:t xml:space="preserve">ew </w:t>
            </w:r>
            <w:r w:rsidRPr="00B1449D">
              <w:rPr>
                <w:rFonts w:ascii="Arial" w:hAnsi="Arial"/>
              </w:rPr>
              <w:t>S</w:t>
            </w:r>
            <w:r w:rsidR="007970FC" w:rsidRPr="00B1449D">
              <w:rPr>
                <w:rFonts w:ascii="Arial" w:hAnsi="Arial"/>
              </w:rPr>
              <w:t xml:space="preserve">outh </w:t>
            </w:r>
            <w:r w:rsidRPr="00B1449D">
              <w:rPr>
                <w:rFonts w:ascii="Arial" w:hAnsi="Arial"/>
              </w:rPr>
              <w:t>W</w:t>
            </w:r>
            <w:r w:rsidR="007970FC" w:rsidRPr="00B1449D">
              <w:rPr>
                <w:rFonts w:ascii="Arial" w:hAnsi="Arial"/>
              </w:rPr>
              <w:t>ales (NSW)</w:t>
            </w:r>
            <w:r w:rsidRPr="00B1449D">
              <w:rPr>
                <w:rFonts w:ascii="Arial" w:hAnsi="Arial"/>
              </w:rPr>
              <w:t xml:space="preserve"> where it is bounded by the Great Dividing Range to the east, to the Murray mouth in South Australia to the west. In the north, the basin extends from Broken Hill in NSW to the south of Horsham and just north of Melbourne, Victoria.  </w:t>
            </w:r>
          </w:p>
          <w:p w14:paraId="53862A72" w14:textId="77777777" w:rsidR="00F062D8" w:rsidRPr="00B1449D" w:rsidRDefault="00F062D8" w:rsidP="007F48D5">
            <w:pPr>
              <w:spacing w:after="120"/>
              <w:jc w:val="both"/>
              <w:rPr>
                <w:rFonts w:ascii="Arial" w:hAnsi="Arial"/>
              </w:rPr>
            </w:pPr>
            <w:r w:rsidRPr="00B1449D">
              <w:rPr>
                <w:rFonts w:ascii="Arial" w:hAnsi="Arial"/>
              </w:rPr>
              <w:t xml:space="preserve">The formation of the Murray Basin is the result of basement subsidence following the break-up of Gondwana, and the subsequent periods of marine transgression and regression during the Tertiary period. </w:t>
            </w:r>
            <w:bookmarkStart w:id="67" w:name="_Hlk8113521"/>
            <w:r w:rsidRPr="00B1449D">
              <w:rPr>
                <w:rFonts w:ascii="Arial" w:hAnsi="Arial"/>
              </w:rPr>
              <w:t>The Murray Basin comprises a thickness of up to about 600 m of marine, coastal and continental sediments that is underlain by Palaeozoic basement rocks and surrounded by low mountain ranges of the same age.</w:t>
            </w:r>
            <w:bookmarkEnd w:id="67"/>
          </w:p>
          <w:p w14:paraId="5C900A61" w14:textId="77777777" w:rsidR="00DE6F34" w:rsidRPr="00B1449D" w:rsidRDefault="00F062D8" w:rsidP="007F48D5">
            <w:pPr>
              <w:spacing w:after="120"/>
              <w:jc w:val="both"/>
              <w:rPr>
                <w:rFonts w:ascii="Arial" w:hAnsi="Arial"/>
              </w:rPr>
            </w:pPr>
            <w:r w:rsidRPr="00B1449D">
              <w:rPr>
                <w:rFonts w:ascii="Arial" w:hAnsi="Arial"/>
              </w:rPr>
              <w:t xml:space="preserve">The WIM100 deposit falls within the Mallee-Limestone Province of the Murray Basin, which lies to the west of the </w:t>
            </w:r>
            <w:proofErr w:type="spellStart"/>
            <w:r w:rsidRPr="00B1449D">
              <w:rPr>
                <w:rFonts w:ascii="Arial" w:hAnsi="Arial"/>
              </w:rPr>
              <w:t>Neckarboo</w:t>
            </w:r>
            <w:proofErr w:type="spellEnd"/>
            <w:r w:rsidRPr="00B1449D">
              <w:rPr>
                <w:rFonts w:ascii="Arial" w:hAnsi="Arial"/>
              </w:rPr>
              <w:t xml:space="preserve"> Ridge in western Victoria and South Australia. </w:t>
            </w:r>
          </w:p>
          <w:p w14:paraId="1CEB1FD4" w14:textId="192B0C23" w:rsidR="00DE6F34" w:rsidRPr="00B1449D" w:rsidRDefault="00DE6F34" w:rsidP="00615F56">
            <w:pPr>
              <w:spacing w:after="120"/>
              <w:jc w:val="both"/>
              <w:rPr>
                <w:rFonts w:ascii="Arial" w:hAnsi="Arial" w:cs="Arial"/>
              </w:rPr>
            </w:pPr>
            <w:r w:rsidRPr="00B1449D">
              <w:rPr>
                <w:rFonts w:ascii="Arial" w:hAnsi="Arial" w:cs="Arial"/>
              </w:rPr>
              <w:t xml:space="preserve">Drilling data and literature suggest the regional geology comprises the following key units (from youngest to oldest; Figure </w:t>
            </w:r>
            <w:r w:rsidR="007E61D6">
              <w:rPr>
                <w:rFonts w:ascii="Arial" w:hAnsi="Arial" w:cs="Arial"/>
              </w:rPr>
              <w:t>4</w:t>
            </w:r>
            <w:r w:rsidRPr="00B1449D">
              <w:rPr>
                <w:rFonts w:ascii="Arial" w:hAnsi="Arial" w:cs="Arial"/>
              </w:rPr>
              <w:t xml:space="preserve">): </w:t>
            </w:r>
          </w:p>
          <w:p w14:paraId="0330D3C6" w14:textId="77777777" w:rsidR="00DE6F34" w:rsidRPr="00B1449D" w:rsidRDefault="00DE6F34" w:rsidP="00C70314">
            <w:pPr>
              <w:pStyle w:val="IlukaBodyText1"/>
              <w:numPr>
                <w:ilvl w:val="0"/>
                <w:numId w:val="12"/>
              </w:numPr>
              <w:spacing w:after="120"/>
              <w:rPr>
                <w:sz w:val="20"/>
                <w:szCs w:val="20"/>
              </w:rPr>
            </w:pPr>
            <w:r w:rsidRPr="00B1449D">
              <w:rPr>
                <w:sz w:val="20"/>
                <w:szCs w:val="20"/>
              </w:rPr>
              <w:t xml:space="preserve">Shepparton Formation (Late Tertiary to Quaternary) – The formation comprises poorly-consolidated, grey-brown and red-brown sandy clays (approximately 5 m thick); </w:t>
            </w:r>
          </w:p>
          <w:p w14:paraId="0338F88C" w14:textId="77777777" w:rsidR="00DE6F34" w:rsidRPr="00B1449D" w:rsidRDefault="00DE6F34" w:rsidP="00C70314">
            <w:pPr>
              <w:pStyle w:val="IlukaBodyText1"/>
              <w:numPr>
                <w:ilvl w:val="0"/>
                <w:numId w:val="12"/>
              </w:numPr>
              <w:spacing w:after="120"/>
              <w:rPr>
                <w:sz w:val="20"/>
                <w:szCs w:val="20"/>
              </w:rPr>
            </w:pPr>
            <w:r w:rsidRPr="00B1449D">
              <w:rPr>
                <w:sz w:val="20"/>
                <w:szCs w:val="20"/>
              </w:rPr>
              <w:t>Loxton-Parilla Sands (LPS; Late Tertiary) – The LPS comprises grey-brown sand with some minor clays, these representing a depositional sequence of foreshore, surf-zone and offshore sediments (approximately 20 to 25 m thick). The mineralisation is hosted within the Lower LPS unit and is characterised by extensive sheets of very fine-grained sediments within well sorted clayey sand. The Lower LPS Unit is approximately 10 metres (m) thick and covers an area of about 25 square kilometres (km</w:t>
            </w:r>
            <w:r w:rsidRPr="00B1449D">
              <w:rPr>
                <w:sz w:val="20"/>
                <w:szCs w:val="20"/>
                <w:vertAlign w:val="superscript"/>
              </w:rPr>
              <w:t>2</w:t>
            </w:r>
            <w:r w:rsidRPr="00B1449D">
              <w:rPr>
                <w:sz w:val="20"/>
                <w:szCs w:val="20"/>
              </w:rPr>
              <w:t>). Heavy mineral grades in the Lower LPS range from 1 to 15%. The LPS unit is considered a regionally-significant, unconfined aquifer that receives rainfall-derived recharge. The mineralisation in the Lower LPS is almost entirely beneath the water table, which is approximately 15-18 m below ground level (</w:t>
            </w:r>
            <w:proofErr w:type="spellStart"/>
            <w:r w:rsidRPr="00B1449D">
              <w:rPr>
                <w:sz w:val="20"/>
                <w:szCs w:val="20"/>
              </w:rPr>
              <w:t>mBGL</w:t>
            </w:r>
            <w:proofErr w:type="spellEnd"/>
            <w:r w:rsidRPr="00B1449D">
              <w:rPr>
                <w:sz w:val="20"/>
                <w:szCs w:val="20"/>
              </w:rPr>
              <w:t>). Dewatering will therefore be required to allow mining;</w:t>
            </w:r>
          </w:p>
          <w:p w14:paraId="3BA3CD62" w14:textId="77777777" w:rsidR="00DE6F34" w:rsidRPr="00B1449D" w:rsidRDefault="00DE6F34" w:rsidP="00C70314">
            <w:pPr>
              <w:pStyle w:val="IlukaBodyText1"/>
              <w:numPr>
                <w:ilvl w:val="0"/>
                <w:numId w:val="12"/>
              </w:numPr>
              <w:spacing w:after="120"/>
              <w:rPr>
                <w:sz w:val="20"/>
                <w:szCs w:val="20"/>
              </w:rPr>
            </w:pPr>
            <w:r w:rsidRPr="00B1449D">
              <w:rPr>
                <w:sz w:val="20"/>
                <w:szCs w:val="20"/>
              </w:rPr>
              <w:t>Murray Group Limestone (MGL; Mid-Tertiary) – The unit comprises highly fossiliferous limestones and calcareous sandstones, and may be present to the southwest of the study area (to be verified during a groundwater well drilling program in mid-2019);</w:t>
            </w:r>
          </w:p>
          <w:p w14:paraId="160AEDC2" w14:textId="77777777" w:rsidR="00DE6F34" w:rsidRPr="00B1449D" w:rsidRDefault="00DE6F34" w:rsidP="00C70314">
            <w:pPr>
              <w:pStyle w:val="IlukaBodyText1"/>
              <w:numPr>
                <w:ilvl w:val="0"/>
                <w:numId w:val="12"/>
              </w:numPr>
              <w:spacing w:after="120"/>
              <w:rPr>
                <w:rFonts w:asciiTheme="minorHAnsi" w:hAnsiTheme="minorHAnsi" w:cstheme="minorHAnsi"/>
                <w:sz w:val="21"/>
                <w:szCs w:val="21"/>
              </w:rPr>
            </w:pPr>
            <w:proofErr w:type="spellStart"/>
            <w:r w:rsidRPr="00B1449D">
              <w:rPr>
                <w:sz w:val="20"/>
                <w:szCs w:val="20"/>
              </w:rPr>
              <w:t>Geera</w:t>
            </w:r>
            <w:proofErr w:type="spellEnd"/>
            <w:r w:rsidRPr="00B1449D">
              <w:rPr>
                <w:sz w:val="20"/>
                <w:szCs w:val="20"/>
              </w:rPr>
              <w:t xml:space="preserve"> Clay, </w:t>
            </w:r>
            <w:proofErr w:type="spellStart"/>
            <w:r w:rsidRPr="00B1449D">
              <w:rPr>
                <w:sz w:val="20"/>
                <w:szCs w:val="20"/>
              </w:rPr>
              <w:t>Winnambool</w:t>
            </w:r>
            <w:proofErr w:type="spellEnd"/>
            <w:r w:rsidRPr="00B1449D">
              <w:rPr>
                <w:sz w:val="20"/>
                <w:szCs w:val="20"/>
              </w:rPr>
              <w:t xml:space="preserve">, and Ettrick Formations (Mid-Tertiary) – All of these units may be represented at depth, potentially dependent on location. The </w:t>
            </w:r>
            <w:proofErr w:type="spellStart"/>
            <w:r w:rsidRPr="00B1449D">
              <w:rPr>
                <w:sz w:val="20"/>
                <w:szCs w:val="20"/>
              </w:rPr>
              <w:t>Geera</w:t>
            </w:r>
            <w:proofErr w:type="spellEnd"/>
            <w:r w:rsidRPr="00B1449D">
              <w:rPr>
                <w:sz w:val="20"/>
                <w:szCs w:val="20"/>
              </w:rPr>
              <w:t xml:space="preserve"> Clay comprises carbonaceous dark grey-black silts and plastic clays with an estimated clay content of 75% (approximately 20 m thick). The </w:t>
            </w:r>
            <w:proofErr w:type="spellStart"/>
            <w:r w:rsidRPr="00B1449D">
              <w:rPr>
                <w:sz w:val="20"/>
                <w:szCs w:val="20"/>
              </w:rPr>
              <w:t>Geera</w:t>
            </w:r>
            <w:proofErr w:type="spellEnd"/>
            <w:r w:rsidRPr="00B1449D">
              <w:rPr>
                <w:sz w:val="20"/>
                <w:szCs w:val="20"/>
              </w:rPr>
              <w:t xml:space="preserve"> Clay is associated with the </w:t>
            </w:r>
            <w:proofErr w:type="spellStart"/>
            <w:r w:rsidRPr="00B1449D">
              <w:rPr>
                <w:sz w:val="20"/>
                <w:szCs w:val="20"/>
              </w:rPr>
              <w:t>Winnambool</w:t>
            </w:r>
            <w:proofErr w:type="spellEnd"/>
            <w:r w:rsidRPr="00B1449D">
              <w:rPr>
                <w:sz w:val="20"/>
                <w:szCs w:val="20"/>
              </w:rPr>
              <w:t xml:space="preserve"> and Ettrick Formations, all of which were deposited during marine transgressions (Jacobs, 2018b). All these units overlie Palaeozoic basement.</w:t>
            </w:r>
          </w:p>
          <w:p w14:paraId="3C4FF069" w14:textId="5820B676" w:rsidR="00C40C6E" w:rsidRPr="00B1449D" w:rsidRDefault="00774266" w:rsidP="00B868CC">
            <w:pPr>
              <w:spacing w:after="120"/>
              <w:jc w:val="both"/>
              <w:rPr>
                <w:rFonts w:ascii="Arial" w:hAnsi="Arial" w:cs="Arial"/>
              </w:rPr>
            </w:pPr>
            <w:r w:rsidRPr="00B1449D">
              <w:rPr>
                <w:rFonts w:ascii="Arial" w:hAnsi="Arial" w:cs="Arial"/>
              </w:rPr>
              <w:t xml:space="preserve">Acid generation resulting from pit dewatering is not expected to occur. The occurrence of </w:t>
            </w:r>
            <w:r w:rsidR="006E4ACA" w:rsidRPr="006E4ACA">
              <w:rPr>
                <w:rFonts w:ascii="Arial" w:hAnsi="Arial" w:cs="Arial"/>
              </w:rPr>
              <w:t>Acid </w:t>
            </w:r>
            <w:proofErr w:type="spellStart"/>
            <w:r w:rsidR="006E4ACA">
              <w:rPr>
                <w:rFonts w:ascii="Arial" w:hAnsi="Arial" w:cs="Arial"/>
              </w:rPr>
              <w:t>s</w:t>
            </w:r>
            <w:r w:rsidR="006E4ACA" w:rsidRPr="006E4ACA">
              <w:rPr>
                <w:rFonts w:ascii="Arial" w:hAnsi="Arial" w:cs="Arial"/>
              </w:rPr>
              <w:t>ulfate</w:t>
            </w:r>
            <w:proofErr w:type="spellEnd"/>
            <w:r w:rsidR="006E4ACA" w:rsidRPr="006E4ACA">
              <w:rPr>
                <w:rFonts w:ascii="Arial" w:hAnsi="Arial" w:cs="Arial"/>
              </w:rPr>
              <w:t> soil (ASS)</w:t>
            </w:r>
            <w:r w:rsidR="006E4ACA">
              <w:rPr>
                <w:rFonts w:ascii="Arial" w:hAnsi="Arial" w:cs="Arial"/>
              </w:rPr>
              <w:t>/a</w:t>
            </w:r>
            <w:r w:rsidR="006E4ACA" w:rsidRPr="006E4ACA">
              <w:rPr>
                <w:rFonts w:ascii="Arial" w:hAnsi="Arial" w:cs="Arial"/>
              </w:rPr>
              <w:t>cid </w:t>
            </w:r>
            <w:proofErr w:type="spellStart"/>
            <w:r w:rsidR="006E4ACA">
              <w:rPr>
                <w:rFonts w:ascii="Arial" w:hAnsi="Arial" w:cs="Arial"/>
              </w:rPr>
              <w:t>s</w:t>
            </w:r>
            <w:r w:rsidR="006E4ACA" w:rsidRPr="006E4ACA">
              <w:rPr>
                <w:rFonts w:ascii="Arial" w:hAnsi="Arial" w:cs="Arial"/>
              </w:rPr>
              <w:t>ulfate</w:t>
            </w:r>
            <w:proofErr w:type="spellEnd"/>
            <w:r w:rsidR="006E4ACA">
              <w:rPr>
                <w:rFonts w:ascii="Arial" w:hAnsi="Arial" w:cs="Arial"/>
              </w:rPr>
              <w:t xml:space="preserve"> r</w:t>
            </w:r>
            <w:r w:rsidR="006E4ACA" w:rsidRPr="006E4ACA">
              <w:rPr>
                <w:rFonts w:ascii="Arial" w:hAnsi="Arial" w:cs="Arial"/>
              </w:rPr>
              <w:t>ock (ASR) </w:t>
            </w:r>
            <w:r w:rsidRPr="00B1449D">
              <w:rPr>
                <w:rFonts w:ascii="Arial" w:hAnsi="Arial" w:cs="Arial"/>
              </w:rPr>
              <w:t>has been assessed via the sampling and geochemical analysis of samples collected during an exploration drilling program undertaken in March 2018. A total of four samples were collected from the southern half of the deposit (approximately 2</w:t>
            </w:r>
            <w:r w:rsidR="006E4ACA">
              <w:rPr>
                <w:rFonts w:ascii="Arial" w:hAnsi="Arial" w:cs="Arial"/>
              </w:rPr>
              <w:t xml:space="preserve"> </w:t>
            </w:r>
            <w:r w:rsidRPr="00B1449D">
              <w:rPr>
                <w:rFonts w:ascii="Arial" w:hAnsi="Arial" w:cs="Arial"/>
              </w:rPr>
              <w:t xml:space="preserve">km south of the test pit site) for analysis via the chromium reducible </w:t>
            </w:r>
            <w:proofErr w:type="spellStart"/>
            <w:r w:rsidRPr="00B1449D">
              <w:rPr>
                <w:rFonts w:ascii="Arial" w:hAnsi="Arial" w:cs="Arial"/>
              </w:rPr>
              <w:t>sulfur</w:t>
            </w:r>
            <w:proofErr w:type="spellEnd"/>
            <w:r w:rsidRPr="00B1449D">
              <w:rPr>
                <w:rFonts w:ascii="Arial" w:hAnsi="Arial" w:cs="Arial"/>
              </w:rPr>
              <w:t xml:space="preserve"> suite and </w:t>
            </w:r>
            <w:r w:rsidR="006E4ACA">
              <w:rPr>
                <w:rFonts w:ascii="Arial" w:hAnsi="Arial" w:cs="Arial"/>
              </w:rPr>
              <w:t xml:space="preserve">net acid generation (NAG) </w:t>
            </w:r>
            <w:proofErr w:type="spellStart"/>
            <w:r w:rsidRPr="00B1449D">
              <w:rPr>
                <w:rFonts w:ascii="Arial" w:hAnsi="Arial" w:cs="Arial"/>
              </w:rPr>
              <w:t>NAGpH</w:t>
            </w:r>
            <w:proofErr w:type="spellEnd"/>
            <w:r w:rsidRPr="00B1449D">
              <w:rPr>
                <w:rFonts w:ascii="Arial" w:hAnsi="Arial" w:cs="Arial"/>
              </w:rPr>
              <w:t xml:space="preserve">. The results of the analysis were compared to the criteria in Publication 655.1 (EPA 2009) and the classification criteria set out in </w:t>
            </w:r>
            <w:r w:rsidR="006E4ACA">
              <w:rPr>
                <w:rFonts w:ascii="Arial" w:hAnsi="Arial" w:cs="Arial"/>
              </w:rPr>
              <w:t>the</w:t>
            </w:r>
            <w:r w:rsidR="006E4ACA" w:rsidRPr="006E4ACA">
              <w:rPr>
                <w:rFonts w:ascii="Arial" w:hAnsi="Arial" w:cs="Arial"/>
              </w:rPr>
              <w:t xml:space="preserve"> </w:t>
            </w:r>
            <w:r w:rsidR="006E4ACA" w:rsidRPr="006E4ACA">
              <w:rPr>
                <w:rFonts w:ascii="Arial" w:hAnsi="Arial" w:cs="Arial"/>
                <w:i/>
                <w:iCs/>
              </w:rPr>
              <w:t>Acid Rock Drainage Test Handbook</w:t>
            </w:r>
            <w:r w:rsidR="006E4ACA" w:rsidRPr="006E4ACA">
              <w:rPr>
                <w:rFonts w:ascii="Arial" w:hAnsi="Arial" w:cs="Arial"/>
              </w:rPr>
              <w:t xml:space="preserve"> (AMIRA 2002).</w:t>
            </w:r>
          </w:p>
          <w:p w14:paraId="457D986E" w14:textId="61BA9DD3" w:rsidR="00F062D8" w:rsidRDefault="00774266" w:rsidP="00B868CC">
            <w:pPr>
              <w:spacing w:after="120"/>
              <w:jc w:val="both"/>
              <w:rPr>
                <w:rFonts w:ascii="Arial" w:hAnsi="Arial" w:cs="Arial"/>
              </w:rPr>
            </w:pPr>
            <w:r w:rsidRPr="00B1449D">
              <w:rPr>
                <w:rFonts w:ascii="Arial" w:hAnsi="Arial" w:cs="Arial"/>
              </w:rPr>
              <w:t xml:space="preserve">The </w:t>
            </w:r>
            <w:r w:rsidR="00C40C6E" w:rsidRPr="00B1449D">
              <w:rPr>
                <w:rFonts w:ascii="Arial" w:hAnsi="Arial" w:cs="Arial"/>
              </w:rPr>
              <w:t xml:space="preserve">analysis </w:t>
            </w:r>
            <w:r w:rsidRPr="00B1449D">
              <w:rPr>
                <w:rFonts w:ascii="Arial" w:hAnsi="Arial" w:cs="Arial"/>
              </w:rPr>
              <w:t>results provide no indication of</w:t>
            </w:r>
            <w:r w:rsidR="006E4ACA">
              <w:rPr>
                <w:rFonts w:ascii="Arial" w:hAnsi="Arial" w:cs="Arial"/>
              </w:rPr>
              <w:t xml:space="preserve"> the presence of </w:t>
            </w:r>
            <w:r w:rsidRPr="00B1449D">
              <w:rPr>
                <w:rFonts w:ascii="Arial" w:hAnsi="Arial" w:cs="Arial"/>
              </w:rPr>
              <w:t xml:space="preserve">acid </w:t>
            </w:r>
            <w:proofErr w:type="spellStart"/>
            <w:r w:rsidRPr="00B1449D">
              <w:rPr>
                <w:rFonts w:ascii="Arial" w:hAnsi="Arial" w:cs="Arial"/>
              </w:rPr>
              <w:t>sulfate</w:t>
            </w:r>
            <w:proofErr w:type="spellEnd"/>
            <w:r w:rsidRPr="00B1449D">
              <w:rPr>
                <w:rFonts w:ascii="Arial" w:hAnsi="Arial" w:cs="Arial"/>
              </w:rPr>
              <w:t xml:space="preserve"> soils or acid </w:t>
            </w:r>
            <w:proofErr w:type="spellStart"/>
            <w:r w:rsidRPr="00B1449D">
              <w:rPr>
                <w:rFonts w:ascii="Arial" w:hAnsi="Arial" w:cs="Arial"/>
              </w:rPr>
              <w:t>sulfate</w:t>
            </w:r>
            <w:proofErr w:type="spellEnd"/>
            <w:r w:rsidRPr="00B1449D">
              <w:rPr>
                <w:rFonts w:ascii="Arial" w:hAnsi="Arial" w:cs="Arial"/>
              </w:rPr>
              <w:t xml:space="preserve"> rock. The analysis results and assessment are described in the report </w:t>
            </w:r>
            <w:r w:rsidRPr="006E4ACA">
              <w:rPr>
                <w:rFonts w:ascii="Arial" w:hAnsi="Arial" w:cs="Arial"/>
                <w:i/>
                <w:iCs/>
              </w:rPr>
              <w:t xml:space="preserve">WIM100 Test Pit – Preliminary Dewatering Assessment </w:t>
            </w:r>
            <w:r w:rsidRPr="00B1449D">
              <w:rPr>
                <w:rFonts w:ascii="Arial" w:hAnsi="Arial" w:cs="Arial"/>
              </w:rPr>
              <w:t>(Jacobs</w:t>
            </w:r>
            <w:r w:rsidR="006E4ACA">
              <w:rPr>
                <w:rFonts w:ascii="Arial" w:hAnsi="Arial" w:cs="Arial"/>
              </w:rPr>
              <w:t xml:space="preserve"> 2018</w:t>
            </w:r>
            <w:r w:rsidR="00D00BD4" w:rsidRPr="00B1449D">
              <w:rPr>
                <w:rFonts w:ascii="Arial" w:hAnsi="Arial" w:cs="Arial"/>
              </w:rPr>
              <w:t>b</w:t>
            </w:r>
            <w:r w:rsidRPr="00B1449D">
              <w:rPr>
                <w:rFonts w:ascii="Arial" w:hAnsi="Arial" w:cs="Arial"/>
              </w:rPr>
              <w:t>). Furthermore, no evidence of acid generation has been observed in the groundwater monitoring results for samples obtained during and following dewatering activities at the test pit site</w:t>
            </w:r>
            <w:r w:rsidR="00F062D8" w:rsidRPr="00B1449D">
              <w:rPr>
                <w:rFonts w:ascii="Arial" w:hAnsi="Arial" w:cs="Arial"/>
              </w:rPr>
              <w:t xml:space="preserve">. </w:t>
            </w:r>
          </w:p>
          <w:p w14:paraId="4F458922" w14:textId="77777777" w:rsidR="008D4567" w:rsidRPr="00B1449D" w:rsidRDefault="008D4567" w:rsidP="00B868CC">
            <w:pPr>
              <w:spacing w:after="120"/>
              <w:jc w:val="both"/>
              <w:rPr>
                <w:rFonts w:ascii="Arial" w:hAnsi="Arial" w:cs="Arial"/>
              </w:rPr>
            </w:pPr>
          </w:p>
          <w:p w14:paraId="7E4D9344" w14:textId="77777777" w:rsidR="001A5DEE" w:rsidRPr="00F062D8" w:rsidRDefault="001A5DEE" w:rsidP="00F062D8">
            <w:pPr>
              <w:rPr>
                <w:rFonts w:ascii="Arial" w:hAnsi="Arial"/>
              </w:rPr>
            </w:pPr>
          </w:p>
          <w:p w14:paraId="011799B5" w14:textId="77777777" w:rsidR="00F062D8" w:rsidRDefault="001A5DEE" w:rsidP="00F062D8">
            <w:pPr>
              <w:rPr>
                <w:rFonts w:ascii="Arial" w:hAnsi="Arial"/>
                <w:b/>
              </w:rPr>
            </w:pPr>
            <w:bookmarkStart w:id="68" w:name="_Toc7770267"/>
            <w:r>
              <w:rPr>
                <w:rFonts w:ascii="Arial" w:hAnsi="Arial"/>
                <w:b/>
              </w:rPr>
              <w:t xml:space="preserve">8.3 </w:t>
            </w:r>
            <w:r w:rsidR="00F062D8" w:rsidRPr="001A5DEE">
              <w:rPr>
                <w:rFonts w:ascii="Arial" w:hAnsi="Arial"/>
                <w:b/>
              </w:rPr>
              <w:t>Groundwater</w:t>
            </w:r>
            <w:bookmarkEnd w:id="68"/>
          </w:p>
          <w:p w14:paraId="01706DEE" w14:textId="77777777" w:rsidR="00871457" w:rsidRDefault="00871457" w:rsidP="00F062D8">
            <w:pPr>
              <w:rPr>
                <w:rFonts w:ascii="Arial" w:hAnsi="Arial"/>
                <w:b/>
              </w:rPr>
            </w:pPr>
          </w:p>
          <w:p w14:paraId="5135E747" w14:textId="1A35F394" w:rsidR="00F062D8" w:rsidRDefault="00F062D8" w:rsidP="00C40C6E">
            <w:pPr>
              <w:spacing w:after="120"/>
              <w:jc w:val="both"/>
              <w:rPr>
                <w:rFonts w:ascii="Arial" w:hAnsi="Arial"/>
              </w:rPr>
            </w:pPr>
            <w:r w:rsidRPr="00F062D8">
              <w:rPr>
                <w:rFonts w:ascii="Arial" w:hAnsi="Arial"/>
              </w:rPr>
              <w:t>The regional water table in the LPS is around 15</w:t>
            </w:r>
            <w:r w:rsidR="00835FD9">
              <w:rPr>
                <w:rFonts w:ascii="Arial" w:hAnsi="Arial"/>
              </w:rPr>
              <w:t>–</w:t>
            </w:r>
            <w:r w:rsidRPr="00F062D8">
              <w:rPr>
                <w:rFonts w:ascii="Arial" w:hAnsi="Arial"/>
              </w:rPr>
              <w:t>18 m below ground level (</w:t>
            </w:r>
            <w:proofErr w:type="spellStart"/>
            <w:r w:rsidRPr="00F062D8">
              <w:rPr>
                <w:rFonts w:ascii="Arial" w:hAnsi="Arial"/>
              </w:rPr>
              <w:t>mBGL</w:t>
            </w:r>
            <w:proofErr w:type="spellEnd"/>
            <w:r w:rsidRPr="00F062D8">
              <w:rPr>
                <w:rFonts w:ascii="Arial" w:hAnsi="Arial"/>
              </w:rPr>
              <w:t>). The mineralised zone within the LPS tends to occur below the regional water table</w:t>
            </w:r>
            <w:r w:rsidR="00835FD9">
              <w:rPr>
                <w:rFonts w:ascii="Arial" w:hAnsi="Arial"/>
              </w:rPr>
              <w:t xml:space="preserve"> (Figure </w:t>
            </w:r>
            <w:r w:rsidR="007E61D6">
              <w:rPr>
                <w:rFonts w:ascii="Arial" w:hAnsi="Arial"/>
              </w:rPr>
              <w:t>4</w:t>
            </w:r>
            <w:r w:rsidR="00835FD9">
              <w:rPr>
                <w:rFonts w:ascii="Arial" w:hAnsi="Arial"/>
              </w:rPr>
              <w:t>)</w:t>
            </w:r>
            <w:r w:rsidRPr="00F062D8">
              <w:rPr>
                <w:rFonts w:ascii="Arial" w:hAnsi="Arial"/>
              </w:rPr>
              <w:t>.</w:t>
            </w:r>
          </w:p>
          <w:p w14:paraId="1BF66D64" w14:textId="77777777" w:rsidR="00F062D8" w:rsidRDefault="00F062D8" w:rsidP="00C40C6E">
            <w:pPr>
              <w:spacing w:after="120"/>
              <w:jc w:val="both"/>
              <w:rPr>
                <w:rFonts w:ascii="Arial" w:hAnsi="Arial"/>
              </w:rPr>
            </w:pPr>
            <w:r w:rsidRPr="00F062D8">
              <w:rPr>
                <w:rFonts w:ascii="Arial" w:hAnsi="Arial"/>
              </w:rPr>
              <w:t xml:space="preserve">The majority of </w:t>
            </w:r>
            <w:bookmarkStart w:id="69" w:name="_Hlk5178666"/>
            <w:r w:rsidRPr="00F062D8">
              <w:rPr>
                <w:rFonts w:ascii="Arial" w:hAnsi="Arial"/>
              </w:rPr>
              <w:t xml:space="preserve">surface water features </w:t>
            </w:r>
            <w:bookmarkEnd w:id="69"/>
            <w:r w:rsidRPr="00F062D8">
              <w:rPr>
                <w:rFonts w:ascii="Arial" w:hAnsi="Arial"/>
              </w:rPr>
              <w:t>throughout the region occur in depressions that overlay impermeable clays of the Shepparton Formation. It is conceptualised that surface water pooled in these depressions slowly infiltrates into the Shepparton Formation and subsequently, into the underlying LPS (Jacobs 2018a). As a result, groundwater dependent ecosystems (GDEs) in the proximity of these surface water features are likely to rely on perched or local groundwater, rather than the underlying regional groundwater.</w:t>
            </w:r>
          </w:p>
          <w:p w14:paraId="57CF5158" w14:textId="77777777" w:rsidR="00F062D8" w:rsidRDefault="00F062D8" w:rsidP="00C40C6E">
            <w:pPr>
              <w:spacing w:after="120"/>
              <w:jc w:val="both"/>
              <w:rPr>
                <w:rFonts w:ascii="Arial" w:hAnsi="Arial"/>
              </w:rPr>
            </w:pPr>
            <w:r w:rsidRPr="00F062D8">
              <w:rPr>
                <w:rFonts w:ascii="Arial" w:hAnsi="Arial"/>
              </w:rPr>
              <w:t xml:space="preserve">Hydraulic testing of the Shepparton Formation, LPS or </w:t>
            </w:r>
            <w:proofErr w:type="spellStart"/>
            <w:r w:rsidRPr="00F062D8">
              <w:rPr>
                <w:rFonts w:ascii="Arial" w:hAnsi="Arial"/>
              </w:rPr>
              <w:t>Geera</w:t>
            </w:r>
            <w:proofErr w:type="spellEnd"/>
            <w:r w:rsidRPr="00F062D8">
              <w:rPr>
                <w:rFonts w:ascii="Arial" w:hAnsi="Arial"/>
              </w:rPr>
              <w:t xml:space="preserve"> Clay has yet to be undertaken at the Project site, with the exception of slug testing undertaken on the two monitoring wells installed at the test pit. Hydraulic testing will be part of ongoing detailed hydrogeological investigations. Available and inferred hydraulic head data suggests the LPS aquifer is unconfined at the Project site.</w:t>
            </w:r>
          </w:p>
          <w:p w14:paraId="477089C4" w14:textId="3A09C585" w:rsidR="00F062D8" w:rsidRDefault="00F062D8" w:rsidP="00C40C6E">
            <w:pPr>
              <w:spacing w:after="120"/>
              <w:jc w:val="both"/>
              <w:rPr>
                <w:rFonts w:ascii="Arial" w:hAnsi="Arial"/>
              </w:rPr>
            </w:pPr>
            <w:r w:rsidRPr="00F062D8">
              <w:rPr>
                <w:rFonts w:ascii="Arial" w:hAnsi="Arial"/>
              </w:rPr>
              <w:t xml:space="preserve">Groundwater levels and flow directions at the Project site have been estimated as part of initial baseline assessment across a broader study area (Jacobs 2018a), and groundwater modelling associated with the test pit site (Jacobs 2018b). The prevailing groundwater flow direction is interpreted to be north to north-west, declining from greater than 150 m AHD near </w:t>
            </w:r>
            <w:r w:rsidR="0073776F">
              <w:rPr>
                <w:rFonts w:ascii="Arial" w:hAnsi="Arial"/>
              </w:rPr>
              <w:t xml:space="preserve">the </w:t>
            </w:r>
            <w:r w:rsidRPr="00F062D8">
              <w:rPr>
                <w:rFonts w:ascii="Arial" w:hAnsi="Arial"/>
              </w:rPr>
              <w:t xml:space="preserve">Red Gum Swamp (near the southern boundary of the Project site), to less than 135 m AHD </w:t>
            </w:r>
            <w:r w:rsidR="00835FD9">
              <w:rPr>
                <w:rFonts w:ascii="Arial" w:hAnsi="Arial"/>
              </w:rPr>
              <w:t>near Cooks Lane (</w:t>
            </w:r>
            <w:r w:rsidRPr="00F062D8">
              <w:rPr>
                <w:rFonts w:ascii="Arial" w:hAnsi="Arial"/>
              </w:rPr>
              <w:t>the northern boundary of the Project site</w:t>
            </w:r>
            <w:r w:rsidR="00835FD9">
              <w:rPr>
                <w:rFonts w:ascii="Arial" w:hAnsi="Arial"/>
              </w:rPr>
              <w:t>)</w:t>
            </w:r>
            <w:r w:rsidRPr="00F062D8">
              <w:rPr>
                <w:rFonts w:ascii="Arial" w:hAnsi="Arial"/>
              </w:rPr>
              <w:t>.</w:t>
            </w:r>
          </w:p>
          <w:p w14:paraId="4361F427" w14:textId="7633A6B3" w:rsidR="00F062D8" w:rsidRDefault="00F062D8" w:rsidP="00C40C6E">
            <w:pPr>
              <w:spacing w:after="120"/>
              <w:jc w:val="both"/>
              <w:rPr>
                <w:rFonts w:ascii="Arial" w:hAnsi="Arial"/>
              </w:rPr>
            </w:pPr>
            <w:r w:rsidRPr="00F062D8">
              <w:rPr>
                <w:rFonts w:ascii="Arial" w:hAnsi="Arial"/>
              </w:rPr>
              <w:t xml:space="preserve">In 2018, a test pit was constructed on the Project site. The test pit has a maximum depth of 26 </w:t>
            </w:r>
            <w:proofErr w:type="spellStart"/>
            <w:r w:rsidRPr="00F062D8">
              <w:rPr>
                <w:rFonts w:ascii="Arial" w:hAnsi="Arial"/>
              </w:rPr>
              <w:t>mBGL</w:t>
            </w:r>
            <w:proofErr w:type="spellEnd"/>
            <w:r w:rsidRPr="00F062D8">
              <w:rPr>
                <w:rFonts w:ascii="Arial" w:hAnsi="Arial"/>
              </w:rPr>
              <w:t xml:space="preserve">. Initial groundwater modelling for the test pit predicted that the maximum groundwater inflow rates to the test pit was likely to range between 0.2 and 11 L/s, resulting in a maximum drawdown distance of approximately 550 m </w:t>
            </w:r>
            <w:r w:rsidR="00835FD9">
              <w:rPr>
                <w:rFonts w:ascii="Arial" w:hAnsi="Arial"/>
              </w:rPr>
              <w:t xml:space="preserve">(for the scenarios considered) </w:t>
            </w:r>
            <w:r w:rsidRPr="00F062D8">
              <w:rPr>
                <w:rFonts w:ascii="Arial" w:hAnsi="Arial"/>
              </w:rPr>
              <w:t xml:space="preserve">(Jacobs 2018b). However, slug tests performed on monitoring wells constructed at the test pit site, and site observations during the test pit excavation, suggested that the maximum groundwater inflow rate to the test pit was at the lower end of the predicted range (modelling Scenario 3), with a corresponding drawdown distance of approximately 180 m. Pump testing of the production well </w:t>
            </w:r>
            <w:r w:rsidR="00B22300">
              <w:rPr>
                <w:rFonts w:ascii="Arial" w:hAnsi="Arial"/>
              </w:rPr>
              <w:t xml:space="preserve">that was </w:t>
            </w:r>
            <w:r w:rsidRPr="00F062D8">
              <w:rPr>
                <w:rFonts w:ascii="Arial" w:hAnsi="Arial"/>
              </w:rPr>
              <w:t>constructed at the test pit site in late 2018 is proposed during 2019 to obtain more aquifer hydrogeological data at the site.</w:t>
            </w:r>
          </w:p>
          <w:p w14:paraId="7F8E66ED" w14:textId="168AB125" w:rsidR="008D4567" w:rsidRDefault="008D4567" w:rsidP="00C40C6E">
            <w:pPr>
              <w:spacing w:after="120"/>
              <w:jc w:val="both"/>
              <w:rPr>
                <w:rFonts w:ascii="Arial" w:hAnsi="Arial"/>
              </w:rPr>
            </w:pPr>
            <w:r w:rsidRPr="008D4567">
              <w:rPr>
                <w:rFonts w:ascii="Arial" w:hAnsi="Arial"/>
              </w:rPr>
              <w:t>Groundwater drawdown is not anticipated to affect any groundwater dependent ecosystems (GDEs) that support EPBC Act listed species or threatened ecological communities; this will be verified by the groundwater impact assessment to be undertaken during late 2019/early 2020.</w:t>
            </w:r>
          </w:p>
          <w:p w14:paraId="1FE04EBE" w14:textId="17FE0C14" w:rsidR="00F062D8" w:rsidRDefault="00F062D8" w:rsidP="00C40C6E">
            <w:pPr>
              <w:spacing w:after="120"/>
              <w:jc w:val="both"/>
              <w:rPr>
                <w:rFonts w:ascii="Arial" w:hAnsi="Arial"/>
              </w:rPr>
            </w:pPr>
            <w:r w:rsidRPr="00F062D8">
              <w:rPr>
                <w:rFonts w:ascii="Arial" w:hAnsi="Arial"/>
              </w:rPr>
              <w:t xml:space="preserve">Regional groundwater salinity mapping of the area (DELWP 2014a) indicates groundwater salinity ranges between 3,500 mg/L and 13,000 mg/L total dissolved solids (TDS). However, site-specific results obtained during exploration drilling activities indicate TDS ranges between 2,300 and </w:t>
            </w:r>
            <w:r w:rsidR="00B22300">
              <w:rPr>
                <w:rFonts w:ascii="Arial" w:hAnsi="Arial"/>
              </w:rPr>
              <w:t>4,5</w:t>
            </w:r>
            <w:r w:rsidRPr="00F062D8">
              <w:rPr>
                <w:rFonts w:ascii="Arial" w:hAnsi="Arial"/>
              </w:rPr>
              <w:t xml:space="preserve">00 mg/L at the site. As such, groundwater at the Project site is likely to require management under segments B and C of the State Environment Protection Policy (SEPP) Waters of Victoria (EPA 2018) and would need to be protected against the beneficial uses listed under those segments, as outlined in Table 8.1. </w:t>
            </w:r>
          </w:p>
          <w:p w14:paraId="7B3988F1" w14:textId="2C193BCF" w:rsidR="001C34F3" w:rsidRPr="00D85635" w:rsidRDefault="001F15B9" w:rsidP="001F15B9">
            <w:pPr>
              <w:pStyle w:val="TableCaption"/>
              <w:rPr>
                <w:rFonts w:ascii="Arial" w:hAnsi="Arial" w:cs="Arial"/>
                <w:sz w:val="18"/>
              </w:rPr>
            </w:pPr>
            <w:r w:rsidRPr="00D85635">
              <w:rPr>
                <w:rFonts w:ascii="Arial" w:hAnsi="Arial" w:cs="Arial"/>
                <w:sz w:val="18"/>
              </w:rPr>
              <w:t>Table 8.1</w:t>
            </w:r>
            <w:r w:rsidRPr="00D85635">
              <w:rPr>
                <w:rFonts w:ascii="Arial" w:hAnsi="Arial" w:cs="Arial"/>
                <w:sz w:val="18"/>
              </w:rPr>
              <w:tab/>
              <w:t xml:space="preserve">SEPP Waters of Victoria (2018) - groundwater segment classification and beneficial uses </w:t>
            </w:r>
          </w:p>
        </w:tc>
      </w:tr>
      <w:tr w:rsidR="001C34F3" w14:paraId="1F332C54" w14:textId="77777777" w:rsidTr="001E301B">
        <w:tblPrEx>
          <w:tblBorders>
            <w:top w:val="none" w:sz="0" w:space="0" w:color="auto"/>
            <w:left w:val="none" w:sz="0" w:space="0" w:color="auto"/>
            <w:bottom w:val="none" w:sz="0" w:space="0" w:color="auto"/>
            <w:right w:val="none" w:sz="0" w:space="0" w:color="auto"/>
            <w:insideV w:val="none" w:sz="0" w:space="0" w:color="auto"/>
          </w:tblBorders>
        </w:tblPrEx>
        <w:tc>
          <w:tcPr>
            <w:tcW w:w="8851" w:type="dxa"/>
            <w:tcBorders>
              <w:top w:val="single" w:sz="4" w:space="0" w:color="auto"/>
              <w:left w:val="single" w:sz="4" w:space="0" w:color="auto"/>
              <w:bottom w:val="single" w:sz="4" w:space="0" w:color="auto"/>
              <w:right w:val="single" w:sz="4" w:space="0" w:color="auto"/>
            </w:tcBorders>
          </w:tcPr>
          <w:tbl>
            <w:tblPr>
              <w:tblW w:w="14753" w:type="dxa"/>
              <w:tblBorders>
                <w:top w:val="single" w:sz="2" w:space="0" w:color="262626"/>
                <w:bottom w:val="single" w:sz="2" w:space="0" w:color="262626"/>
              </w:tblBorders>
              <w:tblLayout w:type="fixed"/>
              <w:tblLook w:val="0620" w:firstRow="1" w:lastRow="0" w:firstColumn="0" w:lastColumn="0" w:noHBand="1" w:noVBand="1"/>
            </w:tblPr>
            <w:tblGrid>
              <w:gridCol w:w="3573"/>
              <w:gridCol w:w="2551"/>
              <w:gridCol w:w="2334"/>
              <w:gridCol w:w="55"/>
              <w:gridCol w:w="3651"/>
              <w:gridCol w:w="2589"/>
            </w:tblGrid>
            <w:tr w:rsidR="00835FD9" w:rsidRPr="00177B40" w14:paraId="5763B989" w14:textId="77777777" w:rsidTr="00EE01CC">
              <w:trPr>
                <w:gridAfter w:val="5"/>
                <w:wAfter w:w="11180" w:type="dxa"/>
                <w:tblHeader/>
              </w:trPr>
              <w:tc>
                <w:tcPr>
                  <w:tcW w:w="3573" w:type="dxa"/>
                </w:tcPr>
                <w:p w14:paraId="747C15F8" w14:textId="7D57CB25" w:rsidR="00835FD9" w:rsidRPr="00177B40" w:rsidRDefault="00835FD9" w:rsidP="001F15B9">
                  <w:pPr>
                    <w:pStyle w:val="TableCaption"/>
                    <w:ind w:left="0" w:firstLine="0"/>
                    <w:rPr>
                      <w:rFonts w:ascii="Arial" w:hAnsi="Arial" w:cs="Arial"/>
                    </w:rPr>
                  </w:pPr>
                </w:p>
              </w:tc>
            </w:tr>
            <w:tr w:rsidR="001A5DEE" w:rsidRPr="00177B40" w14:paraId="16D243E0" w14:textId="77777777" w:rsidTr="00EE01CC">
              <w:tblPrEx>
                <w:tblBorders>
                  <w:top w:val="none" w:sz="0" w:space="0" w:color="auto"/>
                  <w:bottom w:val="none" w:sz="0" w:space="0" w:color="auto"/>
                </w:tblBorders>
              </w:tblPrEx>
              <w:trPr>
                <w:gridAfter w:val="3"/>
                <w:wAfter w:w="6295" w:type="dxa"/>
              </w:trPr>
              <w:tc>
                <w:tcPr>
                  <w:tcW w:w="3573" w:type="dxa"/>
                </w:tcPr>
                <w:p w14:paraId="27D1B315" w14:textId="77777777" w:rsidR="001A5DEE" w:rsidRPr="00177B40" w:rsidRDefault="001A5DEE" w:rsidP="001A5DEE">
                  <w:pPr>
                    <w:pStyle w:val="TableHeading"/>
                    <w:rPr>
                      <w:rFonts w:ascii="Arial" w:hAnsi="Arial" w:cs="Arial"/>
                    </w:rPr>
                  </w:pPr>
                  <w:r w:rsidRPr="00177B40">
                    <w:rPr>
                      <w:rFonts w:ascii="Arial" w:hAnsi="Arial" w:cs="Arial"/>
                    </w:rPr>
                    <w:t>Beneficial use</w:t>
                  </w:r>
                </w:p>
              </w:tc>
              <w:tc>
                <w:tcPr>
                  <w:tcW w:w="2551" w:type="dxa"/>
                </w:tcPr>
                <w:p w14:paraId="32CFFF33" w14:textId="77777777" w:rsidR="001A5DEE" w:rsidRPr="00177B40" w:rsidRDefault="001A5DEE" w:rsidP="00E356A3">
                  <w:pPr>
                    <w:pStyle w:val="TableHeading"/>
                    <w:jc w:val="center"/>
                    <w:rPr>
                      <w:rFonts w:ascii="Arial" w:hAnsi="Arial" w:cs="Arial"/>
                    </w:rPr>
                  </w:pPr>
                  <w:r w:rsidRPr="00177B40">
                    <w:rPr>
                      <w:rFonts w:ascii="Arial" w:hAnsi="Arial" w:cs="Arial"/>
                    </w:rPr>
                    <w:t>Segment B</w:t>
                  </w:r>
                </w:p>
                <w:p w14:paraId="707E27CF" w14:textId="068EDF44" w:rsidR="001A5DEE" w:rsidRPr="00177B40" w:rsidRDefault="001A5DEE" w:rsidP="00E356A3">
                  <w:pPr>
                    <w:pStyle w:val="TableHeading"/>
                    <w:jc w:val="center"/>
                    <w:rPr>
                      <w:rFonts w:ascii="Arial" w:hAnsi="Arial" w:cs="Arial"/>
                      <w:b w:val="0"/>
                    </w:rPr>
                  </w:pPr>
                  <w:r w:rsidRPr="00177B40">
                    <w:rPr>
                      <w:rFonts w:ascii="Arial" w:hAnsi="Arial" w:cs="Arial"/>
                      <w:b w:val="0"/>
                    </w:rPr>
                    <w:t>(1,201</w:t>
                  </w:r>
                  <w:r w:rsidR="00EE01CC">
                    <w:rPr>
                      <w:rFonts w:ascii="Arial" w:hAnsi="Arial" w:cs="Arial"/>
                      <w:b w:val="0"/>
                    </w:rPr>
                    <w:t>–</w:t>
                  </w:r>
                  <w:r w:rsidRPr="00177B40">
                    <w:rPr>
                      <w:rFonts w:ascii="Arial" w:hAnsi="Arial" w:cs="Arial"/>
                      <w:b w:val="0"/>
                    </w:rPr>
                    <w:t>3,100 mg/L TDS)</w:t>
                  </w:r>
                </w:p>
              </w:tc>
              <w:tc>
                <w:tcPr>
                  <w:tcW w:w="2334" w:type="dxa"/>
                </w:tcPr>
                <w:p w14:paraId="32CA19B3" w14:textId="77777777" w:rsidR="001A5DEE" w:rsidRPr="00177B40" w:rsidRDefault="001A5DEE" w:rsidP="00E356A3">
                  <w:pPr>
                    <w:pStyle w:val="TableHeading"/>
                    <w:jc w:val="center"/>
                    <w:rPr>
                      <w:rFonts w:ascii="Arial" w:hAnsi="Arial" w:cs="Arial"/>
                    </w:rPr>
                  </w:pPr>
                  <w:r w:rsidRPr="00177B40">
                    <w:rPr>
                      <w:rFonts w:ascii="Arial" w:hAnsi="Arial" w:cs="Arial"/>
                    </w:rPr>
                    <w:t>Segment C</w:t>
                  </w:r>
                </w:p>
                <w:p w14:paraId="1E977BE3" w14:textId="4E90EA80" w:rsidR="001A5DEE" w:rsidRDefault="001A5DEE" w:rsidP="00E356A3">
                  <w:pPr>
                    <w:pStyle w:val="TableHeading"/>
                    <w:jc w:val="center"/>
                    <w:rPr>
                      <w:rFonts w:ascii="Arial" w:hAnsi="Arial" w:cs="Arial"/>
                      <w:b w:val="0"/>
                    </w:rPr>
                  </w:pPr>
                  <w:r w:rsidRPr="00177B40">
                    <w:rPr>
                      <w:rFonts w:ascii="Arial" w:hAnsi="Arial" w:cs="Arial"/>
                      <w:b w:val="0"/>
                    </w:rPr>
                    <w:t>(3,101</w:t>
                  </w:r>
                  <w:r w:rsidR="00EE01CC">
                    <w:rPr>
                      <w:rFonts w:ascii="Arial" w:hAnsi="Arial" w:cs="Arial"/>
                      <w:b w:val="0"/>
                    </w:rPr>
                    <w:t>–</w:t>
                  </w:r>
                  <w:r w:rsidRPr="00177B40">
                    <w:rPr>
                      <w:rFonts w:ascii="Arial" w:hAnsi="Arial" w:cs="Arial"/>
                      <w:b w:val="0"/>
                    </w:rPr>
                    <w:t>5,400 mg/L TDS)</w:t>
                  </w:r>
                </w:p>
                <w:p w14:paraId="0E48B847" w14:textId="1D99567B" w:rsidR="00EE01CC" w:rsidRPr="00177B40" w:rsidRDefault="00EE01CC" w:rsidP="00E356A3">
                  <w:pPr>
                    <w:pStyle w:val="TableHeading"/>
                    <w:jc w:val="center"/>
                    <w:rPr>
                      <w:rFonts w:ascii="Arial" w:hAnsi="Arial" w:cs="Arial"/>
                      <w:b w:val="0"/>
                    </w:rPr>
                  </w:pPr>
                </w:p>
              </w:tc>
            </w:tr>
            <w:tr w:rsidR="001A5DEE" w:rsidRPr="00177B40" w14:paraId="74D90380" w14:textId="77777777" w:rsidTr="00EE01CC">
              <w:tblPrEx>
                <w:tblBorders>
                  <w:top w:val="none" w:sz="0" w:space="0" w:color="auto"/>
                  <w:bottom w:val="none" w:sz="0" w:space="0" w:color="auto"/>
                </w:tblBorders>
              </w:tblPrEx>
              <w:trPr>
                <w:gridAfter w:val="3"/>
                <w:wAfter w:w="6295" w:type="dxa"/>
              </w:trPr>
              <w:tc>
                <w:tcPr>
                  <w:tcW w:w="3573" w:type="dxa"/>
                </w:tcPr>
                <w:p w14:paraId="1B82B82D" w14:textId="77777777" w:rsidR="001A5DEE" w:rsidRPr="00177B40" w:rsidRDefault="001A5DEE" w:rsidP="001A5DEE">
                  <w:pPr>
                    <w:pStyle w:val="TableText"/>
                    <w:rPr>
                      <w:rFonts w:ascii="Arial" w:hAnsi="Arial" w:cs="Arial"/>
                    </w:rPr>
                  </w:pPr>
                  <w:r w:rsidRPr="00177B40">
                    <w:rPr>
                      <w:rFonts w:ascii="Arial" w:hAnsi="Arial" w:cs="Arial"/>
                    </w:rPr>
                    <w:t>Water dependent ecosystems</w:t>
                  </w:r>
                </w:p>
              </w:tc>
              <w:tc>
                <w:tcPr>
                  <w:tcW w:w="2551" w:type="dxa"/>
                </w:tcPr>
                <w:p w14:paraId="00E05AFC"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3A0F37B6"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6B0D542D" w14:textId="77777777" w:rsidTr="00EE01CC">
              <w:tblPrEx>
                <w:tblBorders>
                  <w:top w:val="none" w:sz="0" w:space="0" w:color="auto"/>
                  <w:bottom w:val="none" w:sz="0" w:space="0" w:color="auto"/>
                </w:tblBorders>
              </w:tblPrEx>
              <w:trPr>
                <w:gridAfter w:val="3"/>
                <w:wAfter w:w="6295" w:type="dxa"/>
              </w:trPr>
              <w:tc>
                <w:tcPr>
                  <w:tcW w:w="3573" w:type="dxa"/>
                </w:tcPr>
                <w:p w14:paraId="44684E9E" w14:textId="77777777" w:rsidR="001A5DEE" w:rsidRPr="00177B40" w:rsidRDefault="001A5DEE" w:rsidP="001A5DEE">
                  <w:pPr>
                    <w:pStyle w:val="TableText"/>
                    <w:rPr>
                      <w:rFonts w:ascii="Arial" w:hAnsi="Arial" w:cs="Arial"/>
                    </w:rPr>
                  </w:pPr>
                  <w:r w:rsidRPr="00177B40">
                    <w:rPr>
                      <w:rFonts w:ascii="Arial" w:hAnsi="Arial" w:cs="Arial"/>
                    </w:rPr>
                    <w:t>Potable water supply</w:t>
                  </w:r>
                </w:p>
              </w:tc>
              <w:tc>
                <w:tcPr>
                  <w:tcW w:w="2551" w:type="dxa"/>
                </w:tcPr>
                <w:p w14:paraId="709CECD2" w14:textId="77777777" w:rsidR="001A5DEE" w:rsidRPr="00177B40" w:rsidRDefault="001A5DEE" w:rsidP="00E356A3">
                  <w:pPr>
                    <w:pStyle w:val="TableText"/>
                    <w:jc w:val="center"/>
                    <w:rPr>
                      <w:rFonts w:ascii="Arial" w:hAnsi="Arial" w:cs="Arial"/>
                    </w:rPr>
                  </w:pPr>
                  <w:r w:rsidRPr="00177B40">
                    <w:rPr>
                      <w:rFonts w:ascii="Arial" w:hAnsi="Arial" w:cs="Arial"/>
                    </w:rPr>
                    <w:t>-</w:t>
                  </w:r>
                </w:p>
              </w:tc>
              <w:tc>
                <w:tcPr>
                  <w:tcW w:w="2334" w:type="dxa"/>
                </w:tcPr>
                <w:p w14:paraId="4F3623EE" w14:textId="77777777" w:rsidR="001A5DEE" w:rsidRPr="00177B40" w:rsidRDefault="001A5DEE" w:rsidP="00E356A3">
                  <w:pPr>
                    <w:pStyle w:val="TableText"/>
                    <w:jc w:val="center"/>
                    <w:rPr>
                      <w:rFonts w:ascii="Arial" w:hAnsi="Arial" w:cs="Arial"/>
                    </w:rPr>
                  </w:pPr>
                  <w:r w:rsidRPr="00177B40">
                    <w:rPr>
                      <w:rFonts w:ascii="Arial" w:hAnsi="Arial" w:cs="Arial"/>
                    </w:rPr>
                    <w:t>-</w:t>
                  </w:r>
                </w:p>
              </w:tc>
            </w:tr>
            <w:tr w:rsidR="001A5DEE" w:rsidRPr="00177B40" w14:paraId="1644B5CC" w14:textId="77777777" w:rsidTr="00EE01CC">
              <w:tblPrEx>
                <w:tblBorders>
                  <w:top w:val="none" w:sz="0" w:space="0" w:color="auto"/>
                  <w:bottom w:val="none" w:sz="0" w:space="0" w:color="auto"/>
                </w:tblBorders>
              </w:tblPrEx>
              <w:trPr>
                <w:gridAfter w:val="3"/>
                <w:wAfter w:w="6295" w:type="dxa"/>
              </w:trPr>
              <w:tc>
                <w:tcPr>
                  <w:tcW w:w="3573" w:type="dxa"/>
                </w:tcPr>
                <w:p w14:paraId="79631FB5" w14:textId="77777777" w:rsidR="001A5DEE" w:rsidRPr="00177B40" w:rsidRDefault="001A5DEE" w:rsidP="001A5DEE">
                  <w:pPr>
                    <w:pStyle w:val="TableText"/>
                    <w:rPr>
                      <w:rFonts w:ascii="Arial" w:hAnsi="Arial" w:cs="Arial"/>
                    </w:rPr>
                  </w:pPr>
                  <w:r w:rsidRPr="00177B40">
                    <w:rPr>
                      <w:rFonts w:ascii="Arial" w:hAnsi="Arial" w:cs="Arial"/>
                    </w:rPr>
                    <w:t>Potable mineral water supply</w:t>
                  </w:r>
                </w:p>
              </w:tc>
              <w:tc>
                <w:tcPr>
                  <w:tcW w:w="2551" w:type="dxa"/>
                </w:tcPr>
                <w:p w14:paraId="6AC4492E"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07384F3E"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39D5A750" w14:textId="77777777" w:rsidTr="00EE01CC">
              <w:tblPrEx>
                <w:tblBorders>
                  <w:top w:val="none" w:sz="0" w:space="0" w:color="auto"/>
                  <w:bottom w:val="none" w:sz="0" w:space="0" w:color="auto"/>
                </w:tblBorders>
              </w:tblPrEx>
              <w:trPr>
                <w:gridAfter w:val="3"/>
                <w:wAfter w:w="6295" w:type="dxa"/>
              </w:trPr>
              <w:tc>
                <w:tcPr>
                  <w:tcW w:w="3573" w:type="dxa"/>
                </w:tcPr>
                <w:p w14:paraId="64FF1665" w14:textId="77777777" w:rsidR="001A5DEE" w:rsidRPr="00177B40" w:rsidRDefault="001A5DEE" w:rsidP="001A5DEE">
                  <w:pPr>
                    <w:pStyle w:val="TableText"/>
                    <w:rPr>
                      <w:rFonts w:ascii="Arial" w:hAnsi="Arial" w:cs="Arial"/>
                    </w:rPr>
                  </w:pPr>
                  <w:r w:rsidRPr="00177B40">
                    <w:rPr>
                      <w:rFonts w:ascii="Arial" w:hAnsi="Arial" w:cs="Arial"/>
                    </w:rPr>
                    <w:t>Agriculture and irrigation (irrigation)</w:t>
                  </w:r>
                </w:p>
              </w:tc>
              <w:tc>
                <w:tcPr>
                  <w:tcW w:w="2551" w:type="dxa"/>
                </w:tcPr>
                <w:p w14:paraId="290AFEE1"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25E0BD94" w14:textId="77777777" w:rsidR="001A5DEE" w:rsidRPr="00177B40" w:rsidRDefault="001A5DEE" w:rsidP="00E356A3">
                  <w:pPr>
                    <w:pStyle w:val="TableText"/>
                    <w:jc w:val="center"/>
                    <w:rPr>
                      <w:rFonts w:ascii="Arial" w:hAnsi="Arial" w:cs="Arial"/>
                    </w:rPr>
                  </w:pPr>
                  <w:r w:rsidRPr="00177B40">
                    <w:rPr>
                      <w:rFonts w:ascii="Arial" w:hAnsi="Arial" w:cs="Arial"/>
                    </w:rPr>
                    <w:t>-</w:t>
                  </w:r>
                </w:p>
              </w:tc>
            </w:tr>
            <w:tr w:rsidR="001A5DEE" w:rsidRPr="00177B40" w14:paraId="04CF887D" w14:textId="77777777" w:rsidTr="00EE01CC">
              <w:tblPrEx>
                <w:tblBorders>
                  <w:top w:val="none" w:sz="0" w:space="0" w:color="auto"/>
                  <w:bottom w:val="none" w:sz="0" w:space="0" w:color="auto"/>
                </w:tblBorders>
              </w:tblPrEx>
              <w:trPr>
                <w:gridAfter w:val="3"/>
                <w:wAfter w:w="6295" w:type="dxa"/>
              </w:trPr>
              <w:tc>
                <w:tcPr>
                  <w:tcW w:w="3573" w:type="dxa"/>
                </w:tcPr>
                <w:p w14:paraId="54808C04" w14:textId="77777777" w:rsidR="001A5DEE" w:rsidRPr="00177B40" w:rsidRDefault="001A5DEE" w:rsidP="001A5DEE">
                  <w:pPr>
                    <w:pStyle w:val="TableText"/>
                    <w:rPr>
                      <w:rFonts w:ascii="Arial" w:hAnsi="Arial" w:cs="Arial"/>
                    </w:rPr>
                  </w:pPr>
                  <w:r w:rsidRPr="00177B40">
                    <w:rPr>
                      <w:rFonts w:ascii="Arial" w:hAnsi="Arial" w:cs="Arial"/>
                    </w:rPr>
                    <w:t>Agriculture and irrigation (stock watering)</w:t>
                  </w:r>
                </w:p>
              </w:tc>
              <w:tc>
                <w:tcPr>
                  <w:tcW w:w="2551" w:type="dxa"/>
                </w:tcPr>
                <w:p w14:paraId="62885B21"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241CED7D"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78554EF9" w14:textId="77777777" w:rsidTr="00EE01CC">
              <w:tblPrEx>
                <w:tblBorders>
                  <w:top w:val="none" w:sz="0" w:space="0" w:color="auto"/>
                  <w:bottom w:val="none" w:sz="0" w:space="0" w:color="auto"/>
                </w:tblBorders>
              </w:tblPrEx>
              <w:trPr>
                <w:gridAfter w:val="3"/>
                <w:wAfter w:w="6295" w:type="dxa"/>
              </w:trPr>
              <w:tc>
                <w:tcPr>
                  <w:tcW w:w="3573" w:type="dxa"/>
                </w:tcPr>
                <w:p w14:paraId="28B3E01B" w14:textId="77777777" w:rsidR="001A5DEE" w:rsidRPr="00177B40" w:rsidRDefault="001A5DEE" w:rsidP="001A5DEE">
                  <w:pPr>
                    <w:pStyle w:val="TableText"/>
                    <w:rPr>
                      <w:rFonts w:ascii="Arial" w:hAnsi="Arial" w:cs="Arial"/>
                    </w:rPr>
                  </w:pPr>
                  <w:r w:rsidRPr="00177B40">
                    <w:rPr>
                      <w:rFonts w:ascii="Arial" w:hAnsi="Arial" w:cs="Arial"/>
                    </w:rPr>
                    <w:t>Industrial and commercial</w:t>
                  </w:r>
                </w:p>
              </w:tc>
              <w:tc>
                <w:tcPr>
                  <w:tcW w:w="2551" w:type="dxa"/>
                </w:tcPr>
                <w:p w14:paraId="17A9243B"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4EDFBCA8"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6998A438" w14:textId="77777777" w:rsidTr="00EE01CC">
              <w:tblPrEx>
                <w:tblBorders>
                  <w:top w:val="none" w:sz="0" w:space="0" w:color="auto"/>
                  <w:bottom w:val="none" w:sz="0" w:space="0" w:color="auto"/>
                </w:tblBorders>
              </w:tblPrEx>
              <w:trPr>
                <w:gridAfter w:val="3"/>
                <w:wAfter w:w="6295" w:type="dxa"/>
              </w:trPr>
              <w:tc>
                <w:tcPr>
                  <w:tcW w:w="3573" w:type="dxa"/>
                </w:tcPr>
                <w:p w14:paraId="7BC38D68" w14:textId="77777777" w:rsidR="001A5DEE" w:rsidRPr="00177B40" w:rsidRDefault="001A5DEE" w:rsidP="001A5DEE">
                  <w:pPr>
                    <w:pStyle w:val="TableText"/>
                    <w:rPr>
                      <w:rFonts w:ascii="Arial" w:hAnsi="Arial" w:cs="Arial"/>
                    </w:rPr>
                  </w:pPr>
                  <w:r w:rsidRPr="00177B40">
                    <w:rPr>
                      <w:rFonts w:ascii="Arial" w:hAnsi="Arial" w:cs="Arial"/>
                    </w:rPr>
                    <w:lastRenderedPageBreak/>
                    <w:t>Primary contact recreation</w:t>
                  </w:r>
                </w:p>
              </w:tc>
              <w:tc>
                <w:tcPr>
                  <w:tcW w:w="2551" w:type="dxa"/>
                </w:tcPr>
                <w:p w14:paraId="1814BECD"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6EE8873A"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3C70C0CE" w14:textId="77777777" w:rsidTr="00EE01CC">
              <w:tblPrEx>
                <w:tblBorders>
                  <w:top w:val="none" w:sz="0" w:space="0" w:color="auto"/>
                  <w:bottom w:val="none" w:sz="0" w:space="0" w:color="auto"/>
                </w:tblBorders>
              </w:tblPrEx>
              <w:trPr>
                <w:gridAfter w:val="3"/>
                <w:wAfter w:w="6295" w:type="dxa"/>
              </w:trPr>
              <w:tc>
                <w:tcPr>
                  <w:tcW w:w="3573" w:type="dxa"/>
                </w:tcPr>
                <w:p w14:paraId="1FE0E4C4" w14:textId="77777777" w:rsidR="001A5DEE" w:rsidRPr="00177B40" w:rsidRDefault="001A5DEE" w:rsidP="001A5DEE">
                  <w:pPr>
                    <w:pStyle w:val="TableText"/>
                    <w:rPr>
                      <w:rFonts w:ascii="Arial" w:hAnsi="Arial" w:cs="Arial"/>
                    </w:rPr>
                  </w:pPr>
                  <w:r w:rsidRPr="00177B40">
                    <w:rPr>
                      <w:rFonts w:ascii="Arial" w:hAnsi="Arial" w:cs="Arial"/>
                    </w:rPr>
                    <w:t>Traditional owner cultural values</w:t>
                  </w:r>
                </w:p>
              </w:tc>
              <w:tc>
                <w:tcPr>
                  <w:tcW w:w="2551" w:type="dxa"/>
                </w:tcPr>
                <w:p w14:paraId="11B506AD"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68CDDBA9"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2DED7131" w14:textId="77777777" w:rsidTr="00EE01CC">
              <w:tblPrEx>
                <w:tblBorders>
                  <w:top w:val="none" w:sz="0" w:space="0" w:color="auto"/>
                  <w:bottom w:val="none" w:sz="0" w:space="0" w:color="auto"/>
                </w:tblBorders>
              </w:tblPrEx>
              <w:trPr>
                <w:gridAfter w:val="3"/>
                <w:wAfter w:w="6295" w:type="dxa"/>
              </w:trPr>
              <w:tc>
                <w:tcPr>
                  <w:tcW w:w="3573" w:type="dxa"/>
                </w:tcPr>
                <w:p w14:paraId="4CA17394" w14:textId="77777777" w:rsidR="001A5DEE" w:rsidRPr="00177B40" w:rsidRDefault="001A5DEE" w:rsidP="001A5DEE">
                  <w:pPr>
                    <w:pStyle w:val="TableText"/>
                    <w:rPr>
                      <w:rFonts w:ascii="Arial" w:hAnsi="Arial" w:cs="Arial"/>
                    </w:rPr>
                  </w:pPr>
                  <w:r w:rsidRPr="00177B40">
                    <w:rPr>
                      <w:rFonts w:ascii="Arial" w:hAnsi="Arial" w:cs="Arial"/>
                    </w:rPr>
                    <w:t>Cultural and spiritual values</w:t>
                  </w:r>
                </w:p>
              </w:tc>
              <w:tc>
                <w:tcPr>
                  <w:tcW w:w="2551" w:type="dxa"/>
                </w:tcPr>
                <w:p w14:paraId="68DBDF50"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5612E524"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12C287D4" w14:textId="77777777" w:rsidTr="00EE01CC">
              <w:tblPrEx>
                <w:tblBorders>
                  <w:top w:val="none" w:sz="0" w:space="0" w:color="auto"/>
                  <w:bottom w:val="none" w:sz="0" w:space="0" w:color="auto"/>
                </w:tblBorders>
              </w:tblPrEx>
              <w:trPr>
                <w:gridAfter w:val="3"/>
                <w:wAfter w:w="6295" w:type="dxa"/>
              </w:trPr>
              <w:tc>
                <w:tcPr>
                  <w:tcW w:w="3573" w:type="dxa"/>
                </w:tcPr>
                <w:p w14:paraId="091C39D9" w14:textId="77777777" w:rsidR="001A5DEE" w:rsidRPr="00177B40" w:rsidRDefault="001A5DEE" w:rsidP="001A5DEE">
                  <w:pPr>
                    <w:pStyle w:val="TableText"/>
                    <w:rPr>
                      <w:rFonts w:ascii="Arial" w:hAnsi="Arial" w:cs="Arial"/>
                    </w:rPr>
                  </w:pPr>
                  <w:r w:rsidRPr="00177B40">
                    <w:rPr>
                      <w:rFonts w:ascii="Arial" w:hAnsi="Arial" w:cs="Arial"/>
                    </w:rPr>
                    <w:t>Buildings and structure</w:t>
                  </w:r>
                </w:p>
              </w:tc>
              <w:tc>
                <w:tcPr>
                  <w:tcW w:w="2551" w:type="dxa"/>
                </w:tcPr>
                <w:p w14:paraId="1AE3F388"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334" w:type="dxa"/>
                </w:tcPr>
                <w:p w14:paraId="360256A3"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r w:rsidR="001A5DEE" w:rsidRPr="00177B40" w14:paraId="22AAB1C8" w14:textId="77777777" w:rsidTr="00634D67">
              <w:tblPrEx>
                <w:tblBorders>
                  <w:top w:val="none" w:sz="0" w:space="0" w:color="auto"/>
                  <w:bottom w:val="none" w:sz="0" w:space="0" w:color="auto"/>
                </w:tblBorders>
                <w:tblLook w:val="01E0" w:firstRow="1" w:lastRow="1" w:firstColumn="1" w:lastColumn="1" w:noHBand="0" w:noVBand="0"/>
              </w:tblPrEx>
              <w:tc>
                <w:tcPr>
                  <w:tcW w:w="8513" w:type="dxa"/>
                  <w:gridSpan w:val="4"/>
                </w:tcPr>
                <w:p w14:paraId="4BE196F9" w14:textId="77777777" w:rsidR="001A5DEE" w:rsidRPr="00177B40" w:rsidRDefault="001A5DEE" w:rsidP="001A5DEE">
                  <w:pPr>
                    <w:pStyle w:val="TableText"/>
                    <w:rPr>
                      <w:rFonts w:ascii="Arial" w:hAnsi="Arial" w:cs="Arial"/>
                    </w:rPr>
                  </w:pPr>
                  <w:r w:rsidRPr="00177B40">
                    <w:rPr>
                      <w:rFonts w:ascii="Arial" w:hAnsi="Arial" w:cs="Arial"/>
                    </w:rPr>
                    <w:t>Geothermal properties</w:t>
                  </w:r>
                </w:p>
              </w:tc>
              <w:tc>
                <w:tcPr>
                  <w:tcW w:w="3651" w:type="dxa"/>
                </w:tcPr>
                <w:p w14:paraId="2869A8D3"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c>
                <w:tcPr>
                  <w:tcW w:w="2589" w:type="dxa"/>
                </w:tcPr>
                <w:p w14:paraId="787E5C5F" w14:textId="77777777" w:rsidR="001A5DEE" w:rsidRPr="00177B40" w:rsidRDefault="001A5DEE" w:rsidP="00E356A3">
                  <w:pPr>
                    <w:pStyle w:val="TableText"/>
                    <w:jc w:val="center"/>
                    <w:rPr>
                      <w:rFonts w:ascii="Arial" w:hAnsi="Arial" w:cs="Arial"/>
                    </w:rPr>
                  </w:pPr>
                  <w:r w:rsidRPr="00177B40">
                    <w:rPr>
                      <w:rFonts w:ascii="Arial" w:hAnsi="Arial" w:cs="Arial"/>
                    </w:rPr>
                    <w:sym w:font="Wingdings" w:char="F0FC"/>
                  </w:r>
                </w:p>
              </w:tc>
            </w:tr>
          </w:tbl>
          <w:p w14:paraId="09731682" w14:textId="77777777" w:rsidR="001C34F3" w:rsidRPr="00177B40" w:rsidRDefault="001C34F3">
            <w:pPr>
              <w:rPr>
                <w:rFonts w:ascii="Arial" w:hAnsi="Arial" w:cs="Arial"/>
              </w:rPr>
            </w:pPr>
          </w:p>
        </w:tc>
      </w:tr>
      <w:tr w:rsidR="001C34F3" w14:paraId="3212E95C" w14:textId="77777777" w:rsidTr="001E301B">
        <w:tblPrEx>
          <w:tblBorders>
            <w:insideH w:val="single" w:sz="4" w:space="0" w:color="auto"/>
          </w:tblBorders>
        </w:tblPrEx>
        <w:tc>
          <w:tcPr>
            <w:tcW w:w="8851" w:type="dxa"/>
            <w:tcBorders>
              <w:bottom w:val="single" w:sz="4" w:space="0" w:color="auto"/>
            </w:tcBorders>
          </w:tcPr>
          <w:p w14:paraId="3BC92E51" w14:textId="77777777" w:rsidR="001E301B" w:rsidRDefault="001E301B" w:rsidP="00C40C6E">
            <w:pPr>
              <w:spacing w:after="120"/>
              <w:jc w:val="both"/>
              <w:rPr>
                <w:rFonts w:ascii="Arial" w:hAnsi="Arial"/>
              </w:rPr>
            </w:pPr>
          </w:p>
          <w:p w14:paraId="24F82A1B" w14:textId="21EA7CF9" w:rsidR="001A5DEE" w:rsidRDefault="001A5DEE" w:rsidP="00C40C6E">
            <w:pPr>
              <w:spacing w:after="120"/>
              <w:jc w:val="both"/>
              <w:rPr>
                <w:rFonts w:ascii="Arial" w:hAnsi="Arial"/>
              </w:rPr>
            </w:pPr>
            <w:r w:rsidRPr="001A5DEE">
              <w:rPr>
                <w:rFonts w:ascii="Arial" w:hAnsi="Arial"/>
              </w:rPr>
              <w:t xml:space="preserve">To date, no active groundwater users have been identified within a 5 km radius of the test pit site (the test pit location is shown in Figure 2). </w:t>
            </w:r>
          </w:p>
          <w:p w14:paraId="5F7404CE" w14:textId="77777777" w:rsidR="001A5DEE" w:rsidRDefault="001A5DEE" w:rsidP="00C40C6E">
            <w:pPr>
              <w:spacing w:after="120"/>
              <w:jc w:val="both"/>
              <w:rPr>
                <w:rFonts w:ascii="Arial" w:hAnsi="Arial"/>
              </w:rPr>
            </w:pPr>
            <w:r w:rsidRPr="001A5DEE">
              <w:rPr>
                <w:rFonts w:ascii="Arial" w:hAnsi="Arial"/>
              </w:rPr>
              <w:t xml:space="preserve">The Victorian Aquifer Framework identifies the Murray Group Limestone or equivalent units in the general site area. The aquifer within the Murray Group Limestone is used for irrigation in the western Murray Basin. However, bore logs in the vicinity of the ore body and observations during construction of the test pit do not show a distinct limestone unit. Further investigation will be undertaken to determine the degree of connection between the units in the vicinity of the ore and the regional limestone resource (Jacobs 2018a). </w:t>
            </w:r>
          </w:p>
          <w:p w14:paraId="00E9391E" w14:textId="25A17402" w:rsidR="001A5DEE" w:rsidRPr="001A5DEE" w:rsidRDefault="001A5DEE" w:rsidP="00C40C6E">
            <w:pPr>
              <w:spacing w:after="120"/>
              <w:jc w:val="both"/>
              <w:rPr>
                <w:rFonts w:ascii="Arial" w:hAnsi="Arial"/>
              </w:rPr>
            </w:pPr>
            <w:r w:rsidRPr="001A5DEE">
              <w:rPr>
                <w:rFonts w:ascii="Arial" w:hAnsi="Arial"/>
              </w:rPr>
              <w:t xml:space="preserve">Bureau of Meteorology mapping suggests there are a number of terrestrial and aquatic ecosystems in the Project site with potential to be groundwater dependant ecosystems (Jacobs 2018a and 2018b). However, while these ecosystems have a potential to be groundwater dependant, the regional water table is expected to be greater than 15 </w:t>
            </w:r>
            <w:proofErr w:type="spellStart"/>
            <w:r w:rsidRPr="001A5DEE">
              <w:rPr>
                <w:rFonts w:ascii="Arial" w:hAnsi="Arial"/>
              </w:rPr>
              <w:t>mBGL</w:t>
            </w:r>
            <w:proofErr w:type="spellEnd"/>
            <w:r w:rsidR="00835FD9">
              <w:rPr>
                <w:rFonts w:ascii="Arial" w:hAnsi="Arial"/>
              </w:rPr>
              <w:t xml:space="preserve">, </w:t>
            </w:r>
            <w:proofErr w:type="spellStart"/>
            <w:r w:rsidR="00835FD9">
              <w:rPr>
                <w:rFonts w:ascii="Arial" w:hAnsi="Arial"/>
              </w:rPr>
              <w:t>ie</w:t>
            </w:r>
            <w:proofErr w:type="spellEnd"/>
            <w:r w:rsidRPr="001A5DEE">
              <w:rPr>
                <w:rFonts w:ascii="Arial" w:hAnsi="Arial"/>
              </w:rPr>
              <w:t xml:space="preserve"> below the root depth of vegetation. Therefore, these ecosystems are unlikely to be reliant on the regional groundwater and are not expected to be affected by any local changes in groundwater levels. </w:t>
            </w:r>
          </w:p>
          <w:p w14:paraId="0E40E50E" w14:textId="0C29312E" w:rsidR="00102A41" w:rsidRDefault="001A5DEE" w:rsidP="00C40C6E">
            <w:pPr>
              <w:spacing w:after="120"/>
              <w:jc w:val="both"/>
              <w:rPr>
                <w:rFonts w:ascii="Arial" w:hAnsi="Arial"/>
              </w:rPr>
            </w:pPr>
            <w:r w:rsidRPr="001A5DEE">
              <w:rPr>
                <w:rFonts w:ascii="Arial" w:hAnsi="Arial"/>
              </w:rPr>
              <w:t xml:space="preserve">Further detailed hydrogeological investigations </w:t>
            </w:r>
            <w:r w:rsidR="00102A41">
              <w:rPr>
                <w:rFonts w:ascii="Arial" w:hAnsi="Arial"/>
              </w:rPr>
              <w:t xml:space="preserve">for the </w:t>
            </w:r>
            <w:r w:rsidR="00D02516">
              <w:rPr>
                <w:rFonts w:ascii="Arial" w:hAnsi="Arial"/>
              </w:rPr>
              <w:t>Project</w:t>
            </w:r>
            <w:r w:rsidR="00102A41">
              <w:rPr>
                <w:rFonts w:ascii="Arial" w:hAnsi="Arial"/>
              </w:rPr>
              <w:t xml:space="preserve"> site and surrounding area </w:t>
            </w:r>
            <w:r w:rsidRPr="001A5DEE">
              <w:rPr>
                <w:rFonts w:ascii="Arial" w:hAnsi="Arial"/>
              </w:rPr>
              <w:t xml:space="preserve">will be undertaken during the next phase of study to confirm site </w:t>
            </w:r>
            <w:proofErr w:type="spellStart"/>
            <w:r w:rsidRPr="001A5DEE">
              <w:rPr>
                <w:rFonts w:ascii="Arial" w:hAnsi="Arial"/>
              </w:rPr>
              <w:t>hydrostratigraphy</w:t>
            </w:r>
            <w:proofErr w:type="spellEnd"/>
            <w:r w:rsidRPr="001A5DEE">
              <w:rPr>
                <w:rFonts w:ascii="Arial" w:hAnsi="Arial"/>
              </w:rPr>
              <w:t>, aquifer properties, groundwater levels, flow, quality and receptors.</w:t>
            </w:r>
            <w:r w:rsidR="00102A41">
              <w:rPr>
                <w:rFonts w:ascii="Arial" w:hAnsi="Arial"/>
              </w:rPr>
              <w:t xml:space="preserve"> These investigation</w:t>
            </w:r>
            <w:r w:rsidR="000C06DC">
              <w:rPr>
                <w:rFonts w:ascii="Arial" w:hAnsi="Arial"/>
              </w:rPr>
              <w:t>s</w:t>
            </w:r>
            <w:r w:rsidR="00102A41">
              <w:rPr>
                <w:rFonts w:ascii="Arial" w:hAnsi="Arial"/>
              </w:rPr>
              <w:t xml:space="preserve"> will include assessment of the</w:t>
            </w:r>
            <w:r w:rsidR="00805BC4">
              <w:rPr>
                <w:rFonts w:ascii="Arial" w:hAnsi="Arial"/>
              </w:rPr>
              <w:t xml:space="preserve"> l</w:t>
            </w:r>
            <w:r w:rsidR="000C06DC">
              <w:rPr>
                <w:rFonts w:ascii="Arial" w:hAnsi="Arial"/>
              </w:rPr>
              <w:t xml:space="preserve">ikelihood of a useable groundwater supply option </w:t>
            </w:r>
            <w:r w:rsidR="00D111ED">
              <w:rPr>
                <w:rFonts w:ascii="Arial" w:hAnsi="Arial"/>
              </w:rPr>
              <w:t xml:space="preserve">being present </w:t>
            </w:r>
            <w:r w:rsidR="000C06DC">
              <w:rPr>
                <w:rFonts w:ascii="Arial" w:hAnsi="Arial"/>
              </w:rPr>
              <w:t xml:space="preserve">to the west of the </w:t>
            </w:r>
            <w:r w:rsidR="00D02516">
              <w:rPr>
                <w:rFonts w:ascii="Arial" w:hAnsi="Arial"/>
              </w:rPr>
              <w:t>Project</w:t>
            </w:r>
            <w:r w:rsidR="000C06DC">
              <w:rPr>
                <w:rFonts w:ascii="Arial" w:hAnsi="Arial"/>
              </w:rPr>
              <w:t xml:space="preserve"> area</w:t>
            </w:r>
            <w:r w:rsidR="00805BC4">
              <w:rPr>
                <w:rFonts w:ascii="Arial" w:hAnsi="Arial"/>
              </w:rPr>
              <w:t>,</w:t>
            </w:r>
            <w:r w:rsidR="00D111ED">
              <w:rPr>
                <w:rFonts w:ascii="Arial" w:hAnsi="Arial"/>
              </w:rPr>
              <w:t xml:space="preserve"> and, if the presence of such a</w:t>
            </w:r>
            <w:r w:rsidR="00805BC4">
              <w:rPr>
                <w:rFonts w:ascii="Arial" w:hAnsi="Arial"/>
              </w:rPr>
              <w:t xml:space="preserve"> groundwater source is confirmed, the potential environmental impacts should that source be incorporated into the proposed water supply for the Project.</w:t>
            </w:r>
          </w:p>
          <w:p w14:paraId="6AA0038E" w14:textId="5F18474B" w:rsidR="00805BC4" w:rsidRDefault="00A534A2" w:rsidP="00C40C6E">
            <w:pPr>
              <w:spacing w:after="120"/>
              <w:jc w:val="both"/>
              <w:rPr>
                <w:rFonts w:ascii="Arial" w:hAnsi="Arial"/>
              </w:rPr>
            </w:pPr>
            <w:r>
              <w:rPr>
                <w:rFonts w:ascii="Arial" w:hAnsi="Arial"/>
              </w:rPr>
              <w:t>As noted in section 3.6.</w:t>
            </w:r>
            <w:r w:rsidR="002E7C95">
              <w:rPr>
                <w:rFonts w:ascii="Arial" w:hAnsi="Arial"/>
              </w:rPr>
              <w:t>9</w:t>
            </w:r>
            <w:r w:rsidR="00D111ED">
              <w:rPr>
                <w:rFonts w:ascii="Arial" w:hAnsi="Arial"/>
              </w:rPr>
              <w:t>,</w:t>
            </w:r>
            <w:r w:rsidR="002E7C95">
              <w:rPr>
                <w:rFonts w:ascii="Arial" w:hAnsi="Arial"/>
              </w:rPr>
              <w:t xml:space="preserve"> </w:t>
            </w:r>
            <w:r w:rsidR="00D111ED">
              <w:rPr>
                <w:rFonts w:ascii="Arial" w:hAnsi="Arial"/>
              </w:rPr>
              <w:t xml:space="preserve">the </w:t>
            </w:r>
            <w:proofErr w:type="spellStart"/>
            <w:r w:rsidR="00D111ED">
              <w:rPr>
                <w:rFonts w:ascii="Arial" w:hAnsi="Arial"/>
              </w:rPr>
              <w:t>Strathlynn</w:t>
            </w:r>
            <w:proofErr w:type="spellEnd"/>
            <w:r w:rsidR="00D111ED">
              <w:rPr>
                <w:rFonts w:ascii="Arial" w:hAnsi="Arial"/>
              </w:rPr>
              <w:t xml:space="preserve"> </w:t>
            </w:r>
            <w:proofErr w:type="spellStart"/>
            <w:r w:rsidR="00D111ED">
              <w:rPr>
                <w:rFonts w:ascii="Arial" w:hAnsi="Arial"/>
              </w:rPr>
              <w:t>Borefield</w:t>
            </w:r>
            <w:proofErr w:type="spellEnd"/>
            <w:r w:rsidR="00D111ED">
              <w:rPr>
                <w:rFonts w:ascii="Arial" w:hAnsi="Arial"/>
              </w:rPr>
              <w:t xml:space="preserve"> </w:t>
            </w:r>
            <w:r w:rsidR="002E7C95">
              <w:rPr>
                <w:rFonts w:ascii="Arial" w:hAnsi="Arial"/>
              </w:rPr>
              <w:t xml:space="preserve">may be used </w:t>
            </w:r>
            <w:r w:rsidR="00D111ED">
              <w:rPr>
                <w:rFonts w:ascii="Arial" w:hAnsi="Arial"/>
              </w:rPr>
              <w:t>as part of the water supply for the Project</w:t>
            </w:r>
            <w:r w:rsidR="00C20EBC">
              <w:rPr>
                <w:rFonts w:ascii="Arial" w:hAnsi="Arial"/>
              </w:rPr>
              <w:t xml:space="preserve">. The hydrogeological properties of the </w:t>
            </w:r>
            <w:proofErr w:type="spellStart"/>
            <w:r w:rsidR="00C40C6E">
              <w:rPr>
                <w:rFonts w:ascii="Arial" w:hAnsi="Arial"/>
              </w:rPr>
              <w:t>Strathlynn</w:t>
            </w:r>
            <w:proofErr w:type="spellEnd"/>
            <w:r w:rsidR="00C40C6E">
              <w:rPr>
                <w:rFonts w:ascii="Arial" w:hAnsi="Arial"/>
              </w:rPr>
              <w:t xml:space="preserve"> </w:t>
            </w:r>
            <w:proofErr w:type="spellStart"/>
            <w:r w:rsidR="00C20EBC">
              <w:rPr>
                <w:rFonts w:ascii="Arial" w:hAnsi="Arial"/>
              </w:rPr>
              <w:t>borefield</w:t>
            </w:r>
            <w:proofErr w:type="spellEnd"/>
            <w:r w:rsidR="00C20EBC">
              <w:rPr>
                <w:rFonts w:ascii="Arial" w:hAnsi="Arial"/>
              </w:rPr>
              <w:t xml:space="preserve"> have previously been established and informed the licence conditions relating to abstraction of groundwater including annual abstraction volumes and triggers levels to cease pumping. </w:t>
            </w:r>
            <w:r w:rsidR="00E769B7">
              <w:rPr>
                <w:rFonts w:ascii="Arial" w:hAnsi="Arial"/>
              </w:rPr>
              <w:t>Variation of</w:t>
            </w:r>
            <w:r w:rsidR="00C20EBC">
              <w:rPr>
                <w:rFonts w:ascii="Arial" w:hAnsi="Arial"/>
              </w:rPr>
              <w:t xml:space="preserve"> the conditions of licence </w:t>
            </w:r>
            <w:r w:rsidR="00E769B7">
              <w:rPr>
                <w:rFonts w:ascii="Arial" w:hAnsi="Arial"/>
              </w:rPr>
              <w:t xml:space="preserve">is not </w:t>
            </w:r>
            <w:r>
              <w:rPr>
                <w:rFonts w:ascii="Arial" w:hAnsi="Arial"/>
              </w:rPr>
              <w:t xml:space="preserve">required or </w:t>
            </w:r>
            <w:r w:rsidR="00E769B7">
              <w:rPr>
                <w:rFonts w:ascii="Arial" w:hAnsi="Arial"/>
              </w:rPr>
              <w:t xml:space="preserve">proposed, </w:t>
            </w:r>
            <w:r w:rsidR="00C20EBC">
              <w:rPr>
                <w:rFonts w:ascii="Arial" w:hAnsi="Arial"/>
              </w:rPr>
              <w:t xml:space="preserve">and hence no further hydrogeological assessment for the </w:t>
            </w:r>
            <w:proofErr w:type="spellStart"/>
            <w:r w:rsidR="00C20EBC">
              <w:rPr>
                <w:rFonts w:ascii="Arial" w:hAnsi="Arial"/>
              </w:rPr>
              <w:t>Strathlynn</w:t>
            </w:r>
            <w:proofErr w:type="spellEnd"/>
            <w:r w:rsidR="00C20EBC">
              <w:rPr>
                <w:rFonts w:ascii="Arial" w:hAnsi="Arial"/>
              </w:rPr>
              <w:t xml:space="preserve"> </w:t>
            </w:r>
            <w:proofErr w:type="spellStart"/>
            <w:r w:rsidR="00C20EBC">
              <w:rPr>
                <w:rFonts w:ascii="Arial" w:hAnsi="Arial"/>
              </w:rPr>
              <w:t>Borefield</w:t>
            </w:r>
            <w:proofErr w:type="spellEnd"/>
            <w:r w:rsidR="00C20EBC">
              <w:rPr>
                <w:rFonts w:ascii="Arial" w:hAnsi="Arial"/>
              </w:rPr>
              <w:t xml:space="preserve"> is proposed</w:t>
            </w:r>
            <w:r w:rsidR="00A97D08">
              <w:rPr>
                <w:rFonts w:ascii="Arial" w:hAnsi="Arial"/>
              </w:rPr>
              <w:t xml:space="preserve"> as part of this Project</w:t>
            </w:r>
            <w:r w:rsidR="00C20EBC">
              <w:rPr>
                <w:rFonts w:ascii="Arial" w:hAnsi="Arial"/>
              </w:rPr>
              <w:t>.</w:t>
            </w:r>
          </w:p>
          <w:p w14:paraId="21D0464D" w14:textId="3002B10E" w:rsidR="001A5DEE" w:rsidRDefault="001A5DEE" w:rsidP="00C40C6E">
            <w:pPr>
              <w:spacing w:after="120"/>
              <w:jc w:val="both"/>
              <w:rPr>
                <w:rFonts w:ascii="Arial" w:hAnsi="Arial"/>
              </w:rPr>
            </w:pPr>
            <w:r w:rsidRPr="001A5DEE">
              <w:rPr>
                <w:rFonts w:ascii="Arial" w:hAnsi="Arial"/>
              </w:rPr>
              <w:t xml:space="preserve">A copy of the groundwater baseline assessment is provided as Appendix </w:t>
            </w:r>
            <w:r w:rsidR="002E7C95">
              <w:rPr>
                <w:rFonts w:ascii="Arial" w:hAnsi="Arial"/>
              </w:rPr>
              <w:t>D</w:t>
            </w:r>
            <w:r w:rsidRPr="001A5DEE">
              <w:rPr>
                <w:rFonts w:ascii="Arial" w:hAnsi="Arial"/>
              </w:rPr>
              <w:t xml:space="preserve"> and a copy of the test pit dewatering assessment is provided as Appendix </w:t>
            </w:r>
            <w:r w:rsidR="002E7C95">
              <w:rPr>
                <w:rFonts w:ascii="Arial" w:hAnsi="Arial"/>
              </w:rPr>
              <w:t>E</w:t>
            </w:r>
            <w:r w:rsidRPr="001A5DEE">
              <w:rPr>
                <w:rFonts w:ascii="Arial" w:hAnsi="Arial"/>
              </w:rPr>
              <w:t>.</w:t>
            </w:r>
          </w:p>
          <w:p w14:paraId="4E25CDEA" w14:textId="19389FE4" w:rsidR="001A5DEE" w:rsidRDefault="001A5DEE" w:rsidP="001A5DEE">
            <w:pPr>
              <w:rPr>
                <w:rFonts w:ascii="Arial" w:hAnsi="Arial"/>
              </w:rPr>
            </w:pPr>
          </w:p>
          <w:p w14:paraId="1B5970F6" w14:textId="77777777" w:rsidR="001A5DEE" w:rsidRDefault="001A5DEE" w:rsidP="001A5DEE">
            <w:pPr>
              <w:rPr>
                <w:rFonts w:ascii="Arial" w:hAnsi="Arial"/>
                <w:b/>
              </w:rPr>
            </w:pPr>
            <w:bookmarkStart w:id="70" w:name="_Toc5889569"/>
            <w:bookmarkStart w:id="71" w:name="_Toc7770268"/>
            <w:r>
              <w:rPr>
                <w:rFonts w:ascii="Arial" w:hAnsi="Arial"/>
                <w:b/>
              </w:rPr>
              <w:t xml:space="preserve">8.4 </w:t>
            </w:r>
            <w:r w:rsidRPr="001A5DEE">
              <w:rPr>
                <w:rFonts w:ascii="Arial" w:hAnsi="Arial"/>
                <w:b/>
              </w:rPr>
              <w:t>Surface water</w:t>
            </w:r>
            <w:bookmarkEnd w:id="70"/>
            <w:bookmarkEnd w:id="71"/>
          </w:p>
          <w:p w14:paraId="514F56DF" w14:textId="77777777" w:rsidR="001A5DEE" w:rsidRPr="001A5DEE" w:rsidRDefault="001A5DEE" w:rsidP="001A5DEE">
            <w:pPr>
              <w:rPr>
                <w:rFonts w:ascii="Arial" w:hAnsi="Arial"/>
                <w:b/>
              </w:rPr>
            </w:pPr>
          </w:p>
          <w:p w14:paraId="6BC48A1E" w14:textId="77777777" w:rsidR="001A5DEE" w:rsidRDefault="001A5DEE" w:rsidP="001A5DEE">
            <w:pPr>
              <w:rPr>
                <w:rFonts w:ascii="Arial" w:hAnsi="Arial"/>
                <w:b/>
              </w:rPr>
            </w:pPr>
            <w:r>
              <w:rPr>
                <w:rFonts w:ascii="Arial" w:hAnsi="Arial"/>
                <w:b/>
              </w:rPr>
              <w:t xml:space="preserve">8.4.1 </w:t>
            </w:r>
            <w:r w:rsidRPr="001A5DEE">
              <w:rPr>
                <w:rFonts w:ascii="Arial" w:hAnsi="Arial"/>
                <w:b/>
              </w:rPr>
              <w:t>Around Project site</w:t>
            </w:r>
          </w:p>
          <w:p w14:paraId="6DF38A52" w14:textId="77777777" w:rsidR="00177B40" w:rsidRPr="001A5DEE" w:rsidRDefault="00177B40" w:rsidP="001A5DEE">
            <w:pPr>
              <w:rPr>
                <w:rFonts w:ascii="Arial" w:hAnsi="Arial"/>
                <w:b/>
              </w:rPr>
            </w:pPr>
          </w:p>
          <w:p w14:paraId="330E5B82" w14:textId="0EB6A6D4" w:rsidR="00177B40" w:rsidRDefault="001A5DEE" w:rsidP="00BA0E91">
            <w:pPr>
              <w:spacing w:after="120"/>
              <w:jc w:val="both"/>
              <w:rPr>
                <w:rFonts w:ascii="Arial" w:hAnsi="Arial"/>
              </w:rPr>
            </w:pPr>
            <w:bookmarkStart w:id="72" w:name="_Hlk8977544"/>
            <w:r w:rsidRPr="001A5DEE">
              <w:rPr>
                <w:rFonts w:ascii="Arial" w:hAnsi="Arial"/>
              </w:rPr>
              <w:t xml:space="preserve">There is a chain of lakes and swamps through the Douglas Depression, located 10 km to the west of the Project </w:t>
            </w:r>
            <w:r w:rsidR="00774F21">
              <w:rPr>
                <w:rFonts w:ascii="Arial" w:hAnsi="Arial"/>
              </w:rPr>
              <w:t>site</w:t>
            </w:r>
            <w:r w:rsidRPr="001A5DEE">
              <w:rPr>
                <w:rFonts w:ascii="Arial" w:hAnsi="Arial"/>
              </w:rPr>
              <w:t xml:space="preserve">, most of which are saline (Jacobs 2018a), including White Lake, </w:t>
            </w:r>
            <w:proofErr w:type="spellStart"/>
            <w:r w:rsidRPr="001A5DEE">
              <w:rPr>
                <w:rFonts w:ascii="Arial" w:hAnsi="Arial"/>
              </w:rPr>
              <w:t>Brooskbys</w:t>
            </w:r>
            <w:proofErr w:type="spellEnd"/>
            <w:r w:rsidRPr="001A5DEE">
              <w:rPr>
                <w:rFonts w:ascii="Arial" w:hAnsi="Arial"/>
              </w:rPr>
              <w:t xml:space="preserve"> Swamp, Centre and North Lake, Lake Bow, Clear Lake and Boundary Swamp (Figure 2).</w:t>
            </w:r>
          </w:p>
          <w:p w14:paraId="48D95D79" w14:textId="77777777" w:rsidR="001A5DEE" w:rsidRPr="001A5DEE" w:rsidRDefault="001A5DEE" w:rsidP="00BA0E91">
            <w:pPr>
              <w:spacing w:after="120"/>
              <w:jc w:val="both"/>
              <w:rPr>
                <w:rFonts w:ascii="Arial" w:hAnsi="Arial"/>
              </w:rPr>
            </w:pPr>
            <w:r w:rsidRPr="001A5DEE">
              <w:rPr>
                <w:rFonts w:ascii="Arial" w:hAnsi="Arial"/>
              </w:rPr>
              <w:t xml:space="preserve">There are a number of creeks to the north of the Project site, including Noradjuha Creek, Natimuk Creek and </w:t>
            </w:r>
            <w:proofErr w:type="spellStart"/>
            <w:r w:rsidRPr="001A5DEE">
              <w:rPr>
                <w:rFonts w:ascii="Arial" w:hAnsi="Arial"/>
              </w:rPr>
              <w:t>Darragan</w:t>
            </w:r>
            <w:proofErr w:type="spellEnd"/>
            <w:r w:rsidRPr="001A5DEE">
              <w:rPr>
                <w:rFonts w:ascii="Arial" w:hAnsi="Arial"/>
              </w:rPr>
              <w:t xml:space="preserve"> Creek. These drain to the north, forming series of minor tributaries to the Wimmera River (Jacobs 2018a). </w:t>
            </w:r>
            <w:bookmarkEnd w:id="72"/>
          </w:p>
          <w:p w14:paraId="55E3BD3A" w14:textId="77777777" w:rsidR="001A5DEE" w:rsidRPr="001A5DEE" w:rsidRDefault="001A5DEE" w:rsidP="00BA0E91">
            <w:pPr>
              <w:spacing w:after="120"/>
              <w:jc w:val="both"/>
              <w:rPr>
                <w:rFonts w:ascii="Arial" w:hAnsi="Arial"/>
              </w:rPr>
            </w:pPr>
            <w:r w:rsidRPr="001A5DEE">
              <w:rPr>
                <w:rFonts w:ascii="Arial" w:hAnsi="Arial"/>
              </w:rPr>
              <w:t xml:space="preserve">The Toolondo Reservoir (also known as Lake Toolondo) is located less than 1 km from the southern boundary of the Project site. This off-stream reservoir and trout fishery receives inflows from a small catchment to the west of the Black Ranges via Mt Talbot Creek. The reservoir is the terminal discharge point of Mt Talbot Creek and its only discharge is via the Rockland Channel to the </w:t>
            </w:r>
            <w:r w:rsidR="00B22300">
              <w:rPr>
                <w:rFonts w:ascii="Arial" w:hAnsi="Arial"/>
              </w:rPr>
              <w:t>nor</w:t>
            </w:r>
            <w:r w:rsidR="00B22300" w:rsidRPr="001A5DEE">
              <w:rPr>
                <w:rFonts w:ascii="Arial" w:hAnsi="Arial"/>
              </w:rPr>
              <w:t xml:space="preserve">th </w:t>
            </w:r>
            <w:r w:rsidRPr="001A5DEE">
              <w:rPr>
                <w:rFonts w:ascii="Arial" w:hAnsi="Arial"/>
              </w:rPr>
              <w:t xml:space="preserve">(Jacobs 2018a). </w:t>
            </w:r>
          </w:p>
          <w:p w14:paraId="1CDF44D8" w14:textId="77777777" w:rsidR="00177B40" w:rsidRDefault="001A5DEE" w:rsidP="00BA0E91">
            <w:pPr>
              <w:spacing w:after="120"/>
              <w:jc w:val="both"/>
              <w:rPr>
                <w:rFonts w:ascii="Arial" w:hAnsi="Arial"/>
              </w:rPr>
            </w:pPr>
            <w:r w:rsidRPr="001A5DEE">
              <w:rPr>
                <w:rFonts w:ascii="Arial" w:hAnsi="Arial"/>
              </w:rPr>
              <w:t xml:space="preserve">The Glenelg River is located approximately 15 km to the south of the Project site. </w:t>
            </w:r>
          </w:p>
          <w:p w14:paraId="3C60E617" w14:textId="37BEF0A5" w:rsidR="001A5DEE" w:rsidRDefault="001A5DEE" w:rsidP="00BA0E91">
            <w:pPr>
              <w:spacing w:after="120"/>
              <w:jc w:val="both"/>
              <w:rPr>
                <w:rFonts w:ascii="Arial" w:hAnsi="Arial"/>
              </w:rPr>
            </w:pPr>
            <w:r w:rsidRPr="001A5DEE">
              <w:rPr>
                <w:rFonts w:ascii="Arial" w:hAnsi="Arial"/>
              </w:rPr>
              <w:t xml:space="preserve">Rainfall in the area is typically 497 mm per annum. Evapotranspiration monitors at Horsham (approximately 40 km to the north-east of the Project site) indicate average evapotranspiration </w:t>
            </w:r>
            <w:r w:rsidRPr="001A5DEE">
              <w:rPr>
                <w:rFonts w:ascii="Arial" w:hAnsi="Arial"/>
              </w:rPr>
              <w:lastRenderedPageBreak/>
              <w:t>rates of less than 40 mm per month in June to over 200 mm per month between December and February (Jacobs 2018a).</w:t>
            </w:r>
          </w:p>
          <w:p w14:paraId="67116FA6" w14:textId="048728A6" w:rsidR="008D4567" w:rsidRDefault="002D724E" w:rsidP="00BA0E91">
            <w:pPr>
              <w:spacing w:after="120"/>
              <w:jc w:val="both"/>
              <w:rPr>
                <w:rFonts w:ascii="Arial" w:hAnsi="Arial"/>
              </w:rPr>
            </w:pPr>
            <w:r>
              <w:rPr>
                <w:rFonts w:ascii="Arial" w:hAnsi="Arial"/>
              </w:rPr>
              <w:t xml:space="preserve">The surface water study area is shown as </w:t>
            </w:r>
            <w:r w:rsidRPr="00735C35">
              <w:rPr>
                <w:rFonts w:ascii="Arial" w:hAnsi="Arial"/>
              </w:rPr>
              <w:t xml:space="preserve">Figure </w:t>
            </w:r>
            <w:r w:rsidR="00735C35" w:rsidRPr="00735C35">
              <w:rPr>
                <w:rFonts w:ascii="Arial" w:hAnsi="Arial"/>
              </w:rPr>
              <w:t>16</w:t>
            </w:r>
            <w:r w:rsidRPr="00735C35">
              <w:rPr>
                <w:rFonts w:ascii="Arial" w:hAnsi="Arial"/>
              </w:rPr>
              <w:t>.</w:t>
            </w:r>
            <w:r>
              <w:rPr>
                <w:rFonts w:ascii="Arial" w:hAnsi="Arial"/>
              </w:rPr>
              <w:t xml:space="preserve"> </w:t>
            </w:r>
          </w:p>
          <w:p w14:paraId="4F5E920E" w14:textId="77777777" w:rsidR="002D724E" w:rsidRPr="001A5DEE" w:rsidRDefault="002D724E" w:rsidP="00BA0E91">
            <w:pPr>
              <w:spacing w:after="120"/>
              <w:jc w:val="both"/>
              <w:rPr>
                <w:rFonts w:ascii="Arial" w:hAnsi="Arial"/>
              </w:rPr>
            </w:pPr>
          </w:p>
          <w:p w14:paraId="6C67CF1A" w14:textId="77777777" w:rsidR="001A5DEE" w:rsidRPr="001A5DEE" w:rsidRDefault="00177B40" w:rsidP="001A5DEE">
            <w:pPr>
              <w:rPr>
                <w:rFonts w:ascii="Arial" w:hAnsi="Arial"/>
                <w:b/>
              </w:rPr>
            </w:pPr>
            <w:r w:rsidRPr="00177B40">
              <w:rPr>
                <w:rFonts w:ascii="Arial" w:hAnsi="Arial"/>
                <w:b/>
              </w:rPr>
              <w:t>8.4.2</w:t>
            </w:r>
            <w:r>
              <w:rPr>
                <w:rFonts w:ascii="Arial" w:hAnsi="Arial"/>
              </w:rPr>
              <w:t xml:space="preserve"> </w:t>
            </w:r>
            <w:r w:rsidR="001A5DEE" w:rsidRPr="001A5DEE">
              <w:rPr>
                <w:rFonts w:ascii="Arial" w:hAnsi="Arial"/>
                <w:b/>
              </w:rPr>
              <w:t>Within Project site</w:t>
            </w:r>
          </w:p>
          <w:p w14:paraId="658114F9" w14:textId="77777777" w:rsidR="001A5DEE" w:rsidRPr="001A5DEE" w:rsidRDefault="001A5DEE" w:rsidP="001A5DEE">
            <w:pPr>
              <w:rPr>
                <w:rFonts w:ascii="Arial" w:hAnsi="Arial"/>
              </w:rPr>
            </w:pPr>
          </w:p>
          <w:p w14:paraId="240E9077" w14:textId="77777777" w:rsidR="001A5DEE" w:rsidRPr="001A5DEE" w:rsidRDefault="001A5DEE" w:rsidP="00CC642F">
            <w:pPr>
              <w:spacing w:after="120"/>
              <w:jc w:val="both"/>
              <w:rPr>
                <w:rFonts w:ascii="Arial" w:hAnsi="Arial"/>
              </w:rPr>
            </w:pPr>
            <w:r w:rsidRPr="001A5DEE">
              <w:rPr>
                <w:rFonts w:ascii="Arial" w:hAnsi="Arial"/>
              </w:rPr>
              <w:t xml:space="preserve">The Project site is characterised by a relatively flat and open topography with a lack of well-defined surface water channels (Water Technology 2018). The Project site is mostly cleared and cultivated. It features scattered paddock trees, some patches of remnant native vegetation and several wetlands. </w:t>
            </w:r>
          </w:p>
          <w:p w14:paraId="5DC8F04F" w14:textId="65A0CB39" w:rsidR="001A5DEE" w:rsidRPr="001A5DEE" w:rsidRDefault="001A5DEE" w:rsidP="00CC642F">
            <w:pPr>
              <w:spacing w:after="120"/>
              <w:jc w:val="both"/>
              <w:rPr>
                <w:rFonts w:ascii="Arial" w:hAnsi="Arial"/>
              </w:rPr>
            </w:pPr>
            <w:r w:rsidRPr="001A5DEE">
              <w:rPr>
                <w:rFonts w:ascii="Arial" w:hAnsi="Arial"/>
              </w:rPr>
              <w:t xml:space="preserve">Site topography ranges from 150 m AHD and 200 m AHD. The high point is a slight ridge along the western boundary and the low points comprise the </w:t>
            </w:r>
            <w:proofErr w:type="spellStart"/>
            <w:r w:rsidRPr="001A5DEE">
              <w:rPr>
                <w:rFonts w:ascii="Arial" w:hAnsi="Arial"/>
              </w:rPr>
              <w:t>Jallumba</w:t>
            </w:r>
            <w:proofErr w:type="spellEnd"/>
            <w:r w:rsidRPr="001A5DEE">
              <w:rPr>
                <w:rFonts w:ascii="Arial" w:hAnsi="Arial"/>
              </w:rPr>
              <w:t xml:space="preserve"> Marsh Flora Reserve and </w:t>
            </w:r>
            <w:r w:rsidR="0073776F">
              <w:rPr>
                <w:rFonts w:ascii="Arial" w:hAnsi="Arial"/>
              </w:rPr>
              <w:t xml:space="preserve">the </w:t>
            </w:r>
            <w:r w:rsidRPr="001A5DEE">
              <w:rPr>
                <w:rFonts w:ascii="Arial" w:hAnsi="Arial"/>
              </w:rPr>
              <w:t xml:space="preserve">Red Gum Swamp. </w:t>
            </w:r>
          </w:p>
          <w:p w14:paraId="00B7E0B1" w14:textId="52E2AEE5" w:rsidR="001A5DEE" w:rsidRPr="001A5DEE" w:rsidRDefault="001A5DEE" w:rsidP="00CC642F">
            <w:pPr>
              <w:spacing w:after="120"/>
              <w:jc w:val="both"/>
              <w:rPr>
                <w:rFonts w:ascii="Arial" w:hAnsi="Arial"/>
              </w:rPr>
            </w:pPr>
            <w:r w:rsidRPr="001A5DEE">
              <w:rPr>
                <w:rFonts w:ascii="Arial" w:hAnsi="Arial"/>
              </w:rPr>
              <w:t xml:space="preserve">The major barriers to overland water flow include the north-south trending western ridge, the road network (predominantly the </w:t>
            </w:r>
            <w:proofErr w:type="spellStart"/>
            <w:r w:rsidRPr="001A5DEE">
              <w:rPr>
                <w:rFonts w:ascii="Arial" w:hAnsi="Arial"/>
              </w:rPr>
              <w:t>Jallumba-Mockinya</w:t>
            </w:r>
            <w:proofErr w:type="spellEnd"/>
            <w:r w:rsidRPr="001A5DEE">
              <w:rPr>
                <w:rFonts w:ascii="Arial" w:hAnsi="Arial"/>
              </w:rPr>
              <w:t xml:space="preserve"> Road, Natimuk Hamilton Road and </w:t>
            </w:r>
            <w:proofErr w:type="spellStart"/>
            <w:r w:rsidRPr="001A5DEE">
              <w:rPr>
                <w:rFonts w:ascii="Arial" w:hAnsi="Arial"/>
              </w:rPr>
              <w:t>Jallumba</w:t>
            </w:r>
            <w:proofErr w:type="spellEnd"/>
            <w:r w:rsidRPr="001A5DEE">
              <w:rPr>
                <w:rFonts w:ascii="Arial" w:hAnsi="Arial"/>
              </w:rPr>
              <w:t>-Douglas Road) and the transfer channels network comprising the Natimuk Channel (decommissioned), Arapiles Channel (decommissioned), Toolondo Channel and the Rocklands Toolondo Channel (Figure 2).</w:t>
            </w:r>
          </w:p>
          <w:p w14:paraId="4F5517BD" w14:textId="77777777" w:rsidR="002E7C95" w:rsidRPr="002E7C95" w:rsidRDefault="002E7C95" w:rsidP="002E7C95">
            <w:pPr>
              <w:spacing w:after="120"/>
              <w:jc w:val="both"/>
              <w:rPr>
                <w:rFonts w:ascii="Arial" w:hAnsi="Arial"/>
              </w:rPr>
            </w:pPr>
            <w:bookmarkStart w:id="73" w:name="_Hlk8977601"/>
            <w:r w:rsidRPr="002E7C95">
              <w:rPr>
                <w:rFonts w:ascii="Arial" w:hAnsi="Arial"/>
              </w:rPr>
              <w:t>Three sub-catchments have been identified at the Project site (Water Technology 2018):</w:t>
            </w:r>
          </w:p>
          <w:p w14:paraId="0E7C8EB2" w14:textId="362546EC" w:rsidR="002E7C95" w:rsidRPr="002E7C95" w:rsidRDefault="002E7C95" w:rsidP="00C70314">
            <w:pPr>
              <w:pStyle w:val="ListParagraph"/>
              <w:numPr>
                <w:ilvl w:val="0"/>
                <w:numId w:val="35"/>
              </w:numPr>
              <w:spacing w:after="120"/>
              <w:jc w:val="both"/>
              <w:rPr>
                <w:rFonts w:ascii="Arial" w:hAnsi="Arial"/>
              </w:rPr>
            </w:pPr>
            <w:r w:rsidRPr="002E7C95">
              <w:rPr>
                <w:rFonts w:ascii="Arial" w:hAnsi="Arial"/>
              </w:rPr>
              <w:t xml:space="preserve">approximately 80% of the Project site is comprised of the northern sub-catchment. The western ridge forms the western catchment divide, while the fringing lunette dune on the north and north-east side of </w:t>
            </w:r>
            <w:r w:rsidR="0073776F">
              <w:rPr>
                <w:rFonts w:ascii="Arial" w:hAnsi="Arial"/>
              </w:rPr>
              <w:t xml:space="preserve">the </w:t>
            </w:r>
            <w:r w:rsidRPr="002E7C95">
              <w:rPr>
                <w:rFonts w:ascii="Arial" w:hAnsi="Arial"/>
              </w:rPr>
              <w:t>Red Gum Swamp forms the southern catchment boundary. Surface water flows leave the catchment to the north and east, contributing to various downstream wetlands;</w:t>
            </w:r>
          </w:p>
          <w:p w14:paraId="5B7AFEC1" w14:textId="4C84220D" w:rsidR="002E7C95" w:rsidRPr="002E7C95" w:rsidRDefault="002E7C95" w:rsidP="00C70314">
            <w:pPr>
              <w:pStyle w:val="ListParagraph"/>
              <w:numPr>
                <w:ilvl w:val="0"/>
                <w:numId w:val="35"/>
              </w:numPr>
              <w:spacing w:after="120"/>
              <w:jc w:val="both"/>
              <w:rPr>
                <w:rFonts w:ascii="Arial" w:hAnsi="Arial"/>
              </w:rPr>
            </w:pPr>
            <w:r w:rsidRPr="002E7C95">
              <w:rPr>
                <w:rFonts w:ascii="Arial" w:hAnsi="Arial"/>
              </w:rPr>
              <w:t>approximately 10% of the Project site is comprised of the southern sub-catchment where surface water flows into the site from the south and flows toward</w:t>
            </w:r>
            <w:r w:rsidR="0073776F">
              <w:rPr>
                <w:rFonts w:ascii="Arial" w:hAnsi="Arial"/>
              </w:rPr>
              <w:t xml:space="preserve"> the</w:t>
            </w:r>
            <w:r w:rsidRPr="002E7C95">
              <w:rPr>
                <w:rFonts w:ascii="Arial" w:hAnsi="Arial"/>
              </w:rPr>
              <w:t xml:space="preserve"> Red Gum Swamp; and </w:t>
            </w:r>
          </w:p>
          <w:p w14:paraId="188C25E1" w14:textId="77777777" w:rsidR="002E7C95" w:rsidRPr="002E7C95" w:rsidRDefault="002E7C95" w:rsidP="00C70314">
            <w:pPr>
              <w:pStyle w:val="ListParagraph"/>
              <w:numPr>
                <w:ilvl w:val="0"/>
                <w:numId w:val="35"/>
              </w:numPr>
              <w:spacing w:after="120"/>
              <w:jc w:val="both"/>
              <w:rPr>
                <w:rFonts w:ascii="Arial" w:hAnsi="Arial"/>
              </w:rPr>
            </w:pPr>
            <w:r w:rsidRPr="002E7C95">
              <w:rPr>
                <w:rFonts w:ascii="Arial" w:hAnsi="Arial"/>
              </w:rPr>
              <w:t>the remaining 10% of the Project site is comprised of the western sub-catchment. The western ridge forms the eastern catchment divide, which prevents overland flow to the east. Surface water flows leave the catchment towards north-west.</w:t>
            </w:r>
          </w:p>
          <w:p w14:paraId="3C7C8F02" w14:textId="287C882A" w:rsidR="001A5DEE" w:rsidRPr="001A5DEE" w:rsidRDefault="00CC642F" w:rsidP="00CC642F">
            <w:pPr>
              <w:spacing w:after="120"/>
              <w:jc w:val="both"/>
              <w:rPr>
                <w:rFonts w:ascii="Arial" w:hAnsi="Arial"/>
              </w:rPr>
            </w:pPr>
            <w:r>
              <w:rPr>
                <w:rFonts w:ascii="Arial" w:hAnsi="Arial"/>
              </w:rPr>
              <w:t xml:space="preserve">The </w:t>
            </w:r>
            <w:r w:rsidR="001A5DEE" w:rsidRPr="001A5DEE">
              <w:rPr>
                <w:rFonts w:ascii="Arial" w:hAnsi="Arial"/>
              </w:rPr>
              <w:t xml:space="preserve">baseline </w:t>
            </w:r>
            <w:r>
              <w:rPr>
                <w:rFonts w:ascii="Arial" w:hAnsi="Arial"/>
              </w:rPr>
              <w:t xml:space="preserve">surface water </w:t>
            </w:r>
            <w:r w:rsidR="001A5DEE" w:rsidRPr="001A5DEE">
              <w:rPr>
                <w:rFonts w:ascii="Arial" w:hAnsi="Arial"/>
              </w:rPr>
              <w:t xml:space="preserve">assessment </w:t>
            </w:r>
            <w:r>
              <w:rPr>
                <w:rFonts w:ascii="Arial" w:hAnsi="Arial"/>
              </w:rPr>
              <w:t>considered</w:t>
            </w:r>
            <w:r w:rsidR="001A5DEE" w:rsidRPr="001A5DEE">
              <w:rPr>
                <w:rFonts w:ascii="Arial" w:hAnsi="Arial"/>
              </w:rPr>
              <w:t xml:space="preserve"> water quality </w:t>
            </w:r>
            <w:r>
              <w:rPr>
                <w:rFonts w:ascii="Arial" w:hAnsi="Arial"/>
              </w:rPr>
              <w:t xml:space="preserve">results for </w:t>
            </w:r>
            <w:r w:rsidR="001A5DEE" w:rsidRPr="001A5DEE">
              <w:rPr>
                <w:rFonts w:ascii="Arial" w:hAnsi="Arial"/>
              </w:rPr>
              <w:t>two samples</w:t>
            </w:r>
            <w:r>
              <w:rPr>
                <w:rFonts w:ascii="Arial" w:hAnsi="Arial"/>
              </w:rPr>
              <w:t xml:space="preserve"> obtained</w:t>
            </w:r>
            <w:r w:rsidR="001A5DEE" w:rsidRPr="001A5DEE">
              <w:rPr>
                <w:rFonts w:ascii="Arial" w:hAnsi="Arial"/>
              </w:rPr>
              <w:t xml:space="preserve"> from the Red Gum Swamp and a small dam within the </w:t>
            </w:r>
            <w:proofErr w:type="spellStart"/>
            <w:r w:rsidR="00316DD9">
              <w:rPr>
                <w:rFonts w:ascii="Arial" w:hAnsi="Arial"/>
              </w:rPr>
              <w:t>Jallumba</w:t>
            </w:r>
            <w:proofErr w:type="spellEnd"/>
            <w:r w:rsidR="00316DD9">
              <w:rPr>
                <w:rFonts w:ascii="Arial" w:hAnsi="Arial"/>
              </w:rPr>
              <w:t xml:space="preserve"> Marsh Flora Reserve</w:t>
            </w:r>
            <w:r w:rsidR="001A5DEE" w:rsidRPr="001A5DEE">
              <w:rPr>
                <w:rFonts w:ascii="Arial" w:hAnsi="Arial"/>
              </w:rPr>
              <w:t xml:space="preserve">. A single sample was taken at each site and both samples were taken from standing water as no actively flowing water was available. </w:t>
            </w:r>
            <w:bookmarkEnd w:id="73"/>
          </w:p>
          <w:p w14:paraId="11871A35" w14:textId="77777777" w:rsidR="001A5DEE" w:rsidRPr="001A5DEE" w:rsidRDefault="001A5DEE" w:rsidP="00634D67">
            <w:pPr>
              <w:spacing w:after="120"/>
              <w:jc w:val="both"/>
              <w:rPr>
                <w:rFonts w:ascii="Arial" w:hAnsi="Arial"/>
              </w:rPr>
            </w:pPr>
            <w:r w:rsidRPr="001A5DEE">
              <w:rPr>
                <w:rFonts w:ascii="Arial" w:hAnsi="Arial"/>
              </w:rPr>
              <w:t xml:space="preserve">The following exceedances were recorded against water quality indicator limits set out in SEPP Waters of Victoria (EPA 2018): </w:t>
            </w:r>
          </w:p>
          <w:p w14:paraId="07051037" w14:textId="77777777" w:rsidR="001A5DEE" w:rsidRPr="00C70314" w:rsidRDefault="001A5DEE" w:rsidP="00C70314">
            <w:pPr>
              <w:pStyle w:val="ListBullet"/>
              <w:numPr>
                <w:ilvl w:val="0"/>
                <w:numId w:val="43"/>
              </w:numPr>
              <w:jc w:val="both"/>
              <w:rPr>
                <w:b w:val="0"/>
                <w:bCs w:val="0"/>
              </w:rPr>
            </w:pPr>
            <w:r w:rsidRPr="00C70314">
              <w:rPr>
                <w:b w:val="0"/>
                <w:bCs w:val="0"/>
              </w:rPr>
              <w:t>pH and total phosphorous for both sites; and</w:t>
            </w:r>
          </w:p>
          <w:p w14:paraId="684BC0DB" w14:textId="6809A479" w:rsidR="001A5DEE" w:rsidRPr="00C70314" w:rsidRDefault="001A5DEE" w:rsidP="00C70314">
            <w:pPr>
              <w:pStyle w:val="ListBullet"/>
              <w:numPr>
                <w:ilvl w:val="0"/>
                <w:numId w:val="43"/>
              </w:numPr>
              <w:jc w:val="both"/>
              <w:rPr>
                <w:b w:val="0"/>
                <w:bCs w:val="0"/>
              </w:rPr>
            </w:pPr>
            <w:r w:rsidRPr="00C70314">
              <w:rPr>
                <w:b w:val="0"/>
                <w:bCs w:val="0"/>
              </w:rPr>
              <w:t xml:space="preserve">total nitrogen for the </w:t>
            </w:r>
            <w:proofErr w:type="spellStart"/>
            <w:r w:rsidR="00316DD9" w:rsidRPr="00C70314">
              <w:rPr>
                <w:b w:val="0"/>
                <w:bCs w:val="0"/>
              </w:rPr>
              <w:t>Jallumba</w:t>
            </w:r>
            <w:proofErr w:type="spellEnd"/>
            <w:r w:rsidR="00316DD9" w:rsidRPr="00C70314">
              <w:rPr>
                <w:b w:val="0"/>
                <w:bCs w:val="0"/>
              </w:rPr>
              <w:t xml:space="preserve"> Marsh Flora Reserve</w:t>
            </w:r>
            <w:r w:rsidRPr="00C70314">
              <w:rPr>
                <w:b w:val="0"/>
                <w:bCs w:val="0"/>
              </w:rPr>
              <w:t xml:space="preserve"> site. </w:t>
            </w:r>
          </w:p>
          <w:p w14:paraId="543A839C" w14:textId="53A556A3" w:rsidR="001A5DEE" w:rsidRDefault="002E7C95" w:rsidP="00BB680D">
            <w:pPr>
              <w:spacing w:after="120"/>
              <w:jc w:val="both"/>
              <w:rPr>
                <w:rFonts w:ascii="Arial" w:hAnsi="Arial"/>
              </w:rPr>
            </w:pPr>
            <w:r w:rsidRPr="002E7C95">
              <w:rPr>
                <w:rFonts w:ascii="Arial" w:hAnsi="Arial"/>
              </w:rPr>
              <w:t xml:space="preserve">For the larger dataset the following exceedances were recorded against the water quality indicator limits set out in the Australian and New Zealand Environment </w:t>
            </w:r>
            <w:r w:rsidRPr="002E7C95">
              <w:rPr>
                <w:rFonts w:ascii="Arial" w:hAnsi="Arial"/>
                <w:i/>
                <w:iCs/>
              </w:rPr>
              <w:t>Guidelines for Fresh and Martine Water Quality</w:t>
            </w:r>
            <w:r w:rsidRPr="002E7C95">
              <w:rPr>
                <w:rFonts w:ascii="Arial" w:hAnsi="Arial"/>
              </w:rPr>
              <w:t xml:space="preserve"> (2018) (toxicant default guideline values for protecting aquatic ecosystems): </w:t>
            </w:r>
          </w:p>
          <w:p w14:paraId="63D7E943" w14:textId="77777777" w:rsidR="001A5DEE" w:rsidRPr="00C70314" w:rsidRDefault="001A5DEE" w:rsidP="00C70314">
            <w:pPr>
              <w:pStyle w:val="ListBullet"/>
              <w:numPr>
                <w:ilvl w:val="0"/>
                <w:numId w:val="43"/>
              </w:numPr>
              <w:jc w:val="both"/>
              <w:rPr>
                <w:b w:val="0"/>
                <w:bCs w:val="0"/>
              </w:rPr>
            </w:pPr>
            <w:r w:rsidRPr="00C70314">
              <w:rPr>
                <w:b w:val="0"/>
                <w:bCs w:val="0"/>
              </w:rPr>
              <w:t>aluminium, arsenic, boron, chromium, copper, lead and zinc at both sites</w:t>
            </w:r>
            <w:r w:rsidR="009E036F" w:rsidRPr="00C70314">
              <w:rPr>
                <w:b w:val="0"/>
                <w:bCs w:val="0"/>
              </w:rPr>
              <w:t xml:space="preserve"> (total concentrations)</w:t>
            </w:r>
            <w:r w:rsidRPr="00C70314">
              <w:rPr>
                <w:b w:val="0"/>
                <w:bCs w:val="0"/>
              </w:rPr>
              <w:t>;</w:t>
            </w:r>
          </w:p>
          <w:p w14:paraId="6D1C9743" w14:textId="54F7A8F9" w:rsidR="001A5DEE" w:rsidRPr="00C70314" w:rsidRDefault="001A5DEE" w:rsidP="00C70314">
            <w:pPr>
              <w:pStyle w:val="ListBullet"/>
              <w:numPr>
                <w:ilvl w:val="0"/>
                <w:numId w:val="43"/>
              </w:numPr>
              <w:jc w:val="both"/>
              <w:rPr>
                <w:b w:val="0"/>
                <w:bCs w:val="0"/>
              </w:rPr>
            </w:pPr>
            <w:r w:rsidRPr="00C70314">
              <w:rPr>
                <w:b w:val="0"/>
                <w:bCs w:val="0"/>
              </w:rPr>
              <w:t xml:space="preserve">ammonia for the </w:t>
            </w:r>
            <w:proofErr w:type="spellStart"/>
            <w:r w:rsidR="00316DD9" w:rsidRPr="00C70314">
              <w:rPr>
                <w:b w:val="0"/>
                <w:bCs w:val="0"/>
              </w:rPr>
              <w:t>Jallumba</w:t>
            </w:r>
            <w:proofErr w:type="spellEnd"/>
            <w:r w:rsidR="00316DD9" w:rsidRPr="00C70314">
              <w:rPr>
                <w:b w:val="0"/>
                <w:bCs w:val="0"/>
              </w:rPr>
              <w:t xml:space="preserve"> Marsh Flora Reserve</w:t>
            </w:r>
            <w:r w:rsidRPr="00C70314">
              <w:rPr>
                <w:b w:val="0"/>
                <w:bCs w:val="0"/>
              </w:rPr>
              <w:t xml:space="preserve"> site; and </w:t>
            </w:r>
          </w:p>
          <w:p w14:paraId="7CE3E311" w14:textId="77777777" w:rsidR="001A5DEE" w:rsidRPr="00C70314" w:rsidRDefault="001A5DEE" w:rsidP="00C70314">
            <w:pPr>
              <w:pStyle w:val="ListBullet"/>
              <w:numPr>
                <w:ilvl w:val="0"/>
                <w:numId w:val="43"/>
              </w:numPr>
              <w:jc w:val="both"/>
              <w:rPr>
                <w:b w:val="0"/>
                <w:bCs w:val="0"/>
              </w:rPr>
            </w:pPr>
            <w:r w:rsidRPr="00C70314">
              <w:rPr>
                <w:b w:val="0"/>
                <w:bCs w:val="0"/>
              </w:rPr>
              <w:t xml:space="preserve">nickel for the Red Gum Swamp site. </w:t>
            </w:r>
          </w:p>
          <w:p w14:paraId="4D8AFB96" w14:textId="31E49A73" w:rsidR="009E036F" w:rsidRDefault="009E036F" w:rsidP="00634D67">
            <w:pPr>
              <w:spacing w:after="120"/>
              <w:jc w:val="both"/>
              <w:rPr>
                <w:rFonts w:ascii="Arial" w:hAnsi="Arial"/>
              </w:rPr>
            </w:pPr>
            <w:r w:rsidRPr="001A5DEE">
              <w:rPr>
                <w:rFonts w:ascii="Arial" w:hAnsi="Arial"/>
              </w:rPr>
              <w:t xml:space="preserve">A copy of the surface water baseline assessment is provided as Appendix </w:t>
            </w:r>
            <w:r w:rsidR="002D724E">
              <w:rPr>
                <w:rFonts w:ascii="Arial" w:hAnsi="Arial"/>
              </w:rPr>
              <w:t>F</w:t>
            </w:r>
            <w:r w:rsidRPr="001A5DEE">
              <w:rPr>
                <w:rFonts w:ascii="Arial" w:hAnsi="Arial"/>
              </w:rPr>
              <w:t>.</w:t>
            </w:r>
          </w:p>
          <w:p w14:paraId="67E27F6F" w14:textId="3C1A2B54" w:rsidR="00AA1904" w:rsidRPr="001A5DEE" w:rsidRDefault="007C7869" w:rsidP="00AA1904">
            <w:pPr>
              <w:spacing w:after="120"/>
              <w:jc w:val="both"/>
              <w:rPr>
                <w:rFonts w:ascii="Arial" w:hAnsi="Arial"/>
              </w:rPr>
            </w:pPr>
            <w:r>
              <w:rPr>
                <w:rFonts w:ascii="Arial" w:hAnsi="Arial"/>
              </w:rPr>
              <w:t xml:space="preserve">Since the baseline surface water assessment was completed water quality results have become available for a further </w:t>
            </w:r>
            <w:r w:rsidR="00B130F7">
              <w:rPr>
                <w:rFonts w:ascii="Arial" w:hAnsi="Arial"/>
              </w:rPr>
              <w:t>six</w:t>
            </w:r>
            <w:r>
              <w:rPr>
                <w:rFonts w:ascii="Arial" w:hAnsi="Arial"/>
              </w:rPr>
              <w:t xml:space="preserve"> samples obtained from the </w:t>
            </w:r>
            <w:proofErr w:type="spellStart"/>
            <w:r w:rsidR="00316DD9">
              <w:rPr>
                <w:rFonts w:ascii="Arial" w:hAnsi="Arial"/>
              </w:rPr>
              <w:t>Jallumba</w:t>
            </w:r>
            <w:proofErr w:type="spellEnd"/>
            <w:r w:rsidR="00316DD9">
              <w:rPr>
                <w:rFonts w:ascii="Arial" w:hAnsi="Arial"/>
              </w:rPr>
              <w:t xml:space="preserve"> Marsh Flora Reserve</w:t>
            </w:r>
            <w:r>
              <w:rPr>
                <w:rFonts w:ascii="Arial" w:hAnsi="Arial"/>
              </w:rPr>
              <w:t xml:space="preserve"> dam, and a </w:t>
            </w:r>
            <w:r>
              <w:rPr>
                <w:rFonts w:ascii="Arial" w:hAnsi="Arial"/>
              </w:rPr>
              <w:lastRenderedPageBreak/>
              <w:t xml:space="preserve">further </w:t>
            </w:r>
            <w:r w:rsidR="00B130F7">
              <w:rPr>
                <w:rFonts w:ascii="Arial" w:hAnsi="Arial"/>
              </w:rPr>
              <w:t>three</w:t>
            </w:r>
            <w:r>
              <w:rPr>
                <w:rFonts w:ascii="Arial" w:hAnsi="Arial"/>
              </w:rPr>
              <w:t xml:space="preserve"> samples obtained from </w:t>
            </w:r>
            <w:r w:rsidR="0073776F">
              <w:rPr>
                <w:rFonts w:ascii="Arial" w:hAnsi="Arial"/>
              </w:rPr>
              <w:t xml:space="preserve">the </w:t>
            </w:r>
            <w:r>
              <w:rPr>
                <w:rFonts w:ascii="Arial" w:hAnsi="Arial"/>
              </w:rPr>
              <w:t>Red Gum Swamp.</w:t>
            </w:r>
            <w:r w:rsidR="00AA1904">
              <w:rPr>
                <w:rFonts w:ascii="Arial" w:hAnsi="Arial"/>
              </w:rPr>
              <w:t xml:space="preserve"> </w:t>
            </w:r>
            <w:r w:rsidR="00765E9E">
              <w:rPr>
                <w:rFonts w:ascii="Arial" w:hAnsi="Arial"/>
              </w:rPr>
              <w:t>For this larger dataset t</w:t>
            </w:r>
            <w:r w:rsidR="00AA1904" w:rsidRPr="001A5DEE">
              <w:rPr>
                <w:rFonts w:ascii="Arial" w:hAnsi="Arial"/>
              </w:rPr>
              <w:t xml:space="preserve">he following exceedances were recorded against water quality indicator limits set out in SEPP Waters of Victoria (EPA 2018): </w:t>
            </w:r>
          </w:p>
          <w:p w14:paraId="773FAC46" w14:textId="77777777" w:rsidR="00AA1904" w:rsidRPr="00C70314" w:rsidRDefault="00AA1904" w:rsidP="00C70314">
            <w:pPr>
              <w:pStyle w:val="ListBullet"/>
              <w:numPr>
                <w:ilvl w:val="0"/>
                <w:numId w:val="43"/>
              </w:numPr>
              <w:jc w:val="both"/>
              <w:rPr>
                <w:b w:val="0"/>
                <w:bCs w:val="0"/>
              </w:rPr>
            </w:pPr>
            <w:r w:rsidRPr="00C70314">
              <w:rPr>
                <w:b w:val="0"/>
                <w:bCs w:val="0"/>
              </w:rPr>
              <w:t>pH (both above the upper limit and below the lower limit) and total phosphorous for both sites; and</w:t>
            </w:r>
          </w:p>
          <w:p w14:paraId="60C0E94C" w14:textId="52FD0B4F" w:rsidR="00AA1904" w:rsidRPr="00C70314" w:rsidRDefault="00AA1904" w:rsidP="00C70314">
            <w:pPr>
              <w:pStyle w:val="ListBullet"/>
              <w:numPr>
                <w:ilvl w:val="0"/>
                <w:numId w:val="43"/>
              </w:numPr>
              <w:jc w:val="both"/>
              <w:rPr>
                <w:b w:val="0"/>
                <w:bCs w:val="0"/>
              </w:rPr>
            </w:pPr>
            <w:r w:rsidRPr="00C70314">
              <w:rPr>
                <w:b w:val="0"/>
                <w:bCs w:val="0"/>
              </w:rPr>
              <w:t xml:space="preserve">total nitrogen for the </w:t>
            </w:r>
            <w:proofErr w:type="spellStart"/>
            <w:r w:rsidR="00316DD9" w:rsidRPr="00C70314">
              <w:rPr>
                <w:b w:val="0"/>
                <w:bCs w:val="0"/>
              </w:rPr>
              <w:t>Jallumba</w:t>
            </w:r>
            <w:proofErr w:type="spellEnd"/>
            <w:r w:rsidR="00316DD9" w:rsidRPr="00C70314">
              <w:rPr>
                <w:b w:val="0"/>
                <w:bCs w:val="0"/>
              </w:rPr>
              <w:t xml:space="preserve"> Marsh Flora Reserve</w:t>
            </w:r>
            <w:r w:rsidRPr="00C70314">
              <w:rPr>
                <w:b w:val="0"/>
                <w:bCs w:val="0"/>
              </w:rPr>
              <w:t xml:space="preserve"> site. </w:t>
            </w:r>
          </w:p>
          <w:p w14:paraId="63C2E9CA" w14:textId="496F32CF" w:rsidR="00AA1904" w:rsidRPr="001A5DEE" w:rsidRDefault="00765E9E" w:rsidP="00AA1904">
            <w:pPr>
              <w:jc w:val="both"/>
              <w:rPr>
                <w:rFonts w:ascii="Arial" w:hAnsi="Arial"/>
              </w:rPr>
            </w:pPr>
            <w:r>
              <w:rPr>
                <w:rFonts w:ascii="Arial" w:hAnsi="Arial"/>
              </w:rPr>
              <w:t>For the larger dataset t</w:t>
            </w:r>
            <w:r w:rsidR="00AA1904" w:rsidRPr="001A5DEE">
              <w:rPr>
                <w:rFonts w:ascii="Arial" w:hAnsi="Arial"/>
              </w:rPr>
              <w:t xml:space="preserve">he following exceedances were recorded against the water quality indicator limits set out in the </w:t>
            </w:r>
            <w:r w:rsidR="001F15B9" w:rsidRPr="001F15B9">
              <w:rPr>
                <w:rFonts w:ascii="Arial" w:hAnsi="Arial"/>
              </w:rPr>
              <w:t>Australian and New Zealand Environment Conservation Council (ANZECC) guidelines (toxicant default guideline values for protecting aquatic ecosystems 2018):</w:t>
            </w:r>
          </w:p>
          <w:p w14:paraId="478FDAC6" w14:textId="77777777" w:rsidR="00AA1904" w:rsidRDefault="00AA1904" w:rsidP="00AA1904">
            <w:pPr>
              <w:jc w:val="both"/>
              <w:rPr>
                <w:rFonts w:ascii="Arial" w:hAnsi="Arial"/>
              </w:rPr>
            </w:pPr>
          </w:p>
          <w:p w14:paraId="74C8C973" w14:textId="77777777" w:rsidR="00AA1904" w:rsidRPr="00C70314" w:rsidRDefault="00AA1904" w:rsidP="00C70314">
            <w:pPr>
              <w:pStyle w:val="ListBullet"/>
              <w:numPr>
                <w:ilvl w:val="0"/>
                <w:numId w:val="43"/>
              </w:numPr>
              <w:jc w:val="both"/>
              <w:rPr>
                <w:b w:val="0"/>
                <w:bCs w:val="0"/>
              </w:rPr>
            </w:pPr>
            <w:r w:rsidRPr="00C70314">
              <w:rPr>
                <w:b w:val="0"/>
                <w:bCs w:val="0"/>
              </w:rPr>
              <w:t>aluminium, arsenic, boron, chromium, copper, lead, nickel, silver, uranium and zinc at both sites</w:t>
            </w:r>
            <w:r w:rsidR="009E036F" w:rsidRPr="00C70314">
              <w:rPr>
                <w:b w:val="0"/>
                <w:bCs w:val="0"/>
              </w:rPr>
              <w:t xml:space="preserve"> (total concentrations)</w:t>
            </w:r>
            <w:r w:rsidRPr="00C70314">
              <w:rPr>
                <w:b w:val="0"/>
                <w:bCs w:val="0"/>
              </w:rPr>
              <w:t>;</w:t>
            </w:r>
          </w:p>
          <w:p w14:paraId="55E533B7" w14:textId="50A7AEB7" w:rsidR="00AA1904" w:rsidRPr="00C70314" w:rsidRDefault="00AA1904" w:rsidP="00C70314">
            <w:pPr>
              <w:pStyle w:val="ListBullet"/>
              <w:numPr>
                <w:ilvl w:val="0"/>
                <w:numId w:val="43"/>
              </w:numPr>
              <w:jc w:val="both"/>
              <w:rPr>
                <w:b w:val="0"/>
                <w:bCs w:val="0"/>
              </w:rPr>
            </w:pPr>
            <w:r w:rsidRPr="00C70314">
              <w:rPr>
                <w:b w:val="0"/>
                <w:bCs w:val="0"/>
              </w:rPr>
              <w:t xml:space="preserve">ammonia for the </w:t>
            </w:r>
            <w:proofErr w:type="spellStart"/>
            <w:r w:rsidR="00316DD9" w:rsidRPr="00C70314">
              <w:rPr>
                <w:b w:val="0"/>
                <w:bCs w:val="0"/>
              </w:rPr>
              <w:t>Jallumba</w:t>
            </w:r>
            <w:proofErr w:type="spellEnd"/>
            <w:r w:rsidR="00316DD9" w:rsidRPr="00C70314">
              <w:rPr>
                <w:b w:val="0"/>
                <w:bCs w:val="0"/>
              </w:rPr>
              <w:t xml:space="preserve"> Marsh Flora Reserve</w:t>
            </w:r>
            <w:r w:rsidRPr="00C70314">
              <w:rPr>
                <w:b w:val="0"/>
                <w:bCs w:val="0"/>
              </w:rPr>
              <w:t xml:space="preserve"> site; and </w:t>
            </w:r>
          </w:p>
          <w:p w14:paraId="54FDE5E5" w14:textId="77777777" w:rsidR="00AA1904" w:rsidRPr="00C70314" w:rsidRDefault="00AA1904" w:rsidP="00C70314">
            <w:pPr>
              <w:pStyle w:val="ListBullet"/>
              <w:numPr>
                <w:ilvl w:val="0"/>
                <w:numId w:val="43"/>
              </w:numPr>
              <w:jc w:val="both"/>
              <w:rPr>
                <w:b w:val="0"/>
                <w:bCs w:val="0"/>
              </w:rPr>
            </w:pPr>
            <w:r w:rsidRPr="00C70314">
              <w:rPr>
                <w:b w:val="0"/>
                <w:bCs w:val="0"/>
              </w:rPr>
              <w:t>nickel and selenium for the Red Gum Swamp site.</w:t>
            </w:r>
          </w:p>
          <w:p w14:paraId="2B696A0B" w14:textId="35C6D35B" w:rsidR="001A5DEE" w:rsidRDefault="001A5DEE" w:rsidP="009E036F">
            <w:pPr>
              <w:jc w:val="both"/>
              <w:rPr>
                <w:rFonts w:ascii="Arial" w:hAnsi="Arial"/>
              </w:rPr>
            </w:pPr>
            <w:r w:rsidRPr="001A5DEE">
              <w:rPr>
                <w:rFonts w:ascii="Arial" w:hAnsi="Arial"/>
              </w:rPr>
              <w:t xml:space="preserve">Further </w:t>
            </w:r>
            <w:r w:rsidR="00A97D08">
              <w:rPr>
                <w:rFonts w:ascii="Arial" w:hAnsi="Arial"/>
              </w:rPr>
              <w:t xml:space="preserve">surface water monitoring and </w:t>
            </w:r>
            <w:r w:rsidRPr="001A5DEE">
              <w:rPr>
                <w:rFonts w:ascii="Arial" w:hAnsi="Arial"/>
              </w:rPr>
              <w:t>baseline assessment of surface water chemistry will be undertaken as part of ongoing investigations.</w:t>
            </w:r>
          </w:p>
          <w:p w14:paraId="2278DDAD" w14:textId="77777777" w:rsidR="001A5DEE" w:rsidRPr="001A5DEE" w:rsidRDefault="001A5DEE" w:rsidP="001A5DEE">
            <w:pPr>
              <w:rPr>
                <w:rFonts w:ascii="Arial" w:hAnsi="Arial"/>
              </w:rPr>
            </w:pPr>
          </w:p>
          <w:p w14:paraId="11DCFB3C" w14:textId="77777777" w:rsidR="001A5DEE" w:rsidRDefault="00177B40" w:rsidP="001A5DEE">
            <w:pPr>
              <w:rPr>
                <w:rFonts w:ascii="Arial" w:hAnsi="Arial"/>
                <w:b/>
              </w:rPr>
            </w:pPr>
            <w:r>
              <w:rPr>
                <w:rFonts w:ascii="Arial" w:hAnsi="Arial"/>
                <w:b/>
              </w:rPr>
              <w:t xml:space="preserve">8.5 </w:t>
            </w:r>
            <w:r w:rsidR="001A5DEE" w:rsidRPr="001A5DEE">
              <w:rPr>
                <w:rFonts w:ascii="Arial" w:hAnsi="Arial"/>
                <w:b/>
              </w:rPr>
              <w:t xml:space="preserve">Noise </w:t>
            </w:r>
          </w:p>
          <w:p w14:paraId="659EE7EA" w14:textId="77777777" w:rsidR="001A5DEE" w:rsidRPr="001A5DEE" w:rsidRDefault="001A5DEE" w:rsidP="001A5DEE">
            <w:pPr>
              <w:rPr>
                <w:rFonts w:ascii="Arial" w:hAnsi="Arial"/>
                <w:b/>
              </w:rPr>
            </w:pPr>
          </w:p>
          <w:p w14:paraId="1C33E1EA" w14:textId="5719934C" w:rsidR="00AE2BB2" w:rsidRDefault="00AE2BB2" w:rsidP="00A97D08">
            <w:pPr>
              <w:spacing w:after="120"/>
              <w:jc w:val="both"/>
              <w:rPr>
                <w:rFonts w:ascii="Arial" w:hAnsi="Arial"/>
              </w:rPr>
            </w:pPr>
            <w:r>
              <w:rPr>
                <w:rFonts w:ascii="Arial" w:hAnsi="Arial"/>
              </w:rPr>
              <w:t>Continuous background noise monitoring was undertaken at six locations in and near the Project site (Figure 1</w:t>
            </w:r>
            <w:r w:rsidR="001F15B9">
              <w:rPr>
                <w:rFonts w:ascii="Arial" w:hAnsi="Arial"/>
              </w:rPr>
              <w:t>7</w:t>
            </w:r>
            <w:r>
              <w:rPr>
                <w:rFonts w:ascii="Arial" w:hAnsi="Arial"/>
              </w:rPr>
              <w:t xml:space="preserve"> of Appendix </w:t>
            </w:r>
            <w:r w:rsidR="001F15B9">
              <w:rPr>
                <w:rFonts w:ascii="Arial" w:hAnsi="Arial"/>
              </w:rPr>
              <w:t>G</w:t>
            </w:r>
            <w:r>
              <w:rPr>
                <w:rFonts w:ascii="Arial" w:hAnsi="Arial"/>
              </w:rPr>
              <w:t>)</w:t>
            </w:r>
            <w:r>
              <w:rPr>
                <w:rFonts w:ascii="Arial" w:hAnsi="Arial" w:cs="Arial"/>
              </w:rPr>
              <w:t xml:space="preserve"> from 1 February 2019 to 1 March 2019. Measurements were recorded at 15-minute inter</w:t>
            </w:r>
            <w:r w:rsidR="00875655">
              <w:rPr>
                <w:rFonts w:ascii="Arial" w:hAnsi="Arial" w:cs="Arial"/>
              </w:rPr>
              <w:t>vals over this four-week period</w:t>
            </w:r>
            <w:r w:rsidR="001A5DEE" w:rsidRPr="001A5DEE">
              <w:rPr>
                <w:rFonts w:ascii="Arial" w:hAnsi="Arial"/>
              </w:rPr>
              <w:t>.</w:t>
            </w:r>
          </w:p>
          <w:p w14:paraId="0D6E82B0" w14:textId="77777777" w:rsidR="001A5DEE" w:rsidRDefault="001A5DEE" w:rsidP="00A97D08">
            <w:pPr>
              <w:spacing w:after="120"/>
              <w:jc w:val="both"/>
              <w:rPr>
                <w:rFonts w:ascii="Arial" w:hAnsi="Arial"/>
              </w:rPr>
            </w:pPr>
            <w:r w:rsidRPr="001A5DEE">
              <w:rPr>
                <w:rFonts w:ascii="Arial" w:hAnsi="Arial"/>
              </w:rPr>
              <w:t xml:space="preserve">The results showed that ambient noise is currently generated from local traffic, breeze through trees, birds, insects and aircraft. Although there was no significant agricultural activity during the baseline noise assessment, it is expected that agricultural equipment would also be a source of ambient noise during certain times of the year. </w:t>
            </w:r>
          </w:p>
          <w:p w14:paraId="639841A6" w14:textId="77777777" w:rsidR="001A5DEE" w:rsidRDefault="001A5DEE" w:rsidP="00A97D08">
            <w:pPr>
              <w:spacing w:after="120"/>
              <w:jc w:val="both"/>
              <w:rPr>
                <w:rFonts w:ascii="Arial" w:hAnsi="Arial"/>
              </w:rPr>
            </w:pPr>
            <w:r w:rsidRPr="001A5DEE">
              <w:rPr>
                <w:rFonts w:ascii="Arial" w:hAnsi="Arial"/>
              </w:rPr>
              <w:t>The results of the background noise monitoring was u</w:t>
            </w:r>
            <w:r w:rsidR="00F12BB8">
              <w:rPr>
                <w:rFonts w:ascii="Arial" w:hAnsi="Arial"/>
              </w:rPr>
              <w:t>sed</w:t>
            </w:r>
            <w:r w:rsidRPr="001A5DEE">
              <w:rPr>
                <w:rFonts w:ascii="Arial" w:hAnsi="Arial"/>
              </w:rPr>
              <w:t xml:space="preserve"> to establish relevant environmental noise emission criteria based on the requirements of the guideline </w:t>
            </w:r>
            <w:r w:rsidRPr="00F12BB8">
              <w:rPr>
                <w:rFonts w:ascii="Arial" w:hAnsi="Arial"/>
                <w:i/>
              </w:rPr>
              <w:t>Noise from Industry in Regional Victoria (NIRV): Recommended maximum noise levels from commerce, industry and trade premises in regional Victoria</w:t>
            </w:r>
            <w:r w:rsidRPr="001A5DEE">
              <w:rPr>
                <w:rFonts w:ascii="Arial" w:hAnsi="Arial"/>
              </w:rPr>
              <w:t>.</w:t>
            </w:r>
          </w:p>
          <w:p w14:paraId="631B617B" w14:textId="08F99A56" w:rsidR="001A5DEE" w:rsidRDefault="001A5DEE" w:rsidP="00A97D08">
            <w:pPr>
              <w:spacing w:after="120"/>
              <w:jc w:val="both"/>
              <w:rPr>
                <w:rFonts w:ascii="Arial" w:hAnsi="Arial"/>
              </w:rPr>
            </w:pPr>
            <w:r w:rsidRPr="001A5DEE">
              <w:rPr>
                <w:rFonts w:ascii="Arial" w:hAnsi="Arial"/>
              </w:rPr>
              <w:t>The baseline ambient noise levels varied significantly between monitoring locations and changed significantly during different times of the day. Ambient noise levels are outlined in Table 8.2.</w:t>
            </w:r>
          </w:p>
          <w:tbl>
            <w:tblPr>
              <w:tblW w:w="11502" w:type="dxa"/>
              <w:tblBorders>
                <w:top w:val="single" w:sz="2" w:space="0" w:color="262626"/>
                <w:bottom w:val="single" w:sz="2" w:space="0" w:color="262626"/>
              </w:tblBorders>
              <w:tblLayout w:type="fixed"/>
              <w:tblLook w:val="0620" w:firstRow="1" w:lastRow="0" w:firstColumn="0" w:lastColumn="0" w:noHBand="1" w:noVBand="1"/>
            </w:tblPr>
            <w:tblGrid>
              <w:gridCol w:w="11502"/>
            </w:tblGrid>
            <w:tr w:rsidR="001A5DEE" w14:paraId="05325ED7" w14:textId="77777777" w:rsidTr="00634D67">
              <w:trPr>
                <w:tblHeader/>
              </w:trPr>
              <w:tc>
                <w:tcPr>
                  <w:tcW w:w="11502" w:type="dxa"/>
                  <w:tcBorders>
                    <w:top w:val="nil"/>
                    <w:bottom w:val="nil"/>
                  </w:tcBorders>
                </w:tcPr>
                <w:p w14:paraId="2C77A645" w14:textId="0850528D" w:rsidR="001A5DEE" w:rsidRPr="00D85635" w:rsidRDefault="001A5DEE" w:rsidP="001A5DEE">
                  <w:pPr>
                    <w:pStyle w:val="TableCaption"/>
                    <w:rPr>
                      <w:rFonts w:ascii="Arial" w:hAnsi="Arial" w:cs="Arial"/>
                      <w:sz w:val="18"/>
                    </w:rPr>
                  </w:pPr>
                  <w:bookmarkStart w:id="74" w:name="_Toc8384836"/>
                  <w:r w:rsidRPr="00D85635">
                    <w:rPr>
                      <w:rFonts w:ascii="Arial" w:hAnsi="Arial" w:cs="Arial"/>
                      <w:sz w:val="18"/>
                    </w:rPr>
                    <w:t xml:space="preserve">Table </w:t>
                  </w:r>
                  <w:r w:rsidR="003C338B" w:rsidRPr="00D85635">
                    <w:rPr>
                      <w:rFonts w:ascii="Arial" w:hAnsi="Arial" w:cs="Arial"/>
                      <w:sz w:val="18"/>
                    </w:rPr>
                    <w:t>8</w:t>
                  </w:r>
                  <w:r w:rsidRPr="00D85635">
                    <w:rPr>
                      <w:rFonts w:ascii="Arial" w:hAnsi="Arial" w:cs="Arial"/>
                      <w:sz w:val="18"/>
                    </w:rPr>
                    <w:t>.</w:t>
                  </w:r>
                  <w:r w:rsidR="001F15B9" w:rsidRPr="00D85635">
                    <w:rPr>
                      <w:rFonts w:ascii="Arial" w:hAnsi="Arial" w:cs="Arial"/>
                      <w:sz w:val="18"/>
                    </w:rPr>
                    <w:t>2</w:t>
                  </w:r>
                  <w:r w:rsidRPr="00D85635">
                    <w:rPr>
                      <w:rFonts w:ascii="Arial" w:hAnsi="Arial" w:cs="Arial"/>
                      <w:sz w:val="18"/>
                    </w:rPr>
                    <w:tab/>
                    <w:t>Average ambient noise levels</w:t>
                  </w:r>
                  <w:bookmarkEnd w:id="74"/>
                </w:p>
              </w:tc>
            </w:tr>
          </w:tbl>
          <w:p w14:paraId="2ECFEE05" w14:textId="77777777" w:rsidR="001F15B9" w:rsidRDefault="001F15B9" w:rsidP="001A5DEE">
            <w:pPr>
              <w:rPr>
                <w:rFonts w:ascii="Arial" w:hAnsi="Arial"/>
              </w:rPr>
            </w:pP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580"/>
              <w:gridCol w:w="2410"/>
            </w:tblGrid>
            <w:tr w:rsidR="002E2F87" w:rsidRPr="00177B40" w14:paraId="0CCB0B1E" w14:textId="77777777" w:rsidTr="002E2F87">
              <w:trPr>
                <w:tblHeader/>
              </w:trPr>
              <w:tc>
                <w:tcPr>
                  <w:tcW w:w="2580" w:type="dxa"/>
                </w:tcPr>
                <w:p w14:paraId="20D9719F" w14:textId="5313EAD2" w:rsidR="002E2F87" w:rsidRPr="00177B40" w:rsidRDefault="002E2F87" w:rsidP="001F15B9">
                  <w:pPr>
                    <w:pStyle w:val="TableHeading"/>
                    <w:rPr>
                      <w:rFonts w:ascii="Arial" w:hAnsi="Arial" w:cs="Arial"/>
                    </w:rPr>
                  </w:pPr>
                  <w:r>
                    <w:rPr>
                      <w:rFonts w:ascii="Arial" w:hAnsi="Arial" w:cs="Arial"/>
                    </w:rPr>
                    <w:t>Period</w:t>
                  </w:r>
                </w:p>
              </w:tc>
              <w:tc>
                <w:tcPr>
                  <w:tcW w:w="2410" w:type="dxa"/>
                </w:tcPr>
                <w:p w14:paraId="50E8B594" w14:textId="3C4EEC2E" w:rsidR="002E2F87" w:rsidRPr="00177B40" w:rsidRDefault="002E2F87" w:rsidP="001F15B9">
                  <w:pPr>
                    <w:pStyle w:val="TableHeading"/>
                    <w:rPr>
                      <w:rFonts w:ascii="Arial" w:hAnsi="Arial" w:cs="Arial"/>
                      <w:b w:val="0"/>
                    </w:rPr>
                  </w:pPr>
                  <w:r w:rsidRPr="00177B40">
                    <w:rPr>
                      <w:rFonts w:ascii="Arial" w:hAnsi="Arial" w:cs="Arial"/>
                      <w:sz w:val="20"/>
                      <w:szCs w:val="20"/>
                    </w:rPr>
                    <w:t>L</w:t>
                  </w:r>
                  <w:r w:rsidRPr="00177B40">
                    <w:rPr>
                      <w:rFonts w:ascii="Arial" w:hAnsi="Arial" w:cs="Arial"/>
                      <w:sz w:val="20"/>
                      <w:szCs w:val="20"/>
                      <w:vertAlign w:val="subscript"/>
                    </w:rPr>
                    <w:t>A90</w:t>
                  </w:r>
                  <w:r w:rsidRPr="00177B40">
                    <w:rPr>
                      <w:rFonts w:ascii="Arial" w:hAnsi="Arial" w:cs="Arial"/>
                      <w:sz w:val="20"/>
                      <w:szCs w:val="20"/>
                    </w:rPr>
                    <w:t xml:space="preserve"> DB</w:t>
                  </w:r>
                </w:p>
              </w:tc>
            </w:tr>
            <w:tr w:rsidR="002E2F87" w:rsidRPr="00177B40" w14:paraId="2702C6CF" w14:textId="77777777" w:rsidTr="002E2F87">
              <w:trPr>
                <w:tblHeader/>
              </w:trPr>
              <w:tc>
                <w:tcPr>
                  <w:tcW w:w="2580" w:type="dxa"/>
                </w:tcPr>
                <w:p w14:paraId="0AC12311" w14:textId="77777777" w:rsidR="002E2F87" w:rsidRPr="002E2F87" w:rsidRDefault="002E2F87" w:rsidP="001F15B9">
                  <w:pPr>
                    <w:pStyle w:val="TableHeading"/>
                    <w:rPr>
                      <w:rFonts w:ascii="Arial" w:hAnsi="Arial" w:cs="Arial"/>
                      <w:b w:val="0"/>
                      <w:bCs/>
                    </w:rPr>
                  </w:pPr>
                  <w:r w:rsidRPr="002E2F87">
                    <w:rPr>
                      <w:rFonts w:ascii="Arial" w:hAnsi="Arial" w:cs="Arial"/>
                      <w:b w:val="0"/>
                      <w:bCs/>
                    </w:rPr>
                    <w:t>Day (7 am-6 pm)</w:t>
                  </w:r>
                </w:p>
              </w:tc>
              <w:tc>
                <w:tcPr>
                  <w:tcW w:w="2410" w:type="dxa"/>
                </w:tcPr>
                <w:p w14:paraId="2E6AF827" w14:textId="1399FE00" w:rsidR="002E2F87" w:rsidRPr="00177B40" w:rsidRDefault="002E2F87" w:rsidP="001F15B9">
                  <w:pPr>
                    <w:pStyle w:val="TableHeading"/>
                    <w:rPr>
                      <w:rFonts w:ascii="Arial" w:hAnsi="Arial" w:cs="Arial"/>
                    </w:rPr>
                  </w:pPr>
                  <w:r w:rsidRPr="00177B40">
                    <w:rPr>
                      <w:rFonts w:ascii="Arial" w:hAnsi="Arial" w:cs="Arial"/>
                      <w:b w:val="0"/>
                    </w:rPr>
                    <w:t>28-34</w:t>
                  </w:r>
                </w:p>
              </w:tc>
            </w:tr>
            <w:tr w:rsidR="002E2F87" w:rsidRPr="00177B40" w14:paraId="730ED1A4" w14:textId="77777777" w:rsidTr="002E2F87">
              <w:tblPrEx>
                <w:tblLook w:val="01E0" w:firstRow="1" w:lastRow="1" w:firstColumn="1" w:lastColumn="1" w:noHBand="0" w:noVBand="0"/>
              </w:tblPrEx>
              <w:tc>
                <w:tcPr>
                  <w:tcW w:w="2580" w:type="dxa"/>
                </w:tcPr>
                <w:p w14:paraId="3091C8EB" w14:textId="52CDEE74" w:rsidR="002E2F87" w:rsidRPr="002E2F87" w:rsidRDefault="002E2F87" w:rsidP="001F15B9">
                  <w:pPr>
                    <w:pStyle w:val="TableHeading"/>
                    <w:rPr>
                      <w:rFonts w:ascii="Arial" w:hAnsi="Arial" w:cs="Arial"/>
                      <w:b w:val="0"/>
                      <w:bCs/>
                    </w:rPr>
                  </w:pPr>
                  <w:r w:rsidRPr="002E2F87">
                    <w:rPr>
                      <w:rFonts w:ascii="Arial" w:hAnsi="Arial" w:cs="Arial"/>
                      <w:b w:val="0"/>
                      <w:bCs/>
                    </w:rPr>
                    <w:t>Evening (6 pm-10 pm)</w:t>
                  </w:r>
                </w:p>
              </w:tc>
              <w:tc>
                <w:tcPr>
                  <w:tcW w:w="2410" w:type="dxa"/>
                </w:tcPr>
                <w:p w14:paraId="63D5B16A" w14:textId="77777777" w:rsidR="002E2F87" w:rsidRPr="00177B40" w:rsidRDefault="002E2F87" w:rsidP="001F15B9">
                  <w:pPr>
                    <w:pStyle w:val="TableHeading"/>
                    <w:rPr>
                      <w:rFonts w:ascii="Arial" w:hAnsi="Arial" w:cs="Arial"/>
                      <w:b w:val="0"/>
                    </w:rPr>
                  </w:pPr>
                  <w:r w:rsidRPr="00177B40">
                    <w:rPr>
                      <w:rFonts w:ascii="Arial" w:hAnsi="Arial" w:cs="Arial"/>
                      <w:b w:val="0"/>
                    </w:rPr>
                    <w:t>28-32</w:t>
                  </w:r>
                </w:p>
              </w:tc>
            </w:tr>
            <w:tr w:rsidR="002E2F87" w:rsidRPr="00177B40" w14:paraId="6EA2ADB5" w14:textId="77777777" w:rsidTr="002E2F87">
              <w:tblPrEx>
                <w:tblLook w:val="01E0" w:firstRow="1" w:lastRow="1" w:firstColumn="1" w:lastColumn="1" w:noHBand="0" w:noVBand="0"/>
              </w:tblPrEx>
              <w:tc>
                <w:tcPr>
                  <w:tcW w:w="2580" w:type="dxa"/>
                </w:tcPr>
                <w:p w14:paraId="060E0906" w14:textId="71EEEFAA" w:rsidR="002E2F87" w:rsidRPr="002E2F87" w:rsidRDefault="002E2F87" w:rsidP="001F15B9">
                  <w:pPr>
                    <w:pStyle w:val="TableHeading"/>
                    <w:rPr>
                      <w:rFonts w:ascii="Arial" w:hAnsi="Arial" w:cs="Arial"/>
                      <w:b w:val="0"/>
                      <w:bCs/>
                    </w:rPr>
                  </w:pPr>
                  <w:r w:rsidRPr="002E2F87">
                    <w:rPr>
                      <w:rFonts w:ascii="Arial" w:hAnsi="Arial" w:cs="Arial"/>
                      <w:b w:val="0"/>
                      <w:bCs/>
                    </w:rPr>
                    <w:t>Night (10 pm-7 am)</w:t>
                  </w:r>
                </w:p>
              </w:tc>
              <w:tc>
                <w:tcPr>
                  <w:tcW w:w="2410" w:type="dxa"/>
                </w:tcPr>
                <w:p w14:paraId="637CEE77" w14:textId="5E3F8D91" w:rsidR="002E2F87" w:rsidRPr="00177B40" w:rsidRDefault="002E2F87" w:rsidP="001F15B9">
                  <w:pPr>
                    <w:pStyle w:val="TableHeading"/>
                    <w:rPr>
                      <w:rFonts w:ascii="Arial" w:hAnsi="Arial" w:cs="Arial"/>
                      <w:b w:val="0"/>
                    </w:rPr>
                  </w:pPr>
                  <w:r w:rsidRPr="00177B40">
                    <w:rPr>
                      <w:rFonts w:ascii="Arial" w:hAnsi="Arial" w:cs="Arial"/>
                      <w:b w:val="0"/>
                    </w:rPr>
                    <w:t>23-25</w:t>
                  </w:r>
                </w:p>
              </w:tc>
            </w:tr>
          </w:tbl>
          <w:p w14:paraId="452CC699" w14:textId="77777777" w:rsidR="001F15B9" w:rsidRDefault="001F15B9" w:rsidP="001A5DEE">
            <w:pPr>
              <w:rPr>
                <w:rFonts w:ascii="Arial" w:hAnsi="Arial"/>
              </w:rPr>
            </w:pPr>
          </w:p>
          <w:p w14:paraId="5FC679CA" w14:textId="0CA66307" w:rsidR="001A5DEE" w:rsidRPr="001A5DEE" w:rsidRDefault="001A5DEE" w:rsidP="001A5DEE">
            <w:pPr>
              <w:rPr>
                <w:rFonts w:ascii="Arial" w:hAnsi="Arial"/>
              </w:rPr>
            </w:pPr>
            <w:r w:rsidRPr="001A5DEE">
              <w:rPr>
                <w:rFonts w:ascii="Arial" w:hAnsi="Arial"/>
              </w:rPr>
              <w:t xml:space="preserve">The baseline noise report is provided as Appendix </w:t>
            </w:r>
            <w:r w:rsidR="009C6282">
              <w:rPr>
                <w:rFonts w:ascii="Arial" w:hAnsi="Arial"/>
              </w:rPr>
              <w:t>G</w:t>
            </w:r>
            <w:r w:rsidRPr="001A5DEE">
              <w:rPr>
                <w:rFonts w:ascii="Arial" w:hAnsi="Arial"/>
              </w:rPr>
              <w:t xml:space="preserve">. </w:t>
            </w:r>
          </w:p>
          <w:p w14:paraId="5C3B1109" w14:textId="77777777" w:rsidR="001A5DEE" w:rsidRPr="001A5DEE" w:rsidRDefault="001A5DEE" w:rsidP="001A5DEE">
            <w:pPr>
              <w:rPr>
                <w:rFonts w:ascii="Arial" w:hAnsi="Arial"/>
              </w:rPr>
            </w:pPr>
          </w:p>
          <w:p w14:paraId="610975E9" w14:textId="77777777" w:rsidR="001A5DEE" w:rsidRPr="001A5DEE" w:rsidRDefault="00177B40" w:rsidP="001A5DEE">
            <w:pPr>
              <w:rPr>
                <w:rFonts w:ascii="Arial" w:hAnsi="Arial"/>
                <w:b/>
              </w:rPr>
            </w:pPr>
            <w:r>
              <w:rPr>
                <w:rFonts w:ascii="Arial" w:hAnsi="Arial"/>
                <w:b/>
              </w:rPr>
              <w:t xml:space="preserve">8.6 </w:t>
            </w:r>
            <w:r w:rsidR="001A5DEE" w:rsidRPr="001A5DEE">
              <w:rPr>
                <w:rFonts w:ascii="Arial" w:hAnsi="Arial"/>
                <w:b/>
              </w:rPr>
              <w:t>Vibration</w:t>
            </w:r>
          </w:p>
          <w:p w14:paraId="42FD5E36" w14:textId="77777777" w:rsidR="001A5DEE" w:rsidRPr="001A5DEE" w:rsidRDefault="001A5DEE" w:rsidP="001A5DEE">
            <w:pPr>
              <w:rPr>
                <w:rFonts w:ascii="Arial" w:hAnsi="Arial"/>
              </w:rPr>
            </w:pPr>
          </w:p>
          <w:p w14:paraId="0D140D0B" w14:textId="191716A9" w:rsidR="00875655" w:rsidRDefault="00875655" w:rsidP="00875655">
            <w:pPr>
              <w:autoSpaceDE w:val="0"/>
              <w:autoSpaceDN w:val="0"/>
              <w:adjustRightInd w:val="0"/>
              <w:spacing w:after="120"/>
              <w:jc w:val="both"/>
              <w:rPr>
                <w:rFonts w:ascii="Arial" w:hAnsi="Arial"/>
              </w:rPr>
            </w:pPr>
            <w:r>
              <w:rPr>
                <w:rFonts w:ascii="Arial" w:hAnsi="Arial"/>
              </w:rPr>
              <w:t>Continuous b</w:t>
            </w:r>
            <w:r w:rsidR="001A5DEE" w:rsidRPr="001A5DEE">
              <w:rPr>
                <w:rFonts w:ascii="Arial" w:hAnsi="Arial"/>
              </w:rPr>
              <w:t>ackground vibration level monitoring was undertaken at two locations within the Project site</w:t>
            </w:r>
            <w:r w:rsidR="00F665D8">
              <w:rPr>
                <w:rFonts w:ascii="Arial" w:hAnsi="Arial"/>
              </w:rPr>
              <w:t xml:space="preserve"> (Figure 1</w:t>
            </w:r>
            <w:r w:rsidR="00735C35">
              <w:rPr>
                <w:rFonts w:ascii="Arial" w:hAnsi="Arial"/>
              </w:rPr>
              <w:t>7</w:t>
            </w:r>
            <w:r w:rsidR="00F665D8">
              <w:rPr>
                <w:rFonts w:ascii="Arial" w:hAnsi="Arial"/>
              </w:rPr>
              <w:t>)</w:t>
            </w:r>
            <w:r w:rsidR="001A5DEE" w:rsidRPr="001A5DEE">
              <w:rPr>
                <w:rFonts w:ascii="Arial" w:hAnsi="Arial"/>
              </w:rPr>
              <w:t xml:space="preserve">. </w:t>
            </w:r>
            <w:r>
              <w:rPr>
                <w:rFonts w:ascii="Arial" w:hAnsi="Arial"/>
              </w:rPr>
              <w:t xml:space="preserve">Each location was monitored for a period of approximately three weeks - location 1 was monitored </w:t>
            </w:r>
            <w:r w:rsidRPr="008C1A79">
              <w:rPr>
                <w:rFonts w:ascii="Arial" w:hAnsi="Arial"/>
              </w:rPr>
              <w:t>between 1 February 2019 to 23 February 2019</w:t>
            </w:r>
            <w:r>
              <w:rPr>
                <w:rFonts w:ascii="Arial" w:hAnsi="Arial"/>
              </w:rPr>
              <w:t xml:space="preserve">, whilst location 2 was monitored between </w:t>
            </w:r>
            <w:r w:rsidRPr="008C1A79">
              <w:rPr>
                <w:rFonts w:ascii="Arial" w:hAnsi="Arial"/>
              </w:rPr>
              <w:t>1 February 2019 and 21 February 2019</w:t>
            </w:r>
            <w:r>
              <w:rPr>
                <w:rFonts w:ascii="Arial" w:hAnsi="Arial"/>
              </w:rPr>
              <w:t>.</w:t>
            </w:r>
            <w:r w:rsidRPr="008C1A79">
              <w:rPr>
                <w:rFonts w:ascii="Arial" w:hAnsi="Arial"/>
              </w:rPr>
              <w:t xml:space="preserve"> </w:t>
            </w:r>
            <w:r>
              <w:rPr>
                <w:rFonts w:ascii="Arial" w:hAnsi="Arial"/>
              </w:rPr>
              <w:t>Measurements were taken at 10-second intervals over the monitoring period.</w:t>
            </w:r>
          </w:p>
          <w:p w14:paraId="55452727" w14:textId="77777777" w:rsidR="00875655" w:rsidRDefault="00875655" w:rsidP="00875655">
            <w:pPr>
              <w:autoSpaceDE w:val="0"/>
              <w:autoSpaceDN w:val="0"/>
              <w:adjustRightInd w:val="0"/>
              <w:spacing w:after="120"/>
              <w:rPr>
                <w:rFonts w:ascii="Arial" w:hAnsi="Arial" w:cs="Arial"/>
              </w:rPr>
            </w:pPr>
            <w:r>
              <w:rPr>
                <w:rFonts w:ascii="Arial" w:hAnsi="Arial" w:cs="Arial"/>
              </w:rPr>
              <w:t>The monitoring sites were selected based on the following criteria:</w:t>
            </w:r>
          </w:p>
          <w:p w14:paraId="58FBD9EF" w14:textId="77777777" w:rsidR="00875655" w:rsidRPr="00A77F1D" w:rsidRDefault="00875655" w:rsidP="00C70314">
            <w:pPr>
              <w:pStyle w:val="ListParagraph"/>
              <w:numPr>
                <w:ilvl w:val="0"/>
                <w:numId w:val="16"/>
              </w:numPr>
              <w:spacing w:after="120"/>
              <w:jc w:val="both"/>
              <w:rPr>
                <w:rFonts w:ascii="Arial" w:hAnsi="Arial" w:cs="Arial"/>
              </w:rPr>
            </w:pPr>
            <w:r w:rsidRPr="00A77F1D">
              <w:rPr>
                <w:rFonts w:ascii="Arial" w:hAnsi="Arial" w:cs="Arial"/>
              </w:rPr>
              <w:lastRenderedPageBreak/>
              <w:t>within and</w:t>
            </w:r>
            <w:r w:rsidR="00A77F1D">
              <w:rPr>
                <w:rFonts w:ascii="Arial" w:hAnsi="Arial" w:cs="Arial"/>
              </w:rPr>
              <w:t>/or close to the mine layout development envelope</w:t>
            </w:r>
            <w:r w:rsidRPr="00A77F1D">
              <w:rPr>
                <w:rFonts w:ascii="Arial" w:hAnsi="Arial" w:cs="Arial"/>
              </w:rPr>
              <w:t xml:space="preserve">; and </w:t>
            </w:r>
          </w:p>
          <w:p w14:paraId="50E48CB3" w14:textId="77777777" w:rsidR="00875655" w:rsidRPr="00875655" w:rsidRDefault="00875655" w:rsidP="00C70314">
            <w:pPr>
              <w:pStyle w:val="ListParagraph"/>
              <w:numPr>
                <w:ilvl w:val="0"/>
                <w:numId w:val="16"/>
              </w:numPr>
              <w:spacing w:after="120"/>
              <w:jc w:val="both"/>
              <w:rPr>
                <w:rFonts w:ascii="Arial" w:hAnsi="Arial" w:cs="Arial"/>
              </w:rPr>
            </w:pPr>
            <w:r w:rsidRPr="00875655">
              <w:rPr>
                <w:rFonts w:ascii="Arial" w:hAnsi="Arial" w:cs="Arial" w:hint="eastAsia"/>
              </w:rPr>
              <w:t>c</w:t>
            </w:r>
            <w:r w:rsidRPr="00875655">
              <w:rPr>
                <w:rFonts w:ascii="Arial" w:hAnsi="Arial" w:cs="Arial"/>
              </w:rPr>
              <w:t>lose to existing and potential future transportation routes.</w:t>
            </w:r>
          </w:p>
          <w:p w14:paraId="6AF697ED" w14:textId="77777777" w:rsidR="001A5DEE" w:rsidRDefault="001A5DEE" w:rsidP="00634D67">
            <w:pPr>
              <w:spacing w:after="120"/>
              <w:jc w:val="both"/>
              <w:rPr>
                <w:rFonts w:ascii="Arial" w:hAnsi="Arial"/>
              </w:rPr>
            </w:pPr>
            <w:r w:rsidRPr="001A5DEE">
              <w:rPr>
                <w:rFonts w:ascii="Arial" w:hAnsi="Arial"/>
              </w:rPr>
              <w:t xml:space="preserve">The results indicated that the typical baseline vibration level ranged from 0.06 to 0.15 </w:t>
            </w:r>
            <w:proofErr w:type="spellStart"/>
            <w:r w:rsidRPr="001A5DEE">
              <w:rPr>
                <w:rFonts w:ascii="Arial" w:hAnsi="Arial"/>
              </w:rPr>
              <w:t>millimeters</w:t>
            </w:r>
            <w:proofErr w:type="spellEnd"/>
            <w:r w:rsidRPr="001A5DEE">
              <w:rPr>
                <w:rFonts w:ascii="Arial" w:hAnsi="Arial"/>
              </w:rPr>
              <w:t xml:space="preserve"> per second (mm/s) across both monitoring sites. This range is below the recommended human comfort vibration targets at residential premises and below the typical threshold of human perception.</w:t>
            </w:r>
          </w:p>
          <w:p w14:paraId="112F4454" w14:textId="5AE851DF" w:rsidR="001A5DEE" w:rsidRDefault="001A5DEE" w:rsidP="00634D67">
            <w:pPr>
              <w:spacing w:after="120"/>
              <w:jc w:val="both"/>
              <w:rPr>
                <w:rFonts w:ascii="Arial" w:hAnsi="Arial"/>
              </w:rPr>
            </w:pPr>
            <w:r w:rsidRPr="001A5DEE">
              <w:rPr>
                <w:rFonts w:ascii="Arial" w:hAnsi="Arial"/>
              </w:rPr>
              <w:t xml:space="preserve">A copy of the baseline vibration report is provided as Appendix </w:t>
            </w:r>
            <w:r w:rsidR="00F665D8">
              <w:rPr>
                <w:rFonts w:ascii="Arial" w:hAnsi="Arial"/>
              </w:rPr>
              <w:t>H</w:t>
            </w:r>
            <w:r w:rsidRPr="001A5DEE">
              <w:rPr>
                <w:rFonts w:ascii="Arial" w:hAnsi="Arial"/>
              </w:rPr>
              <w:t>.</w:t>
            </w:r>
          </w:p>
          <w:p w14:paraId="5D5D0D46" w14:textId="77777777" w:rsidR="001A5DEE" w:rsidRPr="001A5DEE" w:rsidRDefault="001A5DEE" w:rsidP="001A5DEE">
            <w:pPr>
              <w:rPr>
                <w:rFonts w:ascii="Arial" w:hAnsi="Arial"/>
              </w:rPr>
            </w:pPr>
          </w:p>
          <w:p w14:paraId="55D33090" w14:textId="77777777" w:rsidR="001A5DEE" w:rsidRDefault="00177B40" w:rsidP="001A5DEE">
            <w:pPr>
              <w:rPr>
                <w:rFonts w:ascii="Arial" w:hAnsi="Arial"/>
                <w:b/>
              </w:rPr>
            </w:pPr>
            <w:r>
              <w:rPr>
                <w:rFonts w:ascii="Arial" w:hAnsi="Arial"/>
                <w:b/>
              </w:rPr>
              <w:t xml:space="preserve">8.7 </w:t>
            </w:r>
            <w:r w:rsidR="001A5DEE" w:rsidRPr="001A5DEE">
              <w:rPr>
                <w:rFonts w:ascii="Arial" w:hAnsi="Arial"/>
                <w:b/>
              </w:rPr>
              <w:t>Air quality</w:t>
            </w:r>
          </w:p>
          <w:p w14:paraId="21FAE100" w14:textId="77777777" w:rsidR="001A5DEE" w:rsidRPr="001A5DEE" w:rsidRDefault="001A5DEE" w:rsidP="001A5DEE">
            <w:pPr>
              <w:rPr>
                <w:rFonts w:ascii="Arial" w:hAnsi="Arial"/>
                <w:b/>
              </w:rPr>
            </w:pPr>
          </w:p>
          <w:p w14:paraId="204DBA51" w14:textId="77777777" w:rsidR="00F665D8" w:rsidRDefault="00F665D8" w:rsidP="00F665D8">
            <w:pPr>
              <w:spacing w:after="120"/>
              <w:jc w:val="both"/>
              <w:rPr>
                <w:rFonts w:ascii="Arial" w:hAnsi="Arial"/>
              </w:rPr>
            </w:pPr>
            <w:r w:rsidRPr="001A5DEE">
              <w:rPr>
                <w:rFonts w:ascii="Arial" w:hAnsi="Arial"/>
              </w:rPr>
              <w:t xml:space="preserve">Existing key sources of air emissions are expected to include agricultural activities (including use of equipment, fertilisers and pesticides), local traffic, dust storms, controlled burning and domestic wood heating. </w:t>
            </w:r>
          </w:p>
          <w:p w14:paraId="0E617E82" w14:textId="494002A5" w:rsidR="00F665D8" w:rsidRDefault="00F665D8" w:rsidP="00F665D8">
            <w:pPr>
              <w:spacing w:after="120"/>
              <w:jc w:val="both"/>
              <w:rPr>
                <w:rFonts w:ascii="Arial" w:hAnsi="Arial"/>
              </w:rPr>
            </w:pPr>
            <w:r w:rsidRPr="001A5DEE">
              <w:rPr>
                <w:rFonts w:ascii="Arial" w:hAnsi="Arial"/>
              </w:rPr>
              <w:t xml:space="preserve">Sensitive air quality receivers include residents in the immediate and local vicinity – residential properties are shown in Figure </w:t>
            </w:r>
            <w:r>
              <w:rPr>
                <w:rFonts w:ascii="Arial" w:hAnsi="Arial"/>
              </w:rPr>
              <w:t>1</w:t>
            </w:r>
            <w:r w:rsidR="00735C35">
              <w:rPr>
                <w:rFonts w:ascii="Arial" w:hAnsi="Arial"/>
              </w:rPr>
              <w:t>8</w:t>
            </w:r>
            <w:r>
              <w:rPr>
                <w:rFonts w:ascii="Arial" w:hAnsi="Arial"/>
              </w:rPr>
              <w:t xml:space="preserve">, as are the air quality monitoring locations. </w:t>
            </w:r>
          </w:p>
          <w:p w14:paraId="1A5C7C58" w14:textId="279289D2" w:rsidR="00B375A6" w:rsidRPr="0036555E" w:rsidRDefault="00B375A6" w:rsidP="004F4259">
            <w:pPr>
              <w:spacing w:after="120"/>
              <w:jc w:val="both"/>
              <w:rPr>
                <w:rFonts w:ascii="Arial" w:hAnsi="Arial" w:cs="Arial"/>
                <w:color w:val="000000" w:themeColor="text1"/>
                <w:lang w:val="en-US" w:eastAsia="en-US"/>
              </w:rPr>
            </w:pPr>
            <w:r>
              <w:rPr>
                <w:rFonts w:ascii="Arial" w:hAnsi="Arial"/>
              </w:rPr>
              <w:t>Monthly depositional dust monitoring at four locations</w:t>
            </w:r>
            <w:r w:rsidR="00F665D8">
              <w:rPr>
                <w:rFonts w:ascii="Arial" w:hAnsi="Arial"/>
              </w:rPr>
              <w:t xml:space="preserve"> a</w:t>
            </w:r>
            <w:r w:rsidR="0073776F">
              <w:rPr>
                <w:rFonts w:ascii="Arial" w:hAnsi="Arial"/>
              </w:rPr>
              <w:t>t</w:t>
            </w:r>
            <w:r w:rsidR="00F665D8">
              <w:rPr>
                <w:rFonts w:ascii="Arial" w:hAnsi="Arial"/>
              </w:rPr>
              <w:t xml:space="preserve"> the Project site </w:t>
            </w:r>
            <w:r>
              <w:rPr>
                <w:rFonts w:ascii="Arial" w:hAnsi="Arial"/>
              </w:rPr>
              <w:t xml:space="preserve">commenced in December 2018. The depositional dust data will </w:t>
            </w:r>
            <w:r w:rsidRPr="0036555E">
              <w:rPr>
                <w:rFonts w:ascii="Arial" w:hAnsi="Arial" w:cs="Arial"/>
                <w:color w:val="000000" w:themeColor="text1"/>
                <w:lang w:val="en-US" w:eastAsia="en-US"/>
              </w:rPr>
              <w:t>establish a background for future assessment of any nuisance dust deposition events.</w:t>
            </w:r>
          </w:p>
          <w:p w14:paraId="691AF211" w14:textId="77F6DA70" w:rsidR="00B375A6" w:rsidRDefault="00681716" w:rsidP="004F4259">
            <w:pPr>
              <w:spacing w:after="120"/>
              <w:jc w:val="both"/>
              <w:rPr>
                <w:rFonts w:ascii="Arial" w:hAnsi="Arial"/>
              </w:rPr>
            </w:pPr>
            <w:r>
              <w:rPr>
                <w:rFonts w:ascii="Arial" w:hAnsi="Arial"/>
              </w:rPr>
              <w:t xml:space="preserve">Monitoring of </w:t>
            </w:r>
            <w:r w:rsidR="00F665D8">
              <w:rPr>
                <w:rFonts w:ascii="Arial" w:hAnsi="Arial"/>
              </w:rPr>
              <w:t xml:space="preserve">airborne </w:t>
            </w:r>
            <w:r>
              <w:rPr>
                <w:rFonts w:ascii="Arial" w:hAnsi="Arial"/>
              </w:rPr>
              <w:t>PM</w:t>
            </w:r>
            <w:r w:rsidRPr="00661B55">
              <w:rPr>
                <w:rFonts w:ascii="Arial" w:hAnsi="Arial"/>
                <w:vertAlign w:val="subscript"/>
              </w:rPr>
              <w:t>10</w:t>
            </w:r>
            <w:r>
              <w:rPr>
                <w:rFonts w:ascii="Arial" w:hAnsi="Arial"/>
              </w:rPr>
              <w:t xml:space="preserve"> and </w:t>
            </w:r>
            <w:r w:rsidR="00F665D8">
              <w:rPr>
                <w:rFonts w:ascii="Arial" w:hAnsi="Arial"/>
              </w:rPr>
              <w:t xml:space="preserve">associated </w:t>
            </w:r>
            <w:r>
              <w:rPr>
                <w:rFonts w:ascii="Arial" w:hAnsi="Arial"/>
              </w:rPr>
              <w:t xml:space="preserve">gross alpha activity in air using high volume air samplers </w:t>
            </w:r>
            <w:r w:rsidR="00F959A1">
              <w:rPr>
                <w:rFonts w:ascii="Arial" w:hAnsi="Arial"/>
              </w:rPr>
              <w:t xml:space="preserve">at two locations </w:t>
            </w:r>
            <w:r>
              <w:rPr>
                <w:rFonts w:ascii="Arial" w:hAnsi="Arial"/>
              </w:rPr>
              <w:t xml:space="preserve">commenced in April </w:t>
            </w:r>
            <w:r w:rsidR="00F959A1">
              <w:rPr>
                <w:rFonts w:ascii="Arial" w:hAnsi="Arial"/>
              </w:rPr>
              <w:t xml:space="preserve">and May </w:t>
            </w:r>
            <w:r>
              <w:rPr>
                <w:rFonts w:ascii="Arial" w:hAnsi="Arial"/>
              </w:rPr>
              <w:t>2019.</w:t>
            </w:r>
            <w:r w:rsidR="00F959A1">
              <w:rPr>
                <w:rFonts w:ascii="Arial" w:hAnsi="Arial"/>
              </w:rPr>
              <w:t xml:space="preserve"> </w:t>
            </w:r>
            <w:r w:rsidR="00590D1E">
              <w:rPr>
                <w:rFonts w:ascii="Arial" w:hAnsi="Arial"/>
              </w:rPr>
              <w:t>Monitoring will be undertaken for</w:t>
            </w:r>
            <w:r w:rsidR="00F959A1">
              <w:rPr>
                <w:rFonts w:ascii="Arial" w:hAnsi="Arial"/>
              </w:rPr>
              <w:t xml:space="preserve"> </w:t>
            </w:r>
            <w:r w:rsidR="00590D1E" w:rsidRPr="00590D1E">
              <w:rPr>
                <w:rFonts w:ascii="Arial" w:hAnsi="Arial"/>
              </w:rPr>
              <w:t>up to three days per quarter, with the</w:t>
            </w:r>
            <w:r w:rsidR="00590D1E">
              <w:rPr>
                <w:rFonts w:ascii="Arial" w:hAnsi="Arial"/>
              </w:rPr>
              <w:t xml:space="preserve"> </w:t>
            </w:r>
            <w:r w:rsidR="00F959A1">
              <w:rPr>
                <w:rFonts w:ascii="Arial" w:hAnsi="Arial"/>
              </w:rPr>
              <w:t xml:space="preserve">data </w:t>
            </w:r>
            <w:r w:rsidR="00590D1E">
              <w:rPr>
                <w:rFonts w:ascii="Arial" w:hAnsi="Arial"/>
              </w:rPr>
              <w:t>used to</w:t>
            </w:r>
            <w:r w:rsidR="00F959A1">
              <w:rPr>
                <w:rFonts w:ascii="Arial" w:hAnsi="Arial"/>
              </w:rPr>
              <w:t xml:space="preserve"> establish background for radiological asses</w:t>
            </w:r>
            <w:r w:rsidR="00590D1E">
              <w:rPr>
                <w:rFonts w:ascii="Arial" w:hAnsi="Arial"/>
              </w:rPr>
              <w:t>s</w:t>
            </w:r>
            <w:r w:rsidR="00F959A1">
              <w:rPr>
                <w:rFonts w:ascii="Arial" w:hAnsi="Arial"/>
              </w:rPr>
              <w:t>ments.</w:t>
            </w:r>
          </w:p>
          <w:p w14:paraId="49C5558F" w14:textId="3274A916" w:rsidR="0039002E" w:rsidRPr="004F4259" w:rsidRDefault="00661B55" w:rsidP="004F4259">
            <w:pPr>
              <w:pStyle w:val="Default"/>
              <w:spacing w:after="120"/>
              <w:jc w:val="both"/>
              <w:rPr>
                <w:rFonts w:cs="Times New Roman"/>
                <w:color w:val="auto"/>
                <w:sz w:val="20"/>
                <w:szCs w:val="20"/>
              </w:rPr>
            </w:pPr>
            <w:r w:rsidRPr="004F4259">
              <w:rPr>
                <w:rFonts w:cs="Times New Roman"/>
                <w:color w:val="auto"/>
                <w:sz w:val="20"/>
                <w:szCs w:val="20"/>
              </w:rPr>
              <w:t xml:space="preserve">Air quality monitoring equipment </w:t>
            </w:r>
            <w:r w:rsidR="0039002E" w:rsidRPr="004F4259">
              <w:rPr>
                <w:rFonts w:cs="Times New Roman"/>
                <w:color w:val="auto"/>
                <w:sz w:val="20"/>
                <w:szCs w:val="20"/>
              </w:rPr>
              <w:t xml:space="preserve">suitable for a level 1 background air quality monitoring program </w:t>
            </w:r>
            <w:r w:rsidR="004F4259" w:rsidRPr="004F4259">
              <w:rPr>
                <w:rFonts w:cs="Times New Roman"/>
                <w:color w:val="auto"/>
                <w:sz w:val="20"/>
                <w:szCs w:val="20"/>
              </w:rPr>
              <w:t>in accordance with the Protocol for Environmental Management: Mining and Extr</w:t>
            </w:r>
            <w:r w:rsidR="00A97D08">
              <w:rPr>
                <w:rFonts w:cs="Times New Roman"/>
                <w:color w:val="auto"/>
                <w:sz w:val="20"/>
                <w:szCs w:val="20"/>
              </w:rPr>
              <w:t xml:space="preserve">active Industries (Mining PEM) </w:t>
            </w:r>
            <w:r w:rsidR="00F665D8">
              <w:rPr>
                <w:rFonts w:cs="Times New Roman"/>
                <w:color w:val="auto"/>
                <w:sz w:val="20"/>
                <w:szCs w:val="20"/>
              </w:rPr>
              <w:t xml:space="preserve">has recently been </w:t>
            </w:r>
            <w:r w:rsidR="0039002E" w:rsidRPr="004F4259">
              <w:rPr>
                <w:rFonts w:cs="Times New Roman"/>
                <w:color w:val="auto"/>
                <w:sz w:val="20"/>
                <w:szCs w:val="20"/>
              </w:rPr>
              <w:t xml:space="preserve">installed. </w:t>
            </w:r>
            <w:r w:rsidR="004F4259" w:rsidRPr="004F4259">
              <w:rPr>
                <w:rFonts w:cs="Times New Roman"/>
                <w:color w:val="auto"/>
                <w:sz w:val="20"/>
                <w:szCs w:val="20"/>
              </w:rPr>
              <w:t>Monitoring</w:t>
            </w:r>
            <w:r w:rsidR="00F665D8">
              <w:rPr>
                <w:rFonts w:cs="Times New Roman"/>
                <w:color w:val="auto"/>
                <w:sz w:val="20"/>
                <w:szCs w:val="20"/>
              </w:rPr>
              <w:t xml:space="preserve"> </w:t>
            </w:r>
            <w:r w:rsidR="0039002E" w:rsidRPr="004F4259">
              <w:rPr>
                <w:rFonts w:cs="Times New Roman"/>
                <w:color w:val="auto"/>
                <w:sz w:val="20"/>
                <w:szCs w:val="20"/>
              </w:rPr>
              <w:t>include</w:t>
            </w:r>
            <w:r w:rsidR="00F665D8">
              <w:rPr>
                <w:rFonts w:cs="Times New Roman"/>
                <w:color w:val="auto"/>
                <w:sz w:val="20"/>
                <w:szCs w:val="20"/>
              </w:rPr>
              <w:t>s</w:t>
            </w:r>
            <w:r w:rsidR="0039002E" w:rsidRPr="004F4259">
              <w:rPr>
                <w:rFonts w:cs="Times New Roman"/>
                <w:color w:val="auto"/>
                <w:sz w:val="20"/>
                <w:szCs w:val="20"/>
              </w:rPr>
              <w:t>:</w:t>
            </w:r>
          </w:p>
          <w:p w14:paraId="3270318E" w14:textId="3E10561C" w:rsidR="0039002E" w:rsidRPr="00C70314" w:rsidRDefault="004F4259" w:rsidP="00C70314">
            <w:pPr>
              <w:pStyle w:val="ListBullet"/>
              <w:numPr>
                <w:ilvl w:val="0"/>
                <w:numId w:val="43"/>
              </w:numPr>
              <w:jc w:val="both"/>
              <w:rPr>
                <w:b w:val="0"/>
                <w:bCs w:val="0"/>
              </w:rPr>
            </w:pPr>
            <w:r w:rsidRPr="00C70314">
              <w:rPr>
                <w:b w:val="0"/>
                <w:bCs w:val="0"/>
              </w:rPr>
              <w:t>c</w:t>
            </w:r>
            <w:r w:rsidR="0039002E" w:rsidRPr="00C70314">
              <w:rPr>
                <w:b w:val="0"/>
                <w:bCs w:val="0"/>
              </w:rPr>
              <w:t>ontinuous PM</w:t>
            </w:r>
            <w:r w:rsidR="0039002E" w:rsidRPr="00C70314">
              <w:rPr>
                <w:b w:val="0"/>
                <w:bCs w:val="0"/>
                <w:vertAlign w:val="subscript"/>
              </w:rPr>
              <w:t>10</w:t>
            </w:r>
            <w:r w:rsidR="00F665D8" w:rsidRPr="00C70314">
              <w:rPr>
                <w:b w:val="0"/>
                <w:bCs w:val="0"/>
              </w:rPr>
              <w:t>;</w:t>
            </w:r>
            <w:r w:rsidR="0039002E" w:rsidRPr="00C70314">
              <w:rPr>
                <w:b w:val="0"/>
                <w:bCs w:val="0"/>
              </w:rPr>
              <w:t xml:space="preserve"> </w:t>
            </w:r>
          </w:p>
          <w:p w14:paraId="1529EFED" w14:textId="2C8E828D" w:rsidR="0039002E" w:rsidRPr="00C70314" w:rsidRDefault="004F4259" w:rsidP="00C70314">
            <w:pPr>
              <w:pStyle w:val="ListBullet"/>
              <w:numPr>
                <w:ilvl w:val="0"/>
                <w:numId w:val="43"/>
              </w:numPr>
              <w:jc w:val="both"/>
              <w:rPr>
                <w:b w:val="0"/>
                <w:bCs w:val="0"/>
              </w:rPr>
            </w:pPr>
            <w:r w:rsidRPr="00C70314">
              <w:rPr>
                <w:b w:val="0"/>
                <w:bCs w:val="0"/>
              </w:rPr>
              <w:t>c</w:t>
            </w:r>
            <w:r w:rsidR="0039002E" w:rsidRPr="00C70314">
              <w:rPr>
                <w:b w:val="0"/>
                <w:bCs w:val="0"/>
              </w:rPr>
              <w:t>ontinuous PM</w:t>
            </w:r>
            <w:r w:rsidR="0039002E" w:rsidRPr="00C70314">
              <w:rPr>
                <w:b w:val="0"/>
                <w:bCs w:val="0"/>
                <w:vertAlign w:val="subscript"/>
              </w:rPr>
              <w:t>2.5</w:t>
            </w:r>
            <w:r w:rsidR="00F665D8" w:rsidRPr="00C70314">
              <w:rPr>
                <w:b w:val="0"/>
                <w:bCs w:val="0"/>
              </w:rPr>
              <w:t>;</w:t>
            </w:r>
          </w:p>
          <w:p w14:paraId="04E61AB0" w14:textId="25E371EF" w:rsidR="0039002E" w:rsidRPr="00C70314" w:rsidRDefault="004F4259" w:rsidP="00C70314">
            <w:pPr>
              <w:pStyle w:val="ListBullet"/>
              <w:numPr>
                <w:ilvl w:val="0"/>
                <w:numId w:val="43"/>
              </w:numPr>
              <w:jc w:val="both"/>
              <w:rPr>
                <w:b w:val="0"/>
                <w:bCs w:val="0"/>
              </w:rPr>
            </w:pPr>
            <w:r w:rsidRPr="00C70314">
              <w:rPr>
                <w:b w:val="0"/>
                <w:bCs w:val="0"/>
              </w:rPr>
              <w:t>h</w:t>
            </w:r>
            <w:r w:rsidR="0039002E" w:rsidRPr="00C70314">
              <w:rPr>
                <w:b w:val="0"/>
                <w:bCs w:val="0"/>
              </w:rPr>
              <w:t>eavy metals (PM</w:t>
            </w:r>
            <w:r w:rsidR="0039002E" w:rsidRPr="00C70314">
              <w:rPr>
                <w:b w:val="0"/>
                <w:bCs w:val="0"/>
                <w:vertAlign w:val="subscript"/>
              </w:rPr>
              <w:t>10</w:t>
            </w:r>
            <w:r w:rsidR="0039002E" w:rsidRPr="00C70314">
              <w:rPr>
                <w:b w:val="0"/>
                <w:bCs w:val="0"/>
              </w:rPr>
              <w:t xml:space="preserve">) </w:t>
            </w:r>
            <w:r w:rsidRPr="00C70314">
              <w:rPr>
                <w:b w:val="0"/>
                <w:bCs w:val="0"/>
              </w:rPr>
              <w:t>for a period of up to one week, once a month for 12 months</w:t>
            </w:r>
            <w:r w:rsidR="00F665D8" w:rsidRPr="00C70314">
              <w:rPr>
                <w:b w:val="0"/>
                <w:bCs w:val="0"/>
              </w:rPr>
              <w:t>; and</w:t>
            </w:r>
          </w:p>
          <w:p w14:paraId="26E3E3FB" w14:textId="634F753B" w:rsidR="001A5DEE" w:rsidRPr="00C70314" w:rsidRDefault="004F4259" w:rsidP="00C70314">
            <w:pPr>
              <w:pStyle w:val="ListBullet"/>
              <w:numPr>
                <w:ilvl w:val="0"/>
                <w:numId w:val="43"/>
              </w:numPr>
              <w:jc w:val="both"/>
              <w:rPr>
                <w:b w:val="0"/>
                <w:bCs w:val="0"/>
              </w:rPr>
            </w:pPr>
            <w:r w:rsidRPr="00C70314">
              <w:rPr>
                <w:b w:val="0"/>
                <w:bCs w:val="0"/>
              </w:rPr>
              <w:t>respirable c</w:t>
            </w:r>
            <w:r w:rsidR="0039002E" w:rsidRPr="00C70314">
              <w:rPr>
                <w:b w:val="0"/>
                <w:bCs w:val="0"/>
              </w:rPr>
              <w:t>rystalline silica (</w:t>
            </w:r>
            <w:r w:rsidR="00C70314" w:rsidRPr="00C70314">
              <w:rPr>
                <w:b w:val="0"/>
                <w:bCs w:val="0"/>
              </w:rPr>
              <w:t>PM</w:t>
            </w:r>
            <w:r w:rsidR="00C70314" w:rsidRPr="00C70314">
              <w:rPr>
                <w:b w:val="0"/>
                <w:bCs w:val="0"/>
                <w:vertAlign w:val="subscript"/>
              </w:rPr>
              <w:t>2.5</w:t>
            </w:r>
            <w:r w:rsidR="0039002E" w:rsidRPr="00C70314">
              <w:rPr>
                <w:b w:val="0"/>
                <w:bCs w:val="0"/>
              </w:rPr>
              <w:t>)</w:t>
            </w:r>
            <w:r w:rsidRPr="00C70314">
              <w:rPr>
                <w:b w:val="0"/>
                <w:bCs w:val="0"/>
              </w:rPr>
              <w:t xml:space="preserve"> for a period of up to one week, once a month for 12 months</w:t>
            </w:r>
            <w:r w:rsidR="00F665D8" w:rsidRPr="00C70314">
              <w:rPr>
                <w:b w:val="0"/>
                <w:bCs w:val="0"/>
              </w:rPr>
              <w:t>.</w:t>
            </w:r>
          </w:p>
          <w:p w14:paraId="50B82EA2" w14:textId="77777777" w:rsidR="00BB680D" w:rsidRPr="001A5DEE" w:rsidRDefault="00BB680D" w:rsidP="001A5DEE">
            <w:pPr>
              <w:rPr>
                <w:rFonts w:ascii="Arial" w:hAnsi="Arial"/>
              </w:rPr>
            </w:pPr>
          </w:p>
          <w:p w14:paraId="1CBCA2EF" w14:textId="77777777" w:rsidR="001A5DEE" w:rsidRDefault="00177B40" w:rsidP="001A5DEE">
            <w:pPr>
              <w:rPr>
                <w:rFonts w:ascii="Arial" w:hAnsi="Arial"/>
                <w:b/>
              </w:rPr>
            </w:pPr>
            <w:r>
              <w:rPr>
                <w:rFonts w:ascii="Arial" w:hAnsi="Arial"/>
                <w:b/>
              </w:rPr>
              <w:t xml:space="preserve">8.8 </w:t>
            </w:r>
            <w:r w:rsidR="001A5DEE" w:rsidRPr="001A5DEE">
              <w:rPr>
                <w:rFonts w:ascii="Arial" w:hAnsi="Arial"/>
                <w:b/>
              </w:rPr>
              <w:t>Cultural heritage</w:t>
            </w:r>
          </w:p>
          <w:p w14:paraId="0BC37169" w14:textId="77777777" w:rsidR="001A5DEE" w:rsidRPr="001A5DEE" w:rsidRDefault="001A5DEE" w:rsidP="001A5DEE">
            <w:pPr>
              <w:rPr>
                <w:rFonts w:ascii="Arial" w:hAnsi="Arial"/>
                <w:b/>
              </w:rPr>
            </w:pPr>
          </w:p>
          <w:p w14:paraId="63E280AA" w14:textId="06B0E57A" w:rsidR="001A5DEE" w:rsidRDefault="001A5DEE" w:rsidP="001A5DEE">
            <w:pPr>
              <w:rPr>
                <w:rFonts w:ascii="Arial" w:hAnsi="Arial"/>
              </w:rPr>
            </w:pPr>
            <w:r w:rsidRPr="001A5DEE">
              <w:rPr>
                <w:rFonts w:ascii="Arial" w:hAnsi="Arial"/>
              </w:rPr>
              <w:t>Aboriginal and historic heritage are discussed in Section 1</w:t>
            </w:r>
            <w:r w:rsidR="00801C64">
              <w:rPr>
                <w:rFonts w:ascii="Arial" w:hAnsi="Arial"/>
              </w:rPr>
              <w:t>5</w:t>
            </w:r>
            <w:r w:rsidRPr="001A5DEE">
              <w:rPr>
                <w:rFonts w:ascii="Arial" w:hAnsi="Arial"/>
              </w:rPr>
              <w:t>.9.</w:t>
            </w:r>
          </w:p>
          <w:p w14:paraId="036EEA74" w14:textId="77777777" w:rsidR="001A5DEE" w:rsidRPr="001A5DEE" w:rsidRDefault="001A5DEE" w:rsidP="001A5DEE">
            <w:pPr>
              <w:rPr>
                <w:rFonts w:ascii="Arial" w:hAnsi="Arial"/>
              </w:rPr>
            </w:pPr>
          </w:p>
          <w:p w14:paraId="51251ECF" w14:textId="77777777" w:rsidR="001A5DEE" w:rsidRPr="001A5DEE" w:rsidRDefault="00177B40" w:rsidP="001A5DEE">
            <w:pPr>
              <w:rPr>
                <w:rFonts w:ascii="Arial" w:hAnsi="Arial"/>
                <w:b/>
              </w:rPr>
            </w:pPr>
            <w:r>
              <w:rPr>
                <w:rFonts w:ascii="Arial" w:hAnsi="Arial"/>
                <w:b/>
              </w:rPr>
              <w:t xml:space="preserve">8.9 </w:t>
            </w:r>
            <w:r w:rsidR="001A5DEE" w:rsidRPr="001A5DEE">
              <w:rPr>
                <w:rFonts w:ascii="Arial" w:hAnsi="Arial"/>
                <w:b/>
              </w:rPr>
              <w:t>Visual amenity</w:t>
            </w:r>
          </w:p>
          <w:p w14:paraId="181BCDA8" w14:textId="77777777" w:rsidR="001A5DEE" w:rsidRPr="001A5DEE" w:rsidRDefault="001A5DEE" w:rsidP="001A5DEE">
            <w:pPr>
              <w:rPr>
                <w:rFonts w:ascii="Arial" w:hAnsi="Arial"/>
              </w:rPr>
            </w:pPr>
          </w:p>
          <w:p w14:paraId="7DAD736E" w14:textId="4B732CFF" w:rsidR="001A5DEE" w:rsidRDefault="001A5DEE" w:rsidP="009E036F">
            <w:pPr>
              <w:jc w:val="both"/>
              <w:rPr>
                <w:rFonts w:ascii="Arial" w:hAnsi="Arial"/>
              </w:rPr>
            </w:pPr>
            <w:r w:rsidRPr="001A5DEE">
              <w:rPr>
                <w:rFonts w:ascii="Arial" w:hAnsi="Arial"/>
              </w:rPr>
              <w:t xml:space="preserve">The site and adjacent areas are relatively flat and typically consist of farming land with </w:t>
            </w:r>
            <w:r w:rsidR="00F665D8">
              <w:rPr>
                <w:rFonts w:ascii="Arial" w:hAnsi="Arial"/>
              </w:rPr>
              <w:t>little vertical relief. S</w:t>
            </w:r>
            <w:r w:rsidRPr="001A5DEE">
              <w:rPr>
                <w:rFonts w:ascii="Arial" w:hAnsi="Arial"/>
              </w:rPr>
              <w:t>ignificant topographical and land use features are:</w:t>
            </w:r>
          </w:p>
          <w:p w14:paraId="02323528" w14:textId="32D7B51B" w:rsidR="001A5DEE" w:rsidRPr="00D76A77" w:rsidRDefault="001A5DEE" w:rsidP="00D76A77">
            <w:pPr>
              <w:pStyle w:val="ListBullet"/>
              <w:numPr>
                <w:ilvl w:val="0"/>
                <w:numId w:val="43"/>
              </w:numPr>
              <w:jc w:val="both"/>
              <w:rPr>
                <w:b w:val="0"/>
                <w:bCs w:val="0"/>
              </w:rPr>
            </w:pPr>
            <w:r w:rsidRPr="00D76A77">
              <w:rPr>
                <w:b w:val="0"/>
                <w:bCs w:val="0"/>
              </w:rPr>
              <w:t xml:space="preserve">Red Gum Swamp, </w:t>
            </w:r>
            <w:proofErr w:type="spellStart"/>
            <w:r w:rsidRPr="00D76A77">
              <w:rPr>
                <w:b w:val="0"/>
                <w:bCs w:val="0"/>
              </w:rPr>
              <w:t>Jallumba</w:t>
            </w:r>
            <w:proofErr w:type="spellEnd"/>
            <w:r w:rsidRPr="00D76A77">
              <w:rPr>
                <w:b w:val="0"/>
                <w:bCs w:val="0"/>
              </w:rPr>
              <w:t xml:space="preserve"> Wildlife Reserve (partially </w:t>
            </w:r>
            <w:r w:rsidR="00F665D8" w:rsidRPr="00D76A77">
              <w:rPr>
                <w:b w:val="0"/>
                <w:bCs w:val="0"/>
              </w:rPr>
              <w:t>in</w:t>
            </w:r>
            <w:r w:rsidRPr="00D76A77">
              <w:rPr>
                <w:b w:val="0"/>
                <w:bCs w:val="0"/>
              </w:rPr>
              <w:t xml:space="preserve"> the Project site); </w:t>
            </w:r>
          </w:p>
          <w:p w14:paraId="5B2DEC1D" w14:textId="7738B5E8" w:rsidR="001A5DEE" w:rsidRPr="00D76A77" w:rsidRDefault="001A5DEE" w:rsidP="00D76A77">
            <w:pPr>
              <w:pStyle w:val="ListBullet"/>
              <w:numPr>
                <w:ilvl w:val="0"/>
                <w:numId w:val="43"/>
              </w:numPr>
              <w:jc w:val="both"/>
              <w:rPr>
                <w:b w:val="0"/>
                <w:bCs w:val="0"/>
              </w:rPr>
            </w:pPr>
            <w:proofErr w:type="spellStart"/>
            <w:r w:rsidRPr="00D76A77">
              <w:rPr>
                <w:b w:val="0"/>
                <w:bCs w:val="0"/>
              </w:rPr>
              <w:t>Jallumba</w:t>
            </w:r>
            <w:proofErr w:type="spellEnd"/>
            <w:r w:rsidRPr="00D76A77">
              <w:rPr>
                <w:b w:val="0"/>
                <w:bCs w:val="0"/>
              </w:rPr>
              <w:t xml:space="preserve"> Marsh Nature Conservation Reserve (partially </w:t>
            </w:r>
            <w:r w:rsidR="00F665D8" w:rsidRPr="00D76A77">
              <w:rPr>
                <w:b w:val="0"/>
                <w:bCs w:val="0"/>
              </w:rPr>
              <w:t>in t</w:t>
            </w:r>
            <w:r w:rsidRPr="00D76A77">
              <w:rPr>
                <w:b w:val="0"/>
                <w:bCs w:val="0"/>
              </w:rPr>
              <w:t xml:space="preserve">he Project site); and </w:t>
            </w:r>
          </w:p>
          <w:p w14:paraId="0BC7F14D" w14:textId="153A6912" w:rsidR="001A5DEE" w:rsidRPr="00D76A77" w:rsidRDefault="001A5DEE" w:rsidP="00D76A77">
            <w:pPr>
              <w:pStyle w:val="ListBullet"/>
              <w:numPr>
                <w:ilvl w:val="0"/>
                <w:numId w:val="43"/>
              </w:numPr>
              <w:jc w:val="both"/>
              <w:rPr>
                <w:b w:val="0"/>
                <w:bCs w:val="0"/>
              </w:rPr>
            </w:pPr>
            <w:proofErr w:type="spellStart"/>
            <w:r w:rsidRPr="00D76A77">
              <w:rPr>
                <w:b w:val="0"/>
                <w:bCs w:val="0"/>
              </w:rPr>
              <w:t>Darragan</w:t>
            </w:r>
            <w:proofErr w:type="spellEnd"/>
            <w:r w:rsidRPr="00D76A77">
              <w:rPr>
                <w:b w:val="0"/>
                <w:bCs w:val="0"/>
              </w:rPr>
              <w:t xml:space="preserve"> Swamp Wildlife Reserve (located north-east of the Project site) (Figure 3).</w:t>
            </w:r>
          </w:p>
          <w:p w14:paraId="1080DC82" w14:textId="31153EB7" w:rsidR="00F959A1" w:rsidRPr="00212E91" w:rsidRDefault="00F959A1" w:rsidP="00F959A1">
            <w:pPr>
              <w:spacing w:after="120"/>
              <w:jc w:val="both"/>
              <w:rPr>
                <w:rFonts w:ascii="Arial" w:hAnsi="Arial"/>
              </w:rPr>
            </w:pPr>
            <w:r>
              <w:rPr>
                <w:rFonts w:ascii="Arial" w:hAnsi="Arial"/>
              </w:rPr>
              <w:t xml:space="preserve">Due to the relatively flat nature of the </w:t>
            </w:r>
            <w:r w:rsidR="00D02516">
              <w:rPr>
                <w:rFonts w:ascii="Arial" w:hAnsi="Arial"/>
              </w:rPr>
              <w:t>Project</w:t>
            </w:r>
            <w:r>
              <w:rPr>
                <w:rFonts w:ascii="Arial" w:hAnsi="Arial"/>
              </w:rPr>
              <w:t xml:space="preserve"> area and local surrounds</w:t>
            </w:r>
            <w:r w:rsidRPr="00212E91">
              <w:rPr>
                <w:rFonts w:ascii="Arial" w:hAnsi="Arial"/>
              </w:rPr>
              <w:t xml:space="preserve"> it is possible that the following areas in the broader region may have views </w:t>
            </w:r>
            <w:r w:rsidR="00C827C9">
              <w:rPr>
                <w:rFonts w:ascii="Arial" w:hAnsi="Arial"/>
              </w:rPr>
              <w:t xml:space="preserve">to </w:t>
            </w:r>
            <w:r w:rsidRPr="00212E91">
              <w:rPr>
                <w:rFonts w:ascii="Arial" w:hAnsi="Arial"/>
              </w:rPr>
              <w:t>the site:  </w:t>
            </w:r>
          </w:p>
          <w:p w14:paraId="3A983048" w14:textId="1713D0AB" w:rsidR="00F959A1" w:rsidRPr="00D76A77" w:rsidRDefault="00F959A1" w:rsidP="00D76A77">
            <w:pPr>
              <w:pStyle w:val="ListBullet"/>
              <w:numPr>
                <w:ilvl w:val="0"/>
                <w:numId w:val="43"/>
              </w:numPr>
              <w:jc w:val="both"/>
              <w:rPr>
                <w:b w:val="0"/>
                <w:bCs w:val="0"/>
              </w:rPr>
            </w:pPr>
            <w:r w:rsidRPr="00D76A77">
              <w:rPr>
                <w:b w:val="0"/>
                <w:bCs w:val="0"/>
              </w:rPr>
              <w:t>Mount Arapiles-</w:t>
            </w:r>
            <w:proofErr w:type="spellStart"/>
            <w:r w:rsidRPr="00D76A77">
              <w:rPr>
                <w:b w:val="0"/>
                <w:bCs w:val="0"/>
              </w:rPr>
              <w:t>Tooan</w:t>
            </w:r>
            <w:proofErr w:type="spellEnd"/>
            <w:r w:rsidRPr="00D76A77">
              <w:rPr>
                <w:b w:val="0"/>
                <w:bCs w:val="0"/>
              </w:rPr>
              <w:t xml:space="preserve"> State Park, located approximately 15 km to the north/north-west of the site, with an elevation of 388 m AHD; 140m above Wimmera Plains</w:t>
            </w:r>
            <w:r w:rsidR="00C827C9" w:rsidRPr="00D76A77">
              <w:rPr>
                <w:b w:val="0"/>
                <w:bCs w:val="0"/>
              </w:rPr>
              <w:t>;</w:t>
            </w:r>
          </w:p>
          <w:p w14:paraId="7B8117D0" w14:textId="77777777" w:rsidR="00F959A1" w:rsidRPr="00D76A77" w:rsidRDefault="00F959A1" w:rsidP="00D76A77">
            <w:pPr>
              <w:pStyle w:val="ListBullet"/>
              <w:numPr>
                <w:ilvl w:val="0"/>
                <w:numId w:val="43"/>
              </w:numPr>
              <w:jc w:val="both"/>
              <w:rPr>
                <w:b w:val="0"/>
                <w:bCs w:val="0"/>
              </w:rPr>
            </w:pPr>
            <w:r w:rsidRPr="00D76A77">
              <w:rPr>
                <w:b w:val="0"/>
                <w:bCs w:val="0"/>
              </w:rPr>
              <w:lastRenderedPageBreak/>
              <w:t>Black Range State Park (unnamed peak), located approximately 17 km to the south-east of the site, with an elevation of 490 m AHD; and</w:t>
            </w:r>
          </w:p>
          <w:p w14:paraId="6077E0BA" w14:textId="77777777" w:rsidR="0094667D" w:rsidRPr="00D76A77" w:rsidRDefault="00F959A1" w:rsidP="00D76A77">
            <w:pPr>
              <w:pStyle w:val="ListBullet"/>
              <w:numPr>
                <w:ilvl w:val="0"/>
                <w:numId w:val="43"/>
              </w:numPr>
              <w:jc w:val="both"/>
              <w:rPr>
                <w:b w:val="0"/>
                <w:bCs w:val="0"/>
              </w:rPr>
            </w:pPr>
            <w:r w:rsidRPr="00D76A77">
              <w:rPr>
                <w:b w:val="0"/>
                <w:bCs w:val="0"/>
              </w:rPr>
              <w:t>Black Range State Park (unnamed peak), located approximately 20 km to the south/south-east of the site, with an elevation of 548 m AHD</w:t>
            </w:r>
            <w:r w:rsidR="0094667D" w:rsidRPr="00D76A77">
              <w:rPr>
                <w:b w:val="0"/>
                <w:bCs w:val="0"/>
              </w:rPr>
              <w:t>.</w:t>
            </w:r>
          </w:p>
          <w:p w14:paraId="227B88B7" w14:textId="1F1F521A" w:rsidR="00F959A1" w:rsidRPr="00784DD5" w:rsidRDefault="0094667D" w:rsidP="00784DD5">
            <w:pPr>
              <w:spacing w:after="120"/>
              <w:jc w:val="both"/>
              <w:rPr>
                <w:rFonts w:ascii="Arial" w:hAnsi="Arial"/>
              </w:rPr>
            </w:pPr>
            <w:r w:rsidRPr="00784DD5">
              <w:rPr>
                <w:rFonts w:ascii="Arial" w:hAnsi="Arial"/>
              </w:rPr>
              <w:t xml:space="preserve">While the following elevated areas occur in the local region, viewshed analysis will be required to determine whether the intervening Grampians mountain range disrupts views to the site: </w:t>
            </w:r>
          </w:p>
          <w:p w14:paraId="78389B96" w14:textId="77777777" w:rsidR="00F959A1" w:rsidRPr="00D76A77" w:rsidRDefault="00F959A1" w:rsidP="00D76A77">
            <w:pPr>
              <w:pStyle w:val="ListBullet"/>
              <w:numPr>
                <w:ilvl w:val="0"/>
                <w:numId w:val="43"/>
              </w:numPr>
              <w:jc w:val="both"/>
              <w:rPr>
                <w:b w:val="0"/>
                <w:bCs w:val="0"/>
              </w:rPr>
            </w:pPr>
            <w:r w:rsidRPr="00D76A77">
              <w:rPr>
                <w:b w:val="0"/>
                <w:bCs w:val="0"/>
              </w:rPr>
              <w:t>The Grampians (Roses Gap), located approximately 35 km to the east of the site, with an elevation of 613 m AHD;</w:t>
            </w:r>
          </w:p>
          <w:p w14:paraId="2EB5B1CB" w14:textId="77777777" w:rsidR="00F959A1" w:rsidRPr="00D76A77" w:rsidRDefault="00F959A1" w:rsidP="00D76A77">
            <w:pPr>
              <w:pStyle w:val="ListBullet"/>
              <w:numPr>
                <w:ilvl w:val="0"/>
                <w:numId w:val="43"/>
              </w:numPr>
              <w:jc w:val="both"/>
              <w:rPr>
                <w:b w:val="0"/>
                <w:bCs w:val="0"/>
              </w:rPr>
            </w:pPr>
            <w:r w:rsidRPr="00D76A77">
              <w:rPr>
                <w:b w:val="0"/>
                <w:bCs w:val="0"/>
              </w:rPr>
              <w:t>The Grampians (Halls Gap), located approximately 47 km to the east/south-east of the site, with an elevation of 858 m AHD;</w:t>
            </w:r>
          </w:p>
          <w:p w14:paraId="0B728C98" w14:textId="77777777" w:rsidR="00F959A1" w:rsidRPr="00D76A77" w:rsidRDefault="00F959A1" w:rsidP="00D76A77">
            <w:pPr>
              <w:pStyle w:val="ListBullet"/>
              <w:numPr>
                <w:ilvl w:val="0"/>
                <w:numId w:val="43"/>
              </w:numPr>
              <w:jc w:val="both"/>
              <w:rPr>
                <w:b w:val="0"/>
                <w:bCs w:val="0"/>
              </w:rPr>
            </w:pPr>
            <w:r w:rsidRPr="00D76A77">
              <w:rPr>
                <w:b w:val="0"/>
                <w:bCs w:val="0"/>
              </w:rPr>
              <w:t>The Grampians (Victoria Range), located approximately 45 km to the south-east of the site, with an elevation of 971 m AHD; and</w:t>
            </w:r>
          </w:p>
          <w:p w14:paraId="44886083" w14:textId="2D58E6FD" w:rsidR="001A5DEE" w:rsidRPr="00D76A77" w:rsidRDefault="00F959A1" w:rsidP="00D76A77">
            <w:pPr>
              <w:pStyle w:val="ListBullet"/>
              <w:numPr>
                <w:ilvl w:val="0"/>
                <w:numId w:val="43"/>
              </w:numPr>
              <w:jc w:val="both"/>
              <w:rPr>
                <w:b w:val="0"/>
                <w:bCs w:val="0"/>
              </w:rPr>
            </w:pPr>
            <w:r w:rsidRPr="00D76A77">
              <w:rPr>
                <w:b w:val="0"/>
                <w:bCs w:val="0"/>
              </w:rPr>
              <w:t>The Grampians (Mt William), located approximately 64 km to the east/south-east of the site, with an elevation of 1</w:t>
            </w:r>
            <w:r w:rsidR="00C827C9" w:rsidRPr="00D76A77">
              <w:rPr>
                <w:b w:val="0"/>
                <w:bCs w:val="0"/>
              </w:rPr>
              <w:t>,</w:t>
            </w:r>
            <w:r w:rsidRPr="00D76A77">
              <w:rPr>
                <w:b w:val="0"/>
                <w:bCs w:val="0"/>
              </w:rPr>
              <w:t>160 m AHD.</w:t>
            </w:r>
          </w:p>
          <w:p w14:paraId="63B8384F" w14:textId="77777777" w:rsidR="001A5DEE" w:rsidRDefault="001A5DEE" w:rsidP="00F959A1">
            <w:pPr>
              <w:spacing w:after="120"/>
              <w:jc w:val="both"/>
              <w:rPr>
                <w:rFonts w:ascii="Arial" w:hAnsi="Arial"/>
              </w:rPr>
            </w:pPr>
            <w:r w:rsidRPr="001A5DEE">
              <w:rPr>
                <w:rFonts w:ascii="Arial" w:hAnsi="Arial"/>
              </w:rPr>
              <w:t>Existing sources of night-time light in and around the Project site are expected to include lighting associated with residential properties</w:t>
            </w:r>
            <w:r w:rsidR="00F959A1">
              <w:rPr>
                <w:rFonts w:ascii="Arial" w:hAnsi="Arial"/>
              </w:rPr>
              <w:t xml:space="preserve">, </w:t>
            </w:r>
            <w:r w:rsidRPr="001A5DEE">
              <w:rPr>
                <w:rFonts w:ascii="Arial" w:hAnsi="Arial"/>
              </w:rPr>
              <w:t xml:space="preserve">traffic and agricultural plant. Existing night-time light levels have not yet been measured but are expected to be negligible.  </w:t>
            </w:r>
          </w:p>
          <w:p w14:paraId="2D5507A4" w14:textId="6E9F4A28" w:rsidR="001A5DEE" w:rsidRDefault="001A5DEE" w:rsidP="00286647">
            <w:pPr>
              <w:spacing w:after="120"/>
              <w:jc w:val="both"/>
              <w:rPr>
                <w:rFonts w:ascii="Arial" w:hAnsi="Arial"/>
              </w:rPr>
            </w:pPr>
            <w:r w:rsidRPr="001A5DEE">
              <w:rPr>
                <w:rFonts w:ascii="Arial" w:hAnsi="Arial"/>
              </w:rPr>
              <w:t>The presence of roadside and scattered trees in and around the Project site</w:t>
            </w:r>
            <w:r w:rsidR="004B0B7E">
              <w:rPr>
                <w:rFonts w:ascii="Arial" w:hAnsi="Arial"/>
              </w:rPr>
              <w:t xml:space="preserve"> will</w:t>
            </w:r>
            <w:r w:rsidRPr="001A5DEE">
              <w:rPr>
                <w:rFonts w:ascii="Arial" w:hAnsi="Arial"/>
              </w:rPr>
              <w:t xml:space="preserve"> provide some visual screening</w:t>
            </w:r>
            <w:r w:rsidR="004B0B7E">
              <w:rPr>
                <w:rFonts w:ascii="Arial" w:hAnsi="Arial"/>
              </w:rPr>
              <w:t xml:space="preserve"> for views in the surrounding area at a similar elevation. </w:t>
            </w:r>
            <w:r w:rsidRPr="001A5DEE">
              <w:rPr>
                <w:rFonts w:ascii="Arial" w:hAnsi="Arial"/>
              </w:rPr>
              <w:t xml:space="preserve"> </w:t>
            </w:r>
          </w:p>
        </w:tc>
      </w:tr>
    </w:tbl>
    <w:p w14:paraId="1A8F2C8A" w14:textId="77777777" w:rsidR="0071312E" w:rsidRDefault="0071312E">
      <w:pPr>
        <w:tabs>
          <w:tab w:val="left" w:pos="2904"/>
          <w:tab w:val="left" w:pos="3907"/>
          <w:tab w:val="left" w:pos="4910"/>
          <w:tab w:val="left" w:pos="5913"/>
          <w:tab w:val="left" w:pos="6916"/>
        </w:tabs>
        <w:ind w:left="93"/>
        <w:rPr>
          <w:rFonts w:ascii="Arial" w:hAnsi="Arial"/>
          <w:b/>
          <w:sz w:val="22"/>
        </w:rPr>
      </w:pPr>
    </w:p>
    <w:p w14:paraId="01AC73DE"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t>9</w:t>
      </w:r>
      <w:r w:rsidR="00731F1C">
        <w:rPr>
          <w:rFonts w:ascii="Arial" w:hAnsi="Arial"/>
          <w:b/>
          <w:sz w:val="22"/>
        </w:rPr>
        <w:t xml:space="preserve">.  </w:t>
      </w:r>
      <w:r>
        <w:rPr>
          <w:rFonts w:ascii="Arial" w:hAnsi="Arial"/>
          <w:b/>
          <w:sz w:val="22"/>
        </w:rPr>
        <w:t>Land availability and control</w:t>
      </w:r>
      <w:r>
        <w:rPr>
          <w:rFonts w:ascii="Arial" w:hAnsi="Arial"/>
          <w:b/>
          <w:sz w:val="22"/>
        </w:rPr>
        <w:tab/>
      </w:r>
    </w:p>
    <w:p w14:paraId="4FE5B4EF" w14:textId="77777777" w:rsidR="001C34F3" w:rsidRDefault="001C34F3">
      <w:pPr>
        <w:tabs>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C34F3" w14:paraId="52CA12DF" w14:textId="77777777" w:rsidTr="001E301B">
        <w:trPr>
          <w:trHeight w:val="187"/>
        </w:trPr>
        <w:tc>
          <w:tcPr>
            <w:tcW w:w="9101" w:type="dxa"/>
            <w:tcBorders>
              <w:top w:val="single" w:sz="4" w:space="0" w:color="auto"/>
              <w:bottom w:val="nil"/>
            </w:tcBorders>
          </w:tcPr>
          <w:p w14:paraId="3A5B11E3" w14:textId="77777777" w:rsidR="001C34F3" w:rsidRDefault="00177B40">
            <w:pPr>
              <w:rPr>
                <w:rFonts w:ascii="Arial" w:hAnsi="Arial"/>
                <w:b/>
              </w:rPr>
            </w:pPr>
            <w:r>
              <w:rPr>
                <w:rFonts w:ascii="Arial" w:hAnsi="Arial"/>
                <w:b/>
              </w:rPr>
              <w:t xml:space="preserve">9.1 </w:t>
            </w:r>
            <w:r w:rsidR="001C34F3">
              <w:rPr>
                <w:rFonts w:ascii="Arial" w:hAnsi="Arial"/>
                <w:b/>
              </w:rPr>
              <w:t>Is the proposal on, or partly on, Crown land?</w:t>
            </w:r>
          </w:p>
        </w:tc>
      </w:tr>
      <w:tr w:rsidR="001C34F3" w14:paraId="77C9CA12" w14:textId="77777777" w:rsidTr="00634D67">
        <w:trPr>
          <w:trHeight w:val="187"/>
        </w:trPr>
        <w:tc>
          <w:tcPr>
            <w:tcW w:w="9101" w:type="dxa"/>
            <w:tcBorders>
              <w:top w:val="nil"/>
            </w:tcBorders>
          </w:tcPr>
          <w:p w14:paraId="2D42D3F3" w14:textId="6FECD92A" w:rsidR="001C34F3" w:rsidRDefault="00A16664">
            <w:pPr>
              <w:tabs>
                <w:tab w:val="left" w:pos="898"/>
                <w:tab w:val="left" w:pos="1901"/>
                <w:tab w:val="left" w:pos="2904"/>
                <w:tab w:val="left" w:pos="3907"/>
                <w:tab w:val="left" w:pos="4910"/>
                <w:tab w:val="left" w:pos="5913"/>
                <w:tab w:val="left" w:pos="6916"/>
              </w:tabs>
              <w:spacing w:before="40"/>
              <w:ind w:left="720"/>
              <w:rPr>
                <w:rFonts w:ascii="Arial" w:hAnsi="Arial"/>
              </w:rPr>
            </w:pPr>
            <w:r>
              <w:rPr>
                <w:rFonts w:ascii="Arial" w:hAnsi="Arial"/>
                <w:color w:val="C0C0C0"/>
                <w:shd w:val="clear" w:color="auto" w:fill="E6E6E6"/>
              </w:rPr>
              <w:sym w:font="Webdings" w:char="F072"/>
            </w:r>
            <w:r w:rsidR="001C34F3">
              <w:rPr>
                <w:rFonts w:ascii="Arial" w:hAnsi="Arial"/>
              </w:rPr>
              <w:t xml:space="preserve">  No    </w:t>
            </w:r>
            <w:r w:rsidRPr="00F474E9">
              <w:rPr>
                <w:rFonts w:ascii="Arial" w:hAnsi="Arial"/>
                <w:shd w:val="clear" w:color="auto" w:fill="E6E6E6"/>
              </w:rPr>
              <w:sym w:font="Webdings" w:char="F072"/>
            </w:r>
            <w:r w:rsidR="001C34F3">
              <w:rPr>
                <w:rFonts w:ascii="Arial" w:hAnsi="Arial"/>
              </w:rPr>
              <w:t xml:space="preserve">Yes  </w:t>
            </w:r>
            <w:r w:rsidR="001C34F3">
              <w:rPr>
                <w:rFonts w:ascii="Arial" w:hAnsi="Arial"/>
                <w:b/>
              </w:rPr>
              <w:t xml:space="preserve"> </w:t>
            </w:r>
            <w:r w:rsidR="001C34F3">
              <w:rPr>
                <w:rFonts w:ascii="Arial" w:hAnsi="Arial"/>
              </w:rPr>
              <w:tab/>
            </w:r>
            <w:r w:rsidR="001C34F3">
              <w:rPr>
                <w:rFonts w:ascii="Arial" w:hAnsi="Arial"/>
              </w:rPr>
              <w:tab/>
            </w:r>
            <w:r w:rsidR="001C34F3">
              <w:rPr>
                <w:rFonts w:ascii="Arial" w:hAnsi="Arial"/>
              </w:rPr>
              <w:tab/>
            </w:r>
            <w:r w:rsidR="001C34F3">
              <w:rPr>
                <w:rFonts w:ascii="Arial" w:hAnsi="Arial"/>
              </w:rPr>
              <w:tab/>
            </w:r>
            <w:r w:rsidR="001C34F3">
              <w:rPr>
                <w:rFonts w:ascii="Arial" w:hAnsi="Arial"/>
              </w:rPr>
              <w:tab/>
            </w:r>
          </w:p>
        </w:tc>
      </w:tr>
      <w:tr w:rsidR="001C34F3" w14:paraId="7E1939D5" w14:textId="77777777" w:rsidTr="001E301B">
        <w:tc>
          <w:tcPr>
            <w:tcW w:w="9101" w:type="dxa"/>
            <w:tcBorders>
              <w:bottom w:val="single" w:sz="4" w:space="0" w:color="auto"/>
            </w:tcBorders>
          </w:tcPr>
          <w:p w14:paraId="135A089B" w14:textId="77777777" w:rsidR="00F474E9"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008E3BA" w14:textId="593DDEA4" w:rsidR="00F474E9" w:rsidRPr="00941196" w:rsidRDefault="00F474E9" w:rsidP="00634D67">
            <w:pPr>
              <w:spacing w:after="120"/>
              <w:jc w:val="both"/>
              <w:rPr>
                <w:rFonts w:ascii="Arial" w:hAnsi="Arial"/>
              </w:rPr>
            </w:pPr>
            <w:r w:rsidRPr="00941196">
              <w:rPr>
                <w:rFonts w:ascii="Arial" w:hAnsi="Arial"/>
              </w:rPr>
              <w:t>There is some Crown land present on the Project site</w:t>
            </w:r>
            <w:r w:rsidR="00286647">
              <w:rPr>
                <w:rFonts w:ascii="Arial" w:hAnsi="Arial"/>
              </w:rPr>
              <w:t>, and</w:t>
            </w:r>
            <w:r w:rsidRPr="00941196">
              <w:rPr>
                <w:rFonts w:ascii="Arial" w:hAnsi="Arial"/>
              </w:rPr>
              <w:t xml:space="preserve"> is associated with roads, roadside reserves, </w:t>
            </w:r>
            <w:r w:rsidR="0073776F">
              <w:rPr>
                <w:rFonts w:ascii="Arial" w:hAnsi="Arial"/>
              </w:rPr>
              <w:t xml:space="preserve">the </w:t>
            </w:r>
            <w:r w:rsidRPr="00941196">
              <w:rPr>
                <w:rFonts w:ascii="Arial" w:hAnsi="Arial"/>
              </w:rPr>
              <w:t xml:space="preserve">Red Gum Swamp and the </w:t>
            </w:r>
            <w:proofErr w:type="spellStart"/>
            <w:r w:rsidRPr="00941196">
              <w:rPr>
                <w:rFonts w:ascii="Arial" w:hAnsi="Arial"/>
              </w:rPr>
              <w:t>Jallumba</w:t>
            </w:r>
            <w:proofErr w:type="spellEnd"/>
            <w:r w:rsidRPr="00941196">
              <w:rPr>
                <w:rFonts w:ascii="Arial" w:hAnsi="Arial"/>
              </w:rPr>
              <w:t xml:space="preserve"> Marsh Flora Reserve (Figure </w:t>
            </w:r>
            <w:r w:rsidR="007E61D6">
              <w:rPr>
                <w:rFonts w:ascii="Arial" w:hAnsi="Arial"/>
              </w:rPr>
              <w:t>9</w:t>
            </w:r>
            <w:r w:rsidRPr="00941196">
              <w:rPr>
                <w:rFonts w:ascii="Arial" w:hAnsi="Arial"/>
              </w:rPr>
              <w:t xml:space="preserve">). There is also some Crown </w:t>
            </w:r>
            <w:r w:rsidR="004B0B7E">
              <w:rPr>
                <w:rFonts w:ascii="Arial" w:hAnsi="Arial"/>
              </w:rPr>
              <w:t>l</w:t>
            </w:r>
            <w:r w:rsidRPr="00941196">
              <w:rPr>
                <w:rFonts w:ascii="Arial" w:hAnsi="Arial"/>
              </w:rPr>
              <w:t>and associated with easements for some of the now decommissioned water distribution channels.</w:t>
            </w:r>
          </w:p>
          <w:p w14:paraId="6FB9BC5A" w14:textId="77777777" w:rsidR="00F474E9" w:rsidRPr="00941196" w:rsidRDefault="00F474E9" w:rsidP="00634D67">
            <w:pPr>
              <w:spacing w:after="120"/>
              <w:rPr>
                <w:rFonts w:ascii="Arial" w:hAnsi="Arial"/>
              </w:rPr>
            </w:pPr>
            <w:r w:rsidRPr="00941196">
              <w:rPr>
                <w:rFonts w:ascii="Arial" w:hAnsi="Arial"/>
              </w:rPr>
              <w:t xml:space="preserve">The surrounding area is similar. </w:t>
            </w:r>
          </w:p>
          <w:p w14:paraId="437BC3F4"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p>
        </w:tc>
      </w:tr>
      <w:tr w:rsidR="001C34F3" w14:paraId="4EB7949A" w14:textId="77777777" w:rsidTr="001E301B">
        <w:tblPrEx>
          <w:tblBorders>
            <w:top w:val="single" w:sz="2" w:space="0" w:color="262626"/>
            <w:left w:val="none" w:sz="0" w:space="0" w:color="auto"/>
            <w:bottom w:val="single" w:sz="2" w:space="0" w:color="262626"/>
            <w:right w:val="none" w:sz="0" w:space="0" w:color="auto"/>
            <w:insideH w:val="none" w:sz="0" w:space="0" w:color="auto"/>
            <w:insideV w:val="none" w:sz="0" w:space="0" w:color="auto"/>
          </w:tblBorders>
          <w:tblCellMar>
            <w:top w:w="28" w:type="dxa"/>
            <w:left w:w="0" w:type="dxa"/>
            <w:bottom w:w="28" w:type="dxa"/>
          </w:tblCellMar>
          <w:tblLook w:val="0620" w:firstRow="1" w:lastRow="0" w:firstColumn="0" w:lastColumn="0" w:noHBand="1" w:noVBand="1"/>
        </w:tblPrEx>
        <w:trPr>
          <w:tblHeader/>
        </w:trPr>
        <w:tc>
          <w:tcPr>
            <w:tcW w:w="9101" w:type="dxa"/>
            <w:tcBorders>
              <w:top w:val="single" w:sz="4" w:space="0" w:color="auto"/>
              <w:left w:val="single" w:sz="4" w:space="0" w:color="auto"/>
              <w:bottom w:val="single" w:sz="4" w:space="0" w:color="auto"/>
              <w:right w:val="single" w:sz="4" w:space="0" w:color="auto"/>
              <w:tl2br w:val="nil"/>
              <w:tr2bl w:val="nil"/>
            </w:tcBorders>
          </w:tcPr>
          <w:p w14:paraId="28CCAA8C" w14:textId="17AFBB95" w:rsidR="001C34F3" w:rsidRDefault="001E301B">
            <w:pPr>
              <w:rPr>
                <w:rFonts w:ascii="Arial" w:hAnsi="Arial"/>
              </w:rPr>
            </w:pPr>
            <w:r>
              <w:rPr>
                <w:rFonts w:ascii="Arial" w:hAnsi="Arial"/>
                <w:b/>
              </w:rPr>
              <w:t xml:space="preserve">  </w:t>
            </w:r>
            <w:r w:rsidR="00177B40">
              <w:rPr>
                <w:rFonts w:ascii="Arial" w:hAnsi="Arial"/>
                <w:b/>
              </w:rPr>
              <w:t xml:space="preserve">9.2 </w:t>
            </w:r>
            <w:r w:rsidR="001C34F3">
              <w:rPr>
                <w:rFonts w:ascii="Arial" w:hAnsi="Arial"/>
                <w:b/>
              </w:rPr>
              <w:t>Current land tenure</w:t>
            </w:r>
          </w:p>
        </w:tc>
      </w:tr>
      <w:tr w:rsidR="001C34F3" w14:paraId="77F4AC7D" w14:textId="77777777" w:rsidTr="001E301B">
        <w:trPr>
          <w:trHeight w:val="187"/>
        </w:trPr>
        <w:tc>
          <w:tcPr>
            <w:tcW w:w="9101" w:type="dxa"/>
            <w:tcBorders>
              <w:top w:val="single" w:sz="4" w:space="0" w:color="auto"/>
              <w:bottom w:val="nil"/>
            </w:tcBorders>
          </w:tcPr>
          <w:p w14:paraId="73CCA651" w14:textId="77777777" w:rsidR="00F474E9"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p>
          <w:p w14:paraId="0AAF3F7F" w14:textId="0879E13F" w:rsidR="00934074" w:rsidRPr="00F062D8" w:rsidRDefault="00F474E9" w:rsidP="00286647">
            <w:pPr>
              <w:spacing w:after="120"/>
              <w:jc w:val="both"/>
              <w:rPr>
                <w:rFonts w:ascii="Arial" w:hAnsi="Arial"/>
              </w:rPr>
            </w:pPr>
            <w:r w:rsidRPr="00F474E9">
              <w:rPr>
                <w:rFonts w:ascii="Arial" w:hAnsi="Arial"/>
              </w:rPr>
              <w:t xml:space="preserve">The land tenure in the Project site is largely freehold properties used for mixed cropping and grazing. </w:t>
            </w:r>
            <w:r w:rsidR="00934074" w:rsidRPr="00D34899">
              <w:rPr>
                <w:rFonts w:ascii="Arial" w:hAnsi="Arial"/>
              </w:rPr>
              <w:t xml:space="preserve">There </w:t>
            </w:r>
            <w:r w:rsidR="00934074">
              <w:rPr>
                <w:rFonts w:ascii="Arial" w:hAnsi="Arial"/>
              </w:rPr>
              <w:t xml:space="preserve">are </w:t>
            </w:r>
            <w:r w:rsidR="00E97312">
              <w:rPr>
                <w:rFonts w:ascii="Arial" w:hAnsi="Arial"/>
              </w:rPr>
              <w:t>six</w:t>
            </w:r>
            <w:r w:rsidR="00934074" w:rsidRPr="00D34899">
              <w:rPr>
                <w:rFonts w:ascii="Arial" w:hAnsi="Arial"/>
              </w:rPr>
              <w:t xml:space="preserve"> residences</w:t>
            </w:r>
            <w:r w:rsidR="00934074">
              <w:rPr>
                <w:rFonts w:ascii="Arial" w:hAnsi="Arial"/>
              </w:rPr>
              <w:t xml:space="preserve">, associated sheds and a derelict holiday shack </w:t>
            </w:r>
            <w:r w:rsidR="00934074" w:rsidRPr="00D34899">
              <w:rPr>
                <w:rFonts w:ascii="Arial" w:hAnsi="Arial"/>
              </w:rPr>
              <w:t xml:space="preserve">located within the </w:t>
            </w:r>
            <w:r w:rsidR="00E97312">
              <w:rPr>
                <w:rFonts w:ascii="Arial" w:hAnsi="Arial"/>
              </w:rPr>
              <w:t>mine layout development envelope</w:t>
            </w:r>
            <w:r w:rsidR="00934074">
              <w:rPr>
                <w:rFonts w:ascii="Arial" w:hAnsi="Arial"/>
              </w:rPr>
              <w:t xml:space="preserve">. In addition, there </w:t>
            </w:r>
            <w:r w:rsidR="00934074" w:rsidRPr="009D10AA">
              <w:rPr>
                <w:rFonts w:ascii="Arial" w:hAnsi="Arial"/>
              </w:rPr>
              <w:t xml:space="preserve">are a scattering of residences within approximately 5 km of the </w:t>
            </w:r>
            <w:r w:rsidR="00E97312">
              <w:rPr>
                <w:rFonts w:ascii="Arial" w:hAnsi="Arial"/>
              </w:rPr>
              <w:t>mine layout development envelope</w:t>
            </w:r>
            <w:r w:rsidR="00934074">
              <w:rPr>
                <w:rFonts w:ascii="Arial" w:hAnsi="Arial"/>
              </w:rPr>
              <w:t>, including</w:t>
            </w:r>
            <w:r w:rsidR="00934074" w:rsidRPr="00D34899">
              <w:rPr>
                <w:rFonts w:ascii="Arial" w:hAnsi="Arial"/>
              </w:rPr>
              <w:t xml:space="preserve"> </w:t>
            </w:r>
            <w:r w:rsidR="00E97312">
              <w:rPr>
                <w:rFonts w:ascii="Arial" w:hAnsi="Arial"/>
              </w:rPr>
              <w:t>four</w:t>
            </w:r>
            <w:r w:rsidR="00E97312" w:rsidRPr="00D34899">
              <w:rPr>
                <w:rFonts w:ascii="Arial" w:hAnsi="Arial"/>
              </w:rPr>
              <w:t xml:space="preserve"> </w:t>
            </w:r>
            <w:r w:rsidR="00934074" w:rsidRPr="00D34899">
              <w:rPr>
                <w:rFonts w:ascii="Arial" w:hAnsi="Arial"/>
              </w:rPr>
              <w:t xml:space="preserve">residences located within 2 km </w:t>
            </w:r>
            <w:r w:rsidR="00934074">
              <w:rPr>
                <w:rFonts w:ascii="Arial" w:hAnsi="Arial"/>
              </w:rPr>
              <w:t xml:space="preserve">and </w:t>
            </w:r>
            <w:r w:rsidR="00934074" w:rsidRPr="009D10AA">
              <w:rPr>
                <w:rFonts w:ascii="Arial" w:hAnsi="Arial"/>
              </w:rPr>
              <w:t xml:space="preserve">a settlement of approximately 10-20 residences </w:t>
            </w:r>
            <w:r w:rsidR="00934074">
              <w:rPr>
                <w:rFonts w:ascii="Arial" w:hAnsi="Arial"/>
              </w:rPr>
              <w:t xml:space="preserve">located </w:t>
            </w:r>
            <w:r w:rsidR="00934074" w:rsidRPr="009D10AA">
              <w:rPr>
                <w:rFonts w:ascii="Arial" w:hAnsi="Arial"/>
              </w:rPr>
              <w:t xml:space="preserve">approximately 4 km south of the </w:t>
            </w:r>
            <w:r w:rsidR="00E97312">
              <w:rPr>
                <w:rFonts w:ascii="Arial" w:hAnsi="Arial"/>
              </w:rPr>
              <w:t>mine layout development envelope</w:t>
            </w:r>
            <w:r w:rsidR="00934074" w:rsidRPr="009D10AA">
              <w:rPr>
                <w:rFonts w:ascii="Arial" w:hAnsi="Arial"/>
              </w:rPr>
              <w:t>, just north of the Toolondo Reservoir</w:t>
            </w:r>
            <w:r w:rsidR="00934074">
              <w:rPr>
                <w:rFonts w:ascii="Arial" w:hAnsi="Arial"/>
              </w:rPr>
              <w:t xml:space="preserve"> (Figure 2)</w:t>
            </w:r>
            <w:r w:rsidR="00934074" w:rsidRPr="009D10AA">
              <w:rPr>
                <w:rFonts w:ascii="Arial" w:hAnsi="Arial"/>
              </w:rPr>
              <w:t xml:space="preserve">. </w:t>
            </w:r>
          </w:p>
          <w:p w14:paraId="0023AD61" w14:textId="4BE6743A" w:rsidR="00F474E9" w:rsidRDefault="00F474E9" w:rsidP="00286647">
            <w:pPr>
              <w:spacing w:after="120"/>
              <w:jc w:val="both"/>
              <w:rPr>
                <w:rFonts w:ascii="Arial" w:hAnsi="Arial"/>
              </w:rPr>
            </w:pPr>
            <w:r w:rsidRPr="00F474E9">
              <w:rPr>
                <w:rFonts w:ascii="Arial" w:hAnsi="Arial"/>
              </w:rPr>
              <w:t>As discussed in Section 8.1, Crown land within the Project site</w:t>
            </w:r>
            <w:r w:rsidR="00286647">
              <w:rPr>
                <w:rFonts w:ascii="Arial" w:hAnsi="Arial"/>
              </w:rPr>
              <w:t xml:space="preserve"> is </w:t>
            </w:r>
            <w:r w:rsidRPr="00F474E9">
              <w:rPr>
                <w:rFonts w:ascii="Arial" w:hAnsi="Arial"/>
              </w:rPr>
              <w:t xml:space="preserve">associated with the </w:t>
            </w:r>
            <w:proofErr w:type="spellStart"/>
            <w:r w:rsidRPr="00F474E9">
              <w:rPr>
                <w:rFonts w:ascii="Arial" w:hAnsi="Arial"/>
              </w:rPr>
              <w:t>Jallumba</w:t>
            </w:r>
            <w:proofErr w:type="spellEnd"/>
            <w:r w:rsidRPr="00F474E9">
              <w:rPr>
                <w:rFonts w:ascii="Arial" w:hAnsi="Arial"/>
              </w:rPr>
              <w:t xml:space="preserve"> Marsh F</w:t>
            </w:r>
            <w:r w:rsidR="00316DD9">
              <w:rPr>
                <w:rFonts w:ascii="Arial" w:hAnsi="Arial"/>
              </w:rPr>
              <w:t xml:space="preserve">lora </w:t>
            </w:r>
            <w:r w:rsidRPr="00F474E9">
              <w:rPr>
                <w:rFonts w:ascii="Arial" w:hAnsi="Arial"/>
              </w:rPr>
              <w:t xml:space="preserve">Reserve, the </w:t>
            </w:r>
            <w:r w:rsidR="00C33CD3" w:rsidRPr="00F474E9">
              <w:rPr>
                <w:rFonts w:ascii="Arial" w:hAnsi="Arial"/>
              </w:rPr>
              <w:t>Red</w:t>
            </w:r>
            <w:r w:rsidR="00C33CD3">
              <w:rPr>
                <w:rFonts w:ascii="Arial" w:hAnsi="Arial"/>
              </w:rPr>
              <w:t xml:space="preserve"> G</w:t>
            </w:r>
            <w:r w:rsidR="00C33CD3" w:rsidRPr="00F474E9">
              <w:rPr>
                <w:rFonts w:ascii="Arial" w:hAnsi="Arial"/>
              </w:rPr>
              <w:t xml:space="preserve">um </w:t>
            </w:r>
            <w:r w:rsidRPr="00F474E9">
              <w:rPr>
                <w:rFonts w:ascii="Arial" w:hAnsi="Arial"/>
              </w:rPr>
              <w:t xml:space="preserve">Swamp Reserve, roads and roadside reserves. The surrounding area is similar. </w:t>
            </w:r>
          </w:p>
          <w:p w14:paraId="73BF053A" w14:textId="1E6D0EB8" w:rsidR="00F474E9" w:rsidRDefault="00F474E9" w:rsidP="00286647">
            <w:pPr>
              <w:spacing w:after="120"/>
              <w:jc w:val="both"/>
              <w:rPr>
                <w:rFonts w:ascii="Arial" w:hAnsi="Arial"/>
              </w:rPr>
            </w:pPr>
            <w:r w:rsidRPr="00F474E9">
              <w:rPr>
                <w:rFonts w:ascii="Arial" w:hAnsi="Arial"/>
              </w:rPr>
              <w:t>The Project site is entirely within Iluka’s Exploration Licence (EL4282</w:t>
            </w:r>
            <w:r w:rsidR="00286647">
              <w:rPr>
                <w:rFonts w:ascii="Arial" w:hAnsi="Arial"/>
              </w:rPr>
              <w:t>)</w:t>
            </w:r>
            <w:r w:rsidRPr="00F474E9">
              <w:rPr>
                <w:rFonts w:ascii="Arial" w:hAnsi="Arial"/>
              </w:rPr>
              <w:t xml:space="preserve"> area with the exception of a small portion at the eastern side which is no longer within EL4282. Iluka has lodged application</w:t>
            </w:r>
            <w:r w:rsidR="00C365A1">
              <w:rPr>
                <w:rFonts w:ascii="Arial" w:hAnsi="Arial"/>
              </w:rPr>
              <w:t>s</w:t>
            </w:r>
            <w:r w:rsidRPr="00F474E9">
              <w:rPr>
                <w:rFonts w:ascii="Arial" w:hAnsi="Arial"/>
              </w:rPr>
              <w:t xml:space="preserve"> for EL006966 over this </w:t>
            </w:r>
            <w:r w:rsidR="00C365A1">
              <w:rPr>
                <w:rFonts w:ascii="Arial" w:hAnsi="Arial"/>
              </w:rPr>
              <w:t xml:space="preserve">eastern </w:t>
            </w:r>
            <w:r w:rsidRPr="00F474E9">
              <w:rPr>
                <w:rFonts w:ascii="Arial" w:hAnsi="Arial"/>
              </w:rPr>
              <w:t>area</w:t>
            </w:r>
            <w:r w:rsidR="00C365A1">
              <w:rPr>
                <w:rFonts w:ascii="Arial" w:hAnsi="Arial"/>
              </w:rPr>
              <w:t xml:space="preserve">, and RL006904 over the Wimmera </w:t>
            </w:r>
            <w:r w:rsidR="00D02516">
              <w:rPr>
                <w:rFonts w:ascii="Arial" w:hAnsi="Arial"/>
              </w:rPr>
              <w:t>Project</w:t>
            </w:r>
            <w:r w:rsidR="00C365A1">
              <w:rPr>
                <w:rFonts w:ascii="Arial" w:hAnsi="Arial"/>
              </w:rPr>
              <w:t xml:space="preserve"> area</w:t>
            </w:r>
            <w:r w:rsidRPr="00F474E9">
              <w:rPr>
                <w:rFonts w:ascii="Arial" w:hAnsi="Arial"/>
              </w:rPr>
              <w:t>.</w:t>
            </w:r>
          </w:p>
          <w:p w14:paraId="02387B9C" w14:textId="77777777" w:rsidR="00F474E9" w:rsidRDefault="00F474E9" w:rsidP="00286647">
            <w:pPr>
              <w:spacing w:after="120"/>
              <w:jc w:val="both"/>
              <w:rPr>
                <w:rFonts w:ascii="Arial" w:hAnsi="Arial"/>
              </w:rPr>
            </w:pPr>
            <w:r w:rsidRPr="00F474E9">
              <w:rPr>
                <w:rFonts w:ascii="Arial" w:hAnsi="Arial"/>
              </w:rPr>
              <w:t xml:space="preserve">The offsite infrastructure footprint is not yet known, so the land tenures associated with these areas are </w:t>
            </w:r>
            <w:r w:rsidR="00F12BB8">
              <w:rPr>
                <w:rFonts w:ascii="Arial" w:hAnsi="Arial"/>
              </w:rPr>
              <w:t xml:space="preserve">currently </w:t>
            </w:r>
            <w:r w:rsidRPr="00F474E9">
              <w:rPr>
                <w:rFonts w:ascii="Arial" w:hAnsi="Arial"/>
              </w:rPr>
              <w:t xml:space="preserve">unknown. </w:t>
            </w:r>
          </w:p>
          <w:p w14:paraId="08479ABE" w14:textId="77777777" w:rsidR="00F474E9" w:rsidRPr="00F474E9" w:rsidRDefault="00F474E9" w:rsidP="00F474E9">
            <w:pPr>
              <w:rPr>
                <w:rFonts w:ascii="Arial" w:hAnsi="Arial"/>
              </w:rPr>
            </w:pPr>
            <w:bookmarkStart w:id="75" w:name="_Hlk5120347"/>
            <w:bookmarkStart w:id="76" w:name="_Hlk8975762"/>
            <w:r w:rsidRPr="00F474E9">
              <w:rPr>
                <w:rFonts w:ascii="Arial" w:hAnsi="Arial"/>
              </w:rPr>
              <w:t>The Project site covers multiple lots, as outlined in Table 9.1.</w:t>
            </w:r>
          </w:p>
          <w:tbl>
            <w:tblPr>
              <w:tblW w:w="10358" w:type="dxa"/>
              <w:tblBorders>
                <w:top w:val="single" w:sz="2" w:space="0" w:color="262626"/>
                <w:bottom w:val="single" w:sz="2" w:space="0" w:color="262626"/>
              </w:tblBorders>
              <w:tblLayout w:type="fixed"/>
              <w:tblLook w:val="0620" w:firstRow="1" w:lastRow="0" w:firstColumn="0" w:lastColumn="0" w:noHBand="1" w:noVBand="1"/>
            </w:tblPr>
            <w:tblGrid>
              <w:gridCol w:w="59"/>
              <w:gridCol w:w="24"/>
              <w:gridCol w:w="1819"/>
              <w:gridCol w:w="1275"/>
              <w:gridCol w:w="879"/>
              <w:gridCol w:w="1283"/>
              <w:gridCol w:w="106"/>
              <w:gridCol w:w="835"/>
              <w:gridCol w:w="472"/>
              <w:gridCol w:w="150"/>
              <w:gridCol w:w="86"/>
              <w:gridCol w:w="150"/>
              <w:gridCol w:w="35"/>
              <w:gridCol w:w="105"/>
              <w:gridCol w:w="1419"/>
              <w:gridCol w:w="177"/>
              <w:gridCol w:w="1484"/>
            </w:tblGrid>
            <w:tr w:rsidR="00F474E9" w14:paraId="5764933C" w14:textId="77777777" w:rsidTr="000064CF">
              <w:trPr>
                <w:gridAfter w:val="9"/>
                <w:wAfter w:w="4078" w:type="dxa"/>
                <w:tblHeader/>
              </w:trPr>
              <w:tc>
                <w:tcPr>
                  <w:tcW w:w="6280" w:type="dxa"/>
                  <w:gridSpan w:val="8"/>
                  <w:tcBorders>
                    <w:top w:val="nil"/>
                    <w:bottom w:val="nil"/>
                  </w:tcBorders>
                </w:tcPr>
                <w:p w14:paraId="3E0816EF" w14:textId="77777777" w:rsidR="00F474E9" w:rsidRPr="00A0448B" w:rsidRDefault="00F474E9" w:rsidP="00F474E9">
                  <w:pPr>
                    <w:pStyle w:val="TableCaption"/>
                    <w:rPr>
                      <w:rFonts w:ascii="Arial" w:hAnsi="Arial" w:cs="Arial"/>
                      <w:sz w:val="18"/>
                    </w:rPr>
                  </w:pPr>
                  <w:bookmarkStart w:id="77" w:name="_Toc8400193"/>
                  <w:r w:rsidRPr="00A0448B">
                    <w:rPr>
                      <w:rFonts w:ascii="Arial" w:hAnsi="Arial" w:cs="Arial"/>
                      <w:sz w:val="18"/>
                    </w:rPr>
                    <w:lastRenderedPageBreak/>
                    <w:t>Table 9.1</w:t>
                  </w:r>
                  <w:r w:rsidRPr="00A0448B">
                    <w:rPr>
                      <w:rFonts w:ascii="Arial" w:hAnsi="Arial" w:cs="Arial"/>
                      <w:sz w:val="18"/>
                    </w:rPr>
                    <w:tab/>
                    <w:t>Land title details</w:t>
                  </w:r>
                  <w:bookmarkEnd w:id="77"/>
                </w:p>
              </w:tc>
            </w:tr>
            <w:tr w:rsidR="001967CD" w14:paraId="14D7D49F" w14:textId="77777777" w:rsidTr="000064CF">
              <w:tblPrEx>
                <w:tblBorders>
                  <w:top w:val="none" w:sz="0" w:space="0" w:color="auto"/>
                  <w:bottom w:val="none" w:sz="0" w:space="0" w:color="auto"/>
                </w:tblBorders>
              </w:tblPrEx>
              <w:trPr>
                <w:gridBefore w:val="2"/>
                <w:gridAfter w:val="1"/>
                <w:wBefore w:w="83" w:type="dxa"/>
                <w:wAfter w:w="1484" w:type="dxa"/>
              </w:trPr>
              <w:tc>
                <w:tcPr>
                  <w:tcW w:w="1819" w:type="dxa"/>
                  <w:tcBorders>
                    <w:bottom w:val="single" w:sz="4" w:space="0" w:color="auto"/>
                  </w:tcBorders>
                </w:tcPr>
                <w:p w14:paraId="4871386B" w14:textId="77777777" w:rsidR="00F474E9" w:rsidRPr="00A0448B" w:rsidRDefault="00F474E9" w:rsidP="00F474E9">
                  <w:pPr>
                    <w:pStyle w:val="TableHeading"/>
                    <w:rPr>
                      <w:rFonts w:ascii="Arial" w:hAnsi="Arial" w:cs="Arial"/>
                      <w:szCs w:val="18"/>
                    </w:rPr>
                  </w:pPr>
                  <w:r w:rsidRPr="00A0448B">
                    <w:rPr>
                      <w:rFonts w:ascii="Arial" w:hAnsi="Arial" w:cs="Arial"/>
                      <w:szCs w:val="18"/>
                    </w:rPr>
                    <w:t xml:space="preserve">Volume </w:t>
                  </w:r>
                </w:p>
              </w:tc>
              <w:tc>
                <w:tcPr>
                  <w:tcW w:w="1275" w:type="dxa"/>
                  <w:tcBorders>
                    <w:bottom w:val="single" w:sz="4" w:space="0" w:color="auto"/>
                  </w:tcBorders>
                </w:tcPr>
                <w:p w14:paraId="3A8E2F9F" w14:textId="77777777" w:rsidR="00F474E9" w:rsidRPr="00A0448B" w:rsidRDefault="00F474E9" w:rsidP="00F474E9">
                  <w:pPr>
                    <w:pStyle w:val="TableHeading"/>
                    <w:rPr>
                      <w:rFonts w:ascii="Arial" w:hAnsi="Arial" w:cs="Arial"/>
                      <w:szCs w:val="18"/>
                    </w:rPr>
                  </w:pPr>
                  <w:r w:rsidRPr="00A0448B">
                    <w:rPr>
                      <w:rFonts w:ascii="Arial" w:hAnsi="Arial" w:cs="Arial"/>
                      <w:szCs w:val="18"/>
                    </w:rPr>
                    <w:t>Folio</w:t>
                  </w:r>
                </w:p>
              </w:tc>
              <w:tc>
                <w:tcPr>
                  <w:tcW w:w="2162" w:type="dxa"/>
                  <w:gridSpan w:val="2"/>
                  <w:tcBorders>
                    <w:bottom w:val="single" w:sz="4" w:space="0" w:color="auto"/>
                  </w:tcBorders>
                </w:tcPr>
                <w:p w14:paraId="7BC5BCED" w14:textId="77777777" w:rsidR="00F474E9" w:rsidRPr="00A0448B" w:rsidRDefault="00F474E9" w:rsidP="00F474E9">
                  <w:pPr>
                    <w:pStyle w:val="TableHeading"/>
                    <w:rPr>
                      <w:rFonts w:ascii="Arial" w:hAnsi="Arial" w:cs="Arial"/>
                      <w:szCs w:val="18"/>
                    </w:rPr>
                  </w:pPr>
                  <w:r w:rsidRPr="00A0448B">
                    <w:rPr>
                      <w:rFonts w:ascii="Arial" w:hAnsi="Arial" w:cs="Arial"/>
                      <w:szCs w:val="18"/>
                    </w:rPr>
                    <w:t>Title plan number</w:t>
                  </w:r>
                </w:p>
              </w:tc>
              <w:tc>
                <w:tcPr>
                  <w:tcW w:w="1834" w:type="dxa"/>
                  <w:gridSpan w:val="7"/>
                  <w:tcBorders>
                    <w:bottom w:val="single" w:sz="4" w:space="0" w:color="auto"/>
                  </w:tcBorders>
                </w:tcPr>
                <w:p w14:paraId="6BEDCBF4" w14:textId="77777777" w:rsidR="00F474E9" w:rsidRPr="00A0448B" w:rsidRDefault="00F474E9" w:rsidP="00F474E9">
                  <w:pPr>
                    <w:pStyle w:val="TableHeading"/>
                    <w:rPr>
                      <w:rFonts w:ascii="Arial" w:hAnsi="Arial" w:cs="Arial"/>
                      <w:szCs w:val="18"/>
                    </w:rPr>
                  </w:pPr>
                  <w:r w:rsidRPr="00A0448B">
                    <w:rPr>
                      <w:rFonts w:ascii="Arial" w:hAnsi="Arial" w:cs="Arial"/>
                      <w:szCs w:val="18"/>
                    </w:rPr>
                    <w:t>Plan of subdivision</w:t>
                  </w:r>
                </w:p>
              </w:tc>
              <w:tc>
                <w:tcPr>
                  <w:tcW w:w="1701" w:type="dxa"/>
                  <w:gridSpan w:val="3"/>
                  <w:tcBorders>
                    <w:bottom w:val="single" w:sz="4" w:space="0" w:color="auto"/>
                  </w:tcBorders>
                </w:tcPr>
                <w:p w14:paraId="1CB63339" w14:textId="77777777" w:rsidR="00F474E9" w:rsidRPr="00A0448B" w:rsidRDefault="00F474E9" w:rsidP="00F474E9">
                  <w:pPr>
                    <w:pStyle w:val="TableHeading"/>
                    <w:rPr>
                      <w:rFonts w:ascii="Arial" w:hAnsi="Arial" w:cs="Arial"/>
                      <w:szCs w:val="18"/>
                    </w:rPr>
                  </w:pPr>
                  <w:r w:rsidRPr="00A0448B">
                    <w:rPr>
                      <w:rFonts w:ascii="Arial" w:hAnsi="Arial" w:cs="Arial"/>
                      <w:szCs w:val="18"/>
                    </w:rPr>
                    <w:t>Lot plan number</w:t>
                  </w:r>
                </w:p>
              </w:tc>
            </w:tr>
            <w:tr w:rsidR="003F4731" w14:paraId="753919A7" w14:textId="77777777" w:rsidTr="003F4731">
              <w:tblPrEx>
                <w:tblBorders>
                  <w:top w:val="none" w:sz="0" w:space="0" w:color="auto"/>
                  <w:bottom w:val="none" w:sz="0" w:space="0" w:color="auto"/>
                </w:tblBorders>
              </w:tblPrEx>
              <w:trPr>
                <w:gridBefore w:val="1"/>
                <w:gridAfter w:val="2"/>
                <w:wBefore w:w="59" w:type="dxa"/>
                <w:wAfter w:w="1661" w:type="dxa"/>
              </w:trPr>
              <w:tc>
                <w:tcPr>
                  <w:tcW w:w="1843" w:type="dxa"/>
                  <w:gridSpan w:val="2"/>
                </w:tcPr>
                <w:p w14:paraId="3704931B" w14:textId="77777777" w:rsidR="00F474E9" w:rsidRPr="00A0448B" w:rsidRDefault="00F474E9" w:rsidP="00F474E9">
                  <w:pPr>
                    <w:pStyle w:val="TableText"/>
                    <w:rPr>
                      <w:rFonts w:ascii="Arial" w:hAnsi="Arial" w:cs="Arial"/>
                      <w:szCs w:val="18"/>
                    </w:rPr>
                  </w:pPr>
                  <w:r w:rsidRPr="00A0448B">
                    <w:rPr>
                      <w:rFonts w:ascii="Arial" w:hAnsi="Arial" w:cs="Arial"/>
                      <w:szCs w:val="18"/>
                    </w:rPr>
                    <w:t>4051</w:t>
                  </w:r>
                </w:p>
              </w:tc>
              <w:tc>
                <w:tcPr>
                  <w:tcW w:w="1275" w:type="dxa"/>
                </w:tcPr>
                <w:p w14:paraId="458C4741" w14:textId="77777777" w:rsidR="00F474E9" w:rsidRPr="00A0448B" w:rsidRDefault="00F474E9" w:rsidP="00F474E9">
                  <w:pPr>
                    <w:pStyle w:val="TableText"/>
                    <w:rPr>
                      <w:rFonts w:ascii="Arial" w:hAnsi="Arial" w:cs="Arial"/>
                      <w:szCs w:val="18"/>
                    </w:rPr>
                  </w:pPr>
                  <w:r w:rsidRPr="00A0448B">
                    <w:rPr>
                      <w:rFonts w:ascii="Arial" w:hAnsi="Arial" w:cs="Arial"/>
                      <w:szCs w:val="18"/>
                    </w:rPr>
                    <w:t>146</w:t>
                  </w:r>
                </w:p>
              </w:tc>
              <w:tc>
                <w:tcPr>
                  <w:tcW w:w="2268" w:type="dxa"/>
                  <w:gridSpan w:val="3"/>
                </w:tcPr>
                <w:p w14:paraId="3196574A" w14:textId="77777777" w:rsidR="00F474E9" w:rsidRPr="00A0448B" w:rsidRDefault="00F474E9" w:rsidP="00F474E9">
                  <w:pPr>
                    <w:pStyle w:val="TableText"/>
                    <w:rPr>
                      <w:rFonts w:ascii="Arial" w:hAnsi="Arial" w:cs="Arial"/>
                      <w:szCs w:val="18"/>
                    </w:rPr>
                  </w:pPr>
                  <w:r w:rsidRPr="00A0448B">
                    <w:rPr>
                      <w:rFonts w:ascii="Arial" w:hAnsi="Arial" w:cs="Arial"/>
                      <w:szCs w:val="18"/>
                    </w:rPr>
                    <w:t>792081N</w:t>
                  </w:r>
                </w:p>
              </w:tc>
              <w:tc>
                <w:tcPr>
                  <w:tcW w:w="1307" w:type="dxa"/>
                  <w:gridSpan w:val="2"/>
                </w:tcPr>
                <w:p w14:paraId="6F9F8114" w14:textId="77777777" w:rsidR="00F474E9" w:rsidRPr="00A0448B" w:rsidRDefault="00F474E9" w:rsidP="00F474E9">
                  <w:pPr>
                    <w:pStyle w:val="TableText"/>
                    <w:rPr>
                      <w:rFonts w:ascii="Arial" w:hAnsi="Arial" w:cs="Arial"/>
                      <w:szCs w:val="18"/>
                    </w:rPr>
                  </w:pPr>
                </w:p>
              </w:tc>
              <w:tc>
                <w:tcPr>
                  <w:tcW w:w="1945" w:type="dxa"/>
                  <w:gridSpan w:val="6"/>
                </w:tcPr>
                <w:p w14:paraId="5527DC3E" w14:textId="77777777" w:rsidR="00F474E9" w:rsidRPr="00A0448B" w:rsidRDefault="00F474E9" w:rsidP="00F474E9">
                  <w:pPr>
                    <w:pStyle w:val="TableText"/>
                    <w:rPr>
                      <w:rFonts w:ascii="Arial" w:hAnsi="Arial" w:cs="Arial"/>
                      <w:szCs w:val="18"/>
                    </w:rPr>
                  </w:pPr>
                </w:p>
              </w:tc>
            </w:tr>
            <w:tr w:rsidR="00F474E9" w14:paraId="1FDDC700" w14:textId="77777777" w:rsidTr="000064CF">
              <w:tblPrEx>
                <w:tblBorders>
                  <w:top w:val="none" w:sz="0" w:space="0" w:color="auto"/>
                  <w:bottom w:val="none" w:sz="0" w:space="0" w:color="auto"/>
                </w:tblBorders>
              </w:tblPrEx>
              <w:trPr>
                <w:gridBefore w:val="1"/>
                <w:gridAfter w:val="5"/>
                <w:wBefore w:w="59" w:type="dxa"/>
                <w:wAfter w:w="3220" w:type="dxa"/>
              </w:trPr>
              <w:tc>
                <w:tcPr>
                  <w:tcW w:w="1843" w:type="dxa"/>
                  <w:gridSpan w:val="2"/>
                </w:tcPr>
                <w:p w14:paraId="2A9A016C" w14:textId="77777777" w:rsidR="00F474E9" w:rsidRPr="00A0448B" w:rsidRDefault="00F474E9" w:rsidP="00F474E9">
                  <w:pPr>
                    <w:pStyle w:val="TableText"/>
                    <w:rPr>
                      <w:rFonts w:ascii="Arial" w:hAnsi="Arial" w:cs="Arial"/>
                      <w:szCs w:val="18"/>
                    </w:rPr>
                  </w:pPr>
                  <w:r w:rsidRPr="00A0448B">
                    <w:rPr>
                      <w:rFonts w:ascii="Arial" w:hAnsi="Arial" w:cs="Arial"/>
                      <w:szCs w:val="18"/>
                    </w:rPr>
                    <w:t>4489</w:t>
                  </w:r>
                </w:p>
              </w:tc>
              <w:tc>
                <w:tcPr>
                  <w:tcW w:w="1275" w:type="dxa"/>
                </w:tcPr>
                <w:p w14:paraId="7135597C" w14:textId="77777777" w:rsidR="00F474E9" w:rsidRPr="00A0448B" w:rsidRDefault="00F474E9" w:rsidP="00F474E9">
                  <w:pPr>
                    <w:pStyle w:val="TableText"/>
                    <w:rPr>
                      <w:rFonts w:ascii="Arial" w:hAnsi="Arial" w:cs="Arial"/>
                      <w:szCs w:val="18"/>
                    </w:rPr>
                  </w:pPr>
                  <w:r w:rsidRPr="00A0448B">
                    <w:rPr>
                      <w:rFonts w:ascii="Arial" w:hAnsi="Arial" w:cs="Arial"/>
                      <w:szCs w:val="18"/>
                    </w:rPr>
                    <w:t>670</w:t>
                  </w:r>
                </w:p>
              </w:tc>
              <w:tc>
                <w:tcPr>
                  <w:tcW w:w="2268" w:type="dxa"/>
                  <w:gridSpan w:val="3"/>
                </w:tcPr>
                <w:p w14:paraId="26B6CE4E" w14:textId="77777777" w:rsidR="00F474E9" w:rsidRPr="00A0448B" w:rsidRDefault="00F474E9" w:rsidP="00F474E9">
                  <w:pPr>
                    <w:pStyle w:val="TableText"/>
                    <w:rPr>
                      <w:rFonts w:ascii="Arial" w:hAnsi="Arial" w:cs="Arial"/>
                      <w:szCs w:val="18"/>
                    </w:rPr>
                  </w:pPr>
                  <w:r w:rsidRPr="00A0448B">
                    <w:rPr>
                      <w:rFonts w:ascii="Arial" w:hAnsi="Arial" w:cs="Arial"/>
                      <w:szCs w:val="18"/>
                    </w:rPr>
                    <w:t>680008Y</w:t>
                  </w:r>
                </w:p>
              </w:tc>
              <w:tc>
                <w:tcPr>
                  <w:tcW w:w="1457" w:type="dxa"/>
                  <w:gridSpan w:val="3"/>
                </w:tcPr>
                <w:p w14:paraId="4E153B4F" w14:textId="77777777" w:rsidR="00F474E9" w:rsidRPr="00A0448B" w:rsidRDefault="00F474E9" w:rsidP="00F474E9">
                  <w:pPr>
                    <w:pStyle w:val="TableText"/>
                    <w:rPr>
                      <w:rFonts w:ascii="Arial" w:hAnsi="Arial" w:cs="Arial"/>
                      <w:szCs w:val="18"/>
                    </w:rPr>
                  </w:pPr>
                </w:p>
              </w:tc>
              <w:tc>
                <w:tcPr>
                  <w:tcW w:w="236" w:type="dxa"/>
                  <w:gridSpan w:val="2"/>
                </w:tcPr>
                <w:p w14:paraId="1F912FA6" w14:textId="77777777" w:rsidR="00F474E9" w:rsidRPr="00A0448B" w:rsidRDefault="00F474E9" w:rsidP="00F474E9">
                  <w:pPr>
                    <w:pStyle w:val="TableText"/>
                    <w:rPr>
                      <w:rFonts w:ascii="Arial" w:hAnsi="Arial" w:cs="Arial"/>
                      <w:szCs w:val="18"/>
                    </w:rPr>
                  </w:pPr>
                </w:p>
              </w:tc>
            </w:tr>
            <w:tr w:rsidR="00F474E9" w14:paraId="22BD9FBC" w14:textId="77777777" w:rsidTr="000064CF">
              <w:tblPrEx>
                <w:tblBorders>
                  <w:top w:val="none" w:sz="0" w:space="0" w:color="auto"/>
                  <w:bottom w:val="none" w:sz="0" w:space="0" w:color="auto"/>
                </w:tblBorders>
              </w:tblPrEx>
              <w:trPr>
                <w:gridBefore w:val="1"/>
                <w:gridAfter w:val="5"/>
                <w:wBefore w:w="59" w:type="dxa"/>
                <w:wAfter w:w="3220" w:type="dxa"/>
              </w:trPr>
              <w:tc>
                <w:tcPr>
                  <w:tcW w:w="1843" w:type="dxa"/>
                  <w:gridSpan w:val="2"/>
                </w:tcPr>
                <w:p w14:paraId="1A2820B8" w14:textId="77777777" w:rsidR="00F474E9" w:rsidRPr="00A0448B" w:rsidRDefault="00F474E9" w:rsidP="00F474E9">
                  <w:pPr>
                    <w:pStyle w:val="TableText"/>
                    <w:rPr>
                      <w:rFonts w:ascii="Arial" w:hAnsi="Arial" w:cs="Arial"/>
                      <w:szCs w:val="18"/>
                    </w:rPr>
                  </w:pPr>
                  <w:r w:rsidRPr="00A0448B">
                    <w:rPr>
                      <w:rFonts w:ascii="Arial" w:hAnsi="Arial" w:cs="Arial"/>
                      <w:szCs w:val="18"/>
                    </w:rPr>
                    <w:t>8104</w:t>
                  </w:r>
                </w:p>
              </w:tc>
              <w:tc>
                <w:tcPr>
                  <w:tcW w:w="1275" w:type="dxa"/>
                </w:tcPr>
                <w:p w14:paraId="107C04E5" w14:textId="77777777" w:rsidR="00F474E9" w:rsidRPr="00A0448B" w:rsidRDefault="00F474E9" w:rsidP="00F474E9">
                  <w:pPr>
                    <w:pStyle w:val="TableText"/>
                    <w:rPr>
                      <w:rFonts w:ascii="Arial" w:hAnsi="Arial" w:cs="Arial"/>
                      <w:szCs w:val="18"/>
                    </w:rPr>
                  </w:pPr>
                  <w:r w:rsidRPr="00A0448B">
                    <w:rPr>
                      <w:rFonts w:ascii="Arial" w:hAnsi="Arial" w:cs="Arial"/>
                      <w:szCs w:val="18"/>
                    </w:rPr>
                    <w:t>144</w:t>
                  </w:r>
                </w:p>
              </w:tc>
              <w:tc>
                <w:tcPr>
                  <w:tcW w:w="2268" w:type="dxa"/>
                  <w:gridSpan w:val="3"/>
                </w:tcPr>
                <w:p w14:paraId="00D474B3" w14:textId="77777777" w:rsidR="00F474E9" w:rsidRPr="00A0448B" w:rsidRDefault="00F474E9" w:rsidP="00F474E9">
                  <w:pPr>
                    <w:pStyle w:val="TableText"/>
                    <w:rPr>
                      <w:rFonts w:ascii="Arial" w:hAnsi="Arial" w:cs="Arial"/>
                      <w:szCs w:val="18"/>
                    </w:rPr>
                  </w:pPr>
                  <w:r w:rsidRPr="00A0448B">
                    <w:rPr>
                      <w:rFonts w:ascii="Arial" w:hAnsi="Arial" w:cs="Arial"/>
                      <w:szCs w:val="18"/>
                    </w:rPr>
                    <w:t>334741E</w:t>
                  </w:r>
                </w:p>
              </w:tc>
              <w:tc>
                <w:tcPr>
                  <w:tcW w:w="1457" w:type="dxa"/>
                  <w:gridSpan w:val="3"/>
                </w:tcPr>
                <w:p w14:paraId="718DB0A5" w14:textId="77777777" w:rsidR="00F474E9" w:rsidRPr="00A0448B" w:rsidRDefault="00F474E9" w:rsidP="00F474E9">
                  <w:pPr>
                    <w:pStyle w:val="TableText"/>
                    <w:rPr>
                      <w:rFonts w:ascii="Arial" w:hAnsi="Arial" w:cs="Arial"/>
                      <w:szCs w:val="18"/>
                    </w:rPr>
                  </w:pPr>
                </w:p>
              </w:tc>
              <w:tc>
                <w:tcPr>
                  <w:tcW w:w="236" w:type="dxa"/>
                  <w:gridSpan w:val="2"/>
                </w:tcPr>
                <w:p w14:paraId="63BE9DEE" w14:textId="77777777" w:rsidR="00F474E9" w:rsidRPr="00A0448B" w:rsidRDefault="00F474E9" w:rsidP="00F474E9">
                  <w:pPr>
                    <w:pStyle w:val="TableText"/>
                    <w:rPr>
                      <w:rFonts w:ascii="Arial" w:hAnsi="Arial" w:cs="Arial"/>
                      <w:szCs w:val="18"/>
                    </w:rPr>
                  </w:pPr>
                </w:p>
              </w:tc>
            </w:tr>
            <w:tr w:rsidR="00F474E9" w14:paraId="7AA2DE8A" w14:textId="77777777" w:rsidTr="000064CF">
              <w:tblPrEx>
                <w:tblBorders>
                  <w:top w:val="none" w:sz="0" w:space="0" w:color="auto"/>
                  <w:bottom w:val="none" w:sz="0" w:space="0" w:color="auto"/>
                </w:tblBorders>
              </w:tblPrEx>
              <w:trPr>
                <w:gridBefore w:val="1"/>
                <w:gridAfter w:val="6"/>
                <w:wBefore w:w="59" w:type="dxa"/>
                <w:wAfter w:w="3370" w:type="dxa"/>
              </w:trPr>
              <w:tc>
                <w:tcPr>
                  <w:tcW w:w="1843" w:type="dxa"/>
                  <w:gridSpan w:val="2"/>
                </w:tcPr>
                <w:p w14:paraId="5FA5B4D4" w14:textId="77777777" w:rsidR="00F474E9" w:rsidRPr="00A0448B" w:rsidRDefault="00F474E9" w:rsidP="00F474E9">
                  <w:pPr>
                    <w:pStyle w:val="TableText"/>
                    <w:rPr>
                      <w:rFonts w:ascii="Arial" w:hAnsi="Arial" w:cs="Arial"/>
                      <w:szCs w:val="18"/>
                    </w:rPr>
                  </w:pPr>
                  <w:r w:rsidRPr="00A0448B">
                    <w:rPr>
                      <w:rFonts w:ascii="Arial" w:hAnsi="Arial" w:cs="Arial"/>
                      <w:szCs w:val="18"/>
                    </w:rPr>
                    <w:t xml:space="preserve">9474 (Part) </w:t>
                  </w:r>
                </w:p>
              </w:tc>
              <w:tc>
                <w:tcPr>
                  <w:tcW w:w="1275" w:type="dxa"/>
                </w:tcPr>
                <w:p w14:paraId="7317186E" w14:textId="77777777" w:rsidR="00F474E9" w:rsidRPr="00A0448B" w:rsidRDefault="00F474E9" w:rsidP="00F474E9">
                  <w:pPr>
                    <w:pStyle w:val="TableText"/>
                    <w:rPr>
                      <w:rFonts w:ascii="Arial" w:hAnsi="Arial" w:cs="Arial"/>
                      <w:szCs w:val="18"/>
                    </w:rPr>
                  </w:pPr>
                  <w:r w:rsidRPr="00A0448B">
                    <w:rPr>
                      <w:rFonts w:ascii="Arial" w:hAnsi="Arial" w:cs="Arial"/>
                      <w:szCs w:val="18"/>
                    </w:rPr>
                    <w:t xml:space="preserve">254 (Part) </w:t>
                  </w:r>
                </w:p>
              </w:tc>
              <w:tc>
                <w:tcPr>
                  <w:tcW w:w="2268" w:type="dxa"/>
                  <w:gridSpan w:val="3"/>
                </w:tcPr>
                <w:p w14:paraId="581137FC" w14:textId="77777777" w:rsidR="00F474E9" w:rsidRPr="00A0448B" w:rsidRDefault="00F474E9" w:rsidP="00F474E9">
                  <w:pPr>
                    <w:pStyle w:val="TableText"/>
                    <w:rPr>
                      <w:rFonts w:ascii="Arial" w:hAnsi="Arial" w:cs="Arial"/>
                      <w:szCs w:val="18"/>
                    </w:rPr>
                  </w:pPr>
                </w:p>
              </w:tc>
              <w:tc>
                <w:tcPr>
                  <w:tcW w:w="1307" w:type="dxa"/>
                  <w:gridSpan w:val="2"/>
                </w:tcPr>
                <w:p w14:paraId="279D9A7C" w14:textId="77777777" w:rsidR="00F474E9" w:rsidRPr="00A0448B" w:rsidRDefault="00F474E9" w:rsidP="00F474E9">
                  <w:pPr>
                    <w:pStyle w:val="TableText"/>
                    <w:rPr>
                      <w:rFonts w:ascii="Arial" w:hAnsi="Arial" w:cs="Arial"/>
                      <w:szCs w:val="18"/>
                    </w:rPr>
                  </w:pPr>
                  <w:r w:rsidRPr="00A0448B">
                    <w:rPr>
                      <w:rFonts w:ascii="Arial" w:hAnsi="Arial" w:cs="Arial"/>
                      <w:szCs w:val="18"/>
                    </w:rPr>
                    <w:t>444334S</w:t>
                  </w:r>
                </w:p>
              </w:tc>
              <w:tc>
                <w:tcPr>
                  <w:tcW w:w="236" w:type="dxa"/>
                  <w:gridSpan w:val="2"/>
                </w:tcPr>
                <w:p w14:paraId="643C5C04" w14:textId="77777777" w:rsidR="00F474E9" w:rsidRPr="00A0448B" w:rsidRDefault="00F474E9" w:rsidP="00F474E9">
                  <w:pPr>
                    <w:pStyle w:val="TableText"/>
                    <w:rPr>
                      <w:rFonts w:ascii="Arial" w:hAnsi="Arial" w:cs="Arial"/>
                      <w:szCs w:val="18"/>
                    </w:rPr>
                  </w:pPr>
                </w:p>
              </w:tc>
            </w:tr>
            <w:tr w:rsidR="00F474E9" w14:paraId="724F4506" w14:textId="77777777" w:rsidTr="000064CF">
              <w:tblPrEx>
                <w:tblBorders>
                  <w:top w:val="none" w:sz="0" w:space="0" w:color="auto"/>
                  <w:bottom w:val="none" w:sz="0" w:space="0" w:color="auto"/>
                </w:tblBorders>
              </w:tblPrEx>
              <w:trPr>
                <w:gridBefore w:val="1"/>
                <w:gridAfter w:val="5"/>
                <w:wBefore w:w="59" w:type="dxa"/>
                <w:wAfter w:w="3220" w:type="dxa"/>
              </w:trPr>
              <w:tc>
                <w:tcPr>
                  <w:tcW w:w="1843" w:type="dxa"/>
                  <w:gridSpan w:val="2"/>
                </w:tcPr>
                <w:p w14:paraId="55405336" w14:textId="77777777" w:rsidR="00F474E9" w:rsidRPr="00A0448B" w:rsidRDefault="00F474E9" w:rsidP="00F474E9">
                  <w:pPr>
                    <w:pStyle w:val="TableText"/>
                    <w:rPr>
                      <w:rFonts w:ascii="Arial" w:hAnsi="Arial" w:cs="Arial"/>
                      <w:szCs w:val="18"/>
                    </w:rPr>
                  </w:pPr>
                  <w:r w:rsidRPr="00A0448B">
                    <w:rPr>
                      <w:rFonts w:ascii="Arial" w:hAnsi="Arial" w:cs="Arial"/>
                      <w:szCs w:val="18"/>
                    </w:rPr>
                    <w:t>3006</w:t>
                  </w:r>
                </w:p>
              </w:tc>
              <w:tc>
                <w:tcPr>
                  <w:tcW w:w="1275" w:type="dxa"/>
                </w:tcPr>
                <w:p w14:paraId="1FC51ADB" w14:textId="77777777" w:rsidR="00F474E9" w:rsidRPr="00A0448B" w:rsidRDefault="00F474E9" w:rsidP="00F474E9">
                  <w:pPr>
                    <w:pStyle w:val="TableText"/>
                    <w:rPr>
                      <w:rFonts w:ascii="Arial" w:hAnsi="Arial" w:cs="Arial"/>
                      <w:szCs w:val="18"/>
                    </w:rPr>
                  </w:pPr>
                  <w:r w:rsidRPr="00A0448B">
                    <w:rPr>
                      <w:rFonts w:ascii="Arial" w:hAnsi="Arial" w:cs="Arial"/>
                      <w:szCs w:val="18"/>
                    </w:rPr>
                    <w:t>027</w:t>
                  </w:r>
                </w:p>
              </w:tc>
              <w:tc>
                <w:tcPr>
                  <w:tcW w:w="2268" w:type="dxa"/>
                  <w:gridSpan w:val="3"/>
                </w:tcPr>
                <w:p w14:paraId="67A40E09" w14:textId="77777777" w:rsidR="00F474E9" w:rsidRPr="00A0448B" w:rsidRDefault="00F474E9" w:rsidP="00F474E9">
                  <w:pPr>
                    <w:pStyle w:val="TableText"/>
                    <w:rPr>
                      <w:rFonts w:ascii="Arial" w:hAnsi="Arial" w:cs="Arial"/>
                      <w:szCs w:val="18"/>
                    </w:rPr>
                  </w:pPr>
                </w:p>
              </w:tc>
              <w:tc>
                <w:tcPr>
                  <w:tcW w:w="1457" w:type="dxa"/>
                  <w:gridSpan w:val="3"/>
                </w:tcPr>
                <w:p w14:paraId="1BBB5E3E" w14:textId="77777777" w:rsidR="00F474E9" w:rsidRPr="00A0448B" w:rsidRDefault="00F474E9" w:rsidP="00F474E9">
                  <w:pPr>
                    <w:pStyle w:val="TableText"/>
                    <w:rPr>
                      <w:rFonts w:ascii="Arial" w:hAnsi="Arial" w:cs="Arial"/>
                      <w:szCs w:val="18"/>
                    </w:rPr>
                  </w:pPr>
                  <w:r w:rsidRPr="00A0448B">
                    <w:rPr>
                      <w:rFonts w:ascii="Arial" w:hAnsi="Arial" w:cs="Arial"/>
                      <w:szCs w:val="18"/>
                    </w:rPr>
                    <w:t>444334S</w:t>
                  </w:r>
                </w:p>
              </w:tc>
              <w:tc>
                <w:tcPr>
                  <w:tcW w:w="236" w:type="dxa"/>
                  <w:gridSpan w:val="2"/>
                </w:tcPr>
                <w:p w14:paraId="7E1B245F" w14:textId="77777777" w:rsidR="00F474E9" w:rsidRPr="00A0448B" w:rsidRDefault="00F474E9" w:rsidP="00F474E9">
                  <w:pPr>
                    <w:pStyle w:val="TableText"/>
                    <w:rPr>
                      <w:rFonts w:ascii="Arial" w:hAnsi="Arial" w:cs="Arial"/>
                      <w:szCs w:val="18"/>
                    </w:rPr>
                  </w:pPr>
                </w:p>
              </w:tc>
            </w:tr>
            <w:tr w:rsidR="00F474E9" w14:paraId="589B9C4C" w14:textId="77777777" w:rsidTr="000064CF">
              <w:tblPrEx>
                <w:tblBorders>
                  <w:top w:val="none" w:sz="0" w:space="0" w:color="auto"/>
                  <w:bottom w:val="none" w:sz="0" w:space="0" w:color="auto"/>
                </w:tblBorders>
              </w:tblPrEx>
              <w:trPr>
                <w:gridBefore w:val="1"/>
                <w:gridAfter w:val="5"/>
                <w:wBefore w:w="59" w:type="dxa"/>
                <w:wAfter w:w="3220" w:type="dxa"/>
              </w:trPr>
              <w:tc>
                <w:tcPr>
                  <w:tcW w:w="1843" w:type="dxa"/>
                  <w:gridSpan w:val="2"/>
                </w:tcPr>
                <w:p w14:paraId="6617E266" w14:textId="77777777" w:rsidR="00F474E9" w:rsidRPr="00A0448B" w:rsidRDefault="00F474E9" w:rsidP="00F474E9">
                  <w:pPr>
                    <w:pStyle w:val="TableText"/>
                    <w:rPr>
                      <w:rFonts w:ascii="Arial" w:hAnsi="Arial" w:cs="Arial"/>
                      <w:szCs w:val="18"/>
                    </w:rPr>
                  </w:pPr>
                  <w:r w:rsidRPr="00A0448B">
                    <w:rPr>
                      <w:rFonts w:ascii="Arial" w:hAnsi="Arial" w:cs="Arial"/>
                      <w:szCs w:val="18"/>
                    </w:rPr>
                    <w:t>4344</w:t>
                  </w:r>
                </w:p>
              </w:tc>
              <w:tc>
                <w:tcPr>
                  <w:tcW w:w="1275" w:type="dxa"/>
                </w:tcPr>
                <w:p w14:paraId="3D55608F" w14:textId="77777777" w:rsidR="00F474E9" w:rsidRPr="00A0448B" w:rsidRDefault="00F474E9" w:rsidP="00F474E9">
                  <w:pPr>
                    <w:pStyle w:val="TableText"/>
                    <w:rPr>
                      <w:rFonts w:ascii="Arial" w:hAnsi="Arial" w:cs="Arial"/>
                      <w:szCs w:val="18"/>
                    </w:rPr>
                  </w:pPr>
                  <w:r w:rsidRPr="00A0448B">
                    <w:rPr>
                      <w:rFonts w:ascii="Arial" w:hAnsi="Arial" w:cs="Arial"/>
                      <w:szCs w:val="18"/>
                    </w:rPr>
                    <w:t>773</w:t>
                  </w:r>
                </w:p>
              </w:tc>
              <w:tc>
                <w:tcPr>
                  <w:tcW w:w="2268" w:type="dxa"/>
                  <w:gridSpan w:val="3"/>
                </w:tcPr>
                <w:p w14:paraId="0F66314F" w14:textId="77777777" w:rsidR="00F474E9" w:rsidRPr="00A0448B" w:rsidRDefault="00F474E9" w:rsidP="00F474E9">
                  <w:pPr>
                    <w:pStyle w:val="TableText"/>
                    <w:rPr>
                      <w:rFonts w:ascii="Arial" w:hAnsi="Arial" w:cs="Arial"/>
                      <w:szCs w:val="18"/>
                    </w:rPr>
                  </w:pPr>
                  <w:r w:rsidRPr="00A0448B">
                    <w:rPr>
                      <w:rFonts w:ascii="Arial" w:hAnsi="Arial" w:cs="Arial"/>
                      <w:szCs w:val="18"/>
                    </w:rPr>
                    <w:t>391533P</w:t>
                  </w:r>
                </w:p>
              </w:tc>
              <w:tc>
                <w:tcPr>
                  <w:tcW w:w="1457" w:type="dxa"/>
                  <w:gridSpan w:val="3"/>
                </w:tcPr>
                <w:p w14:paraId="5E7E51A1" w14:textId="77777777" w:rsidR="00F474E9" w:rsidRPr="00A0448B" w:rsidRDefault="00F474E9" w:rsidP="00F474E9">
                  <w:pPr>
                    <w:pStyle w:val="TableText"/>
                    <w:rPr>
                      <w:rFonts w:ascii="Arial" w:hAnsi="Arial" w:cs="Arial"/>
                      <w:szCs w:val="18"/>
                    </w:rPr>
                  </w:pPr>
                </w:p>
              </w:tc>
              <w:tc>
                <w:tcPr>
                  <w:tcW w:w="236" w:type="dxa"/>
                  <w:gridSpan w:val="2"/>
                </w:tcPr>
                <w:p w14:paraId="2F0E7497" w14:textId="77777777" w:rsidR="00F474E9" w:rsidRPr="00A0448B" w:rsidRDefault="00F474E9" w:rsidP="00F474E9">
                  <w:pPr>
                    <w:pStyle w:val="TableText"/>
                    <w:rPr>
                      <w:rFonts w:ascii="Arial" w:hAnsi="Arial" w:cs="Arial"/>
                      <w:szCs w:val="18"/>
                    </w:rPr>
                  </w:pPr>
                </w:p>
              </w:tc>
            </w:tr>
            <w:tr w:rsidR="00F474E9" w14:paraId="2BD822B0" w14:textId="77777777" w:rsidTr="000064CF">
              <w:tblPrEx>
                <w:tblBorders>
                  <w:top w:val="none" w:sz="0" w:space="0" w:color="auto"/>
                  <w:bottom w:val="none" w:sz="0" w:space="0" w:color="auto"/>
                </w:tblBorders>
              </w:tblPrEx>
              <w:trPr>
                <w:gridBefore w:val="1"/>
                <w:gridAfter w:val="5"/>
                <w:wBefore w:w="59" w:type="dxa"/>
                <w:wAfter w:w="3220" w:type="dxa"/>
              </w:trPr>
              <w:tc>
                <w:tcPr>
                  <w:tcW w:w="1843" w:type="dxa"/>
                  <w:gridSpan w:val="2"/>
                </w:tcPr>
                <w:p w14:paraId="64C7E879" w14:textId="77777777" w:rsidR="00F474E9" w:rsidRPr="00A0448B" w:rsidRDefault="00F474E9" w:rsidP="00F474E9">
                  <w:pPr>
                    <w:pStyle w:val="TableText"/>
                    <w:rPr>
                      <w:rFonts w:ascii="Arial" w:hAnsi="Arial" w:cs="Arial"/>
                      <w:szCs w:val="18"/>
                    </w:rPr>
                  </w:pPr>
                  <w:r w:rsidRPr="00A0448B">
                    <w:rPr>
                      <w:rFonts w:ascii="Arial" w:hAnsi="Arial" w:cs="Arial"/>
                      <w:szCs w:val="18"/>
                    </w:rPr>
                    <w:t>4133</w:t>
                  </w:r>
                </w:p>
              </w:tc>
              <w:tc>
                <w:tcPr>
                  <w:tcW w:w="1275" w:type="dxa"/>
                </w:tcPr>
                <w:p w14:paraId="642E5421" w14:textId="77777777" w:rsidR="00F474E9" w:rsidRPr="00A0448B" w:rsidRDefault="00F474E9" w:rsidP="00F474E9">
                  <w:pPr>
                    <w:pStyle w:val="TableText"/>
                    <w:rPr>
                      <w:rFonts w:ascii="Arial" w:hAnsi="Arial" w:cs="Arial"/>
                      <w:szCs w:val="18"/>
                    </w:rPr>
                  </w:pPr>
                  <w:r w:rsidRPr="00A0448B">
                    <w:rPr>
                      <w:rFonts w:ascii="Arial" w:hAnsi="Arial" w:cs="Arial"/>
                      <w:szCs w:val="18"/>
                    </w:rPr>
                    <w:t>509</w:t>
                  </w:r>
                </w:p>
              </w:tc>
              <w:tc>
                <w:tcPr>
                  <w:tcW w:w="2268" w:type="dxa"/>
                  <w:gridSpan w:val="3"/>
                </w:tcPr>
                <w:p w14:paraId="605E5E96" w14:textId="77777777" w:rsidR="00F474E9" w:rsidRPr="00A0448B" w:rsidRDefault="00F474E9" w:rsidP="00F474E9">
                  <w:pPr>
                    <w:pStyle w:val="TableText"/>
                    <w:rPr>
                      <w:rFonts w:ascii="Arial" w:hAnsi="Arial" w:cs="Arial"/>
                      <w:szCs w:val="18"/>
                    </w:rPr>
                  </w:pPr>
                  <w:r w:rsidRPr="00A0448B">
                    <w:rPr>
                      <w:rFonts w:ascii="Arial" w:hAnsi="Arial" w:cs="Arial"/>
                      <w:szCs w:val="18"/>
                    </w:rPr>
                    <w:t>411917P</w:t>
                  </w:r>
                </w:p>
              </w:tc>
              <w:tc>
                <w:tcPr>
                  <w:tcW w:w="1457" w:type="dxa"/>
                  <w:gridSpan w:val="3"/>
                </w:tcPr>
                <w:p w14:paraId="1F5F9036" w14:textId="77777777" w:rsidR="00F474E9" w:rsidRPr="00A0448B" w:rsidRDefault="00F474E9" w:rsidP="00F474E9">
                  <w:pPr>
                    <w:pStyle w:val="TableText"/>
                    <w:rPr>
                      <w:rFonts w:ascii="Arial" w:hAnsi="Arial" w:cs="Arial"/>
                      <w:szCs w:val="18"/>
                    </w:rPr>
                  </w:pPr>
                </w:p>
              </w:tc>
              <w:tc>
                <w:tcPr>
                  <w:tcW w:w="236" w:type="dxa"/>
                  <w:gridSpan w:val="2"/>
                </w:tcPr>
                <w:p w14:paraId="302C3ACA" w14:textId="77777777" w:rsidR="00F474E9" w:rsidRPr="00A0448B" w:rsidRDefault="00F474E9" w:rsidP="00F474E9">
                  <w:pPr>
                    <w:pStyle w:val="TableText"/>
                    <w:rPr>
                      <w:rFonts w:ascii="Arial" w:hAnsi="Arial" w:cs="Arial"/>
                      <w:szCs w:val="18"/>
                    </w:rPr>
                  </w:pPr>
                </w:p>
              </w:tc>
            </w:tr>
            <w:tr w:rsidR="00F474E9" w14:paraId="54D188D9" w14:textId="77777777" w:rsidTr="000064CF">
              <w:tblPrEx>
                <w:tblBorders>
                  <w:top w:val="none" w:sz="0" w:space="0" w:color="auto"/>
                  <w:bottom w:val="none" w:sz="0" w:space="0" w:color="auto"/>
                </w:tblBorders>
                <w:tblLook w:val="01E0" w:firstRow="1" w:lastRow="1" w:firstColumn="1" w:lastColumn="1" w:noHBand="0" w:noVBand="0"/>
              </w:tblPrEx>
              <w:trPr>
                <w:gridBefore w:val="1"/>
                <w:wBefore w:w="59" w:type="dxa"/>
                <w:trHeight w:val="187"/>
              </w:trPr>
              <w:tc>
                <w:tcPr>
                  <w:tcW w:w="1843" w:type="dxa"/>
                  <w:gridSpan w:val="2"/>
                </w:tcPr>
                <w:p w14:paraId="1DB78278" w14:textId="77777777" w:rsidR="00F474E9" w:rsidRPr="00A0448B" w:rsidRDefault="00F474E9" w:rsidP="00F474E9">
                  <w:pPr>
                    <w:pStyle w:val="TableText"/>
                    <w:rPr>
                      <w:rFonts w:ascii="Arial" w:hAnsi="Arial" w:cs="Arial"/>
                      <w:szCs w:val="18"/>
                    </w:rPr>
                  </w:pPr>
                  <w:r w:rsidRPr="00A0448B">
                    <w:rPr>
                      <w:rFonts w:ascii="Arial" w:hAnsi="Arial" w:cs="Arial"/>
                      <w:szCs w:val="18"/>
                    </w:rPr>
                    <w:t>7070</w:t>
                  </w:r>
                </w:p>
              </w:tc>
              <w:tc>
                <w:tcPr>
                  <w:tcW w:w="2154" w:type="dxa"/>
                  <w:gridSpan w:val="2"/>
                </w:tcPr>
                <w:p w14:paraId="241508D7" w14:textId="77777777" w:rsidR="00F474E9" w:rsidRPr="00A0448B" w:rsidRDefault="00F474E9" w:rsidP="00F474E9">
                  <w:pPr>
                    <w:pStyle w:val="TableText"/>
                    <w:rPr>
                      <w:rFonts w:ascii="Arial" w:hAnsi="Arial" w:cs="Arial"/>
                      <w:szCs w:val="18"/>
                    </w:rPr>
                  </w:pPr>
                  <w:r w:rsidRPr="00A0448B">
                    <w:rPr>
                      <w:rFonts w:ascii="Arial" w:hAnsi="Arial" w:cs="Arial"/>
                      <w:szCs w:val="18"/>
                    </w:rPr>
                    <w:t>881</w:t>
                  </w:r>
                </w:p>
              </w:tc>
              <w:tc>
                <w:tcPr>
                  <w:tcW w:w="1389" w:type="dxa"/>
                  <w:gridSpan w:val="2"/>
                </w:tcPr>
                <w:p w14:paraId="5600F260" w14:textId="77777777" w:rsidR="00F474E9" w:rsidRPr="00A0448B" w:rsidRDefault="00F474E9" w:rsidP="00F474E9">
                  <w:pPr>
                    <w:pStyle w:val="TableText"/>
                    <w:rPr>
                      <w:rFonts w:ascii="Arial" w:hAnsi="Arial" w:cs="Arial"/>
                      <w:szCs w:val="18"/>
                    </w:rPr>
                  </w:pPr>
                </w:p>
              </w:tc>
              <w:tc>
                <w:tcPr>
                  <w:tcW w:w="1833" w:type="dxa"/>
                  <w:gridSpan w:val="7"/>
                </w:tcPr>
                <w:p w14:paraId="7D5F37A5" w14:textId="77777777" w:rsidR="00F474E9" w:rsidRPr="00A0448B" w:rsidRDefault="00F474E9" w:rsidP="00F474E9">
                  <w:pPr>
                    <w:pStyle w:val="TableText"/>
                    <w:rPr>
                      <w:rFonts w:ascii="Arial" w:hAnsi="Arial" w:cs="Arial"/>
                      <w:szCs w:val="18"/>
                    </w:rPr>
                  </w:pPr>
                </w:p>
              </w:tc>
              <w:tc>
                <w:tcPr>
                  <w:tcW w:w="3080" w:type="dxa"/>
                  <w:gridSpan w:val="3"/>
                </w:tcPr>
                <w:p w14:paraId="48E6AEED" w14:textId="77777777" w:rsidR="00F474E9" w:rsidRPr="00A0448B" w:rsidRDefault="00F474E9" w:rsidP="00F474E9">
                  <w:pPr>
                    <w:pStyle w:val="TableText"/>
                    <w:rPr>
                      <w:rFonts w:ascii="Arial" w:hAnsi="Arial" w:cs="Arial"/>
                      <w:szCs w:val="18"/>
                    </w:rPr>
                  </w:pPr>
                  <w:r w:rsidRPr="00A0448B">
                    <w:rPr>
                      <w:rFonts w:ascii="Arial" w:hAnsi="Arial" w:cs="Arial"/>
                      <w:szCs w:val="18"/>
                    </w:rPr>
                    <w:t>136566</w:t>
                  </w:r>
                </w:p>
              </w:tc>
            </w:tr>
          </w:tbl>
          <w:bookmarkEnd w:id="75"/>
          <w:p w14:paraId="057BC301"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End w:id="76"/>
          </w:p>
        </w:tc>
      </w:tr>
      <w:tr w:rsidR="001C34F3" w14:paraId="52F72306" w14:textId="77777777" w:rsidTr="00634D67">
        <w:tc>
          <w:tcPr>
            <w:tcW w:w="9101" w:type="dxa"/>
            <w:tcBorders>
              <w:top w:val="nil"/>
              <w:bottom w:val="single" w:sz="4" w:space="0" w:color="auto"/>
            </w:tcBorders>
          </w:tcPr>
          <w:p w14:paraId="008A4148" w14:textId="44E1D677" w:rsidR="001C34F3" w:rsidRDefault="00177B40">
            <w:pPr>
              <w:tabs>
                <w:tab w:val="left" w:pos="6916"/>
              </w:tabs>
              <w:rPr>
                <w:rFonts w:ascii="Arial" w:hAnsi="Arial"/>
              </w:rPr>
            </w:pPr>
            <w:r>
              <w:rPr>
                <w:rFonts w:ascii="Arial" w:hAnsi="Arial"/>
                <w:b/>
              </w:rPr>
              <w:lastRenderedPageBreak/>
              <w:t xml:space="preserve">9.3 </w:t>
            </w:r>
            <w:r w:rsidR="001C34F3">
              <w:rPr>
                <w:rFonts w:ascii="Arial" w:hAnsi="Arial"/>
                <w:b/>
              </w:rPr>
              <w:t>Intended land tenure</w:t>
            </w:r>
            <w:r w:rsidR="001C34F3">
              <w:rPr>
                <w:rFonts w:ascii="Arial" w:hAnsi="Arial"/>
              </w:rPr>
              <w:tab/>
            </w:r>
          </w:p>
        </w:tc>
      </w:tr>
      <w:tr w:rsidR="001C34F3" w14:paraId="57663976" w14:textId="77777777" w:rsidTr="00634D67">
        <w:tc>
          <w:tcPr>
            <w:tcW w:w="9101" w:type="dxa"/>
            <w:tcBorders>
              <w:bottom w:val="nil"/>
            </w:tcBorders>
          </w:tcPr>
          <w:p w14:paraId="6E077C0A" w14:textId="77777777" w:rsidR="00F474E9"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07033D7" w14:textId="1D6436F6" w:rsidR="00F474E9" w:rsidRPr="00F474E9" w:rsidRDefault="00F474E9" w:rsidP="006B1F25">
            <w:pPr>
              <w:spacing w:after="120"/>
              <w:jc w:val="both"/>
              <w:rPr>
                <w:rFonts w:ascii="Arial" w:hAnsi="Arial"/>
              </w:rPr>
            </w:pPr>
            <w:r w:rsidRPr="00F474E9">
              <w:rPr>
                <w:rFonts w:ascii="Arial" w:hAnsi="Arial"/>
              </w:rPr>
              <w:t xml:space="preserve">Iluka intends to purchase or lease the freehold land within the Project site in consultation with the landowners and via registered compensation agreements in accordance with the </w:t>
            </w:r>
            <w:r w:rsidRPr="00F474E9">
              <w:rPr>
                <w:rFonts w:ascii="Arial" w:hAnsi="Arial"/>
                <w:i/>
              </w:rPr>
              <w:t>Mineral Resources (Sustainable Development) Act 1990.</w:t>
            </w:r>
            <w:r w:rsidRPr="00F474E9">
              <w:rPr>
                <w:rFonts w:ascii="Arial" w:hAnsi="Arial"/>
              </w:rPr>
              <w:t xml:space="preserve"> </w:t>
            </w:r>
          </w:p>
          <w:p w14:paraId="6B817D4B" w14:textId="77777777" w:rsidR="00F474E9" w:rsidRPr="00F474E9" w:rsidRDefault="00F474E9" w:rsidP="006B1F25">
            <w:pPr>
              <w:spacing w:after="120"/>
              <w:jc w:val="both"/>
              <w:rPr>
                <w:rFonts w:ascii="Arial" w:hAnsi="Arial"/>
              </w:rPr>
            </w:pPr>
            <w:r w:rsidRPr="00F474E9">
              <w:rPr>
                <w:rFonts w:ascii="Arial" w:hAnsi="Arial"/>
              </w:rPr>
              <w:t xml:space="preserve">Iluka intends to lease any Crown land that is included within the final development footprint. </w:t>
            </w:r>
          </w:p>
          <w:p w14:paraId="4F8FB6D7" w14:textId="77777777" w:rsidR="001C34F3" w:rsidRDefault="001C34F3">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p>
        </w:tc>
      </w:tr>
      <w:tr w:rsidR="001C34F3" w14:paraId="1AF26400" w14:textId="77777777" w:rsidTr="00634D67">
        <w:tc>
          <w:tcPr>
            <w:tcW w:w="9101" w:type="dxa"/>
            <w:tcBorders>
              <w:top w:val="nil"/>
            </w:tcBorders>
          </w:tcPr>
          <w:p w14:paraId="07B7382A" w14:textId="26ED765D" w:rsidR="001C34F3" w:rsidRDefault="00177B40">
            <w:pPr>
              <w:rPr>
                <w:rFonts w:ascii="Arial" w:hAnsi="Arial"/>
              </w:rPr>
            </w:pPr>
            <w:r>
              <w:rPr>
                <w:rFonts w:ascii="Arial" w:hAnsi="Arial"/>
                <w:b/>
              </w:rPr>
              <w:t xml:space="preserve">9.4 </w:t>
            </w:r>
            <w:r w:rsidR="001C34F3">
              <w:rPr>
                <w:rFonts w:ascii="Arial" w:hAnsi="Arial"/>
                <w:b/>
              </w:rPr>
              <w:t>Other interests in affected land</w:t>
            </w:r>
            <w:r w:rsidR="001C34F3">
              <w:rPr>
                <w:rFonts w:ascii="Arial" w:hAnsi="Arial"/>
              </w:rPr>
              <w:t xml:space="preserve"> </w:t>
            </w:r>
          </w:p>
        </w:tc>
      </w:tr>
      <w:tr w:rsidR="001C34F3" w14:paraId="45634129" w14:textId="77777777" w:rsidTr="00634D67">
        <w:tblPrEx>
          <w:tblBorders>
            <w:insideH w:val="none" w:sz="0" w:space="0" w:color="auto"/>
          </w:tblBorders>
        </w:tblPrEx>
        <w:tc>
          <w:tcPr>
            <w:tcW w:w="9101" w:type="dxa"/>
          </w:tcPr>
          <w:p w14:paraId="5FF30514" w14:textId="77777777" w:rsidR="00941196" w:rsidRDefault="00941196">
            <w:pPr>
              <w:tabs>
                <w:tab w:val="left" w:pos="898"/>
                <w:tab w:val="left" w:pos="1901"/>
                <w:tab w:val="left" w:pos="2904"/>
                <w:tab w:val="left" w:pos="3907"/>
                <w:tab w:val="left" w:pos="4910"/>
                <w:tab w:val="left" w:pos="5913"/>
                <w:tab w:val="left" w:pos="6916"/>
              </w:tabs>
              <w:rPr>
                <w:rFonts w:ascii="Arial" w:hAnsi="Arial"/>
              </w:rPr>
            </w:pPr>
          </w:p>
          <w:p w14:paraId="0916A922" w14:textId="5DE8EA52" w:rsidR="001C34F3" w:rsidRDefault="0051579C" w:rsidP="0051579C">
            <w:pPr>
              <w:rPr>
                <w:rFonts w:ascii="Arial" w:hAnsi="Arial"/>
              </w:rPr>
            </w:pPr>
            <w:r w:rsidRPr="0051579C">
              <w:rPr>
                <w:rFonts w:ascii="Arial" w:hAnsi="Arial"/>
              </w:rPr>
              <w:t xml:space="preserve">It has been determined that Native title does not apply to any part of the </w:t>
            </w:r>
            <w:r w:rsidR="00D02516">
              <w:rPr>
                <w:rFonts w:ascii="Arial" w:hAnsi="Arial"/>
              </w:rPr>
              <w:t>Project</w:t>
            </w:r>
            <w:r w:rsidRPr="0051579C">
              <w:rPr>
                <w:rFonts w:ascii="Arial" w:hAnsi="Arial"/>
              </w:rPr>
              <w:t xml:space="preserve"> area (refer Federal Court Number VID6002/1998 and NNTT Number VCD2005/001 determined 13/12/2005). While the </w:t>
            </w:r>
            <w:proofErr w:type="spellStart"/>
            <w:r w:rsidR="00561D1B">
              <w:rPr>
                <w:rFonts w:ascii="Arial" w:hAnsi="Arial"/>
              </w:rPr>
              <w:t>Jallumba</w:t>
            </w:r>
            <w:proofErr w:type="spellEnd"/>
            <w:r w:rsidR="00561D1B">
              <w:rPr>
                <w:rFonts w:ascii="Arial" w:hAnsi="Arial"/>
              </w:rPr>
              <w:t xml:space="preserve"> Marsh Flora Reserve</w:t>
            </w:r>
            <w:r w:rsidRPr="0051579C">
              <w:rPr>
                <w:rFonts w:ascii="Arial" w:hAnsi="Arial"/>
              </w:rPr>
              <w:t xml:space="preserve"> and the eastern half of </w:t>
            </w:r>
            <w:r w:rsidR="0073776F">
              <w:rPr>
                <w:rFonts w:ascii="Arial" w:hAnsi="Arial"/>
              </w:rPr>
              <w:t xml:space="preserve">the </w:t>
            </w:r>
            <w:r w:rsidRPr="0051579C">
              <w:rPr>
                <w:rFonts w:ascii="Arial" w:hAnsi="Arial"/>
              </w:rPr>
              <w:t xml:space="preserve">Red Gum Swamp were considered in the case, they were considered to fall into Determination Area B where Native </w:t>
            </w:r>
            <w:r>
              <w:rPr>
                <w:rFonts w:ascii="Arial" w:hAnsi="Arial"/>
              </w:rPr>
              <w:t>t</w:t>
            </w:r>
            <w:r w:rsidRPr="0051579C">
              <w:rPr>
                <w:rFonts w:ascii="Arial" w:hAnsi="Arial"/>
              </w:rPr>
              <w:t>itle does not exist</w:t>
            </w:r>
            <w:r>
              <w:rPr>
                <w:rFonts w:ascii="Arial" w:hAnsi="Arial"/>
              </w:rPr>
              <w:t>.</w:t>
            </w:r>
            <w:r w:rsidR="001C34F3">
              <w:rPr>
                <w:rFonts w:ascii="Arial" w:hAnsi="Arial"/>
              </w:rPr>
              <w:tab/>
            </w:r>
            <w:r w:rsidR="001C34F3">
              <w:rPr>
                <w:rFonts w:ascii="Arial" w:hAnsi="Arial"/>
              </w:rPr>
              <w:tab/>
            </w:r>
            <w:r w:rsidR="001C34F3">
              <w:rPr>
                <w:rFonts w:ascii="Arial" w:hAnsi="Arial"/>
              </w:rPr>
              <w:tab/>
            </w:r>
            <w:r w:rsidR="001C34F3">
              <w:rPr>
                <w:rFonts w:ascii="Arial" w:hAnsi="Arial"/>
              </w:rPr>
              <w:tab/>
            </w:r>
            <w:r w:rsidR="001C34F3">
              <w:rPr>
                <w:rFonts w:ascii="Arial" w:hAnsi="Arial"/>
              </w:rPr>
              <w:tab/>
            </w:r>
            <w:r w:rsidR="001C34F3">
              <w:rPr>
                <w:rFonts w:ascii="Arial" w:hAnsi="Arial"/>
              </w:rPr>
              <w:tab/>
            </w:r>
            <w:r w:rsidR="001C34F3">
              <w:rPr>
                <w:rFonts w:ascii="Arial" w:hAnsi="Arial"/>
              </w:rPr>
              <w:tab/>
            </w:r>
          </w:p>
        </w:tc>
      </w:tr>
    </w:tbl>
    <w:p w14:paraId="0BC7AA7F" w14:textId="77777777" w:rsidR="001C34F3" w:rsidRDefault="001C34F3">
      <w:pPr>
        <w:tabs>
          <w:tab w:val="left" w:pos="898"/>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p>
    <w:p w14:paraId="05E4937F" w14:textId="77777777" w:rsidR="001C34F3" w:rsidRDefault="001C34F3">
      <w:pPr>
        <w:tabs>
          <w:tab w:val="left" w:pos="2904"/>
          <w:tab w:val="left" w:pos="3907"/>
          <w:tab w:val="left" w:pos="4910"/>
          <w:tab w:val="left" w:pos="5913"/>
          <w:tab w:val="left" w:pos="6916"/>
        </w:tabs>
        <w:ind w:left="93"/>
        <w:rPr>
          <w:rFonts w:ascii="Arial" w:hAnsi="Arial"/>
          <w:b/>
          <w:sz w:val="22"/>
        </w:rPr>
      </w:pPr>
    </w:p>
    <w:p w14:paraId="2CFB1BF2" w14:textId="77777777" w:rsidR="001C34F3" w:rsidRDefault="001C34F3">
      <w:pPr>
        <w:tabs>
          <w:tab w:val="left" w:pos="2904"/>
          <w:tab w:val="left" w:pos="3907"/>
          <w:tab w:val="left" w:pos="4910"/>
          <w:tab w:val="left" w:pos="5913"/>
          <w:tab w:val="left" w:pos="6916"/>
        </w:tabs>
        <w:ind w:left="93"/>
        <w:rPr>
          <w:rFonts w:ascii="Arial" w:hAnsi="Arial"/>
          <w:b/>
          <w:sz w:val="22"/>
        </w:rPr>
      </w:pPr>
      <w:r>
        <w:rPr>
          <w:rFonts w:ascii="Arial" w:hAnsi="Arial"/>
          <w:b/>
          <w:sz w:val="22"/>
        </w:rPr>
        <w:t>10</w:t>
      </w:r>
      <w:r w:rsidR="00731F1C">
        <w:rPr>
          <w:rFonts w:ascii="Arial" w:hAnsi="Arial"/>
          <w:b/>
          <w:sz w:val="22"/>
        </w:rPr>
        <w:t xml:space="preserve">.  </w:t>
      </w:r>
      <w:r>
        <w:rPr>
          <w:rFonts w:ascii="Arial" w:hAnsi="Arial"/>
          <w:b/>
          <w:sz w:val="22"/>
        </w:rPr>
        <w:t>Required approvals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14:paraId="386BDE38" w14:textId="77777777" w:rsidR="001C34F3" w:rsidRDefault="001C34F3">
      <w:pPr>
        <w:ind w:left="93"/>
        <w:rPr>
          <w:rFonts w:ascii="Arial" w:hAnsi="Arial"/>
        </w:rPr>
      </w:pPr>
    </w:p>
    <w:tbl>
      <w:tblPr>
        <w:tblW w:w="8880" w:type="dxa"/>
        <w:tblLayout w:type="fixed"/>
        <w:tblLook w:val="01E0" w:firstRow="1" w:lastRow="1" w:firstColumn="1" w:lastColumn="1" w:noHBand="0" w:noVBand="0"/>
      </w:tblPr>
      <w:tblGrid>
        <w:gridCol w:w="8789"/>
        <w:gridCol w:w="91"/>
      </w:tblGrid>
      <w:tr w:rsidR="001C34F3" w14:paraId="27FEAE9F" w14:textId="77777777" w:rsidTr="001E301B">
        <w:tc>
          <w:tcPr>
            <w:tcW w:w="8880" w:type="dxa"/>
            <w:gridSpan w:val="2"/>
            <w:tcBorders>
              <w:top w:val="single" w:sz="4" w:space="0" w:color="auto"/>
              <w:left w:val="single" w:sz="4" w:space="0" w:color="auto"/>
              <w:right w:val="single" w:sz="4" w:space="0" w:color="auto"/>
            </w:tcBorders>
          </w:tcPr>
          <w:p w14:paraId="1D38D2E0" w14:textId="76EA7CCE" w:rsidR="001C34F3" w:rsidRDefault="00941196">
            <w:pPr>
              <w:rPr>
                <w:rFonts w:ascii="Arial" w:hAnsi="Arial"/>
              </w:rPr>
            </w:pPr>
            <w:r>
              <w:rPr>
                <w:rFonts w:ascii="Arial" w:hAnsi="Arial"/>
                <w:b/>
              </w:rPr>
              <w:t xml:space="preserve">10.1 </w:t>
            </w:r>
            <w:r w:rsidR="001C34F3">
              <w:rPr>
                <w:rFonts w:ascii="Arial" w:hAnsi="Arial"/>
                <w:b/>
              </w:rPr>
              <w:t>State and Commonwealth approvals required for project components</w:t>
            </w:r>
            <w:r w:rsidR="001C34F3">
              <w:rPr>
                <w:rFonts w:ascii="Arial" w:hAnsi="Arial"/>
              </w:rPr>
              <w:t xml:space="preserve"> </w:t>
            </w:r>
          </w:p>
        </w:tc>
      </w:tr>
      <w:tr w:rsidR="001C34F3" w14:paraId="276F09AE" w14:textId="77777777" w:rsidTr="001E301B">
        <w:tc>
          <w:tcPr>
            <w:tcW w:w="8880" w:type="dxa"/>
            <w:gridSpan w:val="2"/>
            <w:tcBorders>
              <w:left w:val="single" w:sz="4" w:space="0" w:color="auto"/>
              <w:bottom w:val="single" w:sz="4" w:space="0" w:color="auto"/>
              <w:right w:val="single" w:sz="4" w:space="0" w:color="auto"/>
            </w:tcBorders>
          </w:tcPr>
          <w:p w14:paraId="707DDC08" w14:textId="77777777" w:rsidR="001C34F3" w:rsidRDefault="001C34F3">
            <w:pPr>
              <w:rPr>
                <w:rFonts w:ascii="Arial" w:hAnsi="Arial"/>
              </w:rPr>
            </w:pPr>
          </w:p>
        </w:tc>
      </w:tr>
      <w:tr w:rsidR="001C34F3" w14:paraId="566A8D94" w14:textId="77777777" w:rsidTr="001E301B">
        <w:tc>
          <w:tcPr>
            <w:tcW w:w="8880" w:type="dxa"/>
            <w:gridSpan w:val="2"/>
            <w:tcBorders>
              <w:top w:val="single" w:sz="4" w:space="0" w:color="auto"/>
              <w:left w:val="single" w:sz="4" w:space="0" w:color="auto"/>
              <w:bottom w:val="single" w:sz="4" w:space="0" w:color="auto"/>
              <w:right w:val="single" w:sz="4" w:space="0" w:color="auto"/>
            </w:tcBorders>
          </w:tcPr>
          <w:p w14:paraId="69D32BE7" w14:textId="77777777" w:rsidR="00941196" w:rsidRDefault="00941196" w:rsidP="00A97D08">
            <w:pPr>
              <w:pStyle w:val="BodyText"/>
              <w:spacing w:after="120"/>
              <w:jc w:val="both"/>
              <w:rPr>
                <w:rFonts w:ascii="Arial" w:hAnsi="Arial" w:cs="Arial"/>
                <w:b w:val="0"/>
                <w:sz w:val="20"/>
                <w:szCs w:val="20"/>
              </w:rPr>
            </w:pPr>
            <w:r w:rsidRPr="00941196">
              <w:rPr>
                <w:rFonts w:ascii="Arial" w:hAnsi="Arial" w:cs="Arial"/>
                <w:b w:val="0"/>
                <w:sz w:val="20"/>
                <w:szCs w:val="20"/>
              </w:rPr>
              <w:t xml:space="preserve">An </w:t>
            </w:r>
            <w:r w:rsidRPr="00941196">
              <w:rPr>
                <w:rFonts w:ascii="Arial" w:hAnsi="Arial" w:cs="Arial"/>
                <w:b w:val="0"/>
                <w:i/>
                <w:sz w:val="20"/>
                <w:szCs w:val="20"/>
              </w:rPr>
              <w:t>Environment Protection and Biodiversity Conservation Act</w:t>
            </w:r>
            <w:r w:rsidRPr="00941196">
              <w:rPr>
                <w:rFonts w:ascii="Arial" w:hAnsi="Arial" w:cs="Arial"/>
                <w:b w:val="0"/>
                <w:sz w:val="20"/>
                <w:szCs w:val="20"/>
              </w:rPr>
              <w:t xml:space="preserve"> 1999 (EPBC Act) referral will be submitted to the Commonwealth Department for the Environment and Energy to determine whether the Project is a controlled action. Iluka anticipates that the Project will be declared a controlled action, requiring assessment and approval under the EPBC Act. </w:t>
            </w:r>
          </w:p>
          <w:p w14:paraId="654838FF" w14:textId="77777777" w:rsidR="00941196" w:rsidRDefault="00941196" w:rsidP="00A97D08">
            <w:pPr>
              <w:autoSpaceDE w:val="0"/>
              <w:autoSpaceDN w:val="0"/>
              <w:adjustRightInd w:val="0"/>
              <w:spacing w:after="120"/>
              <w:jc w:val="both"/>
              <w:rPr>
                <w:rFonts w:ascii="Arial" w:hAnsi="Arial" w:cs="Arial"/>
                <w:snapToGrid w:val="0"/>
              </w:rPr>
            </w:pPr>
            <w:r w:rsidRPr="00941196">
              <w:rPr>
                <w:rFonts w:ascii="Arial" w:hAnsi="Arial" w:cs="Arial"/>
                <w:snapToGrid w:val="0"/>
              </w:rPr>
              <w:t xml:space="preserve">The purpose of this Environment Effects Statement (EES) referral is to determine whether the Project will need to be assessed under the Victorian EES system under the </w:t>
            </w:r>
            <w:r w:rsidRPr="00941196">
              <w:rPr>
                <w:rFonts w:ascii="Arial" w:hAnsi="Arial" w:cs="Arial"/>
                <w:i/>
                <w:lang w:val="en"/>
              </w:rPr>
              <w:t>Environment Effects Act 1978</w:t>
            </w:r>
            <w:r w:rsidRPr="00941196">
              <w:rPr>
                <w:rFonts w:ascii="Arial" w:hAnsi="Arial" w:cs="Arial"/>
                <w:snapToGrid w:val="0"/>
              </w:rPr>
              <w:t xml:space="preserve">. In the event the Project is determined to be a controlled action that requires assessment and approval under the EPBC Act, it is anticipated that the Project will be assessed under the bilateral agreement between the Commonwealth and Victorian governments in accordance with Part 5 of the EPBC Act. </w:t>
            </w:r>
          </w:p>
          <w:p w14:paraId="1EBF870D" w14:textId="77777777" w:rsidR="00941196" w:rsidRDefault="00941196" w:rsidP="00A97D08">
            <w:pPr>
              <w:pStyle w:val="BodyText"/>
              <w:spacing w:after="120"/>
              <w:jc w:val="both"/>
              <w:rPr>
                <w:rFonts w:ascii="Arial" w:hAnsi="Arial" w:cs="Arial"/>
                <w:b w:val="0"/>
                <w:sz w:val="20"/>
                <w:szCs w:val="20"/>
              </w:rPr>
            </w:pPr>
            <w:r w:rsidRPr="00941196">
              <w:rPr>
                <w:rFonts w:ascii="Arial" w:hAnsi="Arial" w:cs="Arial"/>
                <w:b w:val="0"/>
                <w:sz w:val="20"/>
                <w:szCs w:val="20"/>
              </w:rPr>
              <w:t>In addition to the EES process, Iluka will require the following secondary approvals to construct and operate the Project:</w:t>
            </w:r>
          </w:p>
          <w:p w14:paraId="34ACAD3A" w14:textId="77777777" w:rsidR="00941196" w:rsidRPr="00D76A77" w:rsidRDefault="00941196" w:rsidP="00515EEB">
            <w:pPr>
              <w:pStyle w:val="ListBullet"/>
              <w:rPr>
                <w:b w:val="0"/>
                <w:bCs w:val="0"/>
              </w:rPr>
            </w:pPr>
            <w:r w:rsidRPr="00D76A77">
              <w:rPr>
                <w:b w:val="0"/>
                <w:bCs w:val="0"/>
              </w:rPr>
              <w:t xml:space="preserve">Under the Mineral Resources (Sustainable Development) Act 1990, Iluka will require: </w:t>
            </w:r>
          </w:p>
          <w:p w14:paraId="5F7E6A0D" w14:textId="77777777" w:rsidR="00941196" w:rsidRPr="00D76A77" w:rsidRDefault="00941196" w:rsidP="00D76A77">
            <w:pPr>
              <w:pStyle w:val="ListBullet"/>
              <w:numPr>
                <w:ilvl w:val="1"/>
                <w:numId w:val="15"/>
              </w:numPr>
              <w:rPr>
                <w:b w:val="0"/>
                <w:bCs w:val="0"/>
              </w:rPr>
            </w:pPr>
            <w:r w:rsidRPr="00D76A77">
              <w:rPr>
                <w:b w:val="0"/>
                <w:bCs w:val="0"/>
              </w:rPr>
              <w:t>a Mining Licence;</w:t>
            </w:r>
          </w:p>
          <w:p w14:paraId="0FB768B7" w14:textId="01B2BC2F" w:rsidR="00941196" w:rsidRPr="00D76A77" w:rsidRDefault="00941196" w:rsidP="00D76A77">
            <w:pPr>
              <w:pStyle w:val="ListBullet"/>
              <w:numPr>
                <w:ilvl w:val="1"/>
                <w:numId w:val="15"/>
              </w:numPr>
              <w:rPr>
                <w:b w:val="0"/>
                <w:bCs w:val="0"/>
              </w:rPr>
            </w:pPr>
            <w:r w:rsidRPr="00D76A77">
              <w:rPr>
                <w:b w:val="0"/>
                <w:bCs w:val="0"/>
              </w:rPr>
              <w:t>an Approved Work Plan</w:t>
            </w:r>
            <w:r w:rsidR="009A3FC9" w:rsidRPr="00D76A77">
              <w:rPr>
                <w:b w:val="0"/>
                <w:bCs w:val="0"/>
              </w:rPr>
              <w:t>, which must also include a rehabilitation plan</w:t>
            </w:r>
            <w:r w:rsidRPr="00D76A77">
              <w:rPr>
                <w:b w:val="0"/>
                <w:bCs w:val="0"/>
              </w:rPr>
              <w:t xml:space="preserve">; </w:t>
            </w:r>
          </w:p>
          <w:p w14:paraId="452FE7C7" w14:textId="77777777" w:rsidR="00941196" w:rsidRPr="00D76A77" w:rsidRDefault="00941196" w:rsidP="00D76A77">
            <w:pPr>
              <w:pStyle w:val="ListBullet"/>
              <w:numPr>
                <w:ilvl w:val="1"/>
                <w:numId w:val="15"/>
              </w:numPr>
              <w:rPr>
                <w:b w:val="0"/>
                <w:bCs w:val="0"/>
              </w:rPr>
            </w:pPr>
            <w:r w:rsidRPr="00D76A77">
              <w:rPr>
                <w:b w:val="0"/>
                <w:bCs w:val="0"/>
              </w:rPr>
              <w:t>a rehabilitation bond;</w:t>
            </w:r>
          </w:p>
          <w:p w14:paraId="59DB9B2D" w14:textId="77777777" w:rsidR="00941196" w:rsidRPr="00D76A77" w:rsidRDefault="00941196" w:rsidP="00D76A77">
            <w:pPr>
              <w:pStyle w:val="ListBullet"/>
              <w:numPr>
                <w:ilvl w:val="1"/>
                <w:numId w:val="15"/>
              </w:numPr>
              <w:rPr>
                <w:b w:val="0"/>
                <w:bCs w:val="0"/>
              </w:rPr>
            </w:pPr>
            <w:r w:rsidRPr="00D76A77">
              <w:rPr>
                <w:b w:val="0"/>
                <w:bCs w:val="0"/>
              </w:rPr>
              <w:t>an approved environmental offset plan;</w:t>
            </w:r>
          </w:p>
          <w:p w14:paraId="58DCFE0A" w14:textId="77777777" w:rsidR="00941196" w:rsidRPr="00D76A77" w:rsidRDefault="00941196" w:rsidP="00D76A77">
            <w:pPr>
              <w:pStyle w:val="ListBullet"/>
              <w:numPr>
                <w:ilvl w:val="1"/>
                <w:numId w:val="15"/>
              </w:numPr>
              <w:rPr>
                <w:b w:val="0"/>
                <w:bCs w:val="0"/>
              </w:rPr>
            </w:pPr>
            <w:r w:rsidRPr="00D76A77">
              <w:rPr>
                <w:b w:val="0"/>
                <w:bCs w:val="0"/>
              </w:rPr>
              <w:lastRenderedPageBreak/>
              <w:t>public liability insurance; and</w:t>
            </w:r>
          </w:p>
          <w:p w14:paraId="310AA6AB" w14:textId="77777777" w:rsidR="00941196" w:rsidRPr="00D76A77" w:rsidRDefault="00941196" w:rsidP="00D76A77">
            <w:pPr>
              <w:pStyle w:val="ListBullet"/>
              <w:numPr>
                <w:ilvl w:val="1"/>
                <w:numId w:val="15"/>
              </w:numPr>
              <w:rPr>
                <w:b w:val="0"/>
                <w:bCs w:val="0"/>
              </w:rPr>
            </w:pPr>
            <w:r w:rsidRPr="00D76A77">
              <w:rPr>
                <w:b w:val="0"/>
                <w:bCs w:val="0"/>
              </w:rPr>
              <w:t>owners/occupiers written consent or a registered compensation agreement.</w:t>
            </w:r>
          </w:p>
          <w:p w14:paraId="00A8AA38" w14:textId="77777777" w:rsidR="00941196" w:rsidRPr="00D76A77" w:rsidRDefault="00941196">
            <w:pPr>
              <w:pStyle w:val="ListBullet"/>
              <w:rPr>
                <w:b w:val="0"/>
                <w:bCs w:val="0"/>
              </w:rPr>
            </w:pPr>
            <w:r w:rsidRPr="00D76A77">
              <w:rPr>
                <w:b w:val="0"/>
                <w:bCs w:val="0"/>
              </w:rPr>
              <w:t xml:space="preserve">Under the </w:t>
            </w:r>
            <w:r w:rsidRPr="00D76A77">
              <w:rPr>
                <w:b w:val="0"/>
                <w:bCs w:val="0"/>
                <w:i/>
              </w:rPr>
              <w:t>Crown Land (Reserves) Act 1978</w:t>
            </w:r>
            <w:r w:rsidRPr="00D76A77">
              <w:rPr>
                <w:b w:val="0"/>
                <w:bCs w:val="0"/>
              </w:rPr>
              <w:t xml:space="preserve">, Iluka will require a Crown land licence to use any Crown land reserved. </w:t>
            </w:r>
          </w:p>
          <w:p w14:paraId="6196CD61" w14:textId="77777777" w:rsidR="00941196" w:rsidRPr="00D76A77" w:rsidRDefault="00941196">
            <w:pPr>
              <w:pStyle w:val="ListBullet"/>
              <w:rPr>
                <w:b w:val="0"/>
                <w:bCs w:val="0"/>
              </w:rPr>
            </w:pPr>
            <w:r w:rsidRPr="00D76A77">
              <w:rPr>
                <w:b w:val="0"/>
                <w:bCs w:val="0"/>
              </w:rPr>
              <w:t xml:space="preserve">Under the </w:t>
            </w:r>
            <w:r w:rsidRPr="00D76A77">
              <w:rPr>
                <w:b w:val="0"/>
                <w:bCs w:val="0"/>
                <w:i/>
              </w:rPr>
              <w:t>Aboriginal Heritage Act 2006</w:t>
            </w:r>
            <w:r w:rsidRPr="00D76A77">
              <w:rPr>
                <w:b w:val="0"/>
                <w:bCs w:val="0"/>
              </w:rPr>
              <w:t xml:space="preserve">, Iluka will require an approved cultural heritage management plan (CHMP). </w:t>
            </w:r>
          </w:p>
          <w:p w14:paraId="7151F46D" w14:textId="77777777" w:rsidR="00941196" w:rsidRPr="00D76A77" w:rsidRDefault="00941196">
            <w:pPr>
              <w:pStyle w:val="ListBullet"/>
              <w:rPr>
                <w:b w:val="0"/>
                <w:bCs w:val="0"/>
                <w:i/>
              </w:rPr>
            </w:pPr>
            <w:r w:rsidRPr="00D76A77">
              <w:rPr>
                <w:b w:val="0"/>
                <w:bCs w:val="0"/>
              </w:rPr>
              <w:t>Under the</w:t>
            </w:r>
            <w:r w:rsidRPr="00D76A77">
              <w:rPr>
                <w:b w:val="0"/>
                <w:bCs w:val="0"/>
                <w:i/>
              </w:rPr>
              <w:t xml:space="preserve"> Water Act 1989, </w:t>
            </w:r>
            <w:r w:rsidRPr="00D76A77">
              <w:rPr>
                <w:b w:val="0"/>
                <w:bCs w:val="0"/>
              </w:rPr>
              <w:t>Iluka will require the</w:t>
            </w:r>
            <w:r w:rsidRPr="00D76A77">
              <w:rPr>
                <w:b w:val="0"/>
                <w:bCs w:val="0"/>
                <w:i/>
              </w:rPr>
              <w:t xml:space="preserve"> </w:t>
            </w:r>
            <w:r w:rsidRPr="00D76A77">
              <w:rPr>
                <w:b w:val="0"/>
                <w:bCs w:val="0"/>
              </w:rPr>
              <w:t>following licences:</w:t>
            </w:r>
            <w:r w:rsidRPr="00D76A77">
              <w:rPr>
                <w:b w:val="0"/>
                <w:bCs w:val="0"/>
                <w:i/>
              </w:rPr>
              <w:t xml:space="preserve"> </w:t>
            </w:r>
          </w:p>
          <w:p w14:paraId="701AFE5E" w14:textId="77777777" w:rsidR="00941196" w:rsidRPr="00D76A77" w:rsidRDefault="00941196" w:rsidP="00D76A77">
            <w:pPr>
              <w:pStyle w:val="ListBullet"/>
              <w:numPr>
                <w:ilvl w:val="1"/>
                <w:numId w:val="15"/>
              </w:numPr>
              <w:rPr>
                <w:b w:val="0"/>
                <w:bCs w:val="0"/>
              </w:rPr>
            </w:pPr>
            <w:r w:rsidRPr="00D76A77">
              <w:rPr>
                <w:b w:val="0"/>
                <w:bCs w:val="0"/>
              </w:rPr>
              <w:t>to install bores Iluka will require a licence to construct, decommission or alter a bore;</w:t>
            </w:r>
          </w:p>
          <w:p w14:paraId="569D5741" w14:textId="77777777" w:rsidR="00941196" w:rsidRPr="00D76A77" w:rsidRDefault="00941196" w:rsidP="00D76A77">
            <w:pPr>
              <w:pStyle w:val="ListBullet"/>
              <w:numPr>
                <w:ilvl w:val="1"/>
                <w:numId w:val="15"/>
              </w:numPr>
              <w:rPr>
                <w:b w:val="0"/>
                <w:bCs w:val="0"/>
              </w:rPr>
            </w:pPr>
            <w:r w:rsidRPr="00D76A77">
              <w:rPr>
                <w:b w:val="0"/>
                <w:bCs w:val="0"/>
              </w:rPr>
              <w:t>to extract water as part of pit dewatering or for water supply a groundwater take and use licence will be required;</w:t>
            </w:r>
          </w:p>
          <w:p w14:paraId="6D29433C" w14:textId="77777777" w:rsidR="00941196" w:rsidRPr="00D76A77" w:rsidRDefault="00941196" w:rsidP="00D76A77">
            <w:pPr>
              <w:pStyle w:val="ListBullet"/>
              <w:numPr>
                <w:ilvl w:val="1"/>
                <w:numId w:val="15"/>
              </w:numPr>
              <w:rPr>
                <w:b w:val="0"/>
                <w:bCs w:val="0"/>
              </w:rPr>
            </w:pPr>
            <w:r w:rsidRPr="00D76A77">
              <w:rPr>
                <w:b w:val="0"/>
                <w:bCs w:val="0"/>
              </w:rPr>
              <w:t xml:space="preserve">to harvest and use surface water, Iluka will require a </w:t>
            </w:r>
            <w:hyperlink r:id="rId9" w:history="1">
              <w:r w:rsidRPr="00D76A77">
                <w:rPr>
                  <w:b w:val="0"/>
                  <w:bCs w:val="0"/>
                </w:rPr>
                <w:t>licence to use surface water and to operate works</w:t>
              </w:r>
            </w:hyperlink>
            <w:r w:rsidRPr="00D76A77">
              <w:rPr>
                <w:b w:val="0"/>
                <w:bCs w:val="0"/>
              </w:rPr>
              <w:t> (also referred to as a ‘take and use licence’);</w:t>
            </w:r>
          </w:p>
          <w:p w14:paraId="630540D7" w14:textId="77777777" w:rsidR="00941196" w:rsidRPr="00D76A77" w:rsidRDefault="00941196" w:rsidP="00D76A77">
            <w:pPr>
              <w:pStyle w:val="ListBullet"/>
              <w:numPr>
                <w:ilvl w:val="1"/>
                <w:numId w:val="15"/>
              </w:numPr>
              <w:rPr>
                <w:b w:val="0"/>
                <w:bCs w:val="0"/>
              </w:rPr>
            </w:pPr>
            <w:r w:rsidRPr="00D76A77">
              <w:rPr>
                <w:b w:val="0"/>
                <w:bCs w:val="0"/>
              </w:rPr>
              <w:t>to construct and operate a dam, Iluka will require a Works licence; and</w:t>
            </w:r>
          </w:p>
          <w:p w14:paraId="5B95759C" w14:textId="77777777" w:rsidR="00941196" w:rsidRPr="00D76A77" w:rsidRDefault="00941196" w:rsidP="00D76A77">
            <w:pPr>
              <w:pStyle w:val="ListBullet"/>
              <w:numPr>
                <w:ilvl w:val="1"/>
                <w:numId w:val="15"/>
              </w:numPr>
              <w:rPr>
                <w:b w:val="0"/>
                <w:bCs w:val="0"/>
              </w:rPr>
            </w:pPr>
            <w:r w:rsidRPr="00D76A77">
              <w:rPr>
                <w:b w:val="0"/>
                <w:bCs w:val="0"/>
              </w:rPr>
              <w:t>drainage works to be connected (directly or indirectly) to a designated waterway must not occur without the permission of Wimmera Catchment Management Authority through a Works on Waterways Licence. Furthermore, drainage works that are connected to designated waterways cannot be altered or removed without the permission of the Wimmera Catchment Management Authority.</w:t>
            </w:r>
          </w:p>
          <w:p w14:paraId="0FCDC508" w14:textId="77777777" w:rsidR="00941196" w:rsidRPr="00D76A77" w:rsidRDefault="00941196">
            <w:pPr>
              <w:pStyle w:val="ListBullet"/>
              <w:rPr>
                <w:b w:val="0"/>
                <w:bCs w:val="0"/>
              </w:rPr>
            </w:pPr>
            <w:r w:rsidRPr="00D76A77">
              <w:rPr>
                <w:b w:val="0"/>
                <w:bCs w:val="0"/>
              </w:rPr>
              <w:t xml:space="preserve">Under the </w:t>
            </w:r>
            <w:r w:rsidRPr="00D76A77">
              <w:rPr>
                <w:b w:val="0"/>
                <w:bCs w:val="0"/>
                <w:i/>
              </w:rPr>
              <w:t>Radiation Act 2005</w:t>
            </w:r>
            <w:r w:rsidRPr="00D76A77">
              <w:rPr>
                <w:b w:val="0"/>
                <w:bCs w:val="0"/>
              </w:rPr>
              <w:t xml:space="preserve">, Iluka will require a variation to its existing Radiation Management Licence. An approved Radiation Management Plan and an approved Radioactive Waste Management Plan are required as conditions of the Radiation Management Licence. </w:t>
            </w:r>
          </w:p>
          <w:p w14:paraId="640C71D6" w14:textId="083763AE" w:rsidR="00941196" w:rsidRPr="00D76A77" w:rsidRDefault="00941196">
            <w:pPr>
              <w:pStyle w:val="ListBullet"/>
              <w:rPr>
                <w:b w:val="0"/>
                <w:bCs w:val="0"/>
              </w:rPr>
            </w:pPr>
            <w:r w:rsidRPr="00D76A77">
              <w:rPr>
                <w:b w:val="0"/>
                <w:bCs w:val="0"/>
              </w:rPr>
              <w:t xml:space="preserve">Under the </w:t>
            </w:r>
            <w:r w:rsidRPr="00D76A77">
              <w:rPr>
                <w:b w:val="0"/>
                <w:bCs w:val="0"/>
                <w:i/>
              </w:rPr>
              <w:t xml:space="preserve">Environment Protection Act 1970, </w:t>
            </w:r>
            <w:r w:rsidRPr="00D76A77">
              <w:rPr>
                <w:b w:val="0"/>
                <w:bCs w:val="0"/>
              </w:rPr>
              <w:t>Iluka will require an</w:t>
            </w:r>
            <w:r w:rsidRPr="00D76A77">
              <w:rPr>
                <w:b w:val="0"/>
                <w:bCs w:val="0"/>
                <w:i/>
              </w:rPr>
              <w:t xml:space="preserve"> </w:t>
            </w:r>
            <w:r w:rsidRPr="00D76A77">
              <w:rPr>
                <w:b w:val="0"/>
                <w:bCs w:val="0"/>
              </w:rPr>
              <w:t>Environment Protection Authority</w:t>
            </w:r>
            <w:r w:rsidRPr="00D76A77">
              <w:rPr>
                <w:b w:val="0"/>
                <w:bCs w:val="0"/>
                <w:i/>
              </w:rPr>
              <w:t xml:space="preserve"> </w:t>
            </w:r>
            <w:r w:rsidRPr="00D76A77">
              <w:rPr>
                <w:b w:val="0"/>
                <w:bCs w:val="0"/>
              </w:rPr>
              <w:t xml:space="preserve">(EPA) licence </w:t>
            </w:r>
            <w:r w:rsidR="00F26AE5" w:rsidRPr="00D76A77">
              <w:rPr>
                <w:b w:val="0"/>
                <w:bCs w:val="0"/>
              </w:rPr>
              <w:t xml:space="preserve">if it is decided </w:t>
            </w:r>
            <w:r w:rsidRPr="00D76A77">
              <w:rPr>
                <w:b w:val="0"/>
                <w:bCs w:val="0"/>
              </w:rPr>
              <w:t xml:space="preserve">to discharge </w:t>
            </w:r>
            <w:r w:rsidR="00F26AE5" w:rsidRPr="00D76A77">
              <w:rPr>
                <w:b w:val="0"/>
                <w:bCs w:val="0"/>
              </w:rPr>
              <w:t xml:space="preserve">excess groundwater from pit dewatering </w:t>
            </w:r>
            <w:r w:rsidRPr="00D76A77">
              <w:rPr>
                <w:b w:val="0"/>
                <w:bCs w:val="0"/>
              </w:rPr>
              <w:t>into an aquifer</w:t>
            </w:r>
            <w:r w:rsidR="00F26AE5" w:rsidRPr="00D76A77">
              <w:rPr>
                <w:b w:val="0"/>
                <w:bCs w:val="0"/>
              </w:rPr>
              <w:t xml:space="preserve"> via re-injection</w:t>
            </w:r>
            <w:r w:rsidRPr="00D76A77">
              <w:rPr>
                <w:b w:val="0"/>
                <w:bCs w:val="0"/>
              </w:rPr>
              <w:t xml:space="preserve">. It is noted that the </w:t>
            </w:r>
            <w:r w:rsidRPr="00D76A77">
              <w:rPr>
                <w:b w:val="0"/>
                <w:bCs w:val="0"/>
                <w:i/>
              </w:rPr>
              <w:t>Environment Protection Act 1970</w:t>
            </w:r>
            <w:r w:rsidRPr="00D76A77">
              <w:rPr>
                <w:b w:val="0"/>
                <w:bCs w:val="0"/>
              </w:rPr>
              <w:t xml:space="preserve"> will be replaced </w:t>
            </w:r>
            <w:r w:rsidR="003C30BE" w:rsidRPr="00D76A77">
              <w:rPr>
                <w:b w:val="0"/>
                <w:bCs w:val="0"/>
              </w:rPr>
              <w:t xml:space="preserve">on 1 July </w:t>
            </w:r>
            <w:r w:rsidRPr="00D76A77">
              <w:rPr>
                <w:b w:val="0"/>
                <w:bCs w:val="0"/>
              </w:rPr>
              <w:t xml:space="preserve">2020 by the </w:t>
            </w:r>
            <w:r w:rsidRPr="00D76A77">
              <w:rPr>
                <w:b w:val="0"/>
                <w:bCs w:val="0"/>
                <w:i/>
              </w:rPr>
              <w:t xml:space="preserve">Environment Protection Act 2017. </w:t>
            </w:r>
            <w:r w:rsidRPr="00D76A77">
              <w:rPr>
                <w:b w:val="0"/>
                <w:bCs w:val="0"/>
              </w:rPr>
              <w:t>If the new Act is in operation,</w:t>
            </w:r>
            <w:r w:rsidRPr="00D76A77">
              <w:rPr>
                <w:b w:val="0"/>
                <w:bCs w:val="0"/>
                <w:i/>
              </w:rPr>
              <w:t xml:space="preserve"> </w:t>
            </w:r>
            <w:r w:rsidRPr="00D76A77">
              <w:rPr>
                <w:b w:val="0"/>
                <w:bCs w:val="0"/>
              </w:rPr>
              <w:t>Iluka may require a development licence and operational licence under the new Act.</w:t>
            </w:r>
          </w:p>
          <w:p w14:paraId="4C7805D8" w14:textId="2482E5BB" w:rsidR="00941196" w:rsidRDefault="00941196" w:rsidP="00A97D08">
            <w:pPr>
              <w:pStyle w:val="BodyText"/>
              <w:spacing w:after="120"/>
              <w:jc w:val="both"/>
              <w:rPr>
                <w:rFonts w:ascii="Arial" w:hAnsi="Arial" w:cs="Arial"/>
                <w:b w:val="0"/>
                <w:sz w:val="20"/>
                <w:szCs w:val="20"/>
              </w:rPr>
            </w:pPr>
            <w:r w:rsidRPr="00941196">
              <w:rPr>
                <w:rFonts w:ascii="Arial" w:hAnsi="Arial" w:cs="Arial"/>
                <w:b w:val="0"/>
                <w:sz w:val="20"/>
                <w:szCs w:val="20"/>
              </w:rPr>
              <w:t>Various additional approvals may also be required:</w:t>
            </w:r>
          </w:p>
          <w:p w14:paraId="338506E9" w14:textId="77777777" w:rsidR="00941196" w:rsidRPr="002C1486" w:rsidRDefault="00941196" w:rsidP="00C70314">
            <w:pPr>
              <w:pStyle w:val="ListParagraph"/>
              <w:numPr>
                <w:ilvl w:val="0"/>
                <w:numId w:val="17"/>
              </w:numPr>
              <w:spacing w:after="120"/>
              <w:jc w:val="both"/>
              <w:rPr>
                <w:rFonts w:ascii="Arial" w:hAnsi="Arial"/>
              </w:rPr>
            </w:pPr>
            <w:r w:rsidRPr="002C1486">
              <w:rPr>
                <w:rFonts w:ascii="Arial" w:hAnsi="Arial"/>
              </w:rPr>
              <w:t xml:space="preserve">Under the </w:t>
            </w:r>
            <w:r w:rsidRPr="002C1486">
              <w:rPr>
                <w:rFonts w:ascii="Arial" w:hAnsi="Arial"/>
                <w:i/>
              </w:rPr>
              <w:t>Planning and Environment Act 1987</w:t>
            </w:r>
            <w:r w:rsidRPr="002C1486">
              <w:rPr>
                <w:rFonts w:ascii="Arial" w:hAnsi="Arial"/>
              </w:rPr>
              <w:t xml:space="preserve">, if any remnant of an Ecological Vegetation Class (EVC) of ‘very high conservation significance’ needs to be cleared, approval will be required from the Minister for Environment and Climate Change under Victoria’s Native Vegetation Management Framework - A Framework for Action (NVMF). </w:t>
            </w:r>
          </w:p>
          <w:p w14:paraId="1166F183" w14:textId="77777777" w:rsidR="00941196" w:rsidRPr="002C1486" w:rsidRDefault="00941196" w:rsidP="00C70314">
            <w:pPr>
              <w:pStyle w:val="ListParagraph"/>
              <w:numPr>
                <w:ilvl w:val="0"/>
                <w:numId w:val="17"/>
              </w:numPr>
              <w:spacing w:after="120"/>
              <w:jc w:val="both"/>
              <w:rPr>
                <w:rFonts w:ascii="Arial" w:hAnsi="Arial"/>
              </w:rPr>
            </w:pPr>
            <w:r w:rsidRPr="002C1486">
              <w:rPr>
                <w:rFonts w:ascii="Arial" w:hAnsi="Arial"/>
              </w:rPr>
              <w:t xml:space="preserve">Mine works that have been assessed in an EES and by the Minister for Planning do not require a planning permit under the </w:t>
            </w:r>
            <w:r w:rsidRPr="001407C5">
              <w:rPr>
                <w:rFonts w:ascii="Arial" w:hAnsi="Arial"/>
                <w:i/>
              </w:rPr>
              <w:t>Planning and Environment Act 1987</w:t>
            </w:r>
            <w:r w:rsidRPr="002C1486">
              <w:rPr>
                <w:rFonts w:ascii="Arial" w:hAnsi="Arial"/>
              </w:rPr>
              <w:t>. However, works outside the mining licence area, such as the development of water and electricity supply infrastructure or road upgrades, will be subject to the Horsham Planning Scheme. Iluka will either seek planning permits for these works or request an amendment to the Horsham Planning Scheme to provide a “one stop shop” planning control for works undertaken outside the mine licence area, as is typical for mining projects in Victoria.</w:t>
            </w:r>
          </w:p>
          <w:p w14:paraId="354BF267" w14:textId="77777777" w:rsidR="00941196" w:rsidRPr="002C1486" w:rsidRDefault="00941196" w:rsidP="00C70314">
            <w:pPr>
              <w:pStyle w:val="ListParagraph"/>
              <w:numPr>
                <w:ilvl w:val="0"/>
                <w:numId w:val="17"/>
              </w:numPr>
              <w:spacing w:after="120"/>
              <w:jc w:val="both"/>
              <w:rPr>
                <w:rFonts w:ascii="Arial" w:hAnsi="Arial"/>
              </w:rPr>
            </w:pPr>
            <w:r w:rsidRPr="002C1486">
              <w:rPr>
                <w:rFonts w:ascii="Arial" w:hAnsi="Arial"/>
              </w:rPr>
              <w:t xml:space="preserve">VicRoads may require a cost recovery condition be applied to the EES approval under the </w:t>
            </w:r>
            <w:r w:rsidRPr="001407C5">
              <w:rPr>
                <w:rFonts w:ascii="Arial" w:hAnsi="Arial"/>
                <w:i/>
              </w:rPr>
              <w:t>Road Management Act 2004</w:t>
            </w:r>
            <w:r w:rsidRPr="002C1486">
              <w:rPr>
                <w:rFonts w:ascii="Arial" w:hAnsi="Arial"/>
              </w:rPr>
              <w:t xml:space="preserve">. Iluka may be required to contribute to road maintenance based on a $/km/tonne basis, and/or the upgrade of intersections or bridges. If so, Iluka would be required to complete a ‘Works within road reserves’ application form and sign a </w:t>
            </w:r>
            <w:r w:rsidRPr="002C1486">
              <w:rPr>
                <w:rFonts w:ascii="Arial" w:hAnsi="Arial"/>
              </w:rPr>
              <w:lastRenderedPageBreak/>
              <w:t>road maintenance agreement. If works are proposed within a road reserve, consent will be required from the relevant road authority under this Act.</w:t>
            </w:r>
          </w:p>
          <w:p w14:paraId="3D9F1BA8" w14:textId="77777777" w:rsidR="00941196" w:rsidRPr="002C1486" w:rsidRDefault="00941196" w:rsidP="00C70314">
            <w:pPr>
              <w:pStyle w:val="ListParagraph"/>
              <w:numPr>
                <w:ilvl w:val="0"/>
                <w:numId w:val="17"/>
              </w:numPr>
              <w:spacing w:after="120"/>
              <w:jc w:val="both"/>
              <w:rPr>
                <w:rFonts w:ascii="Arial" w:hAnsi="Arial"/>
              </w:rPr>
            </w:pPr>
            <w:r w:rsidRPr="002C1486">
              <w:rPr>
                <w:rFonts w:ascii="Arial" w:hAnsi="Arial"/>
              </w:rPr>
              <w:t xml:space="preserve">Horsham Rural City Council may require Iluka to contribute to the maintenance of Council owned roads, via a road maintenance agreement under the </w:t>
            </w:r>
            <w:r w:rsidRPr="001407C5">
              <w:rPr>
                <w:rFonts w:ascii="Arial" w:hAnsi="Arial"/>
                <w:i/>
              </w:rPr>
              <w:t>Local Government Act 1989</w:t>
            </w:r>
            <w:r w:rsidRPr="002C1486">
              <w:rPr>
                <w:rFonts w:ascii="Arial" w:hAnsi="Arial"/>
              </w:rPr>
              <w:t xml:space="preserve">. </w:t>
            </w:r>
          </w:p>
          <w:p w14:paraId="1BF4C563" w14:textId="79D8AC87" w:rsidR="00941196" w:rsidRPr="002C1486" w:rsidRDefault="00941196" w:rsidP="00C70314">
            <w:pPr>
              <w:pStyle w:val="ListParagraph"/>
              <w:numPr>
                <w:ilvl w:val="0"/>
                <w:numId w:val="17"/>
              </w:numPr>
              <w:spacing w:after="120"/>
              <w:jc w:val="both"/>
              <w:rPr>
                <w:rFonts w:ascii="Arial" w:hAnsi="Arial"/>
              </w:rPr>
            </w:pPr>
            <w:r w:rsidRPr="002C1486">
              <w:rPr>
                <w:rFonts w:ascii="Arial" w:hAnsi="Arial"/>
              </w:rPr>
              <w:t xml:space="preserve">Iluka will require a Works Approval and an EPA Licence under the </w:t>
            </w:r>
            <w:r w:rsidRPr="001407C5">
              <w:rPr>
                <w:rFonts w:ascii="Arial" w:hAnsi="Arial"/>
                <w:i/>
              </w:rPr>
              <w:t>Environment Protection Act 1970</w:t>
            </w:r>
            <w:r w:rsidRPr="002C1486">
              <w:rPr>
                <w:rFonts w:ascii="Arial" w:hAnsi="Arial"/>
              </w:rPr>
              <w:t xml:space="preserve"> if Iluka proposes to extract material for the construction of access roads and hardstand areas and if the extraction location is not assessed within the approved EES and within the Mine Licence Area. It is </w:t>
            </w:r>
            <w:r w:rsidR="001407C5">
              <w:rPr>
                <w:rFonts w:ascii="Arial" w:hAnsi="Arial"/>
              </w:rPr>
              <w:t>possible</w:t>
            </w:r>
            <w:r w:rsidR="001407C5" w:rsidRPr="002C1486">
              <w:rPr>
                <w:rFonts w:ascii="Arial" w:hAnsi="Arial"/>
              </w:rPr>
              <w:t xml:space="preserve"> </w:t>
            </w:r>
            <w:r w:rsidRPr="002C1486">
              <w:rPr>
                <w:rFonts w:ascii="Arial" w:hAnsi="Arial"/>
              </w:rPr>
              <w:t xml:space="preserve">that a Works Approval and EPA Licence will also be required in relation to stack emissions from the refinery. </w:t>
            </w:r>
          </w:p>
          <w:p w14:paraId="18453A23" w14:textId="77777777" w:rsidR="00941196" w:rsidRPr="002C1486" w:rsidRDefault="00941196" w:rsidP="00C70314">
            <w:pPr>
              <w:pStyle w:val="ListParagraph"/>
              <w:numPr>
                <w:ilvl w:val="0"/>
                <w:numId w:val="17"/>
              </w:numPr>
              <w:spacing w:after="120"/>
              <w:jc w:val="both"/>
              <w:rPr>
                <w:rFonts w:ascii="Arial" w:hAnsi="Arial" w:cs="Arial"/>
              </w:rPr>
            </w:pPr>
            <w:r w:rsidRPr="002C1486">
              <w:rPr>
                <w:rFonts w:ascii="Arial" w:hAnsi="Arial"/>
              </w:rPr>
              <w:t xml:space="preserve">Iluka may require a dangerous goods licence under the </w:t>
            </w:r>
            <w:r w:rsidRPr="002C1486">
              <w:rPr>
                <w:rFonts w:ascii="Arial" w:hAnsi="Arial" w:cs="Arial"/>
                <w:i/>
              </w:rPr>
              <w:t>Dangerous Goods Act 1985</w:t>
            </w:r>
            <w:r w:rsidRPr="002C1486">
              <w:rPr>
                <w:rFonts w:ascii="Arial" w:hAnsi="Arial" w:cs="Arial"/>
              </w:rPr>
              <w:t xml:space="preserve">, depending on the quantity of gas, diesel or other dangerous goods stored. </w:t>
            </w:r>
          </w:p>
          <w:p w14:paraId="32D41C05" w14:textId="77777777" w:rsidR="00941196" w:rsidRPr="002C1486" w:rsidRDefault="00941196" w:rsidP="00C70314">
            <w:pPr>
              <w:pStyle w:val="ListParagraph"/>
              <w:numPr>
                <w:ilvl w:val="0"/>
                <w:numId w:val="17"/>
              </w:numPr>
              <w:spacing w:after="120"/>
              <w:jc w:val="both"/>
              <w:rPr>
                <w:rFonts w:ascii="Arial" w:hAnsi="Arial"/>
              </w:rPr>
            </w:pPr>
            <w:r w:rsidRPr="002C1486">
              <w:rPr>
                <w:rFonts w:ascii="Arial" w:hAnsi="Arial" w:cs="Arial"/>
              </w:rPr>
              <w:t xml:space="preserve">Iluka will require a permit under the </w:t>
            </w:r>
            <w:r w:rsidRPr="002C1486">
              <w:rPr>
                <w:rFonts w:ascii="Arial" w:hAnsi="Arial" w:cs="Arial"/>
                <w:i/>
              </w:rPr>
              <w:t xml:space="preserve">Flora and Fauna Guarantee Act 1988 </w:t>
            </w:r>
            <w:r w:rsidRPr="002C1486">
              <w:rPr>
                <w:rFonts w:ascii="Arial" w:hAnsi="Arial" w:cs="Arial"/>
              </w:rPr>
              <w:t>(FFG A</w:t>
            </w:r>
            <w:r w:rsidRPr="002C1486">
              <w:rPr>
                <w:rFonts w:ascii="Arial" w:hAnsi="Arial"/>
              </w:rPr>
              <w:t>ct) to remove fauna species that are protected under the FFG Act. A licence may also be required under the FFG Act to remove or destroy flora species located on public land.</w:t>
            </w:r>
          </w:p>
          <w:p w14:paraId="0E43B45A" w14:textId="77777777" w:rsidR="001C34F3" w:rsidRPr="00941196" w:rsidRDefault="00941196" w:rsidP="00C70314">
            <w:pPr>
              <w:pStyle w:val="ListParagraph"/>
              <w:numPr>
                <w:ilvl w:val="0"/>
                <w:numId w:val="17"/>
              </w:numPr>
              <w:spacing w:after="120"/>
              <w:jc w:val="both"/>
            </w:pPr>
            <w:bookmarkStart w:id="78" w:name="_Hlk5100606"/>
            <w:r w:rsidRPr="002C1486">
              <w:rPr>
                <w:rFonts w:ascii="Arial" w:hAnsi="Arial"/>
              </w:rPr>
              <w:t xml:space="preserve">Iluka would be required to obtain a licence to construct and operate a pipeline under the </w:t>
            </w:r>
            <w:r w:rsidRPr="002C1486">
              <w:rPr>
                <w:rFonts w:ascii="Arial" w:hAnsi="Arial" w:cs="Arial"/>
                <w:i/>
              </w:rPr>
              <w:t>Pipelines Act 2005</w:t>
            </w:r>
            <w:r w:rsidRPr="002C1486">
              <w:rPr>
                <w:rFonts w:ascii="Arial" w:hAnsi="Arial" w:cs="Arial"/>
              </w:rPr>
              <w:t>, if it plans</w:t>
            </w:r>
            <w:r w:rsidRPr="002C1486">
              <w:rPr>
                <w:rFonts w:ascii="Arial" w:hAnsi="Arial"/>
              </w:rPr>
              <w:t xml:space="preserve"> to construct and operate a ‘high transmission’ pipeline that has a maximum design pressure exceeding 1,050 kilopascals (kPa) (gaseous hydrocarbons). </w:t>
            </w:r>
            <w:bookmarkEnd w:id="78"/>
          </w:p>
        </w:tc>
      </w:tr>
      <w:tr w:rsidR="001C34F3" w14:paraId="5F86F90A" w14:textId="77777777" w:rsidTr="001E301B">
        <w:tc>
          <w:tcPr>
            <w:tcW w:w="8880" w:type="dxa"/>
            <w:gridSpan w:val="2"/>
            <w:tcBorders>
              <w:top w:val="single" w:sz="4" w:space="0" w:color="auto"/>
              <w:left w:val="single" w:sz="4" w:space="0" w:color="auto"/>
              <w:right w:val="single" w:sz="4" w:space="0" w:color="auto"/>
            </w:tcBorders>
          </w:tcPr>
          <w:p w14:paraId="50C63909" w14:textId="77777777" w:rsidR="001C34F3" w:rsidRDefault="00941196" w:rsidP="002C1486">
            <w:pPr>
              <w:spacing w:before="120" w:after="120"/>
              <w:rPr>
                <w:rFonts w:ascii="Arial" w:hAnsi="Arial"/>
              </w:rPr>
            </w:pPr>
            <w:r>
              <w:rPr>
                <w:rFonts w:ascii="Arial" w:hAnsi="Arial"/>
                <w:b/>
              </w:rPr>
              <w:lastRenderedPageBreak/>
              <w:t xml:space="preserve">10.2 </w:t>
            </w:r>
            <w:r w:rsidR="001C34F3">
              <w:rPr>
                <w:rFonts w:ascii="Arial" w:hAnsi="Arial"/>
                <w:b/>
              </w:rPr>
              <w:t>Have any applications for approval been lodged?</w:t>
            </w:r>
          </w:p>
        </w:tc>
      </w:tr>
      <w:tr w:rsidR="001C34F3" w14:paraId="032AF227" w14:textId="77777777" w:rsidTr="001E301B">
        <w:tc>
          <w:tcPr>
            <w:tcW w:w="8880" w:type="dxa"/>
            <w:gridSpan w:val="2"/>
            <w:tcBorders>
              <w:left w:val="single" w:sz="4" w:space="0" w:color="auto"/>
              <w:right w:val="single" w:sz="4" w:space="0" w:color="auto"/>
            </w:tcBorders>
          </w:tcPr>
          <w:p w14:paraId="580CEE9D" w14:textId="4CB401A3" w:rsidR="001C34F3" w:rsidRDefault="00A16664">
            <w:pPr>
              <w:spacing w:before="40"/>
              <w:ind w:left="720"/>
              <w:rPr>
                <w:rFonts w:ascii="Arial" w:hAnsi="Arial"/>
              </w:rPr>
            </w:pPr>
            <w:r w:rsidRPr="00941196">
              <w:rPr>
                <w:rFonts w:ascii="Arial" w:hAnsi="Arial"/>
                <w:shd w:val="clear" w:color="auto" w:fill="E6E6E6"/>
              </w:rPr>
              <w:sym w:font="Webdings" w:char="F072"/>
            </w:r>
            <w:r w:rsidR="001C34F3">
              <w:rPr>
                <w:rFonts w:ascii="Arial" w:hAnsi="Arial"/>
              </w:rPr>
              <w:t xml:space="preserve">  No    </w:t>
            </w:r>
            <w:r>
              <w:rPr>
                <w:rFonts w:ascii="Arial" w:hAnsi="Arial"/>
                <w:color w:val="C0C0C0"/>
                <w:shd w:val="clear" w:color="auto" w:fill="E6E6E6"/>
              </w:rPr>
              <w:sym w:font="Webdings" w:char="F072"/>
            </w:r>
            <w:r w:rsidR="001C34F3">
              <w:rPr>
                <w:rFonts w:ascii="Arial" w:hAnsi="Arial"/>
              </w:rPr>
              <w:t xml:space="preserve">Yes  </w:t>
            </w:r>
            <w:r w:rsidR="001C34F3">
              <w:rPr>
                <w:rFonts w:ascii="Arial" w:hAnsi="Arial"/>
                <w:b/>
              </w:rPr>
              <w:t xml:space="preserve"> </w:t>
            </w:r>
          </w:p>
        </w:tc>
      </w:tr>
      <w:tr w:rsidR="001C34F3" w14:paraId="553B6446" w14:textId="77777777" w:rsidTr="001E301B">
        <w:tc>
          <w:tcPr>
            <w:tcW w:w="8880" w:type="dxa"/>
            <w:gridSpan w:val="2"/>
            <w:tcBorders>
              <w:left w:val="single" w:sz="4" w:space="0" w:color="auto"/>
              <w:bottom w:val="single" w:sz="4" w:space="0" w:color="auto"/>
              <w:right w:val="single" w:sz="4" w:space="0" w:color="auto"/>
            </w:tcBorders>
          </w:tcPr>
          <w:p w14:paraId="219871F9" w14:textId="77777777" w:rsidR="001C34F3" w:rsidRDefault="001C34F3">
            <w:pPr>
              <w:rPr>
                <w:rFonts w:ascii="Arial" w:hAnsi="Arial"/>
              </w:rPr>
            </w:pPr>
          </w:p>
          <w:p w14:paraId="705932F3" w14:textId="77777777" w:rsidR="00096B15" w:rsidRDefault="00941196" w:rsidP="00C477B2">
            <w:pPr>
              <w:spacing w:after="120"/>
              <w:jc w:val="both"/>
              <w:rPr>
                <w:rFonts w:ascii="Arial" w:hAnsi="Arial"/>
              </w:rPr>
            </w:pPr>
            <w:r w:rsidRPr="00941196">
              <w:rPr>
                <w:rFonts w:ascii="Arial" w:hAnsi="Arial"/>
              </w:rPr>
              <w:t xml:space="preserve">No applications for </w:t>
            </w:r>
            <w:r w:rsidR="00C477B2">
              <w:rPr>
                <w:rFonts w:ascii="Arial" w:hAnsi="Arial"/>
              </w:rPr>
              <w:t xml:space="preserve">any of the above </w:t>
            </w:r>
            <w:r w:rsidRPr="00941196">
              <w:rPr>
                <w:rFonts w:ascii="Arial" w:hAnsi="Arial"/>
              </w:rPr>
              <w:t>approvals have been lodged. Applicable approvals had been previously obtained in relation to</w:t>
            </w:r>
            <w:r w:rsidR="00096B15">
              <w:rPr>
                <w:rFonts w:ascii="Arial" w:hAnsi="Arial"/>
              </w:rPr>
              <w:t>:</w:t>
            </w:r>
          </w:p>
          <w:p w14:paraId="29048EC9" w14:textId="3B5E1789" w:rsidR="00096B15" w:rsidRDefault="00941196" w:rsidP="00C70314">
            <w:pPr>
              <w:pStyle w:val="ListParagraph"/>
              <w:numPr>
                <w:ilvl w:val="0"/>
                <w:numId w:val="17"/>
              </w:numPr>
              <w:spacing w:after="120"/>
              <w:jc w:val="both"/>
              <w:rPr>
                <w:rFonts w:ascii="Arial" w:hAnsi="Arial"/>
              </w:rPr>
            </w:pPr>
            <w:r w:rsidRPr="00C477B2">
              <w:rPr>
                <w:rFonts w:ascii="Arial" w:hAnsi="Arial"/>
              </w:rPr>
              <w:t>the test pit</w:t>
            </w:r>
            <w:r w:rsidR="00C477B2">
              <w:rPr>
                <w:rFonts w:ascii="Arial" w:hAnsi="Arial"/>
              </w:rPr>
              <w:t xml:space="preserve"> bulk sampling works, undertaken in accordance with an approved Exploration Work Plan (PLN00864)</w:t>
            </w:r>
            <w:r w:rsidR="00096B15">
              <w:rPr>
                <w:rFonts w:ascii="Arial" w:hAnsi="Arial"/>
              </w:rPr>
              <w:t>;</w:t>
            </w:r>
          </w:p>
          <w:p w14:paraId="2EE68E43" w14:textId="5787EC62" w:rsidR="00096B15" w:rsidRDefault="00096B15" w:rsidP="00C70314">
            <w:pPr>
              <w:pStyle w:val="ListParagraph"/>
              <w:numPr>
                <w:ilvl w:val="0"/>
                <w:numId w:val="17"/>
              </w:numPr>
              <w:spacing w:after="120"/>
              <w:jc w:val="both"/>
              <w:rPr>
                <w:rFonts w:ascii="Arial" w:hAnsi="Arial"/>
              </w:rPr>
            </w:pPr>
            <w:r>
              <w:rPr>
                <w:rFonts w:ascii="Arial" w:hAnsi="Arial"/>
              </w:rPr>
              <w:t>Low Impact Exploration (LIE)</w:t>
            </w:r>
            <w:r w:rsidR="00941196" w:rsidRPr="00C477B2">
              <w:rPr>
                <w:rFonts w:ascii="Arial" w:hAnsi="Arial"/>
              </w:rPr>
              <w:t xml:space="preserve"> </w:t>
            </w:r>
            <w:r>
              <w:rPr>
                <w:rFonts w:ascii="Arial" w:hAnsi="Arial"/>
              </w:rPr>
              <w:t xml:space="preserve">works undertaken across the </w:t>
            </w:r>
            <w:r w:rsidR="00D02516">
              <w:rPr>
                <w:rFonts w:ascii="Arial" w:hAnsi="Arial"/>
              </w:rPr>
              <w:t>Project</w:t>
            </w:r>
            <w:r>
              <w:rPr>
                <w:rFonts w:ascii="Arial" w:hAnsi="Arial"/>
              </w:rPr>
              <w:t xml:space="preserve"> area within EL4282, including resource drilling and geotechnical drilling</w:t>
            </w:r>
            <w:r w:rsidR="009C60AC">
              <w:rPr>
                <w:rFonts w:ascii="Arial" w:hAnsi="Arial"/>
              </w:rPr>
              <w:t>;</w:t>
            </w:r>
            <w:r w:rsidR="00253197">
              <w:rPr>
                <w:rFonts w:ascii="Arial" w:hAnsi="Arial"/>
              </w:rPr>
              <w:t xml:space="preserve"> and</w:t>
            </w:r>
          </w:p>
          <w:p w14:paraId="5DEC60A0" w14:textId="5DC2586B" w:rsidR="009C60AC" w:rsidRPr="00C477B2" w:rsidRDefault="00253197" w:rsidP="00C70314">
            <w:pPr>
              <w:pStyle w:val="ListParagraph"/>
              <w:numPr>
                <w:ilvl w:val="0"/>
                <w:numId w:val="17"/>
              </w:numPr>
              <w:spacing w:after="120"/>
              <w:jc w:val="both"/>
              <w:rPr>
                <w:rFonts w:ascii="Arial" w:hAnsi="Arial"/>
              </w:rPr>
            </w:pPr>
            <w:r>
              <w:rPr>
                <w:rFonts w:ascii="Arial" w:hAnsi="Arial"/>
              </w:rPr>
              <w:t>c</w:t>
            </w:r>
            <w:r w:rsidR="009C60AC">
              <w:rPr>
                <w:rFonts w:ascii="Arial" w:hAnsi="Arial"/>
              </w:rPr>
              <w:t>onstruction of groundwater monitoring wells.</w:t>
            </w:r>
          </w:p>
          <w:p w14:paraId="5043D47B" w14:textId="6C72DDE7" w:rsidR="00941196" w:rsidRDefault="00941196" w:rsidP="00C477B2">
            <w:pPr>
              <w:spacing w:after="120"/>
              <w:jc w:val="both"/>
              <w:rPr>
                <w:rFonts w:ascii="Arial" w:hAnsi="Arial"/>
              </w:rPr>
            </w:pPr>
            <w:r w:rsidRPr="00941196">
              <w:rPr>
                <w:rFonts w:ascii="Arial" w:hAnsi="Arial"/>
              </w:rPr>
              <w:t>The</w:t>
            </w:r>
            <w:r w:rsidR="00096B15">
              <w:rPr>
                <w:rFonts w:ascii="Arial" w:hAnsi="Arial"/>
              </w:rPr>
              <w:t xml:space="preserve">se </w:t>
            </w:r>
            <w:r w:rsidRPr="00941196">
              <w:rPr>
                <w:rFonts w:ascii="Arial" w:hAnsi="Arial"/>
              </w:rPr>
              <w:t xml:space="preserve">approvals do not constitute applications for approval for the Wimmera Project.  </w:t>
            </w:r>
          </w:p>
        </w:tc>
      </w:tr>
      <w:tr w:rsidR="001C34F3" w14:paraId="4C0DAF6D" w14:textId="77777777" w:rsidTr="001E301B">
        <w:tc>
          <w:tcPr>
            <w:tcW w:w="8880" w:type="dxa"/>
            <w:gridSpan w:val="2"/>
            <w:tcBorders>
              <w:top w:val="single" w:sz="4" w:space="0" w:color="auto"/>
              <w:left w:val="single" w:sz="4" w:space="0" w:color="auto"/>
              <w:right w:val="single" w:sz="4" w:space="0" w:color="auto"/>
            </w:tcBorders>
          </w:tcPr>
          <w:p w14:paraId="6282B95A" w14:textId="6203B9C1" w:rsidR="001C34F3" w:rsidRDefault="00941196" w:rsidP="00634D67">
            <w:pPr>
              <w:spacing w:before="240" w:after="120"/>
              <w:rPr>
                <w:rFonts w:ascii="Arial" w:hAnsi="Arial"/>
              </w:rPr>
            </w:pPr>
            <w:r>
              <w:rPr>
                <w:rFonts w:ascii="Arial" w:hAnsi="Arial"/>
                <w:b/>
              </w:rPr>
              <w:t xml:space="preserve">10.3 </w:t>
            </w:r>
            <w:r w:rsidR="001C34F3">
              <w:rPr>
                <w:rFonts w:ascii="Arial" w:hAnsi="Arial"/>
                <w:b/>
              </w:rPr>
              <w:t>Approval agency consultation</w:t>
            </w:r>
          </w:p>
        </w:tc>
      </w:tr>
      <w:tr w:rsidR="009637D0" w14:paraId="2A726212" w14:textId="77777777" w:rsidTr="001E301B">
        <w:tblPrEx>
          <w:tblBorders>
            <w:top w:val="single" w:sz="2" w:space="0" w:color="262626"/>
            <w:bottom w:val="single" w:sz="2" w:space="0" w:color="262626"/>
          </w:tblBorders>
          <w:tblCellMar>
            <w:top w:w="28" w:type="dxa"/>
            <w:left w:w="0" w:type="dxa"/>
            <w:bottom w:w="28" w:type="dxa"/>
            <w:right w:w="85" w:type="dxa"/>
          </w:tblCellMar>
          <w:tblLook w:val="0620" w:firstRow="1" w:lastRow="0" w:firstColumn="0" w:lastColumn="0" w:noHBand="1" w:noVBand="1"/>
        </w:tblPrEx>
        <w:trPr>
          <w:cantSplit/>
          <w:tblHeader/>
        </w:trPr>
        <w:tc>
          <w:tcPr>
            <w:tcW w:w="8880" w:type="dxa"/>
            <w:gridSpan w:val="2"/>
            <w:tcBorders>
              <w:top w:val="nil"/>
              <w:left w:val="single" w:sz="4" w:space="0" w:color="auto"/>
              <w:bottom w:val="nil"/>
              <w:right w:val="single" w:sz="4" w:space="0" w:color="auto"/>
              <w:tl2br w:val="nil"/>
              <w:tr2bl w:val="nil"/>
            </w:tcBorders>
          </w:tcPr>
          <w:p w14:paraId="440FBA7F" w14:textId="77777777" w:rsidR="009637D0" w:rsidRDefault="009637D0" w:rsidP="0012253F">
            <w:pPr>
              <w:rPr>
                <w:rFonts w:ascii="Arial" w:hAnsi="Arial"/>
              </w:rPr>
            </w:pPr>
          </w:p>
        </w:tc>
      </w:tr>
      <w:tr w:rsidR="009637D0" w14:paraId="2D24FAB2" w14:textId="77777777" w:rsidTr="001E301B">
        <w:trPr>
          <w:gridAfter w:val="1"/>
          <w:wAfter w:w="91" w:type="dxa"/>
        </w:trPr>
        <w:tc>
          <w:tcPr>
            <w:tcW w:w="8789" w:type="dxa"/>
            <w:tcBorders>
              <w:top w:val="single" w:sz="4" w:space="0" w:color="auto"/>
              <w:left w:val="single" w:sz="4" w:space="0" w:color="auto"/>
              <w:bottom w:val="single" w:sz="4" w:space="0" w:color="auto"/>
              <w:right w:val="single" w:sz="4" w:space="0" w:color="auto"/>
            </w:tcBorders>
          </w:tcPr>
          <w:p w14:paraId="01290E68" w14:textId="77777777" w:rsidR="00941196" w:rsidRPr="001C2C21" w:rsidRDefault="00941196" w:rsidP="00096B15">
            <w:pPr>
              <w:jc w:val="both"/>
              <w:rPr>
                <w:rFonts w:ascii="Arial" w:hAnsi="Arial"/>
              </w:rPr>
            </w:pPr>
            <w:r w:rsidRPr="001C2C21">
              <w:rPr>
                <w:rFonts w:ascii="Arial" w:hAnsi="Arial"/>
              </w:rPr>
              <w:t xml:space="preserve">Iluka has engaged with the local community, councils and government agencies since 2003 in relation to the nearby Douglas and Echo mines and the Hamilton Mineral Separation Plant. </w:t>
            </w:r>
          </w:p>
          <w:p w14:paraId="1F1A524C" w14:textId="77777777" w:rsidR="00941196" w:rsidRPr="001C2C21" w:rsidRDefault="00941196" w:rsidP="00096B15">
            <w:pPr>
              <w:jc w:val="both"/>
              <w:rPr>
                <w:rFonts w:ascii="Arial" w:hAnsi="Arial"/>
              </w:rPr>
            </w:pPr>
          </w:p>
          <w:p w14:paraId="4FD3EF06" w14:textId="77777777" w:rsidR="00941196" w:rsidRDefault="00941196" w:rsidP="00096B15">
            <w:pPr>
              <w:jc w:val="both"/>
              <w:rPr>
                <w:rFonts w:ascii="Arial" w:hAnsi="Arial"/>
              </w:rPr>
            </w:pPr>
            <w:bookmarkStart w:id="79" w:name="_Hlk1725450"/>
            <w:r w:rsidRPr="001C2C21">
              <w:rPr>
                <w:rFonts w:ascii="Arial" w:hAnsi="Arial"/>
              </w:rPr>
              <w:t xml:space="preserve">Iluka commenced consultation on the Wimmera Project (formerly called the ‘Fine Minerals Project’) in 2018. This has included: </w:t>
            </w:r>
          </w:p>
          <w:p w14:paraId="10858E1D" w14:textId="77777777" w:rsidR="001C2C21" w:rsidRPr="001C2C21" w:rsidRDefault="001C2C21" w:rsidP="00941196">
            <w:pPr>
              <w:rPr>
                <w:rFonts w:ascii="Arial" w:hAnsi="Arial"/>
              </w:rPr>
            </w:pPr>
          </w:p>
          <w:p w14:paraId="6EA9B0EB" w14:textId="10D037A4"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 xml:space="preserve">circulation of the quarterly Murray Basin Newsletter   –   including articles introducing the Project in the May 2018 and the November 2018 editions   –   to local members of parliament, Horsham Rural City Council, </w:t>
            </w:r>
            <w:proofErr w:type="spellStart"/>
            <w:r w:rsidRPr="00D76A77">
              <w:rPr>
                <w:rFonts w:ascii="Arial" w:hAnsi="Arial"/>
              </w:rPr>
              <w:t>Buloke</w:t>
            </w:r>
            <w:proofErr w:type="spellEnd"/>
            <w:r w:rsidRPr="00D76A77">
              <w:rPr>
                <w:rFonts w:ascii="Arial" w:hAnsi="Arial"/>
              </w:rPr>
              <w:t xml:space="preserve"> Shire Council, Shire of </w:t>
            </w:r>
            <w:proofErr w:type="spellStart"/>
            <w:r w:rsidRPr="00D76A77">
              <w:rPr>
                <w:rFonts w:ascii="Arial" w:hAnsi="Arial"/>
              </w:rPr>
              <w:t>Yarriambiack</w:t>
            </w:r>
            <w:proofErr w:type="spellEnd"/>
            <w:r w:rsidRPr="00D76A77">
              <w:rPr>
                <w:rFonts w:ascii="Arial" w:hAnsi="Arial"/>
              </w:rPr>
              <w:t xml:space="preserve">, Shire of Southern Grampians, </w:t>
            </w:r>
            <w:proofErr w:type="spellStart"/>
            <w:r w:rsidRPr="00D76A77">
              <w:rPr>
                <w:rFonts w:ascii="Arial" w:hAnsi="Arial"/>
              </w:rPr>
              <w:t>Barenji</w:t>
            </w:r>
            <w:proofErr w:type="spellEnd"/>
            <w:r w:rsidRPr="00D76A77">
              <w:rPr>
                <w:rFonts w:ascii="Arial" w:hAnsi="Arial"/>
              </w:rPr>
              <w:t xml:space="preserve"> </w:t>
            </w:r>
            <w:proofErr w:type="spellStart"/>
            <w:r w:rsidRPr="00D76A77">
              <w:rPr>
                <w:rFonts w:ascii="Arial" w:hAnsi="Arial"/>
              </w:rPr>
              <w:t>Gadjin</w:t>
            </w:r>
            <w:proofErr w:type="spellEnd"/>
            <w:r w:rsidRPr="00D76A77">
              <w:rPr>
                <w:rFonts w:ascii="Arial" w:hAnsi="Arial"/>
              </w:rPr>
              <w:t xml:space="preserve"> Landcare Council, Wimmera Development Association, Cavendish Police Station, various Douglas Environment Representative Committee members, Regional Development Victoria, </w:t>
            </w:r>
            <w:bookmarkStart w:id="80" w:name="_Hlk5101082"/>
            <w:r w:rsidRPr="00D76A77">
              <w:rPr>
                <w:rFonts w:ascii="Arial" w:hAnsi="Arial"/>
              </w:rPr>
              <w:t>Douglas Land Access Compensation Agreement</w:t>
            </w:r>
            <w:bookmarkEnd w:id="80"/>
            <w:r w:rsidR="00253197" w:rsidRPr="00D76A77">
              <w:rPr>
                <w:rFonts w:ascii="Arial" w:hAnsi="Arial"/>
              </w:rPr>
              <w:t xml:space="preserve"> (LACA)</w:t>
            </w:r>
            <w:r w:rsidRPr="00D76A77">
              <w:rPr>
                <w:rFonts w:ascii="Arial" w:hAnsi="Arial"/>
              </w:rPr>
              <w:t xml:space="preserve">, various local landholders and lessees, media, Department of Economic Development, Jobs, Transport and Resources (DEDJTR), Wimmera Catchment Management Authority and other interested stakeholders; </w:t>
            </w:r>
          </w:p>
          <w:p w14:paraId="7EF52506" w14:textId="77777777" w:rsidR="00941196" w:rsidRPr="00D76A77" w:rsidRDefault="00941196" w:rsidP="00D76A77">
            <w:pPr>
              <w:pStyle w:val="ListParagraph"/>
              <w:numPr>
                <w:ilvl w:val="0"/>
                <w:numId w:val="17"/>
              </w:numPr>
              <w:spacing w:after="120"/>
              <w:jc w:val="both"/>
              <w:rPr>
                <w:rFonts w:ascii="Arial" w:hAnsi="Arial"/>
              </w:rPr>
            </w:pPr>
            <w:bookmarkStart w:id="81" w:name="_Hlk2329180"/>
            <w:r w:rsidRPr="00D76A77">
              <w:rPr>
                <w:rFonts w:ascii="Arial" w:hAnsi="Arial"/>
              </w:rPr>
              <w:t xml:space="preserve">circulation of the quarterly Wimmera Project Update No. 1 (February 2019) to local members of parliament, Horsham Rural City Council, </w:t>
            </w:r>
            <w:proofErr w:type="spellStart"/>
            <w:r w:rsidRPr="00D76A77">
              <w:rPr>
                <w:rFonts w:ascii="Arial" w:hAnsi="Arial"/>
              </w:rPr>
              <w:t>Buloke</w:t>
            </w:r>
            <w:proofErr w:type="spellEnd"/>
            <w:r w:rsidRPr="00D76A77">
              <w:rPr>
                <w:rFonts w:ascii="Arial" w:hAnsi="Arial"/>
              </w:rPr>
              <w:t xml:space="preserve"> Shire Council, Shire of </w:t>
            </w:r>
            <w:proofErr w:type="spellStart"/>
            <w:r w:rsidRPr="00D76A77">
              <w:rPr>
                <w:rFonts w:ascii="Arial" w:hAnsi="Arial"/>
              </w:rPr>
              <w:t>Yarriambiack</w:t>
            </w:r>
            <w:proofErr w:type="spellEnd"/>
            <w:r w:rsidRPr="00D76A77">
              <w:rPr>
                <w:rFonts w:ascii="Arial" w:hAnsi="Arial"/>
              </w:rPr>
              <w:t xml:space="preserve">, Shire of Southern Grampians, </w:t>
            </w:r>
            <w:proofErr w:type="spellStart"/>
            <w:r w:rsidRPr="00D76A77">
              <w:rPr>
                <w:rFonts w:ascii="Arial" w:hAnsi="Arial"/>
              </w:rPr>
              <w:t>Barenji</w:t>
            </w:r>
            <w:proofErr w:type="spellEnd"/>
            <w:r w:rsidRPr="00D76A77">
              <w:rPr>
                <w:rFonts w:ascii="Arial" w:hAnsi="Arial"/>
              </w:rPr>
              <w:t xml:space="preserve"> </w:t>
            </w:r>
            <w:proofErr w:type="spellStart"/>
            <w:r w:rsidRPr="00D76A77">
              <w:rPr>
                <w:rFonts w:ascii="Arial" w:hAnsi="Arial"/>
              </w:rPr>
              <w:t>Gadjin</w:t>
            </w:r>
            <w:proofErr w:type="spellEnd"/>
            <w:r w:rsidRPr="00D76A77">
              <w:rPr>
                <w:rFonts w:ascii="Arial" w:hAnsi="Arial"/>
              </w:rPr>
              <w:t xml:space="preserve"> Landcare Council, Wimmera Development Association, Cavendish Police Station, Douglas Environment Representative Committee members, Regional Development Victoria, Douglas LACA, </w:t>
            </w:r>
            <w:r w:rsidRPr="00D76A77">
              <w:rPr>
                <w:rFonts w:ascii="Arial" w:hAnsi="Arial"/>
              </w:rPr>
              <w:lastRenderedPageBreak/>
              <w:t xml:space="preserve">local landholders and lessees, media, DEDJTR, Wimmera Catchment Management Authority and other interested stakeholders; </w:t>
            </w:r>
          </w:p>
          <w:bookmarkEnd w:id="81"/>
          <w:p w14:paraId="1D9A488C" w14:textId="77777777" w:rsidR="00505F28" w:rsidRPr="00D76A77" w:rsidRDefault="00505F28" w:rsidP="00D76A77">
            <w:pPr>
              <w:pStyle w:val="ListParagraph"/>
              <w:numPr>
                <w:ilvl w:val="0"/>
                <w:numId w:val="17"/>
              </w:numPr>
              <w:spacing w:after="120"/>
              <w:jc w:val="both"/>
              <w:rPr>
                <w:rFonts w:ascii="Arial" w:hAnsi="Arial"/>
              </w:rPr>
            </w:pPr>
            <w:r w:rsidRPr="00D76A77">
              <w:rPr>
                <w:rFonts w:ascii="Arial" w:hAnsi="Arial"/>
              </w:rPr>
              <w:t xml:space="preserve">presentation to a State government interagency workshop in </w:t>
            </w:r>
            <w:r w:rsidR="00C8172E" w:rsidRPr="00D76A77">
              <w:rPr>
                <w:rFonts w:ascii="Arial" w:hAnsi="Arial"/>
              </w:rPr>
              <w:t xml:space="preserve">April </w:t>
            </w:r>
            <w:r w:rsidRPr="00D76A77">
              <w:rPr>
                <w:rFonts w:ascii="Arial" w:hAnsi="Arial"/>
              </w:rPr>
              <w:t>2019;</w:t>
            </w:r>
          </w:p>
          <w:p w14:paraId="42DDF5F4" w14:textId="77777777" w:rsidR="00505F28" w:rsidRPr="00D76A77" w:rsidRDefault="00505F28" w:rsidP="00D76A77">
            <w:pPr>
              <w:pStyle w:val="ListParagraph"/>
              <w:numPr>
                <w:ilvl w:val="0"/>
                <w:numId w:val="17"/>
              </w:numPr>
              <w:spacing w:after="120"/>
              <w:jc w:val="both"/>
              <w:rPr>
                <w:rFonts w:ascii="Arial" w:hAnsi="Arial"/>
              </w:rPr>
            </w:pPr>
            <w:r w:rsidRPr="00D76A77">
              <w:rPr>
                <w:rFonts w:ascii="Arial" w:hAnsi="Arial"/>
              </w:rPr>
              <w:t xml:space="preserve">participation in a State Government working group, commencing </w:t>
            </w:r>
            <w:r w:rsidR="00C8172E" w:rsidRPr="00D76A77">
              <w:rPr>
                <w:rFonts w:ascii="Arial" w:hAnsi="Arial"/>
              </w:rPr>
              <w:t>May 2019</w:t>
            </w:r>
            <w:r w:rsidRPr="00D76A77">
              <w:rPr>
                <w:rFonts w:ascii="Arial" w:hAnsi="Arial"/>
              </w:rPr>
              <w:t>;</w:t>
            </w:r>
          </w:p>
          <w:p w14:paraId="58317C56" w14:textId="77777777" w:rsidR="00505F28" w:rsidRPr="00D76A77" w:rsidRDefault="00505F28" w:rsidP="00D76A77">
            <w:pPr>
              <w:pStyle w:val="ListParagraph"/>
              <w:numPr>
                <w:ilvl w:val="0"/>
                <w:numId w:val="17"/>
              </w:numPr>
              <w:spacing w:after="120"/>
              <w:jc w:val="both"/>
              <w:rPr>
                <w:rFonts w:ascii="Arial" w:hAnsi="Arial"/>
              </w:rPr>
            </w:pPr>
            <w:r w:rsidRPr="00D76A77">
              <w:rPr>
                <w:rFonts w:ascii="Arial" w:hAnsi="Arial"/>
              </w:rPr>
              <w:t xml:space="preserve">presentation to the Horsham Rural City Council </w:t>
            </w:r>
            <w:r w:rsidR="00C8172E" w:rsidRPr="00D76A77">
              <w:rPr>
                <w:rFonts w:ascii="Arial" w:hAnsi="Arial"/>
              </w:rPr>
              <w:t>in June 2019;</w:t>
            </w:r>
          </w:p>
          <w:p w14:paraId="7D7BE241" w14:textId="7777777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targeted consultation (emails, meetings and phone calls) with affected landowners, ongoing since November 2018 regarding land access to conduct baseline study assessments and drilling (ecology, noise, groundwater, surface water and Aboriginal heritage);</w:t>
            </w:r>
          </w:p>
          <w:p w14:paraId="14A3D0DA" w14:textId="7777777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project updates at the quarterly Douglas Environmental Review Committee meetings in May, August and November 2018 and in February 2019;</w:t>
            </w:r>
          </w:p>
          <w:p w14:paraId="6B8FEAC6" w14:textId="7777777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tours of the test pit;</w:t>
            </w:r>
          </w:p>
          <w:p w14:paraId="0B2E94E2" w14:textId="7777777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media releases;</w:t>
            </w:r>
          </w:p>
          <w:p w14:paraId="15126BC2" w14:textId="7777777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 xml:space="preserve">establishment of a staffed drop-in information centre at Horsham Real Estate (13-17 </w:t>
            </w:r>
            <w:proofErr w:type="spellStart"/>
            <w:r w:rsidRPr="00D76A77">
              <w:rPr>
                <w:rFonts w:ascii="Arial" w:hAnsi="Arial"/>
              </w:rPr>
              <w:t>Firebrace</w:t>
            </w:r>
            <w:proofErr w:type="spellEnd"/>
            <w:r w:rsidRPr="00D76A77">
              <w:rPr>
                <w:rFonts w:ascii="Arial" w:hAnsi="Arial"/>
              </w:rPr>
              <w:t xml:space="preserve"> Street Horsham). This centre opened in February 2019 and is open Tuesdays and Fridays 9.30 am - 2.30 pm or by appointment;</w:t>
            </w:r>
          </w:p>
          <w:p w14:paraId="7EBCBA27" w14:textId="237784D1" w:rsidR="00F4236D" w:rsidRPr="00D76A77" w:rsidRDefault="00F4236D" w:rsidP="00D76A77">
            <w:pPr>
              <w:pStyle w:val="ListParagraph"/>
              <w:numPr>
                <w:ilvl w:val="0"/>
                <w:numId w:val="17"/>
              </w:numPr>
              <w:spacing w:after="120"/>
              <w:jc w:val="both"/>
              <w:rPr>
                <w:rFonts w:ascii="Arial" w:hAnsi="Arial"/>
              </w:rPr>
            </w:pPr>
            <w:r w:rsidRPr="00D76A77">
              <w:rPr>
                <w:rFonts w:ascii="Arial" w:hAnsi="Arial"/>
              </w:rPr>
              <w:t>establishment of a staffed drop-in information centre at Natimuk (details to be confirmed but likely to be one day a week</w:t>
            </w:r>
            <w:r w:rsidR="00C477B2" w:rsidRPr="00D76A77">
              <w:rPr>
                <w:rFonts w:ascii="Arial" w:hAnsi="Arial"/>
              </w:rPr>
              <w:t>, commencing in</w:t>
            </w:r>
            <w:r w:rsidR="00253197" w:rsidRPr="00D76A77">
              <w:rPr>
                <w:rFonts w:ascii="Arial" w:hAnsi="Arial"/>
              </w:rPr>
              <w:t xml:space="preserve"> July </w:t>
            </w:r>
            <w:r w:rsidR="00C477B2" w:rsidRPr="00D76A77">
              <w:rPr>
                <w:rFonts w:ascii="Arial" w:hAnsi="Arial"/>
              </w:rPr>
              <w:t>2019</w:t>
            </w:r>
            <w:r w:rsidRPr="00D76A77">
              <w:rPr>
                <w:rFonts w:ascii="Arial" w:hAnsi="Arial"/>
              </w:rPr>
              <w:t>);</w:t>
            </w:r>
          </w:p>
          <w:p w14:paraId="293E71B7" w14:textId="7777777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the community information line (telephone 1800 201 113) which is available for members of the community to discuss the Project with Iluka;</w:t>
            </w:r>
          </w:p>
          <w:p w14:paraId="5B9D4395" w14:textId="0A4EE9B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 xml:space="preserve">implementation of the </w:t>
            </w:r>
            <w:r w:rsidRPr="00D76A77">
              <w:rPr>
                <w:rFonts w:ascii="Arial" w:hAnsi="Arial"/>
                <w:i/>
                <w:iCs/>
              </w:rPr>
              <w:t>WIM100 Test Pit Community Engagement Plan</w:t>
            </w:r>
            <w:r w:rsidRPr="00D76A77">
              <w:rPr>
                <w:rFonts w:ascii="Arial" w:hAnsi="Arial"/>
              </w:rPr>
              <w:t xml:space="preserve"> (August 2018) which outlines Iluka’s consultation program for the test pit. The plan outlines the key stakeholders identified, their potential concerns, the proposed communications strategy and the proposed schedule. A copy of the test pit consultation plan is included as Appendix </w:t>
            </w:r>
            <w:r w:rsidR="00323595" w:rsidRPr="00D76A77">
              <w:rPr>
                <w:rFonts w:ascii="Arial" w:hAnsi="Arial"/>
              </w:rPr>
              <w:t>I</w:t>
            </w:r>
            <w:r w:rsidRPr="00D76A77">
              <w:rPr>
                <w:rFonts w:ascii="Arial" w:hAnsi="Arial"/>
              </w:rPr>
              <w:t>;</w:t>
            </w:r>
          </w:p>
          <w:p w14:paraId="3B369D9F" w14:textId="77777777"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a stakeholder perception survey in 2018 of Iluka’s Australian operations, including those in the Murray Basin; and</w:t>
            </w:r>
          </w:p>
          <w:p w14:paraId="3949A538" w14:textId="62A6FA45" w:rsidR="00941196" w:rsidRPr="00D76A77" w:rsidRDefault="00941196" w:rsidP="00D76A77">
            <w:pPr>
              <w:pStyle w:val="ListParagraph"/>
              <w:numPr>
                <w:ilvl w:val="0"/>
                <w:numId w:val="17"/>
              </w:numPr>
              <w:spacing w:after="120"/>
              <w:jc w:val="both"/>
              <w:rPr>
                <w:rFonts w:ascii="Arial" w:hAnsi="Arial"/>
              </w:rPr>
            </w:pPr>
            <w:r w:rsidRPr="00D76A77">
              <w:rPr>
                <w:rFonts w:ascii="Arial" w:hAnsi="Arial"/>
              </w:rPr>
              <w:t>discussions with Government agencies, as summarised in Table 10.1.</w:t>
            </w:r>
          </w:p>
          <w:p w14:paraId="3ADC1749" w14:textId="7F804C1A" w:rsidR="001E301B" w:rsidRDefault="001E301B" w:rsidP="001E301B"/>
          <w:tbl>
            <w:tblPr>
              <w:tblW w:w="10065" w:type="dxa"/>
              <w:tblInd w:w="37" w:type="dxa"/>
              <w:tblBorders>
                <w:top w:val="single" w:sz="2" w:space="0" w:color="262626"/>
                <w:bottom w:val="single" w:sz="2" w:space="0" w:color="262626"/>
              </w:tblBorders>
              <w:tblLayout w:type="fixed"/>
              <w:tblLook w:val="0620" w:firstRow="1" w:lastRow="0" w:firstColumn="0" w:lastColumn="0" w:noHBand="1" w:noVBand="1"/>
            </w:tblPr>
            <w:tblGrid>
              <w:gridCol w:w="2820"/>
              <w:gridCol w:w="1418"/>
              <w:gridCol w:w="2442"/>
              <w:gridCol w:w="1522"/>
              <w:gridCol w:w="434"/>
              <w:gridCol w:w="138"/>
              <w:gridCol w:w="135"/>
              <w:gridCol w:w="297"/>
              <w:gridCol w:w="142"/>
              <w:gridCol w:w="250"/>
              <w:gridCol w:w="323"/>
              <w:gridCol w:w="70"/>
              <w:gridCol w:w="74"/>
            </w:tblGrid>
            <w:tr w:rsidR="00941196" w:rsidRPr="00A0448B" w14:paraId="0B9AA728" w14:textId="77777777" w:rsidTr="00253197">
              <w:trPr>
                <w:gridAfter w:val="3"/>
                <w:wAfter w:w="467" w:type="dxa"/>
                <w:tblHeader/>
              </w:trPr>
              <w:tc>
                <w:tcPr>
                  <w:tcW w:w="9598" w:type="dxa"/>
                  <w:gridSpan w:val="10"/>
                </w:tcPr>
                <w:p w14:paraId="5954219F" w14:textId="77777777" w:rsidR="00941196" w:rsidRPr="00A0448B" w:rsidRDefault="00941196" w:rsidP="00941196">
                  <w:pPr>
                    <w:pStyle w:val="TableCaption"/>
                    <w:rPr>
                      <w:rFonts w:ascii="Arial" w:hAnsi="Arial" w:cs="Arial"/>
                      <w:sz w:val="18"/>
                    </w:rPr>
                  </w:pPr>
                  <w:bookmarkStart w:id="82" w:name="_Toc5893631"/>
                  <w:bookmarkStart w:id="83" w:name="_Toc5957384"/>
                  <w:bookmarkStart w:id="84" w:name="_Toc5957612"/>
                  <w:bookmarkStart w:id="85" w:name="_Toc5957740"/>
                  <w:bookmarkStart w:id="86" w:name="_Toc7689778"/>
                  <w:bookmarkStart w:id="87" w:name="_Toc7770334"/>
                  <w:bookmarkStart w:id="88" w:name="_Toc7787939"/>
                  <w:bookmarkStart w:id="89" w:name="_Toc8400194"/>
                  <w:r w:rsidRPr="00A0448B">
                    <w:rPr>
                      <w:rFonts w:ascii="Arial" w:hAnsi="Arial" w:cs="Arial"/>
                      <w:sz w:val="18"/>
                    </w:rPr>
                    <w:t>Table 10.1</w:t>
                  </w:r>
                  <w:r w:rsidRPr="00A0448B">
                    <w:rPr>
                      <w:rFonts w:ascii="Arial" w:hAnsi="Arial" w:cs="Arial"/>
                      <w:sz w:val="18"/>
                    </w:rPr>
                    <w:tab/>
                    <w:t>Consultation with government agencies</w:t>
                  </w:r>
                  <w:bookmarkEnd w:id="82"/>
                  <w:bookmarkEnd w:id="83"/>
                  <w:bookmarkEnd w:id="84"/>
                  <w:bookmarkEnd w:id="85"/>
                  <w:bookmarkEnd w:id="86"/>
                  <w:bookmarkEnd w:id="87"/>
                  <w:bookmarkEnd w:id="88"/>
                  <w:bookmarkEnd w:id="89"/>
                </w:p>
              </w:tc>
            </w:tr>
            <w:tr w:rsidR="00941196" w:rsidRPr="00A0448B" w14:paraId="3396D974" w14:textId="77777777" w:rsidTr="00741D5F">
              <w:tblPrEx>
                <w:tblBorders>
                  <w:top w:val="none" w:sz="0" w:space="0" w:color="auto"/>
                  <w:bottom w:val="none" w:sz="0" w:space="0" w:color="auto"/>
                </w:tblBorders>
              </w:tblPrEx>
              <w:trPr>
                <w:gridAfter w:val="10"/>
                <w:wAfter w:w="3385" w:type="dxa"/>
              </w:trPr>
              <w:tc>
                <w:tcPr>
                  <w:tcW w:w="2820" w:type="dxa"/>
                </w:tcPr>
                <w:p w14:paraId="470B6D91" w14:textId="77777777" w:rsidR="00941196" w:rsidRPr="00A0448B" w:rsidRDefault="00941196" w:rsidP="00941196">
                  <w:pPr>
                    <w:pStyle w:val="TableHeading"/>
                    <w:rPr>
                      <w:rFonts w:ascii="Arial" w:hAnsi="Arial" w:cs="Arial"/>
                      <w:szCs w:val="18"/>
                    </w:rPr>
                  </w:pPr>
                  <w:r w:rsidRPr="00A0448B">
                    <w:rPr>
                      <w:rFonts w:ascii="Arial" w:hAnsi="Arial" w:cs="Arial"/>
                      <w:szCs w:val="18"/>
                    </w:rPr>
                    <w:t>Agency</w:t>
                  </w:r>
                </w:p>
              </w:tc>
              <w:tc>
                <w:tcPr>
                  <w:tcW w:w="1418" w:type="dxa"/>
                </w:tcPr>
                <w:p w14:paraId="1C772AD2" w14:textId="77777777" w:rsidR="00941196" w:rsidRPr="00A0448B" w:rsidRDefault="00941196" w:rsidP="00941196">
                  <w:pPr>
                    <w:pStyle w:val="TableHeading"/>
                    <w:rPr>
                      <w:rFonts w:ascii="Arial" w:hAnsi="Arial" w:cs="Arial"/>
                      <w:szCs w:val="18"/>
                    </w:rPr>
                  </w:pPr>
                  <w:r w:rsidRPr="00A0448B">
                    <w:rPr>
                      <w:rFonts w:ascii="Arial" w:hAnsi="Arial" w:cs="Arial"/>
                      <w:szCs w:val="18"/>
                    </w:rPr>
                    <w:t>Date</w:t>
                  </w:r>
                </w:p>
              </w:tc>
              <w:tc>
                <w:tcPr>
                  <w:tcW w:w="2442" w:type="dxa"/>
                </w:tcPr>
                <w:p w14:paraId="22B27748" w14:textId="77777777" w:rsidR="00941196" w:rsidRPr="00A0448B" w:rsidRDefault="00941196" w:rsidP="00941196">
                  <w:pPr>
                    <w:pStyle w:val="TableHeading"/>
                    <w:rPr>
                      <w:rFonts w:ascii="Arial" w:hAnsi="Arial" w:cs="Arial"/>
                      <w:szCs w:val="18"/>
                    </w:rPr>
                  </w:pPr>
                  <w:r w:rsidRPr="00A0448B">
                    <w:rPr>
                      <w:rFonts w:ascii="Arial" w:hAnsi="Arial" w:cs="Arial"/>
                      <w:szCs w:val="18"/>
                    </w:rPr>
                    <w:t>Regarding</w:t>
                  </w:r>
                </w:p>
              </w:tc>
            </w:tr>
            <w:tr w:rsidR="00941196" w:rsidRPr="00A0448B" w14:paraId="4F1AB493" w14:textId="77777777" w:rsidTr="00741D5F">
              <w:tblPrEx>
                <w:tblBorders>
                  <w:top w:val="none" w:sz="0" w:space="0" w:color="auto"/>
                  <w:bottom w:val="none" w:sz="0" w:space="0" w:color="auto"/>
                </w:tblBorders>
              </w:tblPrEx>
              <w:trPr>
                <w:gridAfter w:val="6"/>
                <w:wAfter w:w="1156" w:type="dxa"/>
              </w:trPr>
              <w:tc>
                <w:tcPr>
                  <w:tcW w:w="2820" w:type="dxa"/>
                </w:tcPr>
                <w:p w14:paraId="3D20F7E1" w14:textId="77777777" w:rsidR="00941196" w:rsidRPr="00A0448B" w:rsidRDefault="00941196" w:rsidP="00941196">
                  <w:pPr>
                    <w:pStyle w:val="TableText"/>
                    <w:rPr>
                      <w:rFonts w:ascii="Arial" w:hAnsi="Arial" w:cs="Arial"/>
                      <w:szCs w:val="18"/>
                    </w:rPr>
                  </w:pPr>
                  <w:r w:rsidRPr="00A0448B">
                    <w:rPr>
                      <w:rFonts w:ascii="Arial" w:hAnsi="Arial" w:cs="Arial"/>
                      <w:szCs w:val="18"/>
                    </w:rPr>
                    <w:t>Department of Economic Development, Jobs, Transport and Resources (DEDJTR)</w:t>
                  </w:r>
                </w:p>
              </w:tc>
              <w:tc>
                <w:tcPr>
                  <w:tcW w:w="1418" w:type="dxa"/>
                </w:tcPr>
                <w:p w14:paraId="34D24A2E" w14:textId="77777777" w:rsidR="00941196" w:rsidRPr="00A0448B" w:rsidRDefault="00941196" w:rsidP="00941196">
                  <w:pPr>
                    <w:pStyle w:val="TableText"/>
                    <w:rPr>
                      <w:rFonts w:ascii="Arial" w:hAnsi="Arial" w:cs="Arial"/>
                      <w:szCs w:val="18"/>
                    </w:rPr>
                  </w:pPr>
                  <w:r w:rsidRPr="00A0448B">
                    <w:rPr>
                      <w:rFonts w:ascii="Arial" w:hAnsi="Arial" w:cs="Arial"/>
                      <w:szCs w:val="18"/>
                    </w:rPr>
                    <w:t>February 2018</w:t>
                  </w:r>
                </w:p>
              </w:tc>
              <w:tc>
                <w:tcPr>
                  <w:tcW w:w="4671" w:type="dxa"/>
                  <w:gridSpan w:val="5"/>
                </w:tcPr>
                <w:p w14:paraId="02749F94" w14:textId="77777777" w:rsidR="00941196" w:rsidRPr="00A0448B" w:rsidRDefault="00941196" w:rsidP="00941196">
                  <w:pPr>
                    <w:pStyle w:val="TableText"/>
                    <w:rPr>
                      <w:rFonts w:ascii="Arial" w:hAnsi="Arial" w:cs="Arial"/>
                      <w:szCs w:val="18"/>
                    </w:rPr>
                  </w:pPr>
                  <w:r w:rsidRPr="00A0448B">
                    <w:rPr>
                      <w:rFonts w:ascii="Arial" w:hAnsi="Arial" w:cs="Arial"/>
                      <w:szCs w:val="18"/>
                    </w:rPr>
                    <w:t>Preparation of an Exploration Work Plan in relation to the test pit.</w:t>
                  </w:r>
                </w:p>
              </w:tc>
            </w:tr>
            <w:tr w:rsidR="00941196" w:rsidRPr="00A0448B" w14:paraId="4751BA31" w14:textId="77777777" w:rsidTr="00741D5F">
              <w:tblPrEx>
                <w:tblBorders>
                  <w:top w:val="none" w:sz="0" w:space="0" w:color="auto"/>
                  <w:bottom w:val="none" w:sz="0" w:space="0" w:color="auto"/>
                </w:tblBorders>
              </w:tblPrEx>
              <w:trPr>
                <w:gridAfter w:val="6"/>
                <w:wAfter w:w="1156" w:type="dxa"/>
              </w:trPr>
              <w:tc>
                <w:tcPr>
                  <w:tcW w:w="2820" w:type="dxa"/>
                </w:tcPr>
                <w:p w14:paraId="4E8E5401" w14:textId="77777777" w:rsidR="00941196" w:rsidRPr="00A0448B" w:rsidRDefault="00941196" w:rsidP="00941196">
                  <w:pPr>
                    <w:pStyle w:val="TableText"/>
                    <w:rPr>
                      <w:rFonts w:ascii="Arial" w:hAnsi="Arial" w:cs="Arial"/>
                      <w:szCs w:val="18"/>
                    </w:rPr>
                  </w:pPr>
                  <w:proofErr w:type="spellStart"/>
                  <w:r w:rsidRPr="00A0448B">
                    <w:rPr>
                      <w:rFonts w:ascii="Arial" w:hAnsi="Arial" w:cs="Arial"/>
                      <w:szCs w:val="18"/>
                    </w:rPr>
                    <w:t>VicTrack</w:t>
                  </w:r>
                  <w:proofErr w:type="spellEnd"/>
                  <w:r w:rsidRPr="00A0448B">
                    <w:rPr>
                      <w:rFonts w:ascii="Arial" w:hAnsi="Arial" w:cs="Arial"/>
                      <w:szCs w:val="18"/>
                    </w:rPr>
                    <w:t xml:space="preserve"> and DEDJTR </w:t>
                  </w:r>
                </w:p>
              </w:tc>
              <w:tc>
                <w:tcPr>
                  <w:tcW w:w="1418" w:type="dxa"/>
                </w:tcPr>
                <w:p w14:paraId="45398AB9" w14:textId="77777777" w:rsidR="00941196" w:rsidRPr="00A0448B" w:rsidRDefault="00941196" w:rsidP="00941196">
                  <w:pPr>
                    <w:pStyle w:val="TableText"/>
                    <w:rPr>
                      <w:rFonts w:ascii="Arial" w:hAnsi="Arial" w:cs="Arial"/>
                      <w:szCs w:val="18"/>
                    </w:rPr>
                  </w:pPr>
                  <w:r w:rsidRPr="00A0448B">
                    <w:rPr>
                      <w:rFonts w:ascii="Arial" w:hAnsi="Arial" w:cs="Arial"/>
                      <w:szCs w:val="18"/>
                    </w:rPr>
                    <w:t>May 2018</w:t>
                  </w:r>
                </w:p>
              </w:tc>
              <w:tc>
                <w:tcPr>
                  <w:tcW w:w="4671" w:type="dxa"/>
                  <w:gridSpan w:val="5"/>
                </w:tcPr>
                <w:p w14:paraId="49121481" w14:textId="77777777" w:rsidR="00741D5F" w:rsidRDefault="00941196" w:rsidP="00941196">
                  <w:pPr>
                    <w:pStyle w:val="TableText"/>
                    <w:rPr>
                      <w:rFonts w:ascii="Arial" w:hAnsi="Arial" w:cs="Arial"/>
                      <w:szCs w:val="18"/>
                    </w:rPr>
                  </w:pPr>
                  <w:r w:rsidRPr="00A0448B">
                    <w:rPr>
                      <w:rFonts w:ascii="Arial" w:hAnsi="Arial" w:cs="Arial"/>
                      <w:szCs w:val="18"/>
                    </w:rPr>
                    <w:t xml:space="preserve">Permission to construct a temporary access road for </w:t>
                  </w:r>
                </w:p>
                <w:p w14:paraId="4B8BA550" w14:textId="324CD848" w:rsidR="00941196" w:rsidRPr="00A0448B" w:rsidRDefault="00941196" w:rsidP="00941196">
                  <w:pPr>
                    <w:pStyle w:val="TableText"/>
                    <w:rPr>
                      <w:rFonts w:ascii="Arial" w:hAnsi="Arial" w:cs="Arial"/>
                      <w:szCs w:val="18"/>
                    </w:rPr>
                  </w:pPr>
                  <w:r w:rsidRPr="00A0448B">
                    <w:rPr>
                      <w:rFonts w:ascii="Arial" w:hAnsi="Arial" w:cs="Arial"/>
                      <w:szCs w:val="18"/>
                    </w:rPr>
                    <w:t>the test pit across decommissioned Balmoral rail corridor in relation to the test pit.</w:t>
                  </w:r>
                </w:p>
              </w:tc>
            </w:tr>
            <w:tr w:rsidR="00253197" w:rsidRPr="00A0448B" w14:paraId="1CEC7EC4" w14:textId="77777777" w:rsidTr="00741D5F">
              <w:tblPrEx>
                <w:tblBorders>
                  <w:top w:val="none" w:sz="0" w:space="0" w:color="auto"/>
                  <w:bottom w:val="none" w:sz="0" w:space="0" w:color="auto"/>
                </w:tblBorders>
              </w:tblPrEx>
              <w:trPr>
                <w:gridAfter w:val="9"/>
                <w:wAfter w:w="1863" w:type="dxa"/>
              </w:trPr>
              <w:tc>
                <w:tcPr>
                  <w:tcW w:w="2820" w:type="dxa"/>
                </w:tcPr>
                <w:p w14:paraId="2560B242" w14:textId="77777777" w:rsidR="00253197" w:rsidRPr="00A0448B" w:rsidRDefault="00253197" w:rsidP="00941196">
                  <w:pPr>
                    <w:pStyle w:val="TableText"/>
                    <w:rPr>
                      <w:rFonts w:ascii="Arial" w:hAnsi="Arial" w:cs="Arial"/>
                      <w:szCs w:val="18"/>
                    </w:rPr>
                  </w:pPr>
                  <w:r w:rsidRPr="00A0448B">
                    <w:rPr>
                      <w:rFonts w:ascii="Arial" w:hAnsi="Arial" w:cs="Arial"/>
                      <w:szCs w:val="18"/>
                    </w:rPr>
                    <w:t xml:space="preserve">Environment Protection Authority Victoria (EPA) </w:t>
                  </w:r>
                </w:p>
              </w:tc>
              <w:tc>
                <w:tcPr>
                  <w:tcW w:w="1418" w:type="dxa"/>
                </w:tcPr>
                <w:p w14:paraId="09A35A42" w14:textId="77777777" w:rsidR="00253197" w:rsidRPr="00A0448B" w:rsidRDefault="00253197" w:rsidP="00941196">
                  <w:pPr>
                    <w:pStyle w:val="TableText"/>
                    <w:rPr>
                      <w:rFonts w:ascii="Arial" w:hAnsi="Arial" w:cs="Arial"/>
                      <w:szCs w:val="18"/>
                    </w:rPr>
                  </w:pPr>
                  <w:r w:rsidRPr="00A0448B">
                    <w:rPr>
                      <w:rFonts w:ascii="Arial" w:hAnsi="Arial" w:cs="Arial"/>
                      <w:szCs w:val="18"/>
                    </w:rPr>
                    <w:t>July 2018</w:t>
                  </w:r>
                </w:p>
              </w:tc>
              <w:tc>
                <w:tcPr>
                  <w:tcW w:w="3964" w:type="dxa"/>
                  <w:gridSpan w:val="2"/>
                </w:tcPr>
                <w:p w14:paraId="5ACA4601" w14:textId="77777777" w:rsidR="00253197" w:rsidRPr="00A0448B" w:rsidRDefault="00253197" w:rsidP="00941196">
                  <w:pPr>
                    <w:pStyle w:val="TableText"/>
                    <w:rPr>
                      <w:rFonts w:ascii="Arial" w:hAnsi="Arial" w:cs="Arial"/>
                      <w:szCs w:val="18"/>
                    </w:rPr>
                  </w:pPr>
                  <w:r w:rsidRPr="00A0448B">
                    <w:rPr>
                      <w:rFonts w:ascii="Arial" w:hAnsi="Arial" w:cs="Arial"/>
                      <w:szCs w:val="18"/>
                    </w:rPr>
                    <w:t>Permits for the disposal of water associated with the test pit.</w:t>
                  </w:r>
                </w:p>
              </w:tc>
            </w:tr>
            <w:tr w:rsidR="007C5530" w:rsidRPr="00A0448B" w14:paraId="570B1FB3" w14:textId="77777777" w:rsidTr="00741D5F">
              <w:tblPrEx>
                <w:tblBorders>
                  <w:top w:val="none" w:sz="0" w:space="0" w:color="auto"/>
                  <w:bottom w:val="none" w:sz="0" w:space="0" w:color="auto"/>
                </w:tblBorders>
              </w:tblPrEx>
              <w:trPr>
                <w:gridAfter w:val="4"/>
                <w:wAfter w:w="717" w:type="dxa"/>
              </w:trPr>
              <w:tc>
                <w:tcPr>
                  <w:tcW w:w="2820" w:type="dxa"/>
                </w:tcPr>
                <w:p w14:paraId="37C7D5FB" w14:textId="77777777" w:rsidR="00941196" w:rsidRPr="00A0448B" w:rsidRDefault="00941196" w:rsidP="00941196">
                  <w:pPr>
                    <w:pStyle w:val="TableText"/>
                    <w:rPr>
                      <w:rFonts w:ascii="Arial" w:hAnsi="Arial" w:cs="Arial"/>
                      <w:szCs w:val="18"/>
                    </w:rPr>
                  </w:pPr>
                  <w:r w:rsidRPr="00A0448B">
                    <w:rPr>
                      <w:rFonts w:ascii="Arial" w:hAnsi="Arial" w:cs="Arial"/>
                      <w:szCs w:val="18"/>
                    </w:rPr>
                    <w:t xml:space="preserve">Horsham City Rural Council planning department and VicRoads </w:t>
                  </w:r>
                </w:p>
              </w:tc>
              <w:tc>
                <w:tcPr>
                  <w:tcW w:w="1418" w:type="dxa"/>
                </w:tcPr>
                <w:p w14:paraId="0868E18B" w14:textId="77777777" w:rsidR="00941196" w:rsidRPr="00A0448B" w:rsidRDefault="00941196" w:rsidP="00941196">
                  <w:pPr>
                    <w:pStyle w:val="TableText"/>
                    <w:rPr>
                      <w:rFonts w:ascii="Arial" w:hAnsi="Arial" w:cs="Arial"/>
                      <w:szCs w:val="18"/>
                    </w:rPr>
                  </w:pPr>
                  <w:r w:rsidRPr="00A0448B">
                    <w:rPr>
                      <w:rFonts w:ascii="Arial" w:hAnsi="Arial" w:cs="Arial"/>
                      <w:szCs w:val="18"/>
                    </w:rPr>
                    <w:t>August 2018</w:t>
                  </w:r>
                </w:p>
              </w:tc>
              <w:tc>
                <w:tcPr>
                  <w:tcW w:w="5110" w:type="dxa"/>
                  <w:gridSpan w:val="7"/>
                </w:tcPr>
                <w:p w14:paraId="5E776E05" w14:textId="77777777" w:rsidR="00741D5F" w:rsidRDefault="00941196" w:rsidP="00941196">
                  <w:pPr>
                    <w:pStyle w:val="TableText"/>
                    <w:rPr>
                      <w:rFonts w:ascii="Arial" w:hAnsi="Arial" w:cs="Arial"/>
                      <w:szCs w:val="18"/>
                    </w:rPr>
                  </w:pPr>
                  <w:r w:rsidRPr="00A0448B">
                    <w:rPr>
                      <w:rFonts w:ascii="Arial" w:hAnsi="Arial" w:cs="Arial"/>
                      <w:szCs w:val="18"/>
                    </w:rPr>
                    <w:t xml:space="preserve">Permission to construct a temporary access road in </w:t>
                  </w:r>
                </w:p>
                <w:p w14:paraId="3AA13F6E" w14:textId="55A9643D" w:rsidR="00941196" w:rsidRPr="00A0448B" w:rsidRDefault="00941196" w:rsidP="00941196">
                  <w:pPr>
                    <w:pStyle w:val="TableText"/>
                    <w:rPr>
                      <w:rFonts w:ascii="Arial" w:hAnsi="Arial" w:cs="Arial"/>
                      <w:szCs w:val="18"/>
                    </w:rPr>
                  </w:pPr>
                  <w:r w:rsidRPr="00A0448B">
                    <w:rPr>
                      <w:rFonts w:ascii="Arial" w:hAnsi="Arial" w:cs="Arial"/>
                      <w:szCs w:val="18"/>
                    </w:rPr>
                    <w:t>relation to the test pit.</w:t>
                  </w:r>
                </w:p>
              </w:tc>
            </w:tr>
            <w:tr w:rsidR="007C5530" w:rsidRPr="00A0448B" w14:paraId="3FFE5473" w14:textId="77777777" w:rsidTr="00741D5F">
              <w:tblPrEx>
                <w:tblBorders>
                  <w:top w:val="none" w:sz="0" w:space="0" w:color="auto"/>
                  <w:bottom w:val="none" w:sz="0" w:space="0" w:color="auto"/>
                </w:tblBorders>
              </w:tblPrEx>
              <w:trPr>
                <w:gridAfter w:val="4"/>
                <w:wAfter w:w="717" w:type="dxa"/>
              </w:trPr>
              <w:tc>
                <w:tcPr>
                  <w:tcW w:w="2820" w:type="dxa"/>
                </w:tcPr>
                <w:p w14:paraId="60CBED78" w14:textId="77777777" w:rsidR="00941196" w:rsidRPr="00A0448B" w:rsidRDefault="00941196" w:rsidP="00941196">
                  <w:pPr>
                    <w:pStyle w:val="TableText"/>
                    <w:rPr>
                      <w:rFonts w:ascii="Arial" w:hAnsi="Arial" w:cs="Arial"/>
                      <w:szCs w:val="18"/>
                    </w:rPr>
                  </w:pPr>
                  <w:r w:rsidRPr="00A0448B">
                    <w:rPr>
                      <w:rFonts w:ascii="Arial" w:hAnsi="Arial" w:cs="Arial"/>
                      <w:szCs w:val="18"/>
                    </w:rPr>
                    <w:t xml:space="preserve">Grampians Wimmera Mallee Water (GWM Water) </w:t>
                  </w:r>
                </w:p>
              </w:tc>
              <w:tc>
                <w:tcPr>
                  <w:tcW w:w="1418" w:type="dxa"/>
                </w:tcPr>
                <w:p w14:paraId="0A61ED76" w14:textId="77777777" w:rsidR="00941196" w:rsidRPr="00A0448B" w:rsidRDefault="00941196" w:rsidP="00941196">
                  <w:pPr>
                    <w:pStyle w:val="TableText"/>
                    <w:rPr>
                      <w:rFonts w:ascii="Arial" w:hAnsi="Arial" w:cs="Arial"/>
                      <w:szCs w:val="18"/>
                    </w:rPr>
                  </w:pPr>
                  <w:r w:rsidRPr="00A0448B">
                    <w:rPr>
                      <w:rFonts w:ascii="Arial" w:hAnsi="Arial" w:cs="Arial"/>
                      <w:szCs w:val="18"/>
                    </w:rPr>
                    <w:t>October 2018</w:t>
                  </w:r>
                </w:p>
              </w:tc>
              <w:tc>
                <w:tcPr>
                  <w:tcW w:w="5110" w:type="dxa"/>
                  <w:gridSpan w:val="7"/>
                </w:tcPr>
                <w:p w14:paraId="61ECA1FB" w14:textId="77777777" w:rsidR="00741D5F" w:rsidRDefault="00941196" w:rsidP="00941196">
                  <w:pPr>
                    <w:pStyle w:val="TableText"/>
                    <w:rPr>
                      <w:rFonts w:ascii="Arial" w:hAnsi="Arial" w:cs="Arial"/>
                      <w:szCs w:val="18"/>
                    </w:rPr>
                  </w:pPr>
                  <w:r w:rsidRPr="00A0448B">
                    <w:rPr>
                      <w:rFonts w:ascii="Arial" w:hAnsi="Arial" w:cs="Arial"/>
                      <w:szCs w:val="18"/>
                    </w:rPr>
                    <w:t>Application for a water carting permit in relation to the</w:t>
                  </w:r>
                </w:p>
                <w:p w14:paraId="73709E03" w14:textId="77777777" w:rsidR="00741D5F" w:rsidRDefault="00941196" w:rsidP="00941196">
                  <w:pPr>
                    <w:pStyle w:val="TableText"/>
                    <w:rPr>
                      <w:rFonts w:ascii="Arial" w:hAnsi="Arial" w:cs="Arial"/>
                      <w:szCs w:val="18"/>
                    </w:rPr>
                  </w:pPr>
                  <w:r w:rsidRPr="00A0448B">
                    <w:rPr>
                      <w:rFonts w:ascii="Arial" w:hAnsi="Arial" w:cs="Arial"/>
                      <w:szCs w:val="18"/>
                    </w:rPr>
                    <w:t xml:space="preserve">test pit dewatering and also the construction of </w:t>
                  </w:r>
                </w:p>
                <w:p w14:paraId="69DF8BAD" w14:textId="30B6E4B4" w:rsidR="00941196" w:rsidRPr="00A0448B" w:rsidRDefault="00941196" w:rsidP="00941196">
                  <w:pPr>
                    <w:pStyle w:val="TableText"/>
                    <w:rPr>
                      <w:rFonts w:ascii="Arial" w:hAnsi="Arial" w:cs="Arial"/>
                      <w:szCs w:val="18"/>
                    </w:rPr>
                  </w:pPr>
                  <w:r w:rsidRPr="00A0448B">
                    <w:rPr>
                      <w:rFonts w:ascii="Arial" w:hAnsi="Arial" w:cs="Arial"/>
                      <w:szCs w:val="18"/>
                    </w:rPr>
                    <w:t>groundwater bores.</w:t>
                  </w:r>
                </w:p>
              </w:tc>
            </w:tr>
            <w:tr w:rsidR="007C5530" w:rsidRPr="00A0448B" w14:paraId="54BABF14" w14:textId="77777777" w:rsidTr="00741D5F">
              <w:tblPrEx>
                <w:tblBorders>
                  <w:top w:val="none" w:sz="0" w:space="0" w:color="auto"/>
                  <w:bottom w:val="none" w:sz="0" w:space="0" w:color="auto"/>
                </w:tblBorders>
              </w:tblPrEx>
              <w:trPr>
                <w:gridAfter w:val="5"/>
                <w:wAfter w:w="859" w:type="dxa"/>
              </w:trPr>
              <w:tc>
                <w:tcPr>
                  <w:tcW w:w="2820" w:type="dxa"/>
                </w:tcPr>
                <w:p w14:paraId="1AFA8922" w14:textId="77777777" w:rsidR="00941196" w:rsidRPr="00A0448B" w:rsidRDefault="00941196" w:rsidP="00941196">
                  <w:pPr>
                    <w:pStyle w:val="TableText"/>
                    <w:rPr>
                      <w:rFonts w:ascii="Arial" w:hAnsi="Arial" w:cs="Arial"/>
                      <w:szCs w:val="18"/>
                    </w:rPr>
                  </w:pPr>
                  <w:r w:rsidRPr="00A0448B">
                    <w:rPr>
                      <w:rFonts w:ascii="Arial" w:hAnsi="Arial" w:cs="Arial"/>
                      <w:szCs w:val="18"/>
                    </w:rPr>
                    <w:t xml:space="preserve">EPA </w:t>
                  </w:r>
                </w:p>
              </w:tc>
              <w:tc>
                <w:tcPr>
                  <w:tcW w:w="1418" w:type="dxa"/>
                </w:tcPr>
                <w:p w14:paraId="186BB086" w14:textId="77777777" w:rsidR="00941196" w:rsidRPr="00A0448B" w:rsidRDefault="00941196" w:rsidP="00941196">
                  <w:pPr>
                    <w:pStyle w:val="TableText"/>
                    <w:rPr>
                      <w:rFonts w:ascii="Arial" w:hAnsi="Arial" w:cs="Arial"/>
                      <w:szCs w:val="18"/>
                    </w:rPr>
                  </w:pPr>
                  <w:r w:rsidRPr="00A0448B">
                    <w:rPr>
                      <w:rFonts w:ascii="Arial" w:hAnsi="Arial" w:cs="Arial"/>
                      <w:szCs w:val="18"/>
                    </w:rPr>
                    <w:t>November 2018</w:t>
                  </w:r>
                </w:p>
              </w:tc>
              <w:tc>
                <w:tcPr>
                  <w:tcW w:w="4968" w:type="dxa"/>
                  <w:gridSpan w:val="6"/>
                </w:tcPr>
                <w:p w14:paraId="765FCFFB" w14:textId="77777777" w:rsidR="00941196" w:rsidRPr="00A0448B" w:rsidRDefault="00941196" w:rsidP="00941196">
                  <w:pPr>
                    <w:pStyle w:val="TableText"/>
                    <w:rPr>
                      <w:rFonts w:ascii="Arial" w:hAnsi="Arial" w:cs="Arial"/>
                      <w:szCs w:val="18"/>
                    </w:rPr>
                  </w:pPr>
                  <w:r w:rsidRPr="00A0448B">
                    <w:rPr>
                      <w:rFonts w:ascii="Arial" w:hAnsi="Arial" w:cs="Arial"/>
                      <w:szCs w:val="18"/>
                    </w:rPr>
                    <w:t>Air quality monitoring requirements.</w:t>
                  </w:r>
                </w:p>
              </w:tc>
            </w:tr>
            <w:tr w:rsidR="00941196" w:rsidRPr="00A0448B" w14:paraId="016DEE4A" w14:textId="77777777" w:rsidTr="00741D5F">
              <w:tblPrEx>
                <w:tblBorders>
                  <w:top w:val="none" w:sz="0" w:space="0" w:color="auto"/>
                  <w:bottom w:val="none" w:sz="0" w:space="0" w:color="auto"/>
                </w:tblBorders>
              </w:tblPrEx>
              <w:trPr>
                <w:gridAfter w:val="8"/>
                <w:wAfter w:w="1429" w:type="dxa"/>
                <w:trHeight w:val="385"/>
              </w:trPr>
              <w:tc>
                <w:tcPr>
                  <w:tcW w:w="2820" w:type="dxa"/>
                </w:tcPr>
                <w:p w14:paraId="1B413583" w14:textId="77777777" w:rsidR="00941196" w:rsidRPr="00A0448B" w:rsidRDefault="00941196" w:rsidP="00941196">
                  <w:pPr>
                    <w:pStyle w:val="TableText"/>
                    <w:rPr>
                      <w:rFonts w:ascii="Arial" w:hAnsi="Arial" w:cs="Arial"/>
                      <w:szCs w:val="18"/>
                    </w:rPr>
                  </w:pPr>
                  <w:r w:rsidRPr="00A0448B">
                    <w:rPr>
                      <w:rFonts w:ascii="Arial" w:hAnsi="Arial" w:cs="Arial"/>
                      <w:szCs w:val="18"/>
                    </w:rPr>
                    <w:t xml:space="preserve">Department of Health and Human Services </w:t>
                  </w:r>
                </w:p>
              </w:tc>
              <w:tc>
                <w:tcPr>
                  <w:tcW w:w="1418" w:type="dxa"/>
                </w:tcPr>
                <w:p w14:paraId="2FAEB4DD" w14:textId="77777777" w:rsidR="00941196" w:rsidRPr="00A0448B" w:rsidRDefault="00941196" w:rsidP="00941196">
                  <w:pPr>
                    <w:pStyle w:val="TableText"/>
                    <w:rPr>
                      <w:rFonts w:ascii="Arial" w:hAnsi="Arial" w:cs="Arial"/>
                      <w:szCs w:val="18"/>
                    </w:rPr>
                  </w:pPr>
                  <w:r w:rsidRPr="00A0448B">
                    <w:rPr>
                      <w:rFonts w:ascii="Arial" w:hAnsi="Arial" w:cs="Arial"/>
                      <w:szCs w:val="18"/>
                    </w:rPr>
                    <w:t>November 2018</w:t>
                  </w:r>
                </w:p>
              </w:tc>
              <w:tc>
                <w:tcPr>
                  <w:tcW w:w="4398" w:type="dxa"/>
                  <w:gridSpan w:val="3"/>
                </w:tcPr>
                <w:p w14:paraId="5C5D46B1" w14:textId="77777777" w:rsidR="00941196" w:rsidRPr="00A0448B" w:rsidRDefault="00941196" w:rsidP="00941196">
                  <w:pPr>
                    <w:pStyle w:val="TableText"/>
                    <w:rPr>
                      <w:rFonts w:ascii="Arial" w:hAnsi="Arial" w:cs="Arial"/>
                      <w:szCs w:val="18"/>
                    </w:rPr>
                  </w:pPr>
                  <w:r w:rsidRPr="00A0448B">
                    <w:rPr>
                      <w:rFonts w:ascii="Arial" w:hAnsi="Arial" w:cs="Arial"/>
                      <w:szCs w:val="18"/>
                    </w:rPr>
                    <w:t>Introduction to the Project</w:t>
                  </w:r>
                </w:p>
              </w:tc>
            </w:tr>
            <w:tr w:rsidR="00941196" w:rsidRPr="00A0448B" w14:paraId="4CADAB79" w14:textId="77777777" w:rsidTr="00741D5F">
              <w:tblPrEx>
                <w:tblBorders>
                  <w:top w:val="none" w:sz="0" w:space="0" w:color="auto"/>
                  <w:bottom w:val="none" w:sz="0" w:space="0" w:color="auto"/>
                </w:tblBorders>
              </w:tblPrEx>
              <w:trPr>
                <w:trHeight w:val="385"/>
              </w:trPr>
              <w:tc>
                <w:tcPr>
                  <w:tcW w:w="2820" w:type="dxa"/>
                </w:tcPr>
                <w:p w14:paraId="715B3544" w14:textId="77777777" w:rsidR="00941196" w:rsidRPr="00A0448B" w:rsidRDefault="00941196" w:rsidP="00941196">
                  <w:pPr>
                    <w:pStyle w:val="TableText"/>
                    <w:rPr>
                      <w:rFonts w:ascii="Arial" w:hAnsi="Arial" w:cs="Arial"/>
                      <w:szCs w:val="18"/>
                    </w:rPr>
                  </w:pPr>
                  <w:r w:rsidRPr="00A0448B">
                    <w:rPr>
                      <w:rFonts w:ascii="Arial" w:hAnsi="Arial" w:cs="Arial"/>
                      <w:szCs w:val="18"/>
                    </w:rPr>
                    <w:lastRenderedPageBreak/>
                    <w:t xml:space="preserve">Wimmera Catchment Management Authority </w:t>
                  </w:r>
                </w:p>
              </w:tc>
              <w:tc>
                <w:tcPr>
                  <w:tcW w:w="1418" w:type="dxa"/>
                </w:tcPr>
                <w:p w14:paraId="53176E3C" w14:textId="77777777" w:rsidR="00941196" w:rsidRPr="00A0448B" w:rsidRDefault="00941196" w:rsidP="00941196">
                  <w:pPr>
                    <w:pStyle w:val="TableText"/>
                    <w:rPr>
                      <w:rFonts w:ascii="Arial" w:hAnsi="Arial" w:cs="Arial"/>
                      <w:szCs w:val="18"/>
                    </w:rPr>
                  </w:pPr>
                  <w:r w:rsidRPr="00A0448B">
                    <w:rPr>
                      <w:rFonts w:ascii="Arial" w:hAnsi="Arial" w:cs="Arial"/>
                      <w:szCs w:val="18"/>
                    </w:rPr>
                    <w:t>November 2018</w:t>
                  </w:r>
                </w:p>
              </w:tc>
              <w:tc>
                <w:tcPr>
                  <w:tcW w:w="5827" w:type="dxa"/>
                  <w:gridSpan w:val="11"/>
                </w:tcPr>
                <w:p w14:paraId="14EE88B9" w14:textId="77777777" w:rsidR="00741D5F" w:rsidRDefault="00941196" w:rsidP="00A0448B">
                  <w:pPr>
                    <w:pStyle w:val="ListBullet2"/>
                    <w:numPr>
                      <w:ilvl w:val="0"/>
                      <w:numId w:val="0"/>
                    </w:numPr>
                    <w:spacing w:before="60"/>
                    <w:jc w:val="left"/>
                    <w:rPr>
                      <w:rFonts w:cs="Arial"/>
                      <w:color w:val="262626"/>
                      <w:sz w:val="18"/>
                      <w:szCs w:val="18"/>
                    </w:rPr>
                  </w:pPr>
                  <w:r w:rsidRPr="00A0448B">
                    <w:rPr>
                      <w:rFonts w:cs="Arial"/>
                      <w:color w:val="262626"/>
                      <w:sz w:val="18"/>
                      <w:szCs w:val="18"/>
                    </w:rPr>
                    <w:t xml:space="preserve">Potential surface water impacts associated with the </w:t>
                  </w:r>
                </w:p>
                <w:p w14:paraId="44ECD4D4" w14:textId="426AC403" w:rsidR="00941196" w:rsidRPr="00A0448B" w:rsidRDefault="00941196" w:rsidP="00A0448B">
                  <w:pPr>
                    <w:pStyle w:val="ListBullet2"/>
                    <w:numPr>
                      <w:ilvl w:val="0"/>
                      <w:numId w:val="0"/>
                    </w:numPr>
                    <w:spacing w:before="60"/>
                    <w:jc w:val="left"/>
                    <w:rPr>
                      <w:rFonts w:cs="Arial"/>
                      <w:color w:val="262626"/>
                      <w:sz w:val="18"/>
                      <w:szCs w:val="18"/>
                    </w:rPr>
                  </w:pPr>
                  <w:r w:rsidRPr="00A0448B">
                    <w:rPr>
                      <w:rFonts w:cs="Arial"/>
                      <w:color w:val="262626"/>
                      <w:sz w:val="18"/>
                      <w:szCs w:val="18"/>
                    </w:rPr>
                    <w:t>test pit.</w:t>
                  </w:r>
                </w:p>
              </w:tc>
            </w:tr>
            <w:tr w:rsidR="00941196" w:rsidRPr="00A0448B" w14:paraId="61BD1FEC" w14:textId="77777777" w:rsidTr="00741D5F">
              <w:tblPrEx>
                <w:tblBorders>
                  <w:top w:val="none" w:sz="0" w:space="0" w:color="auto"/>
                  <w:bottom w:val="none" w:sz="0" w:space="0" w:color="auto"/>
                </w:tblBorders>
              </w:tblPrEx>
              <w:trPr>
                <w:gridAfter w:val="7"/>
                <w:wAfter w:w="1291" w:type="dxa"/>
              </w:trPr>
              <w:tc>
                <w:tcPr>
                  <w:tcW w:w="2820" w:type="dxa"/>
                </w:tcPr>
                <w:p w14:paraId="3D980E5C" w14:textId="77777777" w:rsidR="00941196" w:rsidRPr="00A0448B" w:rsidRDefault="00941196" w:rsidP="00941196">
                  <w:pPr>
                    <w:pStyle w:val="TableText"/>
                    <w:rPr>
                      <w:rFonts w:ascii="Arial" w:hAnsi="Arial" w:cs="Arial"/>
                      <w:szCs w:val="18"/>
                    </w:rPr>
                  </w:pPr>
                  <w:r w:rsidRPr="00A0448B">
                    <w:rPr>
                      <w:rFonts w:ascii="Arial" w:hAnsi="Arial" w:cs="Arial"/>
                      <w:szCs w:val="18"/>
                    </w:rPr>
                    <w:t xml:space="preserve">Regional Development Victoria </w:t>
                  </w:r>
                </w:p>
              </w:tc>
              <w:tc>
                <w:tcPr>
                  <w:tcW w:w="1418" w:type="dxa"/>
                </w:tcPr>
                <w:p w14:paraId="0D6BAB41" w14:textId="77777777" w:rsidR="00941196" w:rsidRPr="00A0448B" w:rsidRDefault="00941196" w:rsidP="00941196">
                  <w:pPr>
                    <w:pStyle w:val="TableText"/>
                    <w:rPr>
                      <w:rFonts w:ascii="Arial" w:hAnsi="Arial" w:cs="Arial"/>
                      <w:szCs w:val="18"/>
                    </w:rPr>
                  </w:pPr>
                  <w:r w:rsidRPr="00A0448B">
                    <w:rPr>
                      <w:rFonts w:ascii="Arial" w:hAnsi="Arial" w:cs="Arial"/>
                      <w:szCs w:val="18"/>
                    </w:rPr>
                    <w:t>February 2019</w:t>
                  </w:r>
                </w:p>
              </w:tc>
              <w:tc>
                <w:tcPr>
                  <w:tcW w:w="4536" w:type="dxa"/>
                  <w:gridSpan w:val="4"/>
                </w:tcPr>
                <w:p w14:paraId="76958931" w14:textId="77777777" w:rsidR="00941196" w:rsidRPr="00A0448B" w:rsidRDefault="00941196" w:rsidP="00941196">
                  <w:pPr>
                    <w:pStyle w:val="TableText"/>
                    <w:rPr>
                      <w:rFonts w:ascii="Arial" w:hAnsi="Arial" w:cs="Arial"/>
                      <w:szCs w:val="18"/>
                    </w:rPr>
                  </w:pPr>
                  <w:r w:rsidRPr="00A0448B">
                    <w:rPr>
                      <w:rFonts w:ascii="Arial" w:hAnsi="Arial" w:cs="Arial"/>
                      <w:szCs w:val="18"/>
                    </w:rPr>
                    <w:t>Introduction to the Project.</w:t>
                  </w:r>
                </w:p>
              </w:tc>
            </w:tr>
            <w:tr w:rsidR="00941196" w:rsidRPr="00A0448B" w14:paraId="441DD350" w14:textId="77777777" w:rsidTr="00741D5F">
              <w:tblPrEx>
                <w:tblBorders>
                  <w:top w:val="none" w:sz="0" w:space="0" w:color="auto"/>
                  <w:bottom w:val="none" w:sz="0" w:space="0" w:color="auto"/>
                </w:tblBorders>
              </w:tblPrEx>
              <w:trPr>
                <w:gridAfter w:val="2"/>
                <w:wAfter w:w="144" w:type="dxa"/>
              </w:trPr>
              <w:tc>
                <w:tcPr>
                  <w:tcW w:w="2820" w:type="dxa"/>
                </w:tcPr>
                <w:p w14:paraId="2F7E9C25" w14:textId="77777777" w:rsidR="00941196" w:rsidRPr="00A0448B" w:rsidRDefault="00941196" w:rsidP="00941196">
                  <w:pPr>
                    <w:pStyle w:val="TableText"/>
                    <w:rPr>
                      <w:rFonts w:ascii="Arial" w:hAnsi="Arial" w:cs="Arial"/>
                      <w:szCs w:val="18"/>
                    </w:rPr>
                  </w:pPr>
                  <w:r w:rsidRPr="00A0448B">
                    <w:rPr>
                      <w:rFonts w:ascii="Arial" w:hAnsi="Arial" w:cs="Arial"/>
                      <w:szCs w:val="18"/>
                    </w:rPr>
                    <w:t xml:space="preserve">Horsham City Rural Council, Mayor and Chief Executive Officer </w:t>
                  </w:r>
                </w:p>
              </w:tc>
              <w:tc>
                <w:tcPr>
                  <w:tcW w:w="1418" w:type="dxa"/>
                </w:tcPr>
                <w:p w14:paraId="2738F123" w14:textId="77777777" w:rsidR="00941196" w:rsidRPr="00A0448B" w:rsidRDefault="00941196" w:rsidP="00941196">
                  <w:pPr>
                    <w:pStyle w:val="TableText"/>
                    <w:rPr>
                      <w:rFonts w:ascii="Arial" w:hAnsi="Arial" w:cs="Arial"/>
                      <w:szCs w:val="18"/>
                    </w:rPr>
                  </w:pPr>
                  <w:r w:rsidRPr="00A0448B">
                    <w:rPr>
                      <w:rFonts w:ascii="Arial" w:hAnsi="Arial" w:cs="Arial"/>
                      <w:szCs w:val="18"/>
                    </w:rPr>
                    <w:t>March 2019</w:t>
                  </w:r>
                </w:p>
              </w:tc>
              <w:tc>
                <w:tcPr>
                  <w:tcW w:w="5683" w:type="dxa"/>
                  <w:gridSpan w:val="9"/>
                </w:tcPr>
                <w:p w14:paraId="4E87A04F" w14:textId="77777777" w:rsidR="00941196" w:rsidRPr="00A0448B" w:rsidRDefault="00941196" w:rsidP="00941196">
                  <w:pPr>
                    <w:pStyle w:val="TableText"/>
                    <w:rPr>
                      <w:rFonts w:ascii="Arial" w:hAnsi="Arial" w:cs="Arial"/>
                      <w:szCs w:val="18"/>
                    </w:rPr>
                  </w:pPr>
                  <w:r w:rsidRPr="00A0448B">
                    <w:rPr>
                      <w:rFonts w:ascii="Arial" w:hAnsi="Arial" w:cs="Arial"/>
                      <w:szCs w:val="18"/>
                    </w:rPr>
                    <w:t>Introduction to the Project</w:t>
                  </w:r>
                </w:p>
              </w:tc>
            </w:tr>
            <w:tr w:rsidR="00941196" w:rsidRPr="00A0448B" w14:paraId="08994BAC" w14:textId="77777777" w:rsidTr="00741D5F">
              <w:tblPrEx>
                <w:tblBorders>
                  <w:top w:val="none" w:sz="0" w:space="0" w:color="auto"/>
                  <w:bottom w:val="none" w:sz="0" w:space="0" w:color="auto"/>
                </w:tblBorders>
              </w:tblPrEx>
              <w:trPr>
                <w:gridAfter w:val="8"/>
                <w:wAfter w:w="1429" w:type="dxa"/>
              </w:trPr>
              <w:tc>
                <w:tcPr>
                  <w:tcW w:w="2820" w:type="dxa"/>
                </w:tcPr>
                <w:p w14:paraId="47406B05" w14:textId="77777777" w:rsidR="003C30BE" w:rsidRDefault="003C30BE" w:rsidP="003C30BE">
                  <w:pPr>
                    <w:pStyle w:val="TableText"/>
                    <w:rPr>
                      <w:rFonts w:ascii="Arial" w:hAnsi="Arial" w:cs="Arial"/>
                      <w:szCs w:val="18"/>
                    </w:rPr>
                  </w:pPr>
                  <w:r w:rsidRPr="00A0448B">
                    <w:rPr>
                      <w:rFonts w:ascii="Arial" w:hAnsi="Arial" w:cs="Arial"/>
                      <w:szCs w:val="18"/>
                    </w:rPr>
                    <w:t xml:space="preserve">Regional Development Victoria, </w:t>
                  </w:r>
                </w:p>
                <w:p w14:paraId="0D56792F" w14:textId="77777777" w:rsidR="003C30BE" w:rsidRDefault="003C30BE" w:rsidP="003C30BE">
                  <w:pPr>
                    <w:pStyle w:val="TableText"/>
                    <w:rPr>
                      <w:rFonts w:ascii="Arial" w:hAnsi="Arial" w:cs="Arial"/>
                      <w:szCs w:val="18"/>
                    </w:rPr>
                  </w:pPr>
                  <w:r w:rsidRPr="00A0448B">
                    <w:rPr>
                      <w:rFonts w:ascii="Arial" w:hAnsi="Arial" w:cs="Arial"/>
                      <w:szCs w:val="18"/>
                    </w:rPr>
                    <w:t xml:space="preserve">Department of Jobs, Precincts and Regions, </w:t>
                  </w:r>
                </w:p>
                <w:p w14:paraId="4973B5CC" w14:textId="77777777" w:rsidR="003C30BE" w:rsidRDefault="003C30BE" w:rsidP="003C30BE">
                  <w:pPr>
                    <w:pStyle w:val="TableText"/>
                    <w:rPr>
                      <w:rFonts w:ascii="Arial" w:hAnsi="Arial" w:cs="Arial"/>
                      <w:szCs w:val="18"/>
                    </w:rPr>
                  </w:pPr>
                  <w:r w:rsidRPr="00A0448B">
                    <w:rPr>
                      <w:rFonts w:ascii="Arial" w:hAnsi="Arial" w:cs="Arial"/>
                      <w:szCs w:val="18"/>
                    </w:rPr>
                    <w:t xml:space="preserve">Department of Premier and Cabinet, </w:t>
                  </w:r>
                </w:p>
                <w:p w14:paraId="77123603" w14:textId="77777777" w:rsidR="003C30BE" w:rsidRDefault="003C30BE" w:rsidP="003C30BE">
                  <w:pPr>
                    <w:pStyle w:val="TableText"/>
                    <w:rPr>
                      <w:rFonts w:ascii="Arial" w:hAnsi="Arial" w:cs="Arial"/>
                      <w:szCs w:val="18"/>
                    </w:rPr>
                  </w:pPr>
                  <w:r w:rsidRPr="00A0448B">
                    <w:rPr>
                      <w:rFonts w:ascii="Arial" w:hAnsi="Arial" w:cs="Arial"/>
                      <w:szCs w:val="18"/>
                    </w:rPr>
                    <w:t xml:space="preserve">Energy Earth Resources, </w:t>
                  </w:r>
                </w:p>
                <w:p w14:paraId="10AF084E" w14:textId="77777777" w:rsidR="003C30BE" w:rsidRDefault="003C30BE" w:rsidP="003C30BE">
                  <w:pPr>
                    <w:pStyle w:val="TableText"/>
                    <w:rPr>
                      <w:rFonts w:ascii="Arial" w:hAnsi="Arial" w:cs="Arial"/>
                      <w:szCs w:val="18"/>
                    </w:rPr>
                  </w:pPr>
                  <w:r w:rsidRPr="00A0448B">
                    <w:rPr>
                      <w:rFonts w:ascii="Arial" w:hAnsi="Arial" w:cs="Arial"/>
                      <w:szCs w:val="18"/>
                    </w:rPr>
                    <w:t xml:space="preserve">Environment Protection Authority Victoria, </w:t>
                  </w:r>
                </w:p>
                <w:p w14:paraId="25DE4B84" w14:textId="77777777" w:rsidR="003C30BE" w:rsidRDefault="003C30BE" w:rsidP="003C30BE">
                  <w:pPr>
                    <w:pStyle w:val="TableText"/>
                    <w:rPr>
                      <w:rFonts w:ascii="Arial" w:hAnsi="Arial" w:cs="Arial"/>
                      <w:szCs w:val="18"/>
                    </w:rPr>
                  </w:pPr>
                  <w:r w:rsidRPr="00A0448B">
                    <w:rPr>
                      <w:rFonts w:ascii="Arial" w:hAnsi="Arial" w:cs="Arial"/>
                      <w:szCs w:val="18"/>
                    </w:rPr>
                    <w:t xml:space="preserve">Horsham Rural City Council, </w:t>
                  </w:r>
                </w:p>
                <w:p w14:paraId="5C03BCC0" w14:textId="77777777" w:rsidR="003C30BE" w:rsidRDefault="003C30BE" w:rsidP="003C30BE">
                  <w:pPr>
                    <w:pStyle w:val="TableText"/>
                    <w:rPr>
                      <w:rFonts w:ascii="Arial" w:hAnsi="Arial" w:cs="Arial"/>
                      <w:szCs w:val="18"/>
                    </w:rPr>
                  </w:pPr>
                  <w:r w:rsidRPr="00A0448B">
                    <w:rPr>
                      <w:rFonts w:ascii="Arial" w:hAnsi="Arial" w:cs="Arial"/>
                      <w:szCs w:val="18"/>
                    </w:rPr>
                    <w:t xml:space="preserve">Transport for Victoria and Resources Economic Development, </w:t>
                  </w:r>
                </w:p>
                <w:p w14:paraId="166CFBA0" w14:textId="77777777" w:rsidR="003C30BE" w:rsidRDefault="003C30BE" w:rsidP="003C30BE">
                  <w:pPr>
                    <w:pStyle w:val="TableText"/>
                    <w:rPr>
                      <w:rFonts w:ascii="Arial" w:hAnsi="Arial" w:cs="Arial"/>
                      <w:iCs/>
                      <w:szCs w:val="18"/>
                    </w:rPr>
                  </w:pPr>
                  <w:r w:rsidRPr="00A0448B">
                    <w:rPr>
                      <w:rFonts w:ascii="Arial" w:hAnsi="Arial" w:cs="Arial"/>
                      <w:szCs w:val="18"/>
                    </w:rPr>
                    <w:t>Department of Environment, Land, Water and Planning</w:t>
                  </w:r>
                  <w:r w:rsidRPr="00A0448B">
                    <w:rPr>
                      <w:rFonts w:ascii="Arial" w:hAnsi="Arial" w:cs="Arial"/>
                      <w:iCs/>
                      <w:szCs w:val="18"/>
                    </w:rPr>
                    <w:t xml:space="preserve">, </w:t>
                  </w:r>
                </w:p>
                <w:p w14:paraId="6DFDF5D9" w14:textId="77777777" w:rsidR="003C30BE" w:rsidRDefault="003C30BE" w:rsidP="003C30BE">
                  <w:pPr>
                    <w:pStyle w:val="TableText"/>
                    <w:rPr>
                      <w:rFonts w:ascii="Arial" w:hAnsi="Arial" w:cs="Arial"/>
                      <w:iCs/>
                      <w:szCs w:val="18"/>
                    </w:rPr>
                  </w:pPr>
                  <w:r w:rsidRPr="00A0448B">
                    <w:rPr>
                      <w:rFonts w:ascii="Arial" w:hAnsi="Arial" w:cs="Arial"/>
                      <w:iCs/>
                      <w:szCs w:val="18"/>
                    </w:rPr>
                    <w:t xml:space="preserve">Department of Health </w:t>
                  </w:r>
                  <w:r>
                    <w:rPr>
                      <w:rFonts w:ascii="Arial" w:hAnsi="Arial" w:cs="Arial"/>
                      <w:iCs/>
                      <w:szCs w:val="18"/>
                    </w:rPr>
                    <w:t xml:space="preserve">and </w:t>
                  </w:r>
                  <w:r w:rsidRPr="00A0448B">
                    <w:rPr>
                      <w:rFonts w:ascii="Arial" w:hAnsi="Arial" w:cs="Arial"/>
                      <w:iCs/>
                      <w:szCs w:val="18"/>
                    </w:rPr>
                    <w:t>Human Services</w:t>
                  </w:r>
                </w:p>
                <w:p w14:paraId="42CD8609" w14:textId="77777777" w:rsidR="00941196" w:rsidRPr="00A0448B" w:rsidRDefault="003C30BE" w:rsidP="003C30BE">
                  <w:pPr>
                    <w:pStyle w:val="TableText"/>
                    <w:rPr>
                      <w:rFonts w:ascii="Arial" w:hAnsi="Arial" w:cs="Arial"/>
                      <w:szCs w:val="18"/>
                    </w:rPr>
                  </w:pPr>
                  <w:r>
                    <w:rPr>
                      <w:rFonts w:ascii="Arial" w:hAnsi="Arial" w:cs="Arial"/>
                      <w:iCs/>
                      <w:szCs w:val="18"/>
                    </w:rPr>
                    <w:t>I</w:t>
                  </w:r>
                  <w:r w:rsidRPr="00A0448B">
                    <w:rPr>
                      <w:rFonts w:ascii="Arial" w:hAnsi="Arial" w:cs="Arial"/>
                      <w:iCs/>
                      <w:szCs w:val="18"/>
                    </w:rPr>
                    <w:t>nvest Victoria</w:t>
                  </w:r>
                </w:p>
              </w:tc>
              <w:tc>
                <w:tcPr>
                  <w:tcW w:w="1418" w:type="dxa"/>
                </w:tcPr>
                <w:p w14:paraId="619BD904" w14:textId="77777777" w:rsidR="00941196" w:rsidRPr="00A0448B" w:rsidRDefault="00941196" w:rsidP="00941196">
                  <w:pPr>
                    <w:pStyle w:val="TableText"/>
                    <w:rPr>
                      <w:rFonts w:ascii="Arial" w:hAnsi="Arial" w:cs="Arial"/>
                      <w:szCs w:val="18"/>
                    </w:rPr>
                  </w:pPr>
                  <w:r w:rsidRPr="00A0448B">
                    <w:rPr>
                      <w:rFonts w:ascii="Arial" w:hAnsi="Arial" w:cs="Arial"/>
                      <w:szCs w:val="18"/>
                    </w:rPr>
                    <w:t>April 2019</w:t>
                  </w:r>
                </w:p>
              </w:tc>
              <w:tc>
                <w:tcPr>
                  <w:tcW w:w="4398" w:type="dxa"/>
                  <w:gridSpan w:val="3"/>
                </w:tcPr>
                <w:p w14:paraId="32E14ED0" w14:textId="77777777" w:rsidR="00941196" w:rsidRPr="00A0448B" w:rsidRDefault="00941196" w:rsidP="00941196">
                  <w:pPr>
                    <w:pStyle w:val="TableText"/>
                    <w:rPr>
                      <w:rFonts w:ascii="Arial" w:hAnsi="Arial" w:cs="Arial"/>
                      <w:szCs w:val="18"/>
                    </w:rPr>
                  </w:pPr>
                  <w:r w:rsidRPr="00A0448B">
                    <w:rPr>
                      <w:rFonts w:ascii="Arial" w:hAnsi="Arial" w:cs="Arial"/>
                      <w:szCs w:val="18"/>
                    </w:rPr>
                    <w:t>Introduction to the Project</w:t>
                  </w:r>
                </w:p>
              </w:tc>
            </w:tr>
            <w:tr w:rsidR="003C30BE" w:rsidRPr="00A0448B" w14:paraId="69B92249" w14:textId="77777777" w:rsidTr="00741D5F">
              <w:tblPrEx>
                <w:tblBorders>
                  <w:top w:val="none" w:sz="0" w:space="0" w:color="auto"/>
                  <w:bottom w:val="none" w:sz="0" w:space="0" w:color="auto"/>
                </w:tblBorders>
              </w:tblPrEx>
              <w:trPr>
                <w:gridAfter w:val="1"/>
                <w:wAfter w:w="74" w:type="dxa"/>
                <w:tblHeader/>
              </w:trPr>
              <w:tc>
                <w:tcPr>
                  <w:tcW w:w="2820" w:type="dxa"/>
                </w:tcPr>
                <w:p w14:paraId="7BF8AB3F" w14:textId="77777777" w:rsidR="003C30BE" w:rsidRDefault="003C30BE" w:rsidP="003C30BE">
                  <w:pPr>
                    <w:pStyle w:val="TableText"/>
                    <w:rPr>
                      <w:rFonts w:ascii="Arial" w:hAnsi="Arial" w:cs="Arial"/>
                      <w:szCs w:val="18"/>
                    </w:rPr>
                  </w:pPr>
                  <w:r w:rsidRPr="00A0448B">
                    <w:rPr>
                      <w:rFonts w:ascii="Arial" w:hAnsi="Arial" w:cs="Arial"/>
                      <w:szCs w:val="18"/>
                    </w:rPr>
                    <w:t xml:space="preserve">Regional Development Victoria, </w:t>
                  </w:r>
                </w:p>
                <w:p w14:paraId="0DCE7EB6" w14:textId="77777777" w:rsidR="003C30BE" w:rsidRDefault="003C30BE" w:rsidP="003C30BE">
                  <w:pPr>
                    <w:pStyle w:val="TableText"/>
                    <w:rPr>
                      <w:rFonts w:ascii="Arial" w:hAnsi="Arial" w:cs="Arial"/>
                      <w:szCs w:val="18"/>
                    </w:rPr>
                  </w:pPr>
                  <w:r w:rsidRPr="00A0448B">
                    <w:rPr>
                      <w:rFonts w:ascii="Arial" w:hAnsi="Arial" w:cs="Arial"/>
                      <w:szCs w:val="18"/>
                    </w:rPr>
                    <w:t xml:space="preserve">Department of Jobs, Precincts and Regions, </w:t>
                  </w:r>
                </w:p>
                <w:p w14:paraId="45DFB21B" w14:textId="77777777" w:rsidR="003C30BE" w:rsidRDefault="003C30BE" w:rsidP="003C30BE">
                  <w:pPr>
                    <w:pStyle w:val="TableText"/>
                    <w:rPr>
                      <w:rFonts w:ascii="Arial" w:hAnsi="Arial" w:cs="Arial"/>
                      <w:szCs w:val="18"/>
                    </w:rPr>
                  </w:pPr>
                  <w:r w:rsidRPr="00A0448B">
                    <w:rPr>
                      <w:rFonts w:ascii="Arial" w:hAnsi="Arial" w:cs="Arial"/>
                      <w:szCs w:val="18"/>
                    </w:rPr>
                    <w:t xml:space="preserve">Environment Protection Authority Victoria, </w:t>
                  </w:r>
                </w:p>
                <w:p w14:paraId="31C0932C" w14:textId="77777777" w:rsidR="003C30BE" w:rsidRDefault="003C30BE" w:rsidP="003C30BE">
                  <w:pPr>
                    <w:pStyle w:val="TableText"/>
                    <w:rPr>
                      <w:rFonts w:ascii="Arial" w:hAnsi="Arial" w:cs="Arial"/>
                      <w:szCs w:val="18"/>
                    </w:rPr>
                  </w:pPr>
                  <w:r>
                    <w:rPr>
                      <w:rFonts w:ascii="Arial" w:hAnsi="Arial" w:cs="Arial"/>
                      <w:szCs w:val="18"/>
                    </w:rPr>
                    <w:t>Depart</w:t>
                  </w:r>
                  <w:r w:rsidRPr="00A0448B">
                    <w:rPr>
                      <w:rFonts w:ascii="Arial" w:hAnsi="Arial" w:cs="Arial"/>
                      <w:szCs w:val="18"/>
                    </w:rPr>
                    <w:t>ment of Environment, Land, Water and Planning</w:t>
                  </w:r>
                </w:p>
                <w:p w14:paraId="43DABEE6" w14:textId="77777777" w:rsidR="003C30BE" w:rsidRDefault="003C30BE" w:rsidP="003C30BE">
                  <w:pPr>
                    <w:pStyle w:val="TableText"/>
                    <w:rPr>
                      <w:rFonts w:ascii="Arial" w:hAnsi="Arial" w:cs="Arial"/>
                      <w:iCs/>
                      <w:szCs w:val="18"/>
                    </w:rPr>
                  </w:pPr>
                  <w:r w:rsidRPr="00A0448B">
                    <w:rPr>
                      <w:rFonts w:ascii="Arial" w:hAnsi="Arial" w:cs="Arial"/>
                      <w:iCs/>
                      <w:szCs w:val="18"/>
                    </w:rPr>
                    <w:t xml:space="preserve">Department of Health and Human Services </w:t>
                  </w:r>
                </w:p>
                <w:p w14:paraId="39DA5512" w14:textId="77777777" w:rsidR="003C30BE" w:rsidRPr="00A0448B" w:rsidRDefault="003C30BE" w:rsidP="0040053C">
                  <w:pPr>
                    <w:pStyle w:val="TableText"/>
                    <w:rPr>
                      <w:rFonts w:ascii="Arial" w:hAnsi="Arial" w:cs="Arial"/>
                      <w:szCs w:val="18"/>
                    </w:rPr>
                  </w:pPr>
                  <w:r w:rsidRPr="00A0448B">
                    <w:rPr>
                      <w:rFonts w:ascii="Arial" w:hAnsi="Arial" w:cs="Arial"/>
                      <w:iCs/>
                      <w:szCs w:val="18"/>
                    </w:rPr>
                    <w:t xml:space="preserve">Invest </w:t>
                  </w:r>
                  <w:r>
                    <w:rPr>
                      <w:rFonts w:ascii="Arial" w:hAnsi="Arial" w:cs="Arial"/>
                      <w:iCs/>
                      <w:szCs w:val="18"/>
                    </w:rPr>
                    <w:t>Assist</w:t>
                  </w:r>
                  <w:r w:rsidR="0040053C">
                    <w:rPr>
                      <w:rFonts w:ascii="Arial" w:hAnsi="Arial" w:cs="Arial"/>
                      <w:iCs/>
                      <w:szCs w:val="18"/>
                    </w:rPr>
                    <w:t>.</w:t>
                  </w:r>
                </w:p>
              </w:tc>
              <w:tc>
                <w:tcPr>
                  <w:tcW w:w="1418" w:type="dxa"/>
                </w:tcPr>
                <w:p w14:paraId="07FE7360" w14:textId="171F763F" w:rsidR="003C30BE" w:rsidRPr="00A0448B" w:rsidRDefault="003C30BE" w:rsidP="00941196">
                  <w:pPr>
                    <w:pStyle w:val="TableText"/>
                    <w:rPr>
                      <w:rFonts w:ascii="Arial" w:hAnsi="Arial" w:cs="Arial"/>
                      <w:szCs w:val="18"/>
                    </w:rPr>
                  </w:pPr>
                  <w:r>
                    <w:rPr>
                      <w:rFonts w:ascii="Arial" w:hAnsi="Arial" w:cs="Arial"/>
                      <w:szCs w:val="18"/>
                    </w:rPr>
                    <w:t xml:space="preserve">May </w:t>
                  </w:r>
                  <w:r w:rsidR="00253197">
                    <w:rPr>
                      <w:rFonts w:ascii="Arial" w:hAnsi="Arial" w:cs="Arial"/>
                      <w:szCs w:val="18"/>
                    </w:rPr>
                    <w:t xml:space="preserve">and July </w:t>
                  </w:r>
                  <w:r>
                    <w:rPr>
                      <w:rFonts w:ascii="Arial" w:hAnsi="Arial" w:cs="Arial"/>
                      <w:szCs w:val="18"/>
                    </w:rPr>
                    <w:t>2019</w:t>
                  </w:r>
                </w:p>
              </w:tc>
              <w:tc>
                <w:tcPr>
                  <w:tcW w:w="5753" w:type="dxa"/>
                  <w:gridSpan w:val="10"/>
                </w:tcPr>
                <w:p w14:paraId="479CE990" w14:textId="77777777" w:rsidR="003C30BE" w:rsidRPr="00A0448B" w:rsidRDefault="003C30BE" w:rsidP="00941196">
                  <w:pPr>
                    <w:pStyle w:val="TableText"/>
                    <w:rPr>
                      <w:rFonts w:ascii="Arial" w:hAnsi="Arial" w:cs="Arial"/>
                      <w:szCs w:val="18"/>
                    </w:rPr>
                  </w:pPr>
                  <w:r>
                    <w:rPr>
                      <w:rFonts w:ascii="Arial" w:hAnsi="Arial" w:cs="Arial"/>
                      <w:szCs w:val="18"/>
                    </w:rPr>
                    <w:t>Project update</w:t>
                  </w:r>
                </w:p>
              </w:tc>
            </w:tr>
            <w:tr w:rsidR="00253197" w:rsidRPr="00A0448B" w14:paraId="33DCD8B0" w14:textId="77777777" w:rsidTr="00741D5F">
              <w:tblPrEx>
                <w:tblBorders>
                  <w:top w:val="none" w:sz="0" w:space="0" w:color="auto"/>
                  <w:bottom w:val="none" w:sz="0" w:space="0" w:color="auto"/>
                </w:tblBorders>
              </w:tblPrEx>
              <w:trPr>
                <w:gridAfter w:val="1"/>
                <w:wAfter w:w="74" w:type="dxa"/>
                <w:tblHeader/>
              </w:trPr>
              <w:tc>
                <w:tcPr>
                  <w:tcW w:w="2820" w:type="dxa"/>
                  <w:tcBorders>
                    <w:bottom w:val="single" w:sz="4" w:space="0" w:color="auto"/>
                  </w:tcBorders>
                </w:tcPr>
                <w:p w14:paraId="4ED7984A" w14:textId="77777777" w:rsidR="00253197" w:rsidRPr="00253197" w:rsidRDefault="00253197" w:rsidP="00253197">
                  <w:pPr>
                    <w:pStyle w:val="TableText"/>
                    <w:rPr>
                      <w:rFonts w:ascii="Arial" w:hAnsi="Arial" w:cs="Arial"/>
                      <w:szCs w:val="18"/>
                    </w:rPr>
                  </w:pPr>
                  <w:r w:rsidRPr="00253197">
                    <w:rPr>
                      <w:rFonts w:ascii="Arial" w:hAnsi="Arial" w:cs="Arial"/>
                      <w:szCs w:val="18"/>
                    </w:rPr>
                    <w:t>Department of Environment, Land, Water and Planning</w:t>
                  </w:r>
                </w:p>
                <w:p w14:paraId="3AE4017B" w14:textId="3FFA2ECB" w:rsidR="00253197" w:rsidRPr="00A0448B" w:rsidRDefault="00253197" w:rsidP="00253197">
                  <w:pPr>
                    <w:pStyle w:val="TableText"/>
                    <w:rPr>
                      <w:rFonts w:ascii="Arial" w:hAnsi="Arial" w:cs="Arial"/>
                      <w:szCs w:val="18"/>
                    </w:rPr>
                  </w:pPr>
                  <w:r w:rsidRPr="00253197">
                    <w:rPr>
                      <w:rFonts w:ascii="Arial" w:hAnsi="Arial" w:cs="Arial"/>
                      <w:szCs w:val="18"/>
                    </w:rPr>
                    <w:t>Department of Energy and Environment</w:t>
                  </w:r>
                </w:p>
              </w:tc>
              <w:tc>
                <w:tcPr>
                  <w:tcW w:w="1418" w:type="dxa"/>
                  <w:tcBorders>
                    <w:bottom w:val="single" w:sz="4" w:space="0" w:color="auto"/>
                  </w:tcBorders>
                </w:tcPr>
                <w:p w14:paraId="58199975" w14:textId="7BE1E866" w:rsidR="00253197" w:rsidRDefault="00253197" w:rsidP="00253197">
                  <w:pPr>
                    <w:pStyle w:val="TableText"/>
                    <w:rPr>
                      <w:rFonts w:ascii="Arial" w:hAnsi="Arial" w:cs="Arial"/>
                      <w:szCs w:val="18"/>
                    </w:rPr>
                  </w:pPr>
                  <w:r w:rsidRPr="00253197">
                    <w:rPr>
                      <w:rFonts w:ascii="Arial" w:hAnsi="Arial" w:cs="Arial"/>
                      <w:szCs w:val="18"/>
                    </w:rPr>
                    <w:t>May 2019</w:t>
                  </w:r>
                </w:p>
              </w:tc>
              <w:tc>
                <w:tcPr>
                  <w:tcW w:w="5753" w:type="dxa"/>
                  <w:gridSpan w:val="10"/>
                  <w:tcBorders>
                    <w:bottom w:val="single" w:sz="4" w:space="0" w:color="auto"/>
                  </w:tcBorders>
                </w:tcPr>
                <w:p w14:paraId="39347D64" w14:textId="77777777" w:rsidR="00741D5F" w:rsidRDefault="00253197" w:rsidP="00253197">
                  <w:pPr>
                    <w:pStyle w:val="TableText"/>
                    <w:rPr>
                      <w:rFonts w:ascii="Arial" w:hAnsi="Arial" w:cs="Arial"/>
                      <w:szCs w:val="18"/>
                    </w:rPr>
                  </w:pPr>
                  <w:r w:rsidRPr="00253197">
                    <w:rPr>
                      <w:rFonts w:ascii="Arial" w:hAnsi="Arial" w:cs="Arial"/>
                      <w:szCs w:val="18"/>
                    </w:rPr>
                    <w:t>Provision of draft EES</w:t>
                  </w:r>
                  <w:r w:rsidR="00741D5F">
                    <w:rPr>
                      <w:rFonts w:ascii="Arial" w:hAnsi="Arial" w:cs="Arial"/>
                      <w:szCs w:val="18"/>
                    </w:rPr>
                    <w:t xml:space="preserve"> and EPBC </w:t>
                  </w:r>
                  <w:r w:rsidRPr="00253197">
                    <w:rPr>
                      <w:rFonts w:ascii="Arial" w:hAnsi="Arial" w:cs="Arial"/>
                      <w:szCs w:val="18"/>
                    </w:rPr>
                    <w:t>referral document</w:t>
                  </w:r>
                  <w:r w:rsidR="00741D5F">
                    <w:rPr>
                      <w:rFonts w:ascii="Arial" w:hAnsi="Arial" w:cs="Arial"/>
                      <w:szCs w:val="18"/>
                    </w:rPr>
                    <w:t>s</w:t>
                  </w:r>
                </w:p>
                <w:p w14:paraId="69210C2C" w14:textId="2818D9FC" w:rsidR="00253197" w:rsidRDefault="00253197" w:rsidP="00253197">
                  <w:pPr>
                    <w:pStyle w:val="TableText"/>
                    <w:rPr>
                      <w:rFonts w:ascii="Arial" w:hAnsi="Arial" w:cs="Arial"/>
                      <w:szCs w:val="18"/>
                    </w:rPr>
                  </w:pPr>
                  <w:r w:rsidRPr="00253197">
                    <w:rPr>
                      <w:rFonts w:ascii="Arial" w:hAnsi="Arial" w:cs="Arial"/>
                      <w:szCs w:val="18"/>
                    </w:rPr>
                    <w:t>for review and comment</w:t>
                  </w:r>
                </w:p>
              </w:tc>
            </w:tr>
            <w:bookmarkEnd w:id="79"/>
          </w:tbl>
          <w:p w14:paraId="7E6536B6" w14:textId="77777777" w:rsidR="00941196" w:rsidRPr="00941196" w:rsidRDefault="00941196" w:rsidP="00941196">
            <w:pPr>
              <w:rPr>
                <w:rFonts w:ascii="Arial" w:hAnsi="Arial" w:cs="Arial"/>
                <w:sz w:val="18"/>
                <w:szCs w:val="18"/>
              </w:rPr>
            </w:pPr>
          </w:p>
          <w:p w14:paraId="0BF0EF6A" w14:textId="486D4BC4" w:rsidR="00941196" w:rsidRPr="001C2C21" w:rsidRDefault="00941196" w:rsidP="00941196">
            <w:pPr>
              <w:rPr>
                <w:rFonts w:ascii="Arial" w:hAnsi="Arial"/>
              </w:rPr>
            </w:pPr>
            <w:r w:rsidRPr="001C2C21">
              <w:rPr>
                <w:rFonts w:ascii="Arial" w:hAnsi="Arial"/>
              </w:rPr>
              <w:t xml:space="preserve">Iluka is committed to high levels of community engagement. A community consultation plan is being prepared for the Wimmera Project to ensure that stakeholder interests are heard and actioned where reasonable. </w:t>
            </w:r>
          </w:p>
          <w:p w14:paraId="351D5C66" w14:textId="77777777" w:rsidR="00941196" w:rsidRPr="001C2C21" w:rsidRDefault="00941196" w:rsidP="00941196">
            <w:pPr>
              <w:rPr>
                <w:rFonts w:ascii="Arial" w:hAnsi="Arial"/>
              </w:rPr>
            </w:pPr>
          </w:p>
          <w:p w14:paraId="426E72F2" w14:textId="77777777" w:rsidR="00941196" w:rsidRPr="001C2C21" w:rsidRDefault="00941196" w:rsidP="00941196">
            <w:pPr>
              <w:rPr>
                <w:rFonts w:ascii="Arial" w:hAnsi="Arial"/>
              </w:rPr>
            </w:pPr>
            <w:r w:rsidRPr="001C2C21">
              <w:rPr>
                <w:rFonts w:ascii="Arial" w:hAnsi="Arial"/>
              </w:rPr>
              <w:t xml:space="preserve">Iluka will work in partnership with State Government, Horsham Rural City Council and the local community to develop a long-term, inclusive growth plan for Horsham with a view to maximise benefits for local communities. </w:t>
            </w:r>
          </w:p>
          <w:p w14:paraId="223C891B" w14:textId="77777777" w:rsidR="00941196" w:rsidRPr="001C2C21" w:rsidRDefault="00941196" w:rsidP="00941196">
            <w:pPr>
              <w:rPr>
                <w:rFonts w:ascii="Arial" w:hAnsi="Arial"/>
              </w:rPr>
            </w:pPr>
          </w:p>
          <w:p w14:paraId="07648676" w14:textId="24A18169" w:rsidR="00941196" w:rsidRDefault="00941196" w:rsidP="00941196">
            <w:pPr>
              <w:rPr>
                <w:rFonts w:ascii="Arial" w:hAnsi="Arial"/>
              </w:rPr>
            </w:pPr>
            <w:r w:rsidRPr="001C2C21">
              <w:rPr>
                <w:rFonts w:ascii="Arial" w:hAnsi="Arial"/>
              </w:rPr>
              <w:t>Aboriginal stakeholder consultation related to the Project so far is summarised in Table 10.2.</w:t>
            </w:r>
          </w:p>
          <w:p w14:paraId="62EE5E14" w14:textId="6D9C034C" w:rsidR="007508CC" w:rsidRDefault="007508CC" w:rsidP="00941196">
            <w:pPr>
              <w:rPr>
                <w:rFonts w:ascii="Arial" w:hAnsi="Arial"/>
              </w:rPr>
            </w:pPr>
          </w:p>
          <w:p w14:paraId="1537793E" w14:textId="77777777" w:rsidR="007508CC" w:rsidRPr="001C2C21" w:rsidRDefault="007508CC" w:rsidP="00941196">
            <w:pPr>
              <w:rPr>
                <w:rFonts w:ascii="Arial" w:hAnsi="Arial"/>
              </w:rPr>
            </w:pPr>
          </w:p>
          <w:tbl>
            <w:tblPr>
              <w:tblW w:w="9109" w:type="dxa"/>
              <w:tblBorders>
                <w:top w:val="single" w:sz="2" w:space="0" w:color="262626"/>
                <w:bottom w:val="single" w:sz="2" w:space="0" w:color="262626"/>
              </w:tblBorders>
              <w:tblLayout w:type="fixed"/>
              <w:tblLook w:val="0620" w:firstRow="1" w:lastRow="0" w:firstColumn="0" w:lastColumn="0" w:noHBand="1" w:noVBand="1"/>
            </w:tblPr>
            <w:tblGrid>
              <w:gridCol w:w="2007"/>
              <w:gridCol w:w="1417"/>
              <w:gridCol w:w="4175"/>
              <w:gridCol w:w="1085"/>
              <w:gridCol w:w="425"/>
            </w:tblGrid>
            <w:tr w:rsidR="00941196" w:rsidRPr="00A0448B" w14:paraId="76DB4E04" w14:textId="77777777" w:rsidTr="00634D67">
              <w:trPr>
                <w:tblHeader/>
              </w:trPr>
              <w:tc>
                <w:tcPr>
                  <w:tcW w:w="9109" w:type="dxa"/>
                  <w:gridSpan w:val="5"/>
                </w:tcPr>
                <w:p w14:paraId="36871271" w14:textId="77777777" w:rsidR="00941196" w:rsidRPr="00A0448B" w:rsidRDefault="00941196" w:rsidP="00941196">
                  <w:pPr>
                    <w:pStyle w:val="TableCaption"/>
                    <w:rPr>
                      <w:rFonts w:ascii="Arial" w:hAnsi="Arial" w:cs="Arial"/>
                      <w:sz w:val="18"/>
                    </w:rPr>
                  </w:pPr>
                  <w:bookmarkStart w:id="90" w:name="_Toc5893632"/>
                  <w:bookmarkStart w:id="91" w:name="_Toc5957385"/>
                  <w:bookmarkStart w:id="92" w:name="_Toc5957613"/>
                  <w:bookmarkStart w:id="93" w:name="_Toc5957741"/>
                  <w:bookmarkStart w:id="94" w:name="_Toc7689779"/>
                  <w:bookmarkStart w:id="95" w:name="_Toc7770335"/>
                  <w:bookmarkStart w:id="96" w:name="_Toc7787940"/>
                  <w:bookmarkStart w:id="97" w:name="_Toc8400195"/>
                  <w:bookmarkStart w:id="98" w:name="_Hlk8137477"/>
                  <w:r w:rsidRPr="00A0448B">
                    <w:rPr>
                      <w:rFonts w:ascii="Arial" w:hAnsi="Arial" w:cs="Arial"/>
                      <w:sz w:val="18"/>
                    </w:rPr>
                    <w:t xml:space="preserve">Table </w:t>
                  </w:r>
                  <w:r w:rsidR="001C2C21">
                    <w:rPr>
                      <w:rFonts w:ascii="Arial" w:hAnsi="Arial" w:cs="Arial"/>
                      <w:sz w:val="18"/>
                    </w:rPr>
                    <w:t>10.2</w:t>
                  </w:r>
                  <w:r w:rsidRPr="00A0448B">
                    <w:rPr>
                      <w:rFonts w:ascii="Arial" w:hAnsi="Arial" w:cs="Arial"/>
                      <w:sz w:val="18"/>
                    </w:rPr>
                    <w:tab/>
                    <w:t>Consultation with Aboriginal stakeholders</w:t>
                  </w:r>
                  <w:bookmarkEnd w:id="90"/>
                  <w:bookmarkEnd w:id="91"/>
                  <w:bookmarkEnd w:id="92"/>
                  <w:bookmarkEnd w:id="93"/>
                  <w:bookmarkEnd w:id="94"/>
                  <w:bookmarkEnd w:id="95"/>
                  <w:bookmarkEnd w:id="96"/>
                  <w:bookmarkEnd w:id="97"/>
                </w:p>
              </w:tc>
            </w:tr>
            <w:tr w:rsidR="00941196" w:rsidRPr="00A0448B" w14:paraId="55AC71BE" w14:textId="77777777" w:rsidTr="00741D5F">
              <w:tblPrEx>
                <w:tblBorders>
                  <w:top w:val="none" w:sz="0" w:space="0" w:color="auto"/>
                  <w:bottom w:val="none" w:sz="0" w:space="0" w:color="auto"/>
                </w:tblBorders>
              </w:tblPrEx>
              <w:trPr>
                <w:gridAfter w:val="2"/>
                <w:wAfter w:w="1510" w:type="dxa"/>
              </w:trPr>
              <w:tc>
                <w:tcPr>
                  <w:tcW w:w="2007" w:type="dxa"/>
                </w:tcPr>
                <w:p w14:paraId="564CEEE8" w14:textId="77777777" w:rsidR="00941196" w:rsidRPr="00A0448B" w:rsidRDefault="00941196" w:rsidP="00941196">
                  <w:pPr>
                    <w:pStyle w:val="TableHeading"/>
                    <w:rPr>
                      <w:rFonts w:ascii="Arial" w:hAnsi="Arial" w:cs="Arial"/>
                      <w:szCs w:val="18"/>
                    </w:rPr>
                  </w:pPr>
                  <w:r w:rsidRPr="00A0448B">
                    <w:rPr>
                      <w:rFonts w:ascii="Arial" w:hAnsi="Arial" w:cs="Arial"/>
                      <w:szCs w:val="18"/>
                    </w:rPr>
                    <w:t>Agency</w:t>
                  </w:r>
                </w:p>
              </w:tc>
              <w:tc>
                <w:tcPr>
                  <w:tcW w:w="1417" w:type="dxa"/>
                </w:tcPr>
                <w:p w14:paraId="60761312" w14:textId="77777777" w:rsidR="00941196" w:rsidRPr="00A0448B" w:rsidRDefault="00941196" w:rsidP="00941196">
                  <w:pPr>
                    <w:pStyle w:val="TableHeading"/>
                    <w:rPr>
                      <w:rFonts w:ascii="Arial" w:hAnsi="Arial" w:cs="Arial"/>
                      <w:szCs w:val="18"/>
                    </w:rPr>
                  </w:pPr>
                  <w:r w:rsidRPr="00A0448B">
                    <w:rPr>
                      <w:rFonts w:ascii="Arial" w:hAnsi="Arial" w:cs="Arial"/>
                      <w:szCs w:val="18"/>
                    </w:rPr>
                    <w:t>Date</w:t>
                  </w:r>
                </w:p>
              </w:tc>
              <w:tc>
                <w:tcPr>
                  <w:tcW w:w="4175" w:type="dxa"/>
                </w:tcPr>
                <w:p w14:paraId="2CC67CBF" w14:textId="77777777" w:rsidR="00941196" w:rsidRPr="00A0448B" w:rsidRDefault="00941196" w:rsidP="00941196">
                  <w:pPr>
                    <w:pStyle w:val="TableHeading"/>
                    <w:rPr>
                      <w:rFonts w:ascii="Arial" w:hAnsi="Arial" w:cs="Arial"/>
                      <w:szCs w:val="18"/>
                    </w:rPr>
                  </w:pPr>
                  <w:r w:rsidRPr="00A0448B">
                    <w:rPr>
                      <w:rFonts w:ascii="Arial" w:hAnsi="Arial" w:cs="Arial"/>
                      <w:szCs w:val="18"/>
                    </w:rPr>
                    <w:t>Regarding</w:t>
                  </w:r>
                </w:p>
              </w:tc>
            </w:tr>
            <w:tr w:rsidR="00941196" w:rsidRPr="00A0448B" w14:paraId="74ACAD1C" w14:textId="77777777" w:rsidTr="00741D5F">
              <w:tblPrEx>
                <w:tblBorders>
                  <w:top w:val="none" w:sz="0" w:space="0" w:color="auto"/>
                  <w:bottom w:val="none" w:sz="0" w:space="0" w:color="auto"/>
                </w:tblBorders>
              </w:tblPrEx>
              <w:tc>
                <w:tcPr>
                  <w:tcW w:w="2007" w:type="dxa"/>
                </w:tcPr>
                <w:p w14:paraId="5394755E" w14:textId="78266E10" w:rsidR="00941196" w:rsidRPr="00A0448B" w:rsidRDefault="00941196" w:rsidP="00CE4FA0">
                  <w:pPr>
                    <w:pStyle w:val="TableText"/>
                    <w:tabs>
                      <w:tab w:val="left" w:pos="1260"/>
                    </w:tabs>
                    <w:rPr>
                      <w:rFonts w:ascii="Arial" w:hAnsi="Arial" w:cs="Arial"/>
                      <w:szCs w:val="18"/>
                    </w:rPr>
                  </w:pPr>
                  <w:proofErr w:type="spellStart"/>
                  <w:r w:rsidRPr="00A0448B">
                    <w:rPr>
                      <w:rFonts w:ascii="Arial" w:hAnsi="Arial" w:cs="Arial"/>
                      <w:szCs w:val="18"/>
                    </w:rPr>
                    <w:t>Barengi</w:t>
                  </w:r>
                  <w:proofErr w:type="spellEnd"/>
                  <w:r w:rsidRPr="00A0448B">
                    <w:rPr>
                      <w:rFonts w:ascii="Arial" w:hAnsi="Arial" w:cs="Arial"/>
                      <w:szCs w:val="18"/>
                    </w:rPr>
                    <w:t xml:space="preserve"> </w:t>
                  </w:r>
                  <w:proofErr w:type="spellStart"/>
                  <w:r w:rsidRPr="00A0448B">
                    <w:rPr>
                      <w:rFonts w:ascii="Arial" w:hAnsi="Arial" w:cs="Arial"/>
                      <w:szCs w:val="18"/>
                    </w:rPr>
                    <w:t>Gadjin</w:t>
                  </w:r>
                  <w:proofErr w:type="spellEnd"/>
                  <w:r w:rsidRPr="00A0448B">
                    <w:rPr>
                      <w:rFonts w:ascii="Arial" w:hAnsi="Arial" w:cs="Arial"/>
                      <w:szCs w:val="18"/>
                    </w:rPr>
                    <w:t xml:space="preserve"> Land Council (BGLC) </w:t>
                  </w:r>
                </w:p>
              </w:tc>
              <w:tc>
                <w:tcPr>
                  <w:tcW w:w="1417" w:type="dxa"/>
                </w:tcPr>
                <w:p w14:paraId="01676DD8" w14:textId="77777777" w:rsidR="00941196" w:rsidRPr="00A0448B" w:rsidRDefault="00941196" w:rsidP="00941196">
                  <w:pPr>
                    <w:pStyle w:val="TableText"/>
                    <w:rPr>
                      <w:rFonts w:ascii="Arial" w:hAnsi="Arial" w:cs="Arial"/>
                      <w:szCs w:val="18"/>
                    </w:rPr>
                  </w:pPr>
                  <w:r w:rsidRPr="00A0448B">
                    <w:rPr>
                      <w:rFonts w:ascii="Arial" w:hAnsi="Arial" w:cs="Arial"/>
                      <w:bCs/>
                      <w:szCs w:val="18"/>
                    </w:rPr>
                    <w:t>September 2018</w:t>
                  </w:r>
                </w:p>
              </w:tc>
              <w:tc>
                <w:tcPr>
                  <w:tcW w:w="5685" w:type="dxa"/>
                  <w:gridSpan w:val="3"/>
                </w:tcPr>
                <w:p w14:paraId="77EDB103" w14:textId="77777777" w:rsidR="00941196" w:rsidRPr="00741D5F" w:rsidRDefault="00941196" w:rsidP="00941196">
                  <w:pPr>
                    <w:pStyle w:val="TableText"/>
                    <w:rPr>
                      <w:rFonts w:ascii="Arial" w:hAnsi="Arial" w:cs="Arial"/>
                      <w:bCs/>
                      <w:szCs w:val="18"/>
                    </w:rPr>
                  </w:pPr>
                  <w:r w:rsidRPr="00741D5F">
                    <w:rPr>
                      <w:rFonts w:ascii="Arial" w:hAnsi="Arial" w:cs="Arial"/>
                      <w:bCs/>
                      <w:szCs w:val="18"/>
                    </w:rPr>
                    <w:t>Initial meeting to discuss the cultural heritage aspects of the proposed test pit and broader Project.</w:t>
                  </w:r>
                </w:p>
              </w:tc>
            </w:tr>
            <w:tr w:rsidR="00941196" w:rsidRPr="00A0448B" w14:paraId="1CE6DCCA" w14:textId="77777777" w:rsidTr="00741D5F">
              <w:tblPrEx>
                <w:tblBorders>
                  <w:top w:val="none" w:sz="0" w:space="0" w:color="auto"/>
                  <w:bottom w:val="none" w:sz="0" w:space="0" w:color="auto"/>
                </w:tblBorders>
              </w:tblPrEx>
              <w:trPr>
                <w:gridAfter w:val="1"/>
                <w:wAfter w:w="425" w:type="dxa"/>
              </w:trPr>
              <w:tc>
                <w:tcPr>
                  <w:tcW w:w="2007" w:type="dxa"/>
                </w:tcPr>
                <w:p w14:paraId="25B78EC8" w14:textId="755963A8" w:rsidR="00941196" w:rsidRPr="00A0448B" w:rsidRDefault="00941196" w:rsidP="00373EFC">
                  <w:pPr>
                    <w:pStyle w:val="TableText"/>
                    <w:rPr>
                      <w:rFonts w:ascii="Arial" w:hAnsi="Arial" w:cs="Arial"/>
                      <w:szCs w:val="18"/>
                    </w:rPr>
                  </w:pPr>
                  <w:r w:rsidRPr="00A0448B">
                    <w:rPr>
                      <w:rFonts w:ascii="Arial" w:hAnsi="Arial" w:cs="Arial"/>
                      <w:szCs w:val="18"/>
                    </w:rPr>
                    <w:t xml:space="preserve">BGLC </w:t>
                  </w:r>
                  <w:bookmarkStart w:id="99" w:name="_GoBack"/>
                  <w:bookmarkEnd w:id="99"/>
                </w:p>
              </w:tc>
              <w:tc>
                <w:tcPr>
                  <w:tcW w:w="1417" w:type="dxa"/>
                </w:tcPr>
                <w:p w14:paraId="0DED5E15" w14:textId="77777777" w:rsidR="00941196" w:rsidRPr="00A0448B" w:rsidRDefault="00941196" w:rsidP="00941196">
                  <w:pPr>
                    <w:pStyle w:val="TableText"/>
                    <w:rPr>
                      <w:rFonts w:ascii="Arial" w:hAnsi="Arial" w:cs="Arial"/>
                      <w:bCs/>
                      <w:szCs w:val="18"/>
                    </w:rPr>
                  </w:pPr>
                  <w:r w:rsidRPr="00A0448B">
                    <w:rPr>
                      <w:rFonts w:ascii="Arial" w:hAnsi="Arial" w:cs="Arial"/>
                      <w:bCs/>
                      <w:szCs w:val="18"/>
                    </w:rPr>
                    <w:t>October 2018</w:t>
                  </w:r>
                </w:p>
              </w:tc>
              <w:tc>
                <w:tcPr>
                  <w:tcW w:w="5260" w:type="dxa"/>
                  <w:gridSpan w:val="2"/>
                </w:tcPr>
                <w:p w14:paraId="663F13C8" w14:textId="77777777" w:rsidR="00941196" w:rsidRPr="00741D5F" w:rsidRDefault="00941196" w:rsidP="00741D5F">
                  <w:pPr>
                    <w:pStyle w:val="TableText"/>
                    <w:rPr>
                      <w:rFonts w:ascii="Arial" w:hAnsi="Arial" w:cs="Arial"/>
                      <w:bCs/>
                      <w:szCs w:val="18"/>
                    </w:rPr>
                  </w:pPr>
                  <w:r w:rsidRPr="00741D5F">
                    <w:rPr>
                      <w:rFonts w:ascii="Arial" w:hAnsi="Arial" w:cs="Arial"/>
                      <w:bCs/>
                      <w:szCs w:val="18"/>
                    </w:rPr>
                    <w:t xml:space="preserve">Initial meeting to discuss the desktop cultural heritage assessment (cultural heritage predictive modelling) undertaken </w:t>
                  </w:r>
                  <w:r w:rsidRPr="00741D5F">
                    <w:rPr>
                      <w:rFonts w:ascii="Arial" w:hAnsi="Arial" w:cs="Arial"/>
                      <w:bCs/>
                      <w:szCs w:val="18"/>
                    </w:rPr>
                    <w:lastRenderedPageBreak/>
                    <w:t>by Iluka’s Aboriginal cultural heritage consultants, GHD, including: the test pit works, the desktop cultural heritage assessment, proposed protocols to implement if cultural heritage material was found during the test pit works. The proposed approach regarding the cultural heritage management plan (CHMP) for the broader Project was also discussed.</w:t>
                  </w:r>
                </w:p>
              </w:tc>
            </w:tr>
            <w:tr w:rsidR="00941196" w:rsidRPr="00A0448B" w14:paraId="16A0172E" w14:textId="77777777" w:rsidTr="00741D5F">
              <w:tblPrEx>
                <w:tblBorders>
                  <w:top w:val="none" w:sz="0" w:space="0" w:color="auto"/>
                  <w:bottom w:val="none" w:sz="0" w:space="0" w:color="auto"/>
                </w:tblBorders>
              </w:tblPrEx>
              <w:trPr>
                <w:gridAfter w:val="1"/>
                <w:wAfter w:w="425" w:type="dxa"/>
              </w:trPr>
              <w:tc>
                <w:tcPr>
                  <w:tcW w:w="2007" w:type="dxa"/>
                </w:tcPr>
                <w:p w14:paraId="5FB0F1E5" w14:textId="77777777" w:rsidR="00941196" w:rsidRPr="00A0448B" w:rsidRDefault="00941196" w:rsidP="00941196">
                  <w:pPr>
                    <w:pStyle w:val="TableText"/>
                    <w:rPr>
                      <w:rFonts w:ascii="Arial" w:hAnsi="Arial" w:cs="Arial"/>
                      <w:szCs w:val="18"/>
                    </w:rPr>
                  </w:pPr>
                  <w:r w:rsidRPr="00A0448B">
                    <w:rPr>
                      <w:rFonts w:ascii="Arial" w:hAnsi="Arial" w:cs="Arial"/>
                      <w:szCs w:val="18"/>
                    </w:rPr>
                    <w:lastRenderedPageBreak/>
                    <w:t xml:space="preserve">BGLC </w:t>
                  </w:r>
                </w:p>
              </w:tc>
              <w:tc>
                <w:tcPr>
                  <w:tcW w:w="1417" w:type="dxa"/>
                </w:tcPr>
                <w:p w14:paraId="223CC718" w14:textId="77777777" w:rsidR="00941196" w:rsidRPr="00A0448B" w:rsidRDefault="00941196" w:rsidP="00941196">
                  <w:pPr>
                    <w:pStyle w:val="TableText"/>
                    <w:rPr>
                      <w:rFonts w:ascii="Arial" w:hAnsi="Arial" w:cs="Arial"/>
                      <w:bCs/>
                      <w:szCs w:val="18"/>
                    </w:rPr>
                  </w:pPr>
                  <w:r w:rsidRPr="00A0448B">
                    <w:rPr>
                      <w:rFonts w:ascii="Arial" w:hAnsi="Arial" w:cs="Arial"/>
                      <w:bCs/>
                      <w:szCs w:val="18"/>
                    </w:rPr>
                    <w:t>December 2018</w:t>
                  </w:r>
                </w:p>
              </w:tc>
              <w:tc>
                <w:tcPr>
                  <w:tcW w:w="5260" w:type="dxa"/>
                  <w:gridSpan w:val="2"/>
                </w:tcPr>
                <w:p w14:paraId="10AEA296" w14:textId="77777777" w:rsidR="00941196" w:rsidRPr="00741D5F" w:rsidRDefault="00941196" w:rsidP="00741D5F">
                  <w:pPr>
                    <w:pStyle w:val="TableText"/>
                    <w:rPr>
                      <w:rFonts w:ascii="Arial" w:hAnsi="Arial" w:cs="Arial"/>
                      <w:bCs/>
                      <w:szCs w:val="18"/>
                    </w:rPr>
                  </w:pPr>
                  <w:r w:rsidRPr="00741D5F">
                    <w:rPr>
                      <w:rFonts w:ascii="Arial" w:hAnsi="Arial" w:cs="Arial"/>
                      <w:bCs/>
                      <w:szCs w:val="18"/>
                    </w:rPr>
                    <w:t xml:space="preserve">A meeting to discuss the deliverables from the desktop cultural heritage assessment. </w:t>
                  </w:r>
                </w:p>
              </w:tc>
            </w:tr>
            <w:tr w:rsidR="00941196" w:rsidRPr="00A0448B" w14:paraId="78BA6025" w14:textId="77777777" w:rsidTr="00741D5F">
              <w:tblPrEx>
                <w:tblBorders>
                  <w:top w:val="none" w:sz="0" w:space="0" w:color="auto"/>
                  <w:bottom w:val="none" w:sz="0" w:space="0" w:color="auto"/>
                </w:tblBorders>
              </w:tblPrEx>
              <w:tc>
                <w:tcPr>
                  <w:tcW w:w="2007" w:type="dxa"/>
                </w:tcPr>
                <w:p w14:paraId="16A60C84" w14:textId="77777777" w:rsidR="00941196" w:rsidRPr="00A0448B" w:rsidRDefault="00941196" w:rsidP="00941196">
                  <w:pPr>
                    <w:pStyle w:val="TableText"/>
                    <w:rPr>
                      <w:rFonts w:ascii="Arial" w:hAnsi="Arial" w:cs="Arial"/>
                      <w:szCs w:val="18"/>
                    </w:rPr>
                  </w:pPr>
                  <w:r w:rsidRPr="00A0448B">
                    <w:rPr>
                      <w:rFonts w:ascii="Arial" w:hAnsi="Arial" w:cs="Arial"/>
                      <w:szCs w:val="18"/>
                    </w:rPr>
                    <w:t xml:space="preserve">BGLC </w:t>
                  </w:r>
                </w:p>
              </w:tc>
              <w:tc>
                <w:tcPr>
                  <w:tcW w:w="1417" w:type="dxa"/>
                </w:tcPr>
                <w:p w14:paraId="7B3ADE65" w14:textId="77777777" w:rsidR="00941196" w:rsidRPr="00A0448B" w:rsidRDefault="00941196" w:rsidP="00941196">
                  <w:pPr>
                    <w:pStyle w:val="TableText"/>
                    <w:rPr>
                      <w:rFonts w:ascii="Arial" w:hAnsi="Arial" w:cs="Arial"/>
                      <w:bCs/>
                      <w:szCs w:val="18"/>
                    </w:rPr>
                  </w:pPr>
                  <w:r w:rsidRPr="00A0448B">
                    <w:rPr>
                      <w:rFonts w:ascii="Arial" w:hAnsi="Arial" w:cs="Arial"/>
                      <w:bCs/>
                      <w:szCs w:val="18"/>
                    </w:rPr>
                    <w:t>February 2019</w:t>
                  </w:r>
                </w:p>
              </w:tc>
              <w:tc>
                <w:tcPr>
                  <w:tcW w:w="5685" w:type="dxa"/>
                  <w:gridSpan w:val="3"/>
                </w:tcPr>
                <w:p w14:paraId="0BA564BA" w14:textId="77777777" w:rsidR="006960F4" w:rsidRDefault="00941196" w:rsidP="00941196">
                  <w:pPr>
                    <w:pStyle w:val="TableText"/>
                    <w:rPr>
                      <w:rFonts w:ascii="Arial" w:hAnsi="Arial" w:cs="Arial"/>
                      <w:bCs/>
                      <w:szCs w:val="18"/>
                    </w:rPr>
                  </w:pPr>
                  <w:r w:rsidRPr="00A0448B">
                    <w:rPr>
                      <w:rFonts w:ascii="Arial" w:hAnsi="Arial" w:cs="Arial"/>
                      <w:bCs/>
                      <w:szCs w:val="18"/>
                    </w:rPr>
                    <w:t xml:space="preserve">The first day of a two-day standard assessment (non-ground </w:t>
                  </w:r>
                </w:p>
                <w:p w14:paraId="588A3D56" w14:textId="77777777" w:rsidR="006960F4" w:rsidRDefault="00941196" w:rsidP="00941196">
                  <w:pPr>
                    <w:pStyle w:val="TableText"/>
                    <w:rPr>
                      <w:rFonts w:ascii="Arial" w:hAnsi="Arial" w:cs="Arial"/>
                      <w:bCs/>
                      <w:szCs w:val="18"/>
                    </w:rPr>
                  </w:pPr>
                  <w:r w:rsidRPr="00A0448B">
                    <w:rPr>
                      <w:rFonts w:ascii="Arial" w:hAnsi="Arial" w:cs="Arial"/>
                      <w:bCs/>
                      <w:szCs w:val="18"/>
                    </w:rPr>
                    <w:t xml:space="preserve">intrusive field survey) was undertaken. The survey was </w:t>
                  </w:r>
                </w:p>
                <w:p w14:paraId="1C72BC9C" w14:textId="6315DB48" w:rsidR="00941196" w:rsidRPr="00A0448B" w:rsidRDefault="00941196" w:rsidP="00941196">
                  <w:pPr>
                    <w:pStyle w:val="TableText"/>
                    <w:rPr>
                      <w:rFonts w:ascii="Arial" w:hAnsi="Arial" w:cs="Arial"/>
                      <w:bCs/>
                      <w:szCs w:val="18"/>
                    </w:rPr>
                  </w:pPr>
                  <w:r w:rsidRPr="00A0448B">
                    <w:rPr>
                      <w:rFonts w:ascii="Arial" w:hAnsi="Arial" w:cs="Arial"/>
                      <w:bCs/>
                      <w:szCs w:val="18"/>
                    </w:rPr>
                    <w:t xml:space="preserve">undertaken by two </w:t>
                  </w:r>
                  <w:r w:rsidRPr="00A0448B">
                    <w:rPr>
                      <w:rFonts w:ascii="Arial" w:hAnsi="Arial" w:cs="Arial"/>
                      <w:szCs w:val="18"/>
                    </w:rPr>
                    <w:t xml:space="preserve">Registered Aboriginal Party (RAP) </w:t>
                  </w:r>
                  <w:r w:rsidRPr="00A0448B">
                    <w:rPr>
                      <w:rFonts w:ascii="Arial" w:hAnsi="Arial" w:cs="Arial"/>
                      <w:bCs/>
                      <w:szCs w:val="18"/>
                    </w:rPr>
                    <w:t>representatives. An Iluka representative and two GHD cultural heritage experts were also in attendance.</w:t>
                  </w:r>
                </w:p>
              </w:tc>
            </w:tr>
            <w:tr w:rsidR="00941196" w:rsidRPr="00A0448B" w14:paraId="3178EB81" w14:textId="77777777" w:rsidTr="00741D5F">
              <w:tblPrEx>
                <w:tblBorders>
                  <w:top w:val="none" w:sz="0" w:space="0" w:color="auto"/>
                  <w:bottom w:val="none" w:sz="0" w:space="0" w:color="auto"/>
                </w:tblBorders>
                <w:tblLook w:val="01E0" w:firstRow="1" w:lastRow="1" w:firstColumn="1" w:lastColumn="1" w:noHBand="0" w:noVBand="0"/>
              </w:tblPrEx>
              <w:trPr>
                <w:gridAfter w:val="1"/>
                <w:wAfter w:w="425" w:type="dxa"/>
              </w:trPr>
              <w:tc>
                <w:tcPr>
                  <w:tcW w:w="2007" w:type="dxa"/>
                </w:tcPr>
                <w:p w14:paraId="2107637B" w14:textId="77777777" w:rsidR="00941196" w:rsidRPr="00A0448B" w:rsidRDefault="00941196" w:rsidP="00941196">
                  <w:pPr>
                    <w:pStyle w:val="TableText"/>
                    <w:rPr>
                      <w:rFonts w:ascii="Arial" w:hAnsi="Arial" w:cs="Arial"/>
                      <w:szCs w:val="18"/>
                    </w:rPr>
                  </w:pPr>
                  <w:r w:rsidRPr="00A0448B">
                    <w:rPr>
                      <w:rFonts w:ascii="Arial" w:hAnsi="Arial" w:cs="Arial"/>
                      <w:szCs w:val="18"/>
                    </w:rPr>
                    <w:t>BGLC</w:t>
                  </w:r>
                </w:p>
              </w:tc>
              <w:tc>
                <w:tcPr>
                  <w:tcW w:w="1417" w:type="dxa"/>
                </w:tcPr>
                <w:p w14:paraId="338018DC" w14:textId="77777777" w:rsidR="00941196" w:rsidRPr="00A0448B" w:rsidRDefault="00941196" w:rsidP="00941196">
                  <w:pPr>
                    <w:pStyle w:val="TableText"/>
                    <w:rPr>
                      <w:rFonts w:ascii="Arial" w:hAnsi="Arial" w:cs="Arial"/>
                      <w:szCs w:val="18"/>
                    </w:rPr>
                  </w:pPr>
                  <w:r w:rsidRPr="00A0448B">
                    <w:rPr>
                      <w:rFonts w:ascii="Arial" w:hAnsi="Arial" w:cs="Arial"/>
                      <w:bCs/>
                      <w:szCs w:val="18"/>
                    </w:rPr>
                    <w:t>April</w:t>
                  </w:r>
                  <w:r w:rsidRPr="00A0448B">
                    <w:rPr>
                      <w:rFonts w:ascii="Arial" w:hAnsi="Arial" w:cs="Arial"/>
                      <w:szCs w:val="18"/>
                    </w:rPr>
                    <w:t xml:space="preserve"> </w:t>
                  </w:r>
                  <w:r w:rsidRPr="00A0448B">
                    <w:rPr>
                      <w:rFonts w:ascii="Arial" w:hAnsi="Arial" w:cs="Arial"/>
                      <w:bCs/>
                      <w:szCs w:val="18"/>
                    </w:rPr>
                    <w:t>2019</w:t>
                  </w:r>
                </w:p>
              </w:tc>
              <w:tc>
                <w:tcPr>
                  <w:tcW w:w="5260" w:type="dxa"/>
                  <w:gridSpan w:val="2"/>
                </w:tcPr>
                <w:p w14:paraId="54468C15" w14:textId="77777777" w:rsidR="00941196" w:rsidRPr="00A0448B" w:rsidRDefault="00941196" w:rsidP="00941196">
                  <w:pPr>
                    <w:pStyle w:val="TableText"/>
                    <w:rPr>
                      <w:rFonts w:ascii="Arial" w:hAnsi="Arial" w:cs="Arial"/>
                      <w:szCs w:val="18"/>
                    </w:rPr>
                  </w:pPr>
                  <w:r w:rsidRPr="00A0448B">
                    <w:rPr>
                      <w:rFonts w:ascii="Arial" w:hAnsi="Arial" w:cs="Arial"/>
                      <w:szCs w:val="18"/>
                    </w:rPr>
                    <w:t>Th</w:t>
                  </w:r>
                  <w:r w:rsidRPr="00A0448B">
                    <w:rPr>
                      <w:rFonts w:ascii="Arial" w:hAnsi="Arial" w:cs="Arial"/>
                      <w:bCs/>
                      <w:szCs w:val="18"/>
                    </w:rPr>
                    <w:t>e second day of the two-day</w:t>
                  </w:r>
                  <w:r w:rsidRPr="00A0448B">
                    <w:rPr>
                      <w:rFonts w:ascii="Arial" w:hAnsi="Arial" w:cs="Arial"/>
                      <w:b/>
                      <w:bCs/>
                      <w:szCs w:val="18"/>
                    </w:rPr>
                    <w:t xml:space="preserve"> </w:t>
                  </w:r>
                  <w:r w:rsidRPr="00A0448B">
                    <w:rPr>
                      <w:rFonts w:ascii="Arial" w:hAnsi="Arial" w:cs="Arial"/>
                      <w:bCs/>
                      <w:szCs w:val="18"/>
                    </w:rPr>
                    <w:t xml:space="preserve">standard </w:t>
                  </w:r>
                  <w:r w:rsidRPr="00A0448B">
                    <w:rPr>
                      <w:rFonts w:ascii="Arial" w:hAnsi="Arial" w:cs="Arial"/>
                      <w:szCs w:val="18"/>
                    </w:rPr>
                    <w:t xml:space="preserve">assessment survey was undertaken. </w:t>
                  </w:r>
                </w:p>
              </w:tc>
            </w:tr>
            <w:bookmarkEnd w:id="98"/>
          </w:tbl>
          <w:p w14:paraId="06EF8098" w14:textId="77777777" w:rsidR="009637D0" w:rsidRPr="00941196" w:rsidRDefault="009637D0" w:rsidP="00941196">
            <w:pPr>
              <w:rPr>
                <w:rFonts w:ascii="Arial" w:hAnsi="Arial" w:cs="Arial"/>
                <w:sz w:val="18"/>
                <w:szCs w:val="18"/>
              </w:rPr>
            </w:pPr>
          </w:p>
        </w:tc>
      </w:tr>
      <w:tr w:rsidR="009637D0" w14:paraId="14773128" w14:textId="77777777" w:rsidTr="00634D67">
        <w:tc>
          <w:tcPr>
            <w:tcW w:w="8880" w:type="dxa"/>
            <w:gridSpan w:val="2"/>
          </w:tcPr>
          <w:p w14:paraId="7EB25055" w14:textId="77777777" w:rsidR="00941196" w:rsidRDefault="00941196" w:rsidP="0012253F">
            <w:pPr>
              <w:rPr>
                <w:rFonts w:ascii="Arial" w:hAnsi="Arial"/>
                <w:b/>
              </w:rPr>
            </w:pPr>
          </w:p>
          <w:p w14:paraId="19C0CCA2" w14:textId="77777777" w:rsidR="009637D0" w:rsidRPr="009637D0" w:rsidRDefault="00941196" w:rsidP="0012253F">
            <w:pPr>
              <w:rPr>
                <w:rFonts w:ascii="Arial" w:hAnsi="Arial"/>
                <w:b/>
              </w:rPr>
            </w:pPr>
            <w:r>
              <w:rPr>
                <w:rFonts w:ascii="Arial" w:hAnsi="Arial"/>
                <w:b/>
              </w:rPr>
              <w:t xml:space="preserve">10.4 </w:t>
            </w:r>
            <w:r w:rsidR="009637D0" w:rsidRPr="009637D0">
              <w:rPr>
                <w:rFonts w:ascii="Arial" w:hAnsi="Arial"/>
                <w:b/>
              </w:rPr>
              <w:t>Other agencies consulted:</w:t>
            </w:r>
          </w:p>
        </w:tc>
      </w:tr>
      <w:tr w:rsidR="001C34F3" w14:paraId="55F52DAF" w14:textId="77777777" w:rsidTr="00634D67">
        <w:trPr>
          <w:trHeight w:val="421"/>
        </w:trPr>
        <w:tc>
          <w:tcPr>
            <w:tcW w:w="8880" w:type="dxa"/>
            <w:gridSpan w:val="2"/>
          </w:tcPr>
          <w:p w14:paraId="3BA577E4" w14:textId="77777777" w:rsidR="001C34F3" w:rsidRDefault="001C34F3">
            <w:pPr>
              <w:rPr>
                <w:rFonts w:ascii="Arial" w:hAnsi="Arial"/>
              </w:rPr>
            </w:pPr>
          </w:p>
        </w:tc>
      </w:tr>
      <w:tr w:rsidR="001C34F3" w14:paraId="041AE148" w14:textId="77777777" w:rsidTr="00634D67">
        <w:trPr>
          <w:trHeight w:val="421"/>
        </w:trPr>
        <w:tc>
          <w:tcPr>
            <w:tcW w:w="8880" w:type="dxa"/>
            <w:gridSpan w:val="2"/>
          </w:tcPr>
          <w:p w14:paraId="39E673D5" w14:textId="77777777" w:rsidR="00941196" w:rsidRPr="00941196" w:rsidRDefault="00941196" w:rsidP="00941196">
            <w:pPr>
              <w:rPr>
                <w:rFonts w:ascii="Arial" w:hAnsi="Arial"/>
              </w:rPr>
            </w:pPr>
            <w:r w:rsidRPr="00941196">
              <w:rPr>
                <w:rFonts w:ascii="Arial" w:hAnsi="Arial"/>
              </w:rPr>
              <w:t xml:space="preserve">Not applicable. </w:t>
            </w:r>
          </w:p>
          <w:p w14:paraId="58F68360" w14:textId="77777777" w:rsidR="001C34F3" w:rsidRDefault="001C34F3">
            <w:pPr>
              <w:rPr>
                <w:rFonts w:ascii="Arial" w:hAnsi="Arial"/>
              </w:rPr>
            </w:pPr>
          </w:p>
        </w:tc>
      </w:tr>
    </w:tbl>
    <w:p w14:paraId="5E7F66DC" w14:textId="77777777" w:rsidR="006960F4" w:rsidRDefault="006960F4" w:rsidP="00AD07F1">
      <w:pPr>
        <w:pStyle w:val="ListBullet"/>
        <w:numPr>
          <w:ilvl w:val="0"/>
          <w:numId w:val="0"/>
        </w:numPr>
        <w:ind w:left="419"/>
      </w:pPr>
    </w:p>
    <w:p w14:paraId="48E40AE0" w14:textId="61AA54AD" w:rsidR="001C34F3" w:rsidRPr="008D4567" w:rsidRDefault="001C34F3" w:rsidP="00AD07F1">
      <w:pPr>
        <w:pStyle w:val="ListBullet"/>
        <w:numPr>
          <w:ilvl w:val="0"/>
          <w:numId w:val="0"/>
        </w:numPr>
      </w:pPr>
      <w:r w:rsidRPr="008D4567">
        <w:t>PART 2   POTENTIAL ENVIRONMENTAL EFFECTS</w:t>
      </w:r>
    </w:p>
    <w:p w14:paraId="6F820DE3" w14:textId="77777777" w:rsidR="001C34F3" w:rsidRDefault="001C34F3">
      <w:pPr>
        <w:tabs>
          <w:tab w:val="left" w:pos="2904"/>
          <w:tab w:val="left" w:pos="3907"/>
          <w:tab w:val="left" w:pos="4910"/>
          <w:tab w:val="left" w:pos="5913"/>
          <w:tab w:val="left" w:pos="6916"/>
        </w:tabs>
        <w:spacing w:before="120"/>
        <w:rPr>
          <w:rFonts w:ascii="Arial" w:hAnsi="Arial"/>
          <w:b/>
          <w:sz w:val="22"/>
        </w:rPr>
      </w:pPr>
    </w:p>
    <w:p w14:paraId="6B5BA77C" w14:textId="77777777" w:rsidR="001C34F3" w:rsidRDefault="001C34F3">
      <w:pPr>
        <w:tabs>
          <w:tab w:val="left" w:pos="2904"/>
          <w:tab w:val="left" w:pos="3907"/>
          <w:tab w:val="left" w:pos="4910"/>
          <w:tab w:val="left" w:pos="5913"/>
          <w:tab w:val="left" w:pos="6916"/>
        </w:tabs>
        <w:rPr>
          <w:rFonts w:ascii="Arial" w:hAnsi="Arial"/>
          <w:b/>
          <w:sz w:val="22"/>
        </w:rPr>
      </w:pPr>
      <w:r>
        <w:rPr>
          <w:rFonts w:ascii="Arial" w:hAnsi="Arial"/>
          <w:b/>
          <w:sz w:val="22"/>
        </w:rPr>
        <w:t>11</w:t>
      </w:r>
      <w:r w:rsidR="00731F1C">
        <w:rPr>
          <w:rFonts w:ascii="Arial" w:hAnsi="Arial"/>
          <w:b/>
          <w:sz w:val="22"/>
        </w:rPr>
        <w:t xml:space="preserve">.  </w:t>
      </w:r>
      <w:r>
        <w:rPr>
          <w:rFonts w:ascii="Arial" w:hAnsi="Arial"/>
          <w:b/>
          <w:sz w:val="22"/>
        </w:rPr>
        <w:t xml:space="preserve">  Potentially significant environmental effects</w:t>
      </w:r>
    </w:p>
    <w:p w14:paraId="36354126" w14:textId="77777777" w:rsidR="001C34F3" w:rsidRDefault="001C34F3">
      <w:pPr>
        <w:tabs>
          <w:tab w:val="left" w:pos="2904"/>
          <w:tab w:val="left" w:pos="3907"/>
          <w:tab w:val="left" w:pos="4910"/>
          <w:tab w:val="left" w:pos="5913"/>
          <w:tab w:val="left" w:pos="6916"/>
        </w:tabs>
        <w:rPr>
          <w:rFonts w:ascii="Arial" w:hAnsi="Arial"/>
          <w:b/>
          <w:sz w:val="22"/>
        </w:rPr>
      </w:pPr>
    </w:p>
    <w:tbl>
      <w:tblPr>
        <w:tblW w:w="924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243"/>
      </w:tblGrid>
      <w:tr w:rsidR="001C34F3" w14:paraId="0A03A92D" w14:textId="77777777" w:rsidTr="00E71774">
        <w:trPr>
          <w:trHeight w:val="421"/>
        </w:trPr>
        <w:tc>
          <w:tcPr>
            <w:tcW w:w="9243" w:type="dxa"/>
            <w:tcBorders>
              <w:bottom w:val="single" w:sz="4" w:space="0" w:color="auto"/>
            </w:tcBorders>
          </w:tcPr>
          <w:p w14:paraId="7F6BAF03" w14:textId="77777777" w:rsidR="00941196" w:rsidRDefault="001C34F3" w:rsidP="00741D5F">
            <w:pPr>
              <w:spacing w:before="240"/>
              <w:rPr>
                <w:rFonts w:ascii="Arial" w:hAnsi="Arial"/>
                <w:b/>
              </w:rPr>
            </w:pPr>
            <w:r>
              <w:rPr>
                <w:rFonts w:ascii="Arial" w:hAnsi="Arial"/>
                <w:b/>
              </w:rPr>
              <w:t xml:space="preserve">Overview of potentially significant environmental effects </w:t>
            </w:r>
          </w:p>
          <w:p w14:paraId="112315B0" w14:textId="6CB88FA5" w:rsidR="00741D5F" w:rsidRDefault="00741D5F" w:rsidP="00741D5F">
            <w:pPr>
              <w:spacing w:before="240"/>
            </w:pPr>
          </w:p>
        </w:tc>
      </w:tr>
      <w:tr w:rsidR="001C34F3" w14:paraId="7BE47C83" w14:textId="77777777" w:rsidTr="00E71774">
        <w:tc>
          <w:tcPr>
            <w:tcW w:w="9243" w:type="dxa"/>
            <w:tcBorders>
              <w:top w:val="single" w:sz="4" w:space="0" w:color="auto"/>
              <w:bottom w:val="single" w:sz="4" w:space="0" w:color="auto"/>
            </w:tcBorders>
          </w:tcPr>
          <w:p w14:paraId="497DEB94" w14:textId="77777777" w:rsidR="00934926" w:rsidRDefault="00934926" w:rsidP="00934926">
            <w:pPr>
              <w:rPr>
                <w:rFonts w:ascii="Arial" w:hAnsi="Arial"/>
                <w:b/>
              </w:rPr>
            </w:pPr>
            <w:r w:rsidRPr="00934926">
              <w:rPr>
                <w:rFonts w:ascii="Arial" w:hAnsi="Arial"/>
                <w:b/>
              </w:rPr>
              <w:t>11.1 Biodiversity</w:t>
            </w:r>
          </w:p>
          <w:p w14:paraId="7EC36A7F" w14:textId="77777777" w:rsidR="00934926" w:rsidRPr="00934926" w:rsidRDefault="00934926" w:rsidP="00934926">
            <w:pPr>
              <w:rPr>
                <w:rFonts w:ascii="Arial" w:hAnsi="Arial"/>
                <w:b/>
              </w:rPr>
            </w:pPr>
          </w:p>
          <w:p w14:paraId="150A45D1" w14:textId="77777777" w:rsidR="00695216" w:rsidRDefault="00934926" w:rsidP="004E27E9">
            <w:pPr>
              <w:spacing w:after="120"/>
              <w:jc w:val="both"/>
              <w:rPr>
                <w:rFonts w:ascii="Arial" w:hAnsi="Arial"/>
              </w:rPr>
            </w:pPr>
            <w:r w:rsidRPr="00934926">
              <w:rPr>
                <w:rFonts w:ascii="Arial" w:hAnsi="Arial"/>
              </w:rPr>
              <w:t xml:space="preserve">A baseline terrestrial </w:t>
            </w:r>
            <w:r w:rsidR="005E7434">
              <w:rPr>
                <w:rFonts w:ascii="Arial" w:hAnsi="Arial"/>
              </w:rPr>
              <w:t>ecological</w:t>
            </w:r>
            <w:r w:rsidR="005E7434" w:rsidRPr="00934926">
              <w:rPr>
                <w:rFonts w:ascii="Arial" w:hAnsi="Arial"/>
              </w:rPr>
              <w:t xml:space="preserve"> </w:t>
            </w:r>
            <w:r w:rsidRPr="00934926">
              <w:rPr>
                <w:rFonts w:ascii="Arial" w:hAnsi="Arial"/>
              </w:rPr>
              <w:t xml:space="preserve">study was undertaken by Cardno (2018) to identify species and ecological communities likely to occur in the </w:t>
            </w:r>
            <w:r w:rsidR="00774F21">
              <w:rPr>
                <w:rFonts w:ascii="Arial" w:hAnsi="Arial" w:cs="Arial"/>
                <w:szCs w:val="18"/>
              </w:rPr>
              <w:t xml:space="preserve">biodiversity study </w:t>
            </w:r>
            <w:r w:rsidR="00774F21" w:rsidRPr="002467D8">
              <w:rPr>
                <w:rFonts w:ascii="Arial" w:hAnsi="Arial" w:cs="Arial"/>
                <w:szCs w:val="18"/>
              </w:rPr>
              <w:t xml:space="preserve">area </w:t>
            </w:r>
            <w:r w:rsidRPr="00934926">
              <w:rPr>
                <w:rFonts w:ascii="Arial" w:hAnsi="Arial"/>
              </w:rPr>
              <w:t>and/or with potential to be impacted by the Project</w:t>
            </w:r>
            <w:r w:rsidR="005E7434">
              <w:rPr>
                <w:rFonts w:ascii="Arial" w:hAnsi="Arial"/>
              </w:rPr>
              <w:t>, with a particular focus on those</w:t>
            </w:r>
            <w:r w:rsidR="005E7434" w:rsidRPr="00934926">
              <w:rPr>
                <w:rFonts w:ascii="Arial" w:hAnsi="Arial"/>
              </w:rPr>
              <w:t xml:space="preserve"> listed under the </w:t>
            </w:r>
            <w:r w:rsidR="005E7434" w:rsidRPr="00BE41E6">
              <w:rPr>
                <w:rFonts w:ascii="Arial" w:hAnsi="Arial"/>
                <w:i/>
              </w:rPr>
              <w:t>Flora and Fauna Guarantee Act 1988</w:t>
            </w:r>
            <w:r w:rsidR="005E7434" w:rsidRPr="00934926">
              <w:rPr>
                <w:rFonts w:ascii="Arial" w:hAnsi="Arial"/>
              </w:rPr>
              <w:t xml:space="preserve"> (FFG Act) </w:t>
            </w:r>
            <w:r w:rsidR="005E7434">
              <w:rPr>
                <w:rFonts w:ascii="Arial" w:hAnsi="Arial"/>
              </w:rPr>
              <w:t xml:space="preserve">and </w:t>
            </w:r>
            <w:r w:rsidR="008139BD">
              <w:rPr>
                <w:rFonts w:ascii="Arial" w:hAnsi="Arial"/>
                <w:i/>
              </w:rPr>
              <w:t>Environment</w:t>
            </w:r>
            <w:r w:rsidR="005E7434" w:rsidRPr="008F6923">
              <w:rPr>
                <w:rFonts w:ascii="Arial" w:hAnsi="Arial"/>
                <w:i/>
              </w:rPr>
              <w:t xml:space="preserve"> Protection and Biodiversity Conservation Act 1999</w:t>
            </w:r>
            <w:r w:rsidR="005E7434">
              <w:rPr>
                <w:rFonts w:ascii="Arial" w:hAnsi="Arial"/>
              </w:rPr>
              <w:t xml:space="preserve"> (EPBC Act)</w:t>
            </w:r>
            <w:r w:rsidRPr="00934926">
              <w:rPr>
                <w:rFonts w:ascii="Arial" w:hAnsi="Arial"/>
              </w:rPr>
              <w:t>.</w:t>
            </w:r>
          </w:p>
          <w:p w14:paraId="29D99342" w14:textId="6305B56D" w:rsidR="00934926" w:rsidRPr="00934926" w:rsidRDefault="00934926" w:rsidP="004E27E9">
            <w:pPr>
              <w:spacing w:after="120"/>
              <w:jc w:val="both"/>
              <w:rPr>
                <w:rFonts w:ascii="Arial" w:hAnsi="Arial"/>
              </w:rPr>
            </w:pPr>
            <w:r w:rsidRPr="00934926">
              <w:rPr>
                <w:rFonts w:ascii="Arial" w:hAnsi="Arial"/>
              </w:rPr>
              <w:t xml:space="preserve">The </w:t>
            </w:r>
            <w:r w:rsidR="00695216">
              <w:rPr>
                <w:rFonts w:ascii="Arial" w:hAnsi="Arial"/>
              </w:rPr>
              <w:t xml:space="preserve">baseline ecological </w:t>
            </w:r>
            <w:r w:rsidRPr="00934926">
              <w:rPr>
                <w:rFonts w:ascii="Arial" w:hAnsi="Arial"/>
              </w:rPr>
              <w:t>assessment did not include an assessment of the offsite infrastructure areas as these areas are yet to be determined. Similarly, no aquatic biodiversity assessments have been undertaken</w:t>
            </w:r>
            <w:r w:rsidR="009C60AC">
              <w:rPr>
                <w:rFonts w:ascii="Arial" w:hAnsi="Arial"/>
              </w:rPr>
              <w:t xml:space="preserve"> a</w:t>
            </w:r>
            <w:r w:rsidR="00D942B4">
              <w:rPr>
                <w:rFonts w:ascii="Arial" w:hAnsi="Arial"/>
              </w:rPr>
              <w:t>t this time</w:t>
            </w:r>
            <w:r w:rsidRPr="00934926">
              <w:rPr>
                <w:rFonts w:ascii="Arial" w:hAnsi="Arial"/>
              </w:rPr>
              <w:t>.</w:t>
            </w:r>
          </w:p>
          <w:p w14:paraId="1AF30E0A" w14:textId="640A7FBA" w:rsidR="00934926" w:rsidRPr="00934926" w:rsidRDefault="00934926" w:rsidP="004E27E9">
            <w:pPr>
              <w:spacing w:after="120"/>
              <w:jc w:val="both"/>
              <w:rPr>
                <w:rFonts w:ascii="Arial" w:hAnsi="Arial"/>
              </w:rPr>
            </w:pPr>
            <w:r w:rsidRPr="00934926">
              <w:rPr>
                <w:rFonts w:ascii="Arial" w:hAnsi="Arial"/>
              </w:rPr>
              <w:t xml:space="preserve">The </w:t>
            </w:r>
            <w:r w:rsidR="005E7434">
              <w:rPr>
                <w:rFonts w:ascii="Arial" w:hAnsi="Arial" w:cs="Arial"/>
                <w:szCs w:val="18"/>
              </w:rPr>
              <w:t xml:space="preserve">ecological </w:t>
            </w:r>
            <w:r w:rsidR="00774F21">
              <w:rPr>
                <w:rFonts w:ascii="Arial" w:hAnsi="Arial" w:cs="Arial"/>
                <w:szCs w:val="18"/>
              </w:rPr>
              <w:t xml:space="preserve">study </w:t>
            </w:r>
            <w:r w:rsidR="00774F21" w:rsidRPr="002467D8">
              <w:rPr>
                <w:rFonts w:ascii="Arial" w:hAnsi="Arial" w:cs="Arial"/>
                <w:szCs w:val="18"/>
              </w:rPr>
              <w:t>area</w:t>
            </w:r>
            <w:r w:rsidR="00741D5F">
              <w:rPr>
                <w:rFonts w:ascii="Arial" w:hAnsi="Arial" w:cs="Arial"/>
                <w:szCs w:val="18"/>
              </w:rPr>
              <w:t xml:space="preserve"> (Figure </w:t>
            </w:r>
            <w:r w:rsidR="007E61D6">
              <w:rPr>
                <w:rFonts w:ascii="Arial" w:hAnsi="Arial" w:cs="Arial"/>
                <w:szCs w:val="18"/>
              </w:rPr>
              <w:t>14</w:t>
            </w:r>
            <w:r w:rsidR="00741D5F">
              <w:rPr>
                <w:rFonts w:ascii="Arial" w:hAnsi="Arial" w:cs="Arial"/>
                <w:szCs w:val="18"/>
              </w:rPr>
              <w:t>)</w:t>
            </w:r>
            <w:r w:rsidR="00774F21" w:rsidRPr="002467D8">
              <w:rPr>
                <w:rFonts w:ascii="Arial" w:hAnsi="Arial" w:cs="Arial"/>
                <w:szCs w:val="18"/>
              </w:rPr>
              <w:t xml:space="preserve"> </w:t>
            </w:r>
            <w:r w:rsidRPr="00934926">
              <w:rPr>
                <w:rFonts w:ascii="Arial" w:hAnsi="Arial"/>
              </w:rPr>
              <w:t>was found to predominantly contain exotic vegetation, with native vegetation remaining in isolated patches. A number of native ecological vegetation classes</w:t>
            </w:r>
            <w:r w:rsidR="009C60AC">
              <w:rPr>
                <w:rFonts w:ascii="Arial" w:hAnsi="Arial"/>
              </w:rPr>
              <w:t xml:space="preserve"> and</w:t>
            </w:r>
            <w:r w:rsidRPr="00934926">
              <w:rPr>
                <w:rFonts w:ascii="Arial" w:hAnsi="Arial"/>
              </w:rPr>
              <w:t xml:space="preserve"> flora and fauna species were recorded. These are discussed further in Table</w:t>
            </w:r>
            <w:r w:rsidR="00A11CE0">
              <w:rPr>
                <w:rFonts w:ascii="Arial" w:hAnsi="Arial"/>
              </w:rPr>
              <w:t>s</w:t>
            </w:r>
            <w:r w:rsidRPr="00934926">
              <w:rPr>
                <w:rFonts w:ascii="Arial" w:hAnsi="Arial"/>
              </w:rPr>
              <w:t xml:space="preserve"> 11.1 and 11.2.</w:t>
            </w:r>
          </w:p>
          <w:p w14:paraId="796E5EE9" w14:textId="4E31E34D" w:rsidR="00934926" w:rsidRPr="00934926" w:rsidRDefault="00A11CE0" w:rsidP="004E27E9">
            <w:pPr>
              <w:spacing w:after="120"/>
              <w:jc w:val="both"/>
              <w:rPr>
                <w:rFonts w:ascii="Arial" w:hAnsi="Arial"/>
              </w:rPr>
            </w:pPr>
            <w:r>
              <w:rPr>
                <w:rFonts w:ascii="Arial" w:hAnsi="Arial"/>
              </w:rPr>
              <w:t>T</w:t>
            </w:r>
            <w:r w:rsidR="00934926" w:rsidRPr="00934926">
              <w:rPr>
                <w:rFonts w:ascii="Arial" w:hAnsi="Arial"/>
              </w:rPr>
              <w:t>argeted surveys will be undertaken to determine the presence and extent of significant flora, fauna and ecological communities</w:t>
            </w:r>
            <w:r w:rsidR="005E7434">
              <w:rPr>
                <w:rFonts w:ascii="Arial" w:hAnsi="Arial"/>
              </w:rPr>
              <w:t>,</w:t>
            </w:r>
            <w:r w:rsidR="00934926" w:rsidRPr="00934926">
              <w:rPr>
                <w:rFonts w:ascii="Arial" w:hAnsi="Arial"/>
              </w:rPr>
              <w:t xml:space="preserve"> </w:t>
            </w:r>
            <w:r>
              <w:rPr>
                <w:rFonts w:ascii="Arial" w:hAnsi="Arial"/>
              </w:rPr>
              <w:t xml:space="preserve">along </w:t>
            </w:r>
            <w:r w:rsidR="005E7434">
              <w:rPr>
                <w:rFonts w:ascii="Arial" w:hAnsi="Arial"/>
              </w:rPr>
              <w:t>with</w:t>
            </w:r>
            <w:r w:rsidR="005E7434" w:rsidRPr="00934926">
              <w:rPr>
                <w:rFonts w:ascii="Arial" w:hAnsi="Arial"/>
              </w:rPr>
              <w:t xml:space="preserve"> </w:t>
            </w:r>
            <w:r w:rsidR="00934926" w:rsidRPr="00934926">
              <w:rPr>
                <w:rFonts w:ascii="Arial" w:hAnsi="Arial"/>
              </w:rPr>
              <w:t>a</w:t>
            </w:r>
            <w:r w:rsidR="009C60AC">
              <w:rPr>
                <w:rFonts w:ascii="Arial" w:hAnsi="Arial"/>
              </w:rPr>
              <w:t>n</w:t>
            </w:r>
            <w:r w:rsidR="00934926" w:rsidRPr="00934926">
              <w:rPr>
                <w:rFonts w:ascii="Arial" w:hAnsi="Arial"/>
              </w:rPr>
              <w:t xml:space="preserve"> </w:t>
            </w:r>
            <w:r w:rsidR="005E7434">
              <w:rPr>
                <w:rFonts w:ascii="Arial" w:hAnsi="Arial"/>
              </w:rPr>
              <w:t>ecological</w:t>
            </w:r>
            <w:r w:rsidR="005E7434" w:rsidRPr="00934926">
              <w:rPr>
                <w:rFonts w:ascii="Arial" w:hAnsi="Arial"/>
              </w:rPr>
              <w:t xml:space="preserve"> </w:t>
            </w:r>
            <w:r w:rsidR="00934926" w:rsidRPr="00934926">
              <w:rPr>
                <w:rFonts w:ascii="Arial" w:hAnsi="Arial"/>
              </w:rPr>
              <w:t xml:space="preserve">impact assessment </w:t>
            </w:r>
            <w:r w:rsidR="005E7434">
              <w:rPr>
                <w:rFonts w:ascii="Arial" w:hAnsi="Arial"/>
              </w:rPr>
              <w:t xml:space="preserve">once the site layout and offsite infrastructure requirements are determined </w:t>
            </w:r>
            <w:r w:rsidR="00934926" w:rsidRPr="00934926">
              <w:rPr>
                <w:rFonts w:ascii="Arial" w:hAnsi="Arial"/>
              </w:rPr>
              <w:t xml:space="preserve">to assess the potential impacts.  </w:t>
            </w:r>
          </w:p>
          <w:p w14:paraId="1A3C0336" w14:textId="6AE9EFCA" w:rsidR="00934926" w:rsidRDefault="00934926" w:rsidP="004E27E9">
            <w:pPr>
              <w:spacing w:after="120"/>
              <w:jc w:val="both"/>
              <w:rPr>
                <w:rFonts w:ascii="Arial" w:hAnsi="Arial"/>
              </w:rPr>
            </w:pPr>
            <w:r w:rsidRPr="00934926">
              <w:rPr>
                <w:rFonts w:ascii="Arial" w:hAnsi="Arial"/>
              </w:rPr>
              <w:t xml:space="preserve">Given the early stage of the biodiversity assessment and mine planning, the potential for biodiversity impacts was assessed using the following EES referral criteria for individual effects that may be of </w:t>
            </w:r>
            <w:r w:rsidR="007508CC">
              <w:rPr>
                <w:rFonts w:ascii="Arial" w:hAnsi="Arial"/>
              </w:rPr>
              <w:t>S</w:t>
            </w:r>
            <w:r w:rsidRPr="00934926">
              <w:rPr>
                <w:rFonts w:ascii="Arial" w:hAnsi="Arial"/>
              </w:rPr>
              <w:t>tate or regional significance</w:t>
            </w:r>
            <w:r>
              <w:rPr>
                <w:rFonts w:ascii="Arial" w:hAnsi="Arial"/>
              </w:rPr>
              <w:t>:</w:t>
            </w:r>
          </w:p>
          <w:p w14:paraId="0B53FE1F" w14:textId="77777777" w:rsidR="00934926" w:rsidRPr="00604A6F" w:rsidRDefault="00934926" w:rsidP="00604A6F">
            <w:pPr>
              <w:pStyle w:val="ListParagraph"/>
              <w:numPr>
                <w:ilvl w:val="0"/>
                <w:numId w:val="17"/>
              </w:numPr>
              <w:spacing w:after="120"/>
              <w:jc w:val="both"/>
              <w:rPr>
                <w:rFonts w:ascii="Arial" w:hAnsi="Arial"/>
              </w:rPr>
            </w:pPr>
            <w:r w:rsidRPr="00604A6F">
              <w:rPr>
                <w:rFonts w:ascii="Arial" w:hAnsi="Arial"/>
              </w:rPr>
              <w:t>Potential clearing of 10 ha or more of native vegetation from an area that:</w:t>
            </w:r>
          </w:p>
          <w:p w14:paraId="30489406" w14:textId="77777777" w:rsidR="00934926" w:rsidRPr="00462C2A" w:rsidRDefault="00934926" w:rsidP="00C70314">
            <w:pPr>
              <w:pStyle w:val="ListBullet2"/>
              <w:numPr>
                <w:ilvl w:val="2"/>
                <w:numId w:val="14"/>
              </w:numPr>
              <w:spacing w:after="240"/>
              <w:ind w:left="1051"/>
              <w:rPr>
                <w:rFonts w:cs="Arial"/>
              </w:rPr>
            </w:pPr>
            <w:r w:rsidRPr="00462C2A">
              <w:rPr>
                <w:rFonts w:cs="Arial"/>
              </w:rPr>
              <w:t>is of an ecological vegetation class (EVC) identified as endangered by the Department of Sustainability and Environment (DSE) in accordance with Appendix 2 of Victoria’s Native Vegetation Management Framework (VNVMF); or</w:t>
            </w:r>
          </w:p>
          <w:p w14:paraId="6B637CD3" w14:textId="77777777" w:rsidR="009E6948" w:rsidRPr="00462C2A" w:rsidRDefault="00934926" w:rsidP="00C70314">
            <w:pPr>
              <w:pStyle w:val="ListBullet2"/>
              <w:numPr>
                <w:ilvl w:val="2"/>
                <w:numId w:val="14"/>
              </w:numPr>
              <w:spacing w:after="240"/>
              <w:ind w:left="1051"/>
              <w:rPr>
                <w:rFonts w:cs="Arial"/>
              </w:rPr>
            </w:pPr>
            <w:r w:rsidRPr="00462C2A">
              <w:rPr>
                <w:rFonts w:cs="Arial"/>
              </w:rPr>
              <w:lastRenderedPageBreak/>
              <w:t>is, or is likely to be, of very high conservation significance as defined by Appendix 3 of VNVMF; and</w:t>
            </w:r>
          </w:p>
          <w:p w14:paraId="62B891E7" w14:textId="77777777" w:rsidR="00941196" w:rsidRPr="00CF6164" w:rsidRDefault="00934926" w:rsidP="00C70314">
            <w:pPr>
              <w:pStyle w:val="ListBullet2"/>
              <w:numPr>
                <w:ilvl w:val="2"/>
                <w:numId w:val="14"/>
              </w:numPr>
              <w:spacing w:after="240"/>
              <w:ind w:left="1051"/>
              <w:rPr>
                <w:rFonts w:cs="Arial"/>
              </w:rPr>
            </w:pPr>
            <w:r w:rsidRPr="00462C2A">
              <w:rPr>
                <w:rFonts w:cs="Arial"/>
              </w:rPr>
              <w:t>is not authorised under an approved Forest Management Plan or Fire Protection Plan.</w:t>
            </w:r>
          </w:p>
          <w:p w14:paraId="5DC23072" w14:textId="77777777" w:rsidR="00934926" w:rsidRPr="00604A6F" w:rsidRDefault="00934926" w:rsidP="00604A6F">
            <w:pPr>
              <w:pStyle w:val="ListParagraph"/>
              <w:numPr>
                <w:ilvl w:val="0"/>
                <w:numId w:val="17"/>
              </w:numPr>
              <w:spacing w:after="120"/>
              <w:jc w:val="both"/>
              <w:rPr>
                <w:rFonts w:ascii="Arial" w:hAnsi="Arial"/>
              </w:rPr>
            </w:pPr>
            <w:r w:rsidRPr="00604A6F">
              <w:rPr>
                <w:rFonts w:ascii="Arial" w:hAnsi="Arial"/>
              </w:rPr>
              <w:t>Potential long-term loss of a significant proportion (</w:t>
            </w:r>
            <w:proofErr w:type="spellStart"/>
            <w:r w:rsidRPr="00604A6F">
              <w:rPr>
                <w:rFonts w:ascii="Arial" w:hAnsi="Arial"/>
              </w:rPr>
              <w:t>eg</w:t>
            </w:r>
            <w:proofErr w:type="spellEnd"/>
            <w:r w:rsidRPr="00604A6F">
              <w:rPr>
                <w:rFonts w:ascii="Arial" w:hAnsi="Arial"/>
              </w:rPr>
              <w:t xml:space="preserve"> 1 to 5% depending on the conservation status of the species) of known remaining habitat or population of a threatened species within Victoria.</w:t>
            </w:r>
          </w:p>
          <w:p w14:paraId="7DC963F8" w14:textId="77777777" w:rsidR="00934926" w:rsidRPr="00604A6F" w:rsidRDefault="00934926" w:rsidP="00604A6F">
            <w:pPr>
              <w:pStyle w:val="ListParagraph"/>
              <w:numPr>
                <w:ilvl w:val="0"/>
                <w:numId w:val="17"/>
              </w:numPr>
              <w:spacing w:after="120"/>
              <w:jc w:val="both"/>
              <w:rPr>
                <w:rFonts w:ascii="Arial" w:hAnsi="Arial"/>
              </w:rPr>
            </w:pPr>
            <w:r w:rsidRPr="00604A6F">
              <w:rPr>
                <w:rFonts w:ascii="Arial" w:hAnsi="Arial"/>
              </w:rPr>
              <w:t>Potential long-term change to the ecological character of a wetland listed under the Ramsar Convention or in ‘A Directory of Important Wetlands in Australia’.</w:t>
            </w:r>
          </w:p>
          <w:p w14:paraId="320D2A24" w14:textId="77777777" w:rsidR="00941196" w:rsidRPr="00604A6F" w:rsidRDefault="00934926" w:rsidP="00604A6F">
            <w:pPr>
              <w:pStyle w:val="ListParagraph"/>
              <w:numPr>
                <w:ilvl w:val="0"/>
                <w:numId w:val="17"/>
              </w:numPr>
              <w:spacing w:after="120"/>
              <w:jc w:val="both"/>
              <w:rPr>
                <w:rFonts w:ascii="Arial" w:hAnsi="Arial"/>
              </w:rPr>
            </w:pPr>
            <w:r w:rsidRPr="00604A6F">
              <w:rPr>
                <w:rFonts w:ascii="Arial" w:hAnsi="Arial"/>
              </w:rPr>
              <w:t>Potential extensive or major effects on the health of biodiversity of aquatic, estuarine or marine ecosystems over the long-term.</w:t>
            </w:r>
          </w:p>
          <w:p w14:paraId="3E166319" w14:textId="77777777" w:rsidR="00934926" w:rsidRPr="009E6948" w:rsidRDefault="00934926" w:rsidP="00624E0A">
            <w:pPr>
              <w:spacing w:after="120"/>
              <w:rPr>
                <w:rFonts w:ascii="Arial" w:hAnsi="Arial"/>
              </w:rPr>
            </w:pPr>
            <w:r w:rsidRPr="00934926">
              <w:rPr>
                <w:rFonts w:ascii="Arial" w:hAnsi="Arial"/>
              </w:rPr>
              <w:t>Potential individual impacts of the Project as assessed against these EES referral criteria are outlined in Table 11.1.</w:t>
            </w:r>
          </w:p>
        </w:tc>
      </w:tr>
      <w:tr w:rsidR="001C34F3" w14:paraId="4661A790" w14:textId="77777777" w:rsidTr="00E71774">
        <w:tblPrEx>
          <w:tblBorders>
            <w:top w:val="none" w:sz="0" w:space="0" w:color="auto"/>
            <w:left w:val="none" w:sz="0" w:space="0" w:color="auto"/>
            <w:bottom w:val="none" w:sz="0" w:space="0" w:color="auto"/>
            <w:right w:val="none" w:sz="0" w:space="0" w:color="auto"/>
            <w:insideV w:val="none" w:sz="0" w:space="0" w:color="auto"/>
          </w:tblBorders>
        </w:tblPrEx>
        <w:tc>
          <w:tcPr>
            <w:tcW w:w="9243" w:type="dxa"/>
            <w:tcBorders>
              <w:top w:val="single" w:sz="4" w:space="0" w:color="auto"/>
              <w:left w:val="single" w:sz="4" w:space="0" w:color="auto"/>
              <w:right w:val="single" w:sz="4" w:space="0" w:color="auto"/>
            </w:tcBorders>
          </w:tcPr>
          <w:p w14:paraId="0789A3E8" w14:textId="77777777" w:rsidR="001C34F3" w:rsidRDefault="00AE3CB6">
            <w:pPr>
              <w:rPr>
                <w:rFonts w:ascii="Arial" w:hAnsi="Arial"/>
              </w:rPr>
            </w:pPr>
            <w:r>
              <w:rPr>
                <w:rFonts w:ascii="Arial" w:hAnsi="Arial"/>
                <w:noProof/>
              </w:rPr>
              <w:lastRenderedPageBreak/>
              <mc:AlternateContent>
                <mc:Choice Requires="wps">
                  <w:drawing>
                    <wp:anchor distT="45720" distB="45720" distL="114300" distR="114300" simplePos="0" relativeHeight="251656704" behindDoc="0" locked="0" layoutInCell="1" allowOverlap="1" wp14:anchorId="3F577CE4" wp14:editId="1A5F02CF">
                      <wp:simplePos x="0" y="0"/>
                      <wp:positionH relativeFrom="column">
                        <wp:posOffset>-52705</wp:posOffset>
                      </wp:positionH>
                      <wp:positionV relativeFrom="paragraph">
                        <wp:posOffset>133350</wp:posOffset>
                      </wp:positionV>
                      <wp:extent cx="6501130" cy="6846570"/>
                      <wp:effectExtent l="0" t="0" r="1397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6846570"/>
                              </a:xfrm>
                              <a:prstGeom prst="rect">
                                <a:avLst/>
                              </a:prstGeom>
                              <a:solidFill>
                                <a:srgbClr val="FFFFFF"/>
                              </a:solidFill>
                              <a:ln w="9525">
                                <a:solidFill>
                                  <a:srgbClr val="000000"/>
                                </a:solidFill>
                                <a:miter lim="800000"/>
                                <a:headEnd/>
                                <a:tailEnd/>
                              </a:ln>
                            </wps:spPr>
                            <wps:txbx>
                              <w:txbxContent>
                                <w:tbl>
                                  <w:tblPr>
                                    <w:tblW w:w="4418" w:type="pct"/>
                                    <w:tblInd w:w="-142" w:type="dxa"/>
                                    <w:tblBorders>
                                      <w:top w:val="single" w:sz="2" w:space="0" w:color="262626"/>
                                      <w:left w:val="single" w:sz="4" w:space="0" w:color="auto"/>
                                      <w:bottom w:val="single" w:sz="2" w:space="0" w:color="262626"/>
                                      <w:right w:val="single" w:sz="4" w:space="0" w:color="auto"/>
                                    </w:tblBorders>
                                    <w:tblLayout w:type="fixed"/>
                                    <w:tblLook w:val="0620" w:firstRow="1" w:lastRow="0" w:firstColumn="0" w:lastColumn="0" w:noHBand="1" w:noVBand="1"/>
                                  </w:tblPr>
                                  <w:tblGrid>
                                    <w:gridCol w:w="3505"/>
                                    <w:gridCol w:w="5266"/>
                                  </w:tblGrid>
                                  <w:tr w:rsidR="00287734" w:rsidRPr="009E6948" w14:paraId="1066AE48" w14:textId="77777777" w:rsidTr="00E71774">
                                    <w:trPr>
                                      <w:tblHeader/>
                                    </w:trPr>
                                    <w:tc>
                                      <w:tcPr>
                                        <w:tcW w:w="5000" w:type="pct"/>
                                        <w:gridSpan w:val="2"/>
                                      </w:tcPr>
                                      <w:p w14:paraId="4E00D135" w14:textId="77777777" w:rsidR="00287734" w:rsidRPr="00941196" w:rsidRDefault="00287734" w:rsidP="009E6948">
                                        <w:pPr>
                                          <w:pStyle w:val="TableCaption"/>
                                          <w:rPr>
                                            <w:rFonts w:ascii="Arial" w:hAnsi="Arial" w:cs="Arial"/>
                                            <w:sz w:val="18"/>
                                          </w:rPr>
                                        </w:pPr>
                                        <w:bookmarkStart w:id="100" w:name="_Toc8384840"/>
                                        <w:r w:rsidRPr="00941196">
                                          <w:rPr>
                                            <w:rFonts w:ascii="Arial" w:hAnsi="Arial" w:cs="Arial"/>
                                            <w:sz w:val="18"/>
                                          </w:rPr>
                                          <w:t xml:space="preserve">Table </w:t>
                                        </w:r>
                                        <w:r>
                                          <w:rPr>
                                            <w:rFonts w:ascii="Arial" w:hAnsi="Arial" w:cs="Arial"/>
                                            <w:sz w:val="18"/>
                                          </w:rPr>
                                          <w:t>11.1</w:t>
                                        </w:r>
                                        <w:r w:rsidRPr="00941196">
                                          <w:rPr>
                                            <w:rFonts w:ascii="Arial" w:hAnsi="Arial" w:cs="Arial"/>
                                            <w:sz w:val="18"/>
                                          </w:rPr>
                                          <w:tab/>
                                          <w:t>Potential individual impacts against EES referral criteria</w:t>
                                        </w:r>
                                        <w:bookmarkEnd w:id="100"/>
                                      </w:p>
                                    </w:tc>
                                  </w:tr>
                                  <w:tr w:rsidR="00287734" w14:paraId="13BC8982" w14:textId="77777777" w:rsidTr="00E71774">
                                    <w:tc>
                                      <w:tcPr>
                                        <w:tcW w:w="1998" w:type="pct"/>
                                      </w:tcPr>
                                      <w:p w14:paraId="4E38B355" w14:textId="77777777" w:rsidR="00287734" w:rsidRPr="00941196" w:rsidRDefault="00287734" w:rsidP="009E6948">
                                        <w:pPr>
                                          <w:pStyle w:val="TableHeading"/>
                                          <w:rPr>
                                            <w:rFonts w:ascii="Arial" w:hAnsi="Arial" w:cs="Arial"/>
                                            <w:szCs w:val="18"/>
                                          </w:rPr>
                                        </w:pPr>
                                        <w:r w:rsidRPr="00941196">
                                          <w:rPr>
                                            <w:rFonts w:ascii="Arial" w:hAnsi="Arial" w:cs="Arial"/>
                                            <w:szCs w:val="18"/>
                                          </w:rPr>
                                          <w:t>Criterion</w:t>
                                        </w:r>
                                      </w:p>
                                    </w:tc>
                                    <w:tc>
                                      <w:tcPr>
                                        <w:tcW w:w="3002" w:type="pct"/>
                                      </w:tcPr>
                                      <w:p w14:paraId="7044A00A" w14:textId="77777777" w:rsidR="00287734" w:rsidRPr="00941196" w:rsidRDefault="00287734" w:rsidP="009E6948">
                                        <w:pPr>
                                          <w:pStyle w:val="TableHeading"/>
                                          <w:rPr>
                                            <w:rFonts w:ascii="Arial" w:hAnsi="Arial" w:cs="Arial"/>
                                            <w:szCs w:val="18"/>
                                          </w:rPr>
                                        </w:pPr>
                                        <w:r w:rsidRPr="00941196">
                                          <w:rPr>
                                            <w:rFonts w:ascii="Arial" w:hAnsi="Arial" w:cs="Arial"/>
                                            <w:szCs w:val="18"/>
                                          </w:rPr>
                                          <w:t>Potential impact</w:t>
                                        </w:r>
                                      </w:p>
                                    </w:tc>
                                  </w:tr>
                                  <w:tr w:rsidR="00287734" w14:paraId="6F8ED8C3" w14:textId="77777777" w:rsidTr="00E71774">
                                    <w:tc>
                                      <w:tcPr>
                                        <w:tcW w:w="1998" w:type="pct"/>
                                      </w:tcPr>
                                      <w:p w14:paraId="42F40D07" w14:textId="77777777" w:rsidR="00287734" w:rsidRPr="00941196" w:rsidRDefault="00287734" w:rsidP="009E6948">
                                        <w:pPr>
                                          <w:pStyle w:val="TableText"/>
                                          <w:rPr>
                                            <w:rFonts w:ascii="Arial" w:hAnsi="Arial" w:cs="Arial"/>
                                            <w:szCs w:val="18"/>
                                          </w:rPr>
                                        </w:pPr>
                                        <w:r w:rsidRPr="00941196">
                                          <w:rPr>
                                            <w:rFonts w:ascii="Arial" w:hAnsi="Arial" w:cs="Arial"/>
                                            <w:szCs w:val="18"/>
                                          </w:rPr>
                                          <w:t>Potential clearing of 10 ha or more of native vegetation that is an endangered EVC.</w:t>
                                        </w:r>
                                      </w:p>
                                    </w:tc>
                                    <w:tc>
                                      <w:tcPr>
                                        <w:tcW w:w="3002" w:type="pct"/>
                                      </w:tcPr>
                                      <w:p w14:paraId="27A4A65A" w14:textId="0BAF7491" w:rsidR="00287734" w:rsidRPr="00941196" w:rsidRDefault="00287734" w:rsidP="009E6948">
                                        <w:pPr>
                                          <w:pStyle w:val="TableText"/>
                                          <w:rPr>
                                            <w:rFonts w:ascii="Arial" w:hAnsi="Arial" w:cs="Arial"/>
                                            <w:szCs w:val="18"/>
                                          </w:rPr>
                                        </w:pPr>
                                        <w:r w:rsidRPr="00941196">
                                          <w:rPr>
                                            <w:rFonts w:ascii="Arial" w:hAnsi="Arial" w:cs="Arial"/>
                                            <w:szCs w:val="18"/>
                                          </w:rPr>
                                          <w:t xml:space="preserve">The </w:t>
                                        </w:r>
                                        <w:r>
                                          <w:rPr>
                                            <w:rFonts w:ascii="Arial" w:hAnsi="Arial" w:cs="Arial"/>
                                            <w:szCs w:val="18"/>
                                          </w:rPr>
                                          <w:t xml:space="preserve">Environmental study </w:t>
                                        </w:r>
                                        <w:r w:rsidRPr="00941196">
                                          <w:rPr>
                                            <w:rFonts w:ascii="Arial" w:hAnsi="Arial" w:cs="Arial"/>
                                            <w:szCs w:val="18"/>
                                          </w:rPr>
                                          <w:t>area potentially contains:</w:t>
                                        </w:r>
                                      </w:p>
                                      <w:p w14:paraId="728E983E" w14:textId="3F9B76CF"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137 ha of endangered EVCs, comprising Plains Grassy Woodland (EVC 125) and Plains Grassy Wetland (EVC 125) (Figure 1</w:t>
                                        </w:r>
                                        <w:r>
                                          <w:rPr>
                                            <w:rFonts w:ascii="Arial" w:hAnsi="Arial" w:cs="Arial"/>
                                            <w:szCs w:val="18"/>
                                          </w:rPr>
                                          <w:t>9</w:t>
                                        </w:r>
                                        <w:r w:rsidRPr="00941196">
                                          <w:rPr>
                                            <w:rFonts w:ascii="Arial" w:hAnsi="Arial" w:cs="Arial"/>
                                            <w:szCs w:val="18"/>
                                          </w:rPr>
                                          <w:t xml:space="preserve">); and  </w:t>
                                        </w:r>
                                      </w:p>
                                      <w:p w14:paraId="637382A6" w14:textId="3E573987"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 xml:space="preserve">two ecological communities listed under the EPBC Act (Figure </w:t>
                                        </w:r>
                                        <w:r>
                                          <w:rPr>
                                            <w:rFonts w:ascii="Arial" w:hAnsi="Arial" w:cs="Arial"/>
                                            <w:szCs w:val="18"/>
                                          </w:rPr>
                                          <w:t>21</w:t>
                                        </w:r>
                                        <w:r w:rsidRPr="00941196">
                                          <w:rPr>
                                            <w:rFonts w:ascii="Arial" w:hAnsi="Arial" w:cs="Arial"/>
                                            <w:szCs w:val="18"/>
                                          </w:rPr>
                                          <w:t xml:space="preserve">). </w:t>
                                        </w:r>
                                      </w:p>
                                      <w:p w14:paraId="61680B85" w14:textId="77777777" w:rsidR="00287734" w:rsidRPr="00941196" w:rsidRDefault="00287734" w:rsidP="009E6948">
                                        <w:pPr>
                                          <w:pStyle w:val="TableTextBullet1"/>
                                          <w:numPr>
                                            <w:ilvl w:val="0"/>
                                            <w:numId w:val="0"/>
                                          </w:numPr>
                                          <w:rPr>
                                            <w:rFonts w:ascii="Arial" w:hAnsi="Arial" w:cs="Arial"/>
                                            <w:szCs w:val="18"/>
                                          </w:rPr>
                                        </w:pPr>
                                        <w:r w:rsidRPr="00941196">
                                          <w:rPr>
                                            <w:rFonts w:ascii="Arial" w:hAnsi="Arial" w:cs="Arial"/>
                                            <w:szCs w:val="18"/>
                                          </w:rPr>
                                          <w:t xml:space="preserve">Targeted surveys will be undertaken to confirm their presence and extent. </w:t>
                                        </w:r>
                                      </w:p>
                                    </w:tc>
                                  </w:tr>
                                  <w:tr w:rsidR="00287734" w14:paraId="3A2732A2" w14:textId="77777777" w:rsidTr="00E71774">
                                    <w:tc>
                                      <w:tcPr>
                                        <w:tcW w:w="1998" w:type="pct"/>
                                      </w:tcPr>
                                      <w:p w14:paraId="561E9CCF" w14:textId="77777777" w:rsidR="00287734" w:rsidRPr="00941196" w:rsidRDefault="00287734" w:rsidP="009E6948">
                                        <w:pPr>
                                          <w:pStyle w:val="TableText"/>
                                          <w:rPr>
                                            <w:rFonts w:ascii="Arial" w:hAnsi="Arial" w:cs="Arial"/>
                                            <w:szCs w:val="18"/>
                                          </w:rPr>
                                        </w:pPr>
                                        <w:r w:rsidRPr="00941196">
                                          <w:rPr>
                                            <w:rFonts w:ascii="Arial" w:hAnsi="Arial" w:cs="Arial"/>
                                            <w:szCs w:val="18"/>
                                          </w:rPr>
                                          <w:t>Potential long-term loss of a significant proportion of known remaining habitat or populations of a threatened species within Victoria.</w:t>
                                        </w:r>
                                      </w:p>
                                    </w:tc>
                                    <w:tc>
                                      <w:tcPr>
                                        <w:tcW w:w="3002" w:type="pct"/>
                                      </w:tcPr>
                                      <w:p w14:paraId="6F72A7A9" w14:textId="38BC9FEE" w:rsidR="00287734" w:rsidRPr="00941196" w:rsidRDefault="00287734" w:rsidP="009E6948">
                                        <w:pPr>
                                          <w:pStyle w:val="TableText"/>
                                          <w:rPr>
                                            <w:rFonts w:ascii="Arial" w:hAnsi="Arial" w:cs="Arial"/>
                                            <w:szCs w:val="18"/>
                                          </w:rPr>
                                        </w:pPr>
                                        <w:r w:rsidRPr="00941196">
                                          <w:rPr>
                                            <w:rFonts w:ascii="Arial" w:hAnsi="Arial" w:cs="Arial"/>
                                            <w:szCs w:val="18"/>
                                          </w:rPr>
                                          <w:t xml:space="preserve">Baseline surveys confirmed the presence of the following in the </w:t>
                                        </w:r>
                                        <w:r>
                                          <w:rPr>
                                            <w:rFonts w:ascii="Arial" w:hAnsi="Arial" w:cs="Arial"/>
                                            <w:szCs w:val="18"/>
                                          </w:rPr>
                                          <w:t>B</w:t>
                                        </w:r>
                                        <w:r w:rsidRPr="00941196">
                                          <w:rPr>
                                            <w:rFonts w:ascii="Arial" w:hAnsi="Arial" w:cs="Arial"/>
                                            <w:szCs w:val="18"/>
                                          </w:rPr>
                                          <w:t>iodiversity study area:</w:t>
                                        </w:r>
                                      </w:p>
                                      <w:p w14:paraId="1C96DEE8" w14:textId="440B6604"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six threatened flora species listed under the FFG Act;</w:t>
                                        </w:r>
                                      </w:p>
                                      <w:p w14:paraId="62F21BF5" w14:textId="6604E0B3"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 xml:space="preserve">seven threatened fauna species listed under the FFG Act (Figure </w:t>
                                        </w:r>
                                        <w:r>
                                          <w:rPr>
                                            <w:rFonts w:ascii="Arial" w:hAnsi="Arial" w:cs="Arial"/>
                                            <w:szCs w:val="18"/>
                                          </w:rPr>
                                          <w:t>22</w:t>
                                        </w:r>
                                        <w:r w:rsidRPr="00941196">
                                          <w:rPr>
                                            <w:rFonts w:ascii="Arial" w:hAnsi="Arial" w:cs="Arial"/>
                                            <w:szCs w:val="18"/>
                                          </w:rPr>
                                          <w:t>);</w:t>
                                        </w:r>
                                      </w:p>
                                      <w:p w14:paraId="7D277040" w14:textId="4C3E5ACF"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two EPBC</w:t>
                                        </w:r>
                                        <w:r>
                                          <w:rPr>
                                            <w:rFonts w:ascii="Arial" w:hAnsi="Arial" w:cs="Arial"/>
                                            <w:szCs w:val="18"/>
                                          </w:rPr>
                                          <w:t xml:space="preserve"> </w:t>
                                        </w:r>
                                        <w:r w:rsidRPr="00941196">
                                          <w:rPr>
                                            <w:rFonts w:ascii="Arial" w:hAnsi="Arial" w:cs="Arial"/>
                                            <w:szCs w:val="18"/>
                                          </w:rPr>
                                          <w:t>listed species (Red-tailed Black Cockatoo and Growling Grass Frog) have previously been recorded in the locality and are considered likely to occur given the presence of suitable habitat including woodlands and wetlands;</w:t>
                                        </w:r>
                                      </w:p>
                                      <w:p w14:paraId="6D0A36D1" w14:textId="77777777"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other listed species with potential to occur include:</w:t>
                                        </w:r>
                                      </w:p>
                                      <w:p w14:paraId="3BE5DB99"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Swamp Everlasting;</w:t>
                                        </w:r>
                                      </w:p>
                                      <w:p w14:paraId="7C26572B"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Downy Starbush;</w:t>
                                        </w:r>
                                      </w:p>
                                      <w:p w14:paraId="65EAFD9C"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Red-lored Whistler;</w:t>
                                        </w:r>
                                      </w:p>
                                      <w:p w14:paraId="03104695"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Painted Honeyeater;</w:t>
                                        </w:r>
                                      </w:p>
                                      <w:p w14:paraId="22706DBD"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Curlew Sandpiper;</w:t>
                                        </w:r>
                                      </w:p>
                                      <w:p w14:paraId="4E2EBA90"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 xml:space="preserve">Australasian Bittern; and </w:t>
                                        </w:r>
                                      </w:p>
                                      <w:p w14:paraId="71B7FB0E"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Swift Parrot.</w:t>
                                        </w:r>
                                      </w:p>
                                    </w:tc>
                                  </w:tr>
                                  <w:tr w:rsidR="00287734" w:rsidRPr="009E6948" w14:paraId="6936D0A5" w14:textId="77777777" w:rsidTr="00E71774">
                                    <w:tc>
                                      <w:tcPr>
                                        <w:tcW w:w="1998" w:type="pct"/>
                                      </w:tcPr>
                                      <w:p w14:paraId="0CCE5615" w14:textId="77777777" w:rsidR="00287734" w:rsidRPr="00941196" w:rsidRDefault="00287734" w:rsidP="009E6948">
                                        <w:pPr>
                                          <w:pStyle w:val="TableText"/>
                                          <w:rPr>
                                            <w:rFonts w:ascii="Arial" w:hAnsi="Arial" w:cs="Arial"/>
                                            <w:color w:val="auto"/>
                                            <w:szCs w:val="18"/>
                                            <w:highlight w:val="magenta"/>
                                          </w:rPr>
                                        </w:pPr>
                                        <w:r w:rsidRPr="00941196">
                                          <w:rPr>
                                            <w:rFonts w:ascii="Arial" w:hAnsi="Arial" w:cs="Arial"/>
                                            <w:szCs w:val="18"/>
                                          </w:rPr>
                                          <w:t>Potential long-term change to the ecological character of a wetland listed under the Ramsar Convention or in ‘A Directory of Important Wetlands in Australia’.</w:t>
                                        </w:r>
                                      </w:p>
                                      <w:p w14:paraId="62C92650" w14:textId="77777777" w:rsidR="00287734" w:rsidRPr="00941196" w:rsidRDefault="00287734" w:rsidP="009E6948">
                                        <w:pPr>
                                          <w:pStyle w:val="TableText"/>
                                          <w:rPr>
                                            <w:rFonts w:ascii="Arial" w:hAnsi="Arial" w:cs="Arial"/>
                                            <w:szCs w:val="18"/>
                                          </w:rPr>
                                        </w:pPr>
                                      </w:p>
                                    </w:tc>
                                    <w:tc>
                                      <w:tcPr>
                                        <w:tcW w:w="3002" w:type="pct"/>
                                      </w:tcPr>
                                      <w:p w14:paraId="11C197E1" w14:textId="37A44626" w:rsidR="00287734" w:rsidRPr="00941196" w:rsidRDefault="00287734" w:rsidP="002467D8">
                                        <w:pPr>
                                          <w:pStyle w:val="BodyText"/>
                                          <w:spacing w:before="60"/>
                                          <w:jc w:val="left"/>
                                          <w:rPr>
                                            <w:rFonts w:ascii="Arial" w:hAnsi="Arial" w:cs="Arial"/>
                                            <w:b w:val="0"/>
                                            <w:bCs w:val="0"/>
                                            <w:color w:val="262626"/>
                                            <w:spacing w:val="-1"/>
                                            <w:sz w:val="18"/>
                                            <w:szCs w:val="18"/>
                                            <w:lang w:eastAsia="en-AU"/>
                                          </w:rPr>
                                        </w:pPr>
                                        <w:r w:rsidRPr="00941196">
                                          <w:rPr>
                                            <w:rFonts w:ascii="Arial" w:hAnsi="Arial" w:cs="Arial"/>
                                            <w:b w:val="0"/>
                                            <w:bCs w:val="0"/>
                                            <w:color w:val="262626"/>
                                            <w:spacing w:val="-1"/>
                                            <w:sz w:val="18"/>
                                            <w:szCs w:val="18"/>
                                            <w:lang w:eastAsia="en-AU"/>
                                          </w:rPr>
                                          <w:t xml:space="preserve">The nearest wetlands listed in the ‘Directory of Important Wetlands in Australia’ are White Lake and Heards Lake, approximately 20 km south and 10 km north-west of the Project, respectively. </w:t>
                                        </w:r>
                                      </w:p>
                                      <w:p w14:paraId="4AEC604A" w14:textId="77777777" w:rsidR="00287734" w:rsidRPr="00941196" w:rsidRDefault="00287734" w:rsidP="002467D8">
                                        <w:pPr>
                                          <w:pStyle w:val="BodyText"/>
                                          <w:spacing w:before="60"/>
                                          <w:jc w:val="left"/>
                                          <w:rPr>
                                            <w:rFonts w:ascii="Arial" w:hAnsi="Arial" w:cs="Arial"/>
                                            <w:b w:val="0"/>
                                            <w:bCs w:val="0"/>
                                            <w:color w:val="262626"/>
                                            <w:spacing w:val="-1"/>
                                            <w:sz w:val="18"/>
                                            <w:szCs w:val="18"/>
                                            <w:lang w:eastAsia="en-AU"/>
                                          </w:rPr>
                                        </w:pPr>
                                        <w:r w:rsidRPr="00941196">
                                          <w:rPr>
                                            <w:rFonts w:ascii="Arial" w:hAnsi="Arial" w:cs="Arial"/>
                                            <w:b w:val="0"/>
                                            <w:bCs w:val="0"/>
                                            <w:color w:val="262626"/>
                                            <w:spacing w:val="-1"/>
                                            <w:sz w:val="18"/>
                                            <w:szCs w:val="18"/>
                                            <w:lang w:eastAsia="en-AU"/>
                                          </w:rPr>
                                          <w:t xml:space="preserve">The nearest Ramsar wetland, Lake Abacutya is 100–150 km downstream (north) of the Project and therefore would not be impacted. </w:t>
                                        </w:r>
                                      </w:p>
                                    </w:tc>
                                  </w:tr>
                                  <w:tr w:rsidR="00287734" w:rsidRPr="009E6948" w14:paraId="5C430DF1" w14:textId="77777777" w:rsidTr="00E71774">
                                    <w:tc>
                                      <w:tcPr>
                                        <w:tcW w:w="1998" w:type="pct"/>
                                      </w:tcPr>
                                      <w:p w14:paraId="46280534" w14:textId="6C99E627" w:rsidR="00287734" w:rsidRPr="00941196" w:rsidRDefault="00287734" w:rsidP="009E6948">
                                        <w:pPr>
                                          <w:pStyle w:val="TableText"/>
                                          <w:rPr>
                                            <w:rFonts w:ascii="Arial" w:hAnsi="Arial" w:cs="Arial"/>
                                            <w:szCs w:val="18"/>
                                          </w:rPr>
                                        </w:pPr>
                                        <w:r w:rsidRPr="00941196">
                                          <w:rPr>
                                            <w:rFonts w:ascii="Arial" w:hAnsi="Arial" w:cs="Arial"/>
                                            <w:szCs w:val="18"/>
                                          </w:rPr>
                                          <w:t>Potential extensive or major effects on aquatic, estuarine or marine ecosystems over the long term.</w:t>
                                        </w:r>
                                      </w:p>
                                    </w:tc>
                                    <w:tc>
                                      <w:tcPr>
                                        <w:tcW w:w="3002" w:type="pct"/>
                                      </w:tcPr>
                                      <w:p w14:paraId="4C907B31" w14:textId="6E0CCD55" w:rsidR="00287734" w:rsidRDefault="00287734" w:rsidP="00552B3B">
                                        <w:pPr>
                                          <w:pStyle w:val="TableText"/>
                                          <w:rPr>
                                            <w:rFonts w:ascii="Arial" w:hAnsi="Arial" w:cs="Arial"/>
                                            <w:szCs w:val="18"/>
                                          </w:rPr>
                                        </w:pPr>
                                        <w:r w:rsidRPr="00941196">
                                          <w:rPr>
                                            <w:rFonts w:ascii="Arial" w:hAnsi="Arial" w:cs="Arial"/>
                                            <w:szCs w:val="18"/>
                                          </w:rPr>
                                          <w:t xml:space="preserve">Several permanent and ephemeral wetlands occur in the Environment </w:t>
                                        </w:r>
                                        <w:r>
                                          <w:rPr>
                                            <w:rFonts w:ascii="Arial" w:hAnsi="Arial" w:cs="Arial"/>
                                            <w:szCs w:val="18"/>
                                          </w:rPr>
                                          <w:t>study area,</w:t>
                                        </w:r>
                                        <w:r w:rsidRPr="00941196">
                                          <w:rPr>
                                            <w:rFonts w:ascii="Arial" w:hAnsi="Arial" w:cs="Arial"/>
                                            <w:szCs w:val="18"/>
                                          </w:rPr>
                                          <w:t xml:space="preserve"> the largest being Red Gum Swamp (Figure</w:t>
                                        </w:r>
                                        <w:r>
                                          <w:rPr>
                                            <w:rFonts w:ascii="Arial" w:hAnsi="Arial" w:cs="Arial"/>
                                            <w:szCs w:val="18"/>
                                          </w:rPr>
                                          <w:t>s</w:t>
                                        </w:r>
                                        <w:r w:rsidRPr="00941196">
                                          <w:rPr>
                                            <w:rFonts w:ascii="Arial" w:hAnsi="Arial" w:cs="Arial"/>
                                            <w:szCs w:val="18"/>
                                          </w:rPr>
                                          <w:t xml:space="preserve"> </w:t>
                                        </w:r>
                                        <w:r>
                                          <w:rPr>
                                            <w:rFonts w:ascii="Arial" w:hAnsi="Arial" w:cs="Arial"/>
                                            <w:szCs w:val="18"/>
                                          </w:rPr>
                                          <w:t>23 and 3</w:t>
                                        </w:r>
                                        <w:r w:rsidRPr="00941196">
                                          <w:rPr>
                                            <w:rFonts w:ascii="Arial" w:hAnsi="Arial" w:cs="Arial"/>
                                            <w:szCs w:val="18"/>
                                          </w:rPr>
                                          <w:t>).</w:t>
                                        </w:r>
                                      </w:p>
                                      <w:p w14:paraId="085C695F" w14:textId="4C4BA7C3" w:rsidR="00287734" w:rsidRPr="00941196" w:rsidRDefault="00287734" w:rsidP="00552B3B">
                                        <w:pPr>
                                          <w:pStyle w:val="TableText"/>
                                          <w:rPr>
                                            <w:rFonts w:ascii="Arial" w:hAnsi="Arial" w:cs="Arial"/>
                                            <w:b/>
                                            <w:bCs/>
                                            <w:szCs w:val="18"/>
                                          </w:rPr>
                                        </w:pPr>
                                        <w:r w:rsidRPr="00941196">
                                          <w:rPr>
                                            <w:rFonts w:ascii="Arial" w:hAnsi="Arial" w:cs="Arial"/>
                                            <w:szCs w:val="18"/>
                                          </w:rPr>
                                          <w:t xml:space="preserve">Darragan </w:t>
                                        </w:r>
                                        <w:r w:rsidRPr="007E61D6">
                                          <w:rPr>
                                            <w:rFonts w:ascii="Arial" w:hAnsi="Arial" w:cs="Arial"/>
                                            <w:szCs w:val="18"/>
                                          </w:rPr>
                                          <w:t>Swamp Nature Reserve is located north-east of the Project site (Figures 2</w:t>
                                        </w:r>
                                        <w:r>
                                          <w:rPr>
                                            <w:rFonts w:ascii="Arial" w:hAnsi="Arial" w:cs="Arial"/>
                                            <w:szCs w:val="18"/>
                                          </w:rPr>
                                          <w:t>3</w:t>
                                        </w:r>
                                        <w:r w:rsidRPr="007E61D6">
                                          <w:rPr>
                                            <w:rFonts w:ascii="Arial" w:hAnsi="Arial" w:cs="Arial"/>
                                            <w:szCs w:val="18"/>
                                          </w:rPr>
                                          <w:t xml:space="preserve"> and 3).</w:t>
                                        </w:r>
                                      </w:p>
                                    </w:tc>
                                  </w:tr>
                                </w:tbl>
                                <w:p w14:paraId="14BAC95F" w14:textId="77777777" w:rsidR="00287734" w:rsidRDefault="00287734" w:rsidP="008D4567">
                                  <w:pPr>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77CE4" id="_x0000_t202" coordsize="21600,21600" o:spt="202" path="m,l,21600r21600,l21600,xe">
                      <v:stroke joinstyle="miter"/>
                      <v:path gradientshapeok="t" o:connecttype="rect"/>
                    </v:shapetype>
                    <v:shape id="Text Box 2" o:spid="_x0000_s1026" type="#_x0000_t202" style="position:absolute;margin-left:-4.15pt;margin-top:10.5pt;width:511.9pt;height:539.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QRKwIAAFE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">
                      <v:textbox>
                        <w:txbxContent>
                          <w:tbl>
                            <w:tblPr>
                              <w:tblW w:w="4418" w:type="pct"/>
                              <w:tblInd w:w="-142" w:type="dxa"/>
                              <w:tblBorders>
                                <w:top w:val="single" w:sz="2" w:space="0" w:color="262626"/>
                                <w:left w:val="single" w:sz="4" w:space="0" w:color="auto"/>
                                <w:bottom w:val="single" w:sz="2" w:space="0" w:color="262626"/>
                                <w:right w:val="single" w:sz="4" w:space="0" w:color="auto"/>
                              </w:tblBorders>
                              <w:tblLayout w:type="fixed"/>
                              <w:tblLook w:val="0620" w:firstRow="1" w:lastRow="0" w:firstColumn="0" w:lastColumn="0" w:noHBand="1" w:noVBand="1"/>
                            </w:tblPr>
                            <w:tblGrid>
                              <w:gridCol w:w="3505"/>
                              <w:gridCol w:w="5266"/>
                            </w:tblGrid>
                            <w:tr w:rsidR="00287734" w:rsidRPr="009E6948" w14:paraId="1066AE48" w14:textId="77777777" w:rsidTr="00E71774">
                              <w:trPr>
                                <w:tblHeader/>
                              </w:trPr>
                              <w:tc>
                                <w:tcPr>
                                  <w:tcW w:w="5000" w:type="pct"/>
                                  <w:gridSpan w:val="2"/>
                                </w:tcPr>
                                <w:p w14:paraId="4E00D135" w14:textId="77777777" w:rsidR="00287734" w:rsidRPr="00941196" w:rsidRDefault="00287734" w:rsidP="009E6948">
                                  <w:pPr>
                                    <w:pStyle w:val="TableCaption"/>
                                    <w:rPr>
                                      <w:rFonts w:ascii="Arial" w:hAnsi="Arial" w:cs="Arial"/>
                                      <w:sz w:val="18"/>
                                    </w:rPr>
                                  </w:pPr>
                                  <w:bookmarkStart w:id="101" w:name="_Toc8384840"/>
                                  <w:r w:rsidRPr="00941196">
                                    <w:rPr>
                                      <w:rFonts w:ascii="Arial" w:hAnsi="Arial" w:cs="Arial"/>
                                      <w:sz w:val="18"/>
                                    </w:rPr>
                                    <w:t xml:space="preserve">Table </w:t>
                                  </w:r>
                                  <w:r>
                                    <w:rPr>
                                      <w:rFonts w:ascii="Arial" w:hAnsi="Arial" w:cs="Arial"/>
                                      <w:sz w:val="18"/>
                                    </w:rPr>
                                    <w:t>11.1</w:t>
                                  </w:r>
                                  <w:r w:rsidRPr="00941196">
                                    <w:rPr>
                                      <w:rFonts w:ascii="Arial" w:hAnsi="Arial" w:cs="Arial"/>
                                      <w:sz w:val="18"/>
                                    </w:rPr>
                                    <w:tab/>
                                    <w:t>Potential individual impacts against EES referral criteria</w:t>
                                  </w:r>
                                  <w:bookmarkEnd w:id="101"/>
                                </w:p>
                              </w:tc>
                            </w:tr>
                            <w:tr w:rsidR="00287734" w14:paraId="13BC8982" w14:textId="77777777" w:rsidTr="00E71774">
                              <w:tc>
                                <w:tcPr>
                                  <w:tcW w:w="1998" w:type="pct"/>
                                </w:tcPr>
                                <w:p w14:paraId="4E38B355" w14:textId="77777777" w:rsidR="00287734" w:rsidRPr="00941196" w:rsidRDefault="00287734" w:rsidP="009E6948">
                                  <w:pPr>
                                    <w:pStyle w:val="TableHeading"/>
                                    <w:rPr>
                                      <w:rFonts w:ascii="Arial" w:hAnsi="Arial" w:cs="Arial"/>
                                      <w:szCs w:val="18"/>
                                    </w:rPr>
                                  </w:pPr>
                                  <w:r w:rsidRPr="00941196">
                                    <w:rPr>
                                      <w:rFonts w:ascii="Arial" w:hAnsi="Arial" w:cs="Arial"/>
                                      <w:szCs w:val="18"/>
                                    </w:rPr>
                                    <w:t>Criterion</w:t>
                                  </w:r>
                                </w:p>
                              </w:tc>
                              <w:tc>
                                <w:tcPr>
                                  <w:tcW w:w="3002" w:type="pct"/>
                                </w:tcPr>
                                <w:p w14:paraId="7044A00A" w14:textId="77777777" w:rsidR="00287734" w:rsidRPr="00941196" w:rsidRDefault="00287734" w:rsidP="009E6948">
                                  <w:pPr>
                                    <w:pStyle w:val="TableHeading"/>
                                    <w:rPr>
                                      <w:rFonts w:ascii="Arial" w:hAnsi="Arial" w:cs="Arial"/>
                                      <w:szCs w:val="18"/>
                                    </w:rPr>
                                  </w:pPr>
                                  <w:r w:rsidRPr="00941196">
                                    <w:rPr>
                                      <w:rFonts w:ascii="Arial" w:hAnsi="Arial" w:cs="Arial"/>
                                      <w:szCs w:val="18"/>
                                    </w:rPr>
                                    <w:t>Potential impact</w:t>
                                  </w:r>
                                </w:p>
                              </w:tc>
                            </w:tr>
                            <w:tr w:rsidR="00287734" w14:paraId="6F8ED8C3" w14:textId="77777777" w:rsidTr="00E71774">
                              <w:tc>
                                <w:tcPr>
                                  <w:tcW w:w="1998" w:type="pct"/>
                                </w:tcPr>
                                <w:p w14:paraId="42F40D07" w14:textId="77777777" w:rsidR="00287734" w:rsidRPr="00941196" w:rsidRDefault="00287734" w:rsidP="009E6948">
                                  <w:pPr>
                                    <w:pStyle w:val="TableText"/>
                                    <w:rPr>
                                      <w:rFonts w:ascii="Arial" w:hAnsi="Arial" w:cs="Arial"/>
                                      <w:szCs w:val="18"/>
                                    </w:rPr>
                                  </w:pPr>
                                  <w:r w:rsidRPr="00941196">
                                    <w:rPr>
                                      <w:rFonts w:ascii="Arial" w:hAnsi="Arial" w:cs="Arial"/>
                                      <w:szCs w:val="18"/>
                                    </w:rPr>
                                    <w:t>Potential clearing of 10 ha or more of native vegetation that is an endangered EVC.</w:t>
                                  </w:r>
                                </w:p>
                              </w:tc>
                              <w:tc>
                                <w:tcPr>
                                  <w:tcW w:w="3002" w:type="pct"/>
                                </w:tcPr>
                                <w:p w14:paraId="27A4A65A" w14:textId="0BAF7491" w:rsidR="00287734" w:rsidRPr="00941196" w:rsidRDefault="00287734" w:rsidP="009E6948">
                                  <w:pPr>
                                    <w:pStyle w:val="TableText"/>
                                    <w:rPr>
                                      <w:rFonts w:ascii="Arial" w:hAnsi="Arial" w:cs="Arial"/>
                                      <w:szCs w:val="18"/>
                                    </w:rPr>
                                  </w:pPr>
                                  <w:r w:rsidRPr="00941196">
                                    <w:rPr>
                                      <w:rFonts w:ascii="Arial" w:hAnsi="Arial" w:cs="Arial"/>
                                      <w:szCs w:val="18"/>
                                    </w:rPr>
                                    <w:t xml:space="preserve">The </w:t>
                                  </w:r>
                                  <w:r>
                                    <w:rPr>
                                      <w:rFonts w:ascii="Arial" w:hAnsi="Arial" w:cs="Arial"/>
                                      <w:szCs w:val="18"/>
                                    </w:rPr>
                                    <w:t xml:space="preserve">Environmental study </w:t>
                                  </w:r>
                                  <w:r w:rsidRPr="00941196">
                                    <w:rPr>
                                      <w:rFonts w:ascii="Arial" w:hAnsi="Arial" w:cs="Arial"/>
                                      <w:szCs w:val="18"/>
                                    </w:rPr>
                                    <w:t>area potentially contains:</w:t>
                                  </w:r>
                                </w:p>
                                <w:p w14:paraId="728E983E" w14:textId="3F9B76CF"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137 ha of endangered EVCs, comprising Plains Grassy Woodland (EVC 125) and Plains Grassy Wetland (EVC 125) (Figure 1</w:t>
                                  </w:r>
                                  <w:r>
                                    <w:rPr>
                                      <w:rFonts w:ascii="Arial" w:hAnsi="Arial" w:cs="Arial"/>
                                      <w:szCs w:val="18"/>
                                    </w:rPr>
                                    <w:t>9</w:t>
                                  </w:r>
                                  <w:r w:rsidRPr="00941196">
                                    <w:rPr>
                                      <w:rFonts w:ascii="Arial" w:hAnsi="Arial" w:cs="Arial"/>
                                      <w:szCs w:val="18"/>
                                    </w:rPr>
                                    <w:t xml:space="preserve">); and  </w:t>
                                  </w:r>
                                </w:p>
                                <w:p w14:paraId="637382A6" w14:textId="3E573987"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 xml:space="preserve">two ecological communities listed under the EPBC Act (Figure </w:t>
                                  </w:r>
                                  <w:r>
                                    <w:rPr>
                                      <w:rFonts w:ascii="Arial" w:hAnsi="Arial" w:cs="Arial"/>
                                      <w:szCs w:val="18"/>
                                    </w:rPr>
                                    <w:t>21</w:t>
                                  </w:r>
                                  <w:r w:rsidRPr="00941196">
                                    <w:rPr>
                                      <w:rFonts w:ascii="Arial" w:hAnsi="Arial" w:cs="Arial"/>
                                      <w:szCs w:val="18"/>
                                    </w:rPr>
                                    <w:t xml:space="preserve">). </w:t>
                                  </w:r>
                                </w:p>
                                <w:p w14:paraId="61680B85" w14:textId="77777777" w:rsidR="00287734" w:rsidRPr="00941196" w:rsidRDefault="00287734" w:rsidP="009E6948">
                                  <w:pPr>
                                    <w:pStyle w:val="TableTextBullet1"/>
                                    <w:numPr>
                                      <w:ilvl w:val="0"/>
                                      <w:numId w:val="0"/>
                                    </w:numPr>
                                    <w:rPr>
                                      <w:rFonts w:ascii="Arial" w:hAnsi="Arial" w:cs="Arial"/>
                                      <w:szCs w:val="18"/>
                                    </w:rPr>
                                  </w:pPr>
                                  <w:r w:rsidRPr="00941196">
                                    <w:rPr>
                                      <w:rFonts w:ascii="Arial" w:hAnsi="Arial" w:cs="Arial"/>
                                      <w:szCs w:val="18"/>
                                    </w:rPr>
                                    <w:t xml:space="preserve">Targeted surveys will be undertaken to confirm their presence and extent. </w:t>
                                  </w:r>
                                </w:p>
                              </w:tc>
                            </w:tr>
                            <w:tr w:rsidR="00287734" w14:paraId="3A2732A2" w14:textId="77777777" w:rsidTr="00E71774">
                              <w:tc>
                                <w:tcPr>
                                  <w:tcW w:w="1998" w:type="pct"/>
                                </w:tcPr>
                                <w:p w14:paraId="561E9CCF" w14:textId="77777777" w:rsidR="00287734" w:rsidRPr="00941196" w:rsidRDefault="00287734" w:rsidP="009E6948">
                                  <w:pPr>
                                    <w:pStyle w:val="TableText"/>
                                    <w:rPr>
                                      <w:rFonts w:ascii="Arial" w:hAnsi="Arial" w:cs="Arial"/>
                                      <w:szCs w:val="18"/>
                                    </w:rPr>
                                  </w:pPr>
                                  <w:r w:rsidRPr="00941196">
                                    <w:rPr>
                                      <w:rFonts w:ascii="Arial" w:hAnsi="Arial" w:cs="Arial"/>
                                      <w:szCs w:val="18"/>
                                    </w:rPr>
                                    <w:t>Potential long-term loss of a significant proportion of known remaining habitat or populations of a threatened species within Victoria.</w:t>
                                  </w:r>
                                </w:p>
                              </w:tc>
                              <w:tc>
                                <w:tcPr>
                                  <w:tcW w:w="3002" w:type="pct"/>
                                </w:tcPr>
                                <w:p w14:paraId="6F72A7A9" w14:textId="38BC9FEE" w:rsidR="00287734" w:rsidRPr="00941196" w:rsidRDefault="00287734" w:rsidP="009E6948">
                                  <w:pPr>
                                    <w:pStyle w:val="TableText"/>
                                    <w:rPr>
                                      <w:rFonts w:ascii="Arial" w:hAnsi="Arial" w:cs="Arial"/>
                                      <w:szCs w:val="18"/>
                                    </w:rPr>
                                  </w:pPr>
                                  <w:r w:rsidRPr="00941196">
                                    <w:rPr>
                                      <w:rFonts w:ascii="Arial" w:hAnsi="Arial" w:cs="Arial"/>
                                      <w:szCs w:val="18"/>
                                    </w:rPr>
                                    <w:t xml:space="preserve">Baseline surveys confirmed the presence of the following in the </w:t>
                                  </w:r>
                                  <w:r>
                                    <w:rPr>
                                      <w:rFonts w:ascii="Arial" w:hAnsi="Arial" w:cs="Arial"/>
                                      <w:szCs w:val="18"/>
                                    </w:rPr>
                                    <w:t>B</w:t>
                                  </w:r>
                                  <w:r w:rsidRPr="00941196">
                                    <w:rPr>
                                      <w:rFonts w:ascii="Arial" w:hAnsi="Arial" w:cs="Arial"/>
                                      <w:szCs w:val="18"/>
                                    </w:rPr>
                                    <w:t>iodiversity study area:</w:t>
                                  </w:r>
                                </w:p>
                                <w:p w14:paraId="1C96DEE8" w14:textId="440B6604"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six threatened flora species listed under the FFG Act;</w:t>
                                  </w:r>
                                </w:p>
                                <w:p w14:paraId="62F21BF5" w14:textId="6604E0B3"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 xml:space="preserve">seven threatened fauna species listed under the FFG Act (Figure </w:t>
                                  </w:r>
                                  <w:r>
                                    <w:rPr>
                                      <w:rFonts w:ascii="Arial" w:hAnsi="Arial" w:cs="Arial"/>
                                      <w:szCs w:val="18"/>
                                    </w:rPr>
                                    <w:t>22</w:t>
                                  </w:r>
                                  <w:r w:rsidRPr="00941196">
                                    <w:rPr>
                                      <w:rFonts w:ascii="Arial" w:hAnsi="Arial" w:cs="Arial"/>
                                      <w:szCs w:val="18"/>
                                    </w:rPr>
                                    <w:t>);</w:t>
                                  </w:r>
                                </w:p>
                                <w:p w14:paraId="7D277040" w14:textId="4C3E5ACF"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two EPBC</w:t>
                                  </w:r>
                                  <w:r>
                                    <w:rPr>
                                      <w:rFonts w:ascii="Arial" w:hAnsi="Arial" w:cs="Arial"/>
                                      <w:szCs w:val="18"/>
                                    </w:rPr>
                                    <w:t xml:space="preserve"> </w:t>
                                  </w:r>
                                  <w:r w:rsidRPr="00941196">
                                    <w:rPr>
                                      <w:rFonts w:ascii="Arial" w:hAnsi="Arial" w:cs="Arial"/>
                                      <w:szCs w:val="18"/>
                                    </w:rPr>
                                    <w:t>listed species (Red-tailed Black Cockatoo and Growling Grass Frog) have previously been recorded in the locality and are considered likely to occur given the presence of suitable habitat including woodlands and wetlands;</w:t>
                                  </w:r>
                                </w:p>
                                <w:p w14:paraId="6D0A36D1" w14:textId="77777777" w:rsidR="00287734" w:rsidRPr="00941196" w:rsidRDefault="00287734" w:rsidP="009E6948">
                                  <w:pPr>
                                    <w:pStyle w:val="TableTextBullet1"/>
                                    <w:tabs>
                                      <w:tab w:val="clear" w:pos="495"/>
                                    </w:tabs>
                                    <w:ind w:left="198" w:hanging="198"/>
                                    <w:rPr>
                                      <w:rFonts w:ascii="Arial" w:hAnsi="Arial" w:cs="Arial"/>
                                      <w:szCs w:val="18"/>
                                    </w:rPr>
                                  </w:pPr>
                                  <w:r w:rsidRPr="00941196">
                                    <w:rPr>
                                      <w:rFonts w:ascii="Arial" w:hAnsi="Arial" w:cs="Arial"/>
                                      <w:szCs w:val="18"/>
                                    </w:rPr>
                                    <w:t>other listed species with potential to occur include:</w:t>
                                  </w:r>
                                </w:p>
                                <w:p w14:paraId="3BE5DB99"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Swamp Everlasting;</w:t>
                                  </w:r>
                                </w:p>
                                <w:p w14:paraId="7C26572B"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Downy Starbush;</w:t>
                                  </w:r>
                                </w:p>
                                <w:p w14:paraId="65EAFD9C"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Red-lored Whistler;</w:t>
                                  </w:r>
                                </w:p>
                                <w:p w14:paraId="03104695"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Painted Honeyeater;</w:t>
                                  </w:r>
                                </w:p>
                                <w:p w14:paraId="22706DBD"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Curlew Sandpiper;</w:t>
                                  </w:r>
                                </w:p>
                                <w:p w14:paraId="4E2EBA90"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 xml:space="preserve">Australasian Bittern; and </w:t>
                                  </w:r>
                                </w:p>
                                <w:p w14:paraId="71B7FB0E" w14:textId="77777777" w:rsidR="00287734" w:rsidRPr="00941196" w:rsidRDefault="00287734" w:rsidP="009E6948">
                                  <w:pPr>
                                    <w:pStyle w:val="TableTextBullet2"/>
                                    <w:tabs>
                                      <w:tab w:val="clear" w:pos="510"/>
                                    </w:tabs>
                                    <w:ind w:left="396" w:hanging="198"/>
                                    <w:rPr>
                                      <w:rFonts w:ascii="Arial" w:hAnsi="Arial" w:cs="Arial"/>
                                      <w:szCs w:val="18"/>
                                    </w:rPr>
                                  </w:pPr>
                                  <w:r w:rsidRPr="00941196">
                                    <w:rPr>
                                      <w:rFonts w:ascii="Arial" w:hAnsi="Arial" w:cs="Arial"/>
                                      <w:szCs w:val="18"/>
                                    </w:rPr>
                                    <w:t>Swift Parrot.</w:t>
                                  </w:r>
                                </w:p>
                              </w:tc>
                            </w:tr>
                            <w:tr w:rsidR="00287734" w:rsidRPr="009E6948" w14:paraId="6936D0A5" w14:textId="77777777" w:rsidTr="00E71774">
                              <w:tc>
                                <w:tcPr>
                                  <w:tcW w:w="1998" w:type="pct"/>
                                </w:tcPr>
                                <w:p w14:paraId="0CCE5615" w14:textId="77777777" w:rsidR="00287734" w:rsidRPr="00941196" w:rsidRDefault="00287734" w:rsidP="009E6948">
                                  <w:pPr>
                                    <w:pStyle w:val="TableText"/>
                                    <w:rPr>
                                      <w:rFonts w:ascii="Arial" w:hAnsi="Arial" w:cs="Arial"/>
                                      <w:color w:val="auto"/>
                                      <w:szCs w:val="18"/>
                                      <w:highlight w:val="magenta"/>
                                    </w:rPr>
                                  </w:pPr>
                                  <w:r w:rsidRPr="00941196">
                                    <w:rPr>
                                      <w:rFonts w:ascii="Arial" w:hAnsi="Arial" w:cs="Arial"/>
                                      <w:szCs w:val="18"/>
                                    </w:rPr>
                                    <w:t>Potential long-term change to the ecological character of a wetland listed under the Ramsar Convention or in ‘A Directory of Important Wetlands in Australia’.</w:t>
                                  </w:r>
                                </w:p>
                                <w:p w14:paraId="62C92650" w14:textId="77777777" w:rsidR="00287734" w:rsidRPr="00941196" w:rsidRDefault="00287734" w:rsidP="009E6948">
                                  <w:pPr>
                                    <w:pStyle w:val="TableText"/>
                                    <w:rPr>
                                      <w:rFonts w:ascii="Arial" w:hAnsi="Arial" w:cs="Arial"/>
                                      <w:szCs w:val="18"/>
                                    </w:rPr>
                                  </w:pPr>
                                </w:p>
                              </w:tc>
                              <w:tc>
                                <w:tcPr>
                                  <w:tcW w:w="3002" w:type="pct"/>
                                </w:tcPr>
                                <w:p w14:paraId="11C197E1" w14:textId="37A44626" w:rsidR="00287734" w:rsidRPr="00941196" w:rsidRDefault="00287734" w:rsidP="002467D8">
                                  <w:pPr>
                                    <w:pStyle w:val="BodyText"/>
                                    <w:spacing w:before="60"/>
                                    <w:jc w:val="left"/>
                                    <w:rPr>
                                      <w:rFonts w:ascii="Arial" w:hAnsi="Arial" w:cs="Arial"/>
                                      <w:b w:val="0"/>
                                      <w:bCs w:val="0"/>
                                      <w:color w:val="262626"/>
                                      <w:spacing w:val="-1"/>
                                      <w:sz w:val="18"/>
                                      <w:szCs w:val="18"/>
                                      <w:lang w:eastAsia="en-AU"/>
                                    </w:rPr>
                                  </w:pPr>
                                  <w:r w:rsidRPr="00941196">
                                    <w:rPr>
                                      <w:rFonts w:ascii="Arial" w:hAnsi="Arial" w:cs="Arial"/>
                                      <w:b w:val="0"/>
                                      <w:bCs w:val="0"/>
                                      <w:color w:val="262626"/>
                                      <w:spacing w:val="-1"/>
                                      <w:sz w:val="18"/>
                                      <w:szCs w:val="18"/>
                                      <w:lang w:eastAsia="en-AU"/>
                                    </w:rPr>
                                    <w:t xml:space="preserve">The nearest wetlands listed in the ‘Directory of Important Wetlands in Australia’ are White Lake and Heards Lake, approximately 20 km south and 10 km north-west of the Project, respectively. </w:t>
                                  </w:r>
                                </w:p>
                                <w:p w14:paraId="4AEC604A" w14:textId="77777777" w:rsidR="00287734" w:rsidRPr="00941196" w:rsidRDefault="00287734" w:rsidP="002467D8">
                                  <w:pPr>
                                    <w:pStyle w:val="BodyText"/>
                                    <w:spacing w:before="60"/>
                                    <w:jc w:val="left"/>
                                    <w:rPr>
                                      <w:rFonts w:ascii="Arial" w:hAnsi="Arial" w:cs="Arial"/>
                                      <w:b w:val="0"/>
                                      <w:bCs w:val="0"/>
                                      <w:color w:val="262626"/>
                                      <w:spacing w:val="-1"/>
                                      <w:sz w:val="18"/>
                                      <w:szCs w:val="18"/>
                                      <w:lang w:eastAsia="en-AU"/>
                                    </w:rPr>
                                  </w:pPr>
                                  <w:r w:rsidRPr="00941196">
                                    <w:rPr>
                                      <w:rFonts w:ascii="Arial" w:hAnsi="Arial" w:cs="Arial"/>
                                      <w:b w:val="0"/>
                                      <w:bCs w:val="0"/>
                                      <w:color w:val="262626"/>
                                      <w:spacing w:val="-1"/>
                                      <w:sz w:val="18"/>
                                      <w:szCs w:val="18"/>
                                      <w:lang w:eastAsia="en-AU"/>
                                    </w:rPr>
                                    <w:t xml:space="preserve">The nearest Ramsar wetland, Lake Abacutya is 100–150 km downstream (north) of the Project and therefore would not be impacted. </w:t>
                                  </w:r>
                                </w:p>
                              </w:tc>
                            </w:tr>
                            <w:tr w:rsidR="00287734" w:rsidRPr="009E6948" w14:paraId="5C430DF1" w14:textId="77777777" w:rsidTr="00E71774">
                              <w:tc>
                                <w:tcPr>
                                  <w:tcW w:w="1998" w:type="pct"/>
                                </w:tcPr>
                                <w:p w14:paraId="46280534" w14:textId="6C99E627" w:rsidR="00287734" w:rsidRPr="00941196" w:rsidRDefault="00287734" w:rsidP="009E6948">
                                  <w:pPr>
                                    <w:pStyle w:val="TableText"/>
                                    <w:rPr>
                                      <w:rFonts w:ascii="Arial" w:hAnsi="Arial" w:cs="Arial"/>
                                      <w:szCs w:val="18"/>
                                    </w:rPr>
                                  </w:pPr>
                                  <w:r w:rsidRPr="00941196">
                                    <w:rPr>
                                      <w:rFonts w:ascii="Arial" w:hAnsi="Arial" w:cs="Arial"/>
                                      <w:szCs w:val="18"/>
                                    </w:rPr>
                                    <w:t>Potential extensive or major effects on aquatic, estuarine or marine ecosystems over the long term.</w:t>
                                  </w:r>
                                </w:p>
                              </w:tc>
                              <w:tc>
                                <w:tcPr>
                                  <w:tcW w:w="3002" w:type="pct"/>
                                </w:tcPr>
                                <w:p w14:paraId="4C907B31" w14:textId="6E0CCD55" w:rsidR="00287734" w:rsidRDefault="00287734" w:rsidP="00552B3B">
                                  <w:pPr>
                                    <w:pStyle w:val="TableText"/>
                                    <w:rPr>
                                      <w:rFonts w:ascii="Arial" w:hAnsi="Arial" w:cs="Arial"/>
                                      <w:szCs w:val="18"/>
                                    </w:rPr>
                                  </w:pPr>
                                  <w:r w:rsidRPr="00941196">
                                    <w:rPr>
                                      <w:rFonts w:ascii="Arial" w:hAnsi="Arial" w:cs="Arial"/>
                                      <w:szCs w:val="18"/>
                                    </w:rPr>
                                    <w:t xml:space="preserve">Several permanent and ephemeral wetlands occur in the Environment </w:t>
                                  </w:r>
                                  <w:r>
                                    <w:rPr>
                                      <w:rFonts w:ascii="Arial" w:hAnsi="Arial" w:cs="Arial"/>
                                      <w:szCs w:val="18"/>
                                    </w:rPr>
                                    <w:t>study area,</w:t>
                                  </w:r>
                                  <w:r w:rsidRPr="00941196">
                                    <w:rPr>
                                      <w:rFonts w:ascii="Arial" w:hAnsi="Arial" w:cs="Arial"/>
                                      <w:szCs w:val="18"/>
                                    </w:rPr>
                                    <w:t xml:space="preserve"> the largest being Red Gum Swamp (Figure</w:t>
                                  </w:r>
                                  <w:r>
                                    <w:rPr>
                                      <w:rFonts w:ascii="Arial" w:hAnsi="Arial" w:cs="Arial"/>
                                      <w:szCs w:val="18"/>
                                    </w:rPr>
                                    <w:t>s</w:t>
                                  </w:r>
                                  <w:r w:rsidRPr="00941196">
                                    <w:rPr>
                                      <w:rFonts w:ascii="Arial" w:hAnsi="Arial" w:cs="Arial"/>
                                      <w:szCs w:val="18"/>
                                    </w:rPr>
                                    <w:t xml:space="preserve"> </w:t>
                                  </w:r>
                                  <w:r>
                                    <w:rPr>
                                      <w:rFonts w:ascii="Arial" w:hAnsi="Arial" w:cs="Arial"/>
                                      <w:szCs w:val="18"/>
                                    </w:rPr>
                                    <w:t>23 and 3</w:t>
                                  </w:r>
                                  <w:r w:rsidRPr="00941196">
                                    <w:rPr>
                                      <w:rFonts w:ascii="Arial" w:hAnsi="Arial" w:cs="Arial"/>
                                      <w:szCs w:val="18"/>
                                    </w:rPr>
                                    <w:t>).</w:t>
                                  </w:r>
                                </w:p>
                                <w:p w14:paraId="085C695F" w14:textId="4C4BA7C3" w:rsidR="00287734" w:rsidRPr="00941196" w:rsidRDefault="00287734" w:rsidP="00552B3B">
                                  <w:pPr>
                                    <w:pStyle w:val="TableText"/>
                                    <w:rPr>
                                      <w:rFonts w:ascii="Arial" w:hAnsi="Arial" w:cs="Arial"/>
                                      <w:b/>
                                      <w:bCs/>
                                      <w:szCs w:val="18"/>
                                    </w:rPr>
                                  </w:pPr>
                                  <w:r w:rsidRPr="00941196">
                                    <w:rPr>
                                      <w:rFonts w:ascii="Arial" w:hAnsi="Arial" w:cs="Arial"/>
                                      <w:szCs w:val="18"/>
                                    </w:rPr>
                                    <w:t xml:space="preserve">Darragan </w:t>
                                  </w:r>
                                  <w:r w:rsidRPr="007E61D6">
                                    <w:rPr>
                                      <w:rFonts w:ascii="Arial" w:hAnsi="Arial" w:cs="Arial"/>
                                      <w:szCs w:val="18"/>
                                    </w:rPr>
                                    <w:t>Swamp Nature Reserve is located north-east of the Project site (Figures 2</w:t>
                                  </w:r>
                                  <w:r>
                                    <w:rPr>
                                      <w:rFonts w:ascii="Arial" w:hAnsi="Arial" w:cs="Arial"/>
                                      <w:szCs w:val="18"/>
                                    </w:rPr>
                                    <w:t>3</w:t>
                                  </w:r>
                                  <w:r w:rsidRPr="007E61D6">
                                    <w:rPr>
                                      <w:rFonts w:ascii="Arial" w:hAnsi="Arial" w:cs="Arial"/>
                                      <w:szCs w:val="18"/>
                                    </w:rPr>
                                    <w:t xml:space="preserve"> and 3).</w:t>
                                  </w:r>
                                </w:p>
                              </w:tc>
                            </w:tr>
                          </w:tbl>
                          <w:p w14:paraId="14BAC95F" w14:textId="77777777" w:rsidR="00287734" w:rsidRDefault="00287734" w:rsidP="008D4567">
                            <w:pPr>
                              <w:ind w:left="142"/>
                            </w:pPr>
                          </w:p>
                        </w:txbxContent>
                      </v:textbox>
                      <w10:wrap type="square"/>
                    </v:shape>
                  </w:pict>
                </mc:Fallback>
              </mc:AlternateContent>
            </w:r>
          </w:p>
        </w:tc>
      </w:tr>
      <w:tr w:rsidR="001C34F3" w14:paraId="6D719EC8" w14:textId="77777777" w:rsidTr="00E96A1F">
        <w:tc>
          <w:tcPr>
            <w:tcW w:w="9243" w:type="dxa"/>
          </w:tcPr>
          <w:p w14:paraId="08E247B2" w14:textId="5C30BBB8" w:rsidR="009E6948" w:rsidRDefault="009E6948" w:rsidP="009E6948">
            <w:pPr>
              <w:pStyle w:val="BodyText"/>
              <w:jc w:val="both"/>
              <w:rPr>
                <w:rFonts w:ascii="Arial" w:hAnsi="Arial"/>
                <w:b w:val="0"/>
                <w:bCs w:val="0"/>
                <w:sz w:val="20"/>
                <w:szCs w:val="20"/>
                <w:lang w:eastAsia="en-AU"/>
              </w:rPr>
            </w:pPr>
            <w:r w:rsidRPr="009E6948">
              <w:rPr>
                <w:rFonts w:ascii="Arial" w:hAnsi="Arial"/>
                <w:b w:val="0"/>
                <w:bCs w:val="0"/>
                <w:sz w:val="20"/>
                <w:szCs w:val="20"/>
                <w:lang w:eastAsia="en-AU"/>
              </w:rPr>
              <w:t xml:space="preserve">The potential for biodiversity impacts has been identified using the following EES referral criteria for two or more potential impacts combined on the environment that may be of </w:t>
            </w:r>
            <w:r w:rsidR="007508CC">
              <w:rPr>
                <w:rFonts w:ascii="Arial" w:hAnsi="Arial"/>
                <w:b w:val="0"/>
                <w:bCs w:val="0"/>
                <w:sz w:val="20"/>
                <w:szCs w:val="20"/>
                <w:lang w:eastAsia="en-AU"/>
              </w:rPr>
              <w:t>S</w:t>
            </w:r>
            <w:r w:rsidRPr="009E6948">
              <w:rPr>
                <w:rFonts w:ascii="Arial" w:hAnsi="Arial"/>
                <w:b w:val="0"/>
                <w:bCs w:val="0"/>
                <w:sz w:val="20"/>
                <w:szCs w:val="20"/>
                <w:lang w:eastAsia="en-AU"/>
              </w:rPr>
              <w:t>tate or regional significance:</w:t>
            </w:r>
          </w:p>
          <w:p w14:paraId="6BE521EC" w14:textId="77777777" w:rsidR="002467D8" w:rsidRPr="009E6948" w:rsidRDefault="002467D8" w:rsidP="009E6948">
            <w:pPr>
              <w:pStyle w:val="BodyText"/>
              <w:jc w:val="both"/>
              <w:rPr>
                <w:rFonts w:ascii="Arial" w:hAnsi="Arial"/>
                <w:b w:val="0"/>
                <w:bCs w:val="0"/>
                <w:sz w:val="20"/>
                <w:szCs w:val="20"/>
                <w:lang w:eastAsia="en-AU"/>
              </w:rPr>
            </w:pPr>
          </w:p>
          <w:p w14:paraId="505345A8" w14:textId="77777777" w:rsidR="009E6948" w:rsidRPr="0017475D" w:rsidRDefault="009E6948" w:rsidP="0017475D">
            <w:pPr>
              <w:pStyle w:val="ListParagraph"/>
              <w:numPr>
                <w:ilvl w:val="0"/>
                <w:numId w:val="17"/>
              </w:numPr>
              <w:spacing w:after="120"/>
              <w:jc w:val="both"/>
              <w:rPr>
                <w:rFonts w:ascii="Arial" w:hAnsi="Arial"/>
              </w:rPr>
            </w:pPr>
            <w:r w:rsidRPr="0017475D">
              <w:rPr>
                <w:rFonts w:ascii="Arial" w:hAnsi="Arial"/>
              </w:rPr>
              <w:t>Potential clearing of 10 ha or more of native vegetation, unless authorised under an approved Forest Management Plan or Fire Protection Plan.</w:t>
            </w:r>
          </w:p>
          <w:p w14:paraId="25A41FAA" w14:textId="77777777" w:rsidR="009E6948" w:rsidRPr="0017475D" w:rsidRDefault="009E6948" w:rsidP="0017475D">
            <w:pPr>
              <w:pStyle w:val="ListParagraph"/>
              <w:numPr>
                <w:ilvl w:val="0"/>
                <w:numId w:val="17"/>
              </w:numPr>
              <w:spacing w:after="120"/>
              <w:jc w:val="both"/>
              <w:rPr>
                <w:rFonts w:ascii="Arial" w:hAnsi="Arial"/>
              </w:rPr>
            </w:pPr>
            <w:r w:rsidRPr="0017475D">
              <w:rPr>
                <w:rFonts w:ascii="Arial" w:hAnsi="Arial"/>
              </w:rPr>
              <w:t>Matters listed under the FFG Act:</w:t>
            </w:r>
          </w:p>
          <w:p w14:paraId="245F8A3C" w14:textId="77777777" w:rsidR="009E6948" w:rsidRPr="00462C2A" w:rsidRDefault="009E6948" w:rsidP="00166AB5">
            <w:pPr>
              <w:pStyle w:val="ListBullet2"/>
              <w:numPr>
                <w:ilvl w:val="1"/>
                <w:numId w:val="2"/>
              </w:numPr>
              <w:spacing w:after="240"/>
              <w:ind w:left="1134" w:hanging="366"/>
              <w:jc w:val="left"/>
              <w:rPr>
                <w:rFonts w:cs="Arial"/>
              </w:rPr>
            </w:pPr>
            <w:r w:rsidRPr="00462C2A">
              <w:rPr>
                <w:rFonts w:cs="Arial"/>
              </w:rPr>
              <w:t>potential loss of a significant area of a listed ecological community; or</w:t>
            </w:r>
          </w:p>
          <w:p w14:paraId="0046F299" w14:textId="77777777" w:rsidR="009E6948" w:rsidRPr="00462C2A" w:rsidRDefault="009E6948" w:rsidP="00166AB5">
            <w:pPr>
              <w:pStyle w:val="ListBullet2"/>
              <w:numPr>
                <w:ilvl w:val="1"/>
                <w:numId w:val="2"/>
              </w:numPr>
              <w:spacing w:after="240"/>
              <w:ind w:left="1134" w:hanging="366"/>
              <w:jc w:val="left"/>
              <w:rPr>
                <w:rFonts w:cs="Arial"/>
              </w:rPr>
            </w:pPr>
            <w:r w:rsidRPr="00462C2A">
              <w:rPr>
                <w:rFonts w:cs="Arial"/>
              </w:rPr>
              <w:lastRenderedPageBreak/>
              <w:t>potential loss of a genetically important population of an endangered or threatened species (listed or nominated for listing), including as a result of loss or fragmentation of habitats; or</w:t>
            </w:r>
          </w:p>
          <w:p w14:paraId="3CD5800B" w14:textId="77777777" w:rsidR="009E6948" w:rsidRPr="00462C2A" w:rsidRDefault="009E6948" w:rsidP="00166AB5">
            <w:pPr>
              <w:pStyle w:val="ListBullet2"/>
              <w:numPr>
                <w:ilvl w:val="1"/>
                <w:numId w:val="2"/>
              </w:numPr>
              <w:spacing w:after="240"/>
              <w:ind w:left="1134" w:hanging="366"/>
              <w:jc w:val="left"/>
              <w:rPr>
                <w:rFonts w:cs="Arial"/>
              </w:rPr>
            </w:pPr>
            <w:r w:rsidRPr="00462C2A">
              <w:rPr>
                <w:rFonts w:cs="Arial"/>
              </w:rPr>
              <w:t>potential loss of critical habitat; or</w:t>
            </w:r>
          </w:p>
          <w:p w14:paraId="659E0322" w14:textId="77777777" w:rsidR="009E6948" w:rsidRPr="00462C2A" w:rsidRDefault="009E6948" w:rsidP="00166AB5">
            <w:pPr>
              <w:pStyle w:val="ListBullet2"/>
              <w:numPr>
                <w:ilvl w:val="1"/>
                <w:numId w:val="2"/>
              </w:numPr>
              <w:spacing w:after="240"/>
              <w:ind w:left="1134" w:hanging="366"/>
              <w:jc w:val="left"/>
              <w:rPr>
                <w:rFonts w:cs="Arial"/>
              </w:rPr>
            </w:pPr>
            <w:r w:rsidRPr="00462C2A">
              <w:rPr>
                <w:rFonts w:cs="Arial"/>
              </w:rPr>
              <w:t>potential significant effects on habitat values of a wetlands supporting migratory bird species.</w:t>
            </w:r>
          </w:p>
          <w:p w14:paraId="79EB0F1B" w14:textId="77777777" w:rsidR="009E6948" w:rsidRPr="0017475D" w:rsidRDefault="009E6948" w:rsidP="0017475D">
            <w:pPr>
              <w:pStyle w:val="ListParagraph"/>
              <w:numPr>
                <w:ilvl w:val="0"/>
                <w:numId w:val="17"/>
              </w:numPr>
              <w:spacing w:after="120"/>
              <w:jc w:val="both"/>
              <w:rPr>
                <w:rFonts w:ascii="Arial" w:hAnsi="Arial"/>
              </w:rPr>
            </w:pPr>
            <w:r w:rsidRPr="0017475D">
              <w:rPr>
                <w:rFonts w:ascii="Arial" w:hAnsi="Arial"/>
              </w:rPr>
              <w:t xml:space="preserve">Potentially extensive or major effects on landscape values of regional importance, especially where recognised by a planning scheme overlay or within or adjoining land reserved under the </w:t>
            </w:r>
            <w:r w:rsidRPr="0017475D">
              <w:rPr>
                <w:rFonts w:ascii="Arial" w:hAnsi="Arial"/>
                <w:i/>
                <w:iCs/>
              </w:rPr>
              <w:t>National Parks Act 1975</w:t>
            </w:r>
            <w:r w:rsidRPr="0017475D">
              <w:rPr>
                <w:rFonts w:ascii="Arial" w:hAnsi="Arial"/>
              </w:rPr>
              <w:t xml:space="preserve">. </w:t>
            </w:r>
          </w:p>
          <w:p w14:paraId="49AF8441" w14:textId="77777777" w:rsidR="001C34F3" w:rsidRPr="00267451" w:rsidRDefault="009E6948" w:rsidP="002467D8">
            <w:pPr>
              <w:pStyle w:val="ListBullet2"/>
              <w:numPr>
                <w:ilvl w:val="0"/>
                <w:numId w:val="0"/>
              </w:numPr>
              <w:ind w:left="-42"/>
            </w:pPr>
            <w:r w:rsidRPr="009E6948">
              <w:t>Potential individual impacts of the Project as assessed against these EES referral criteria are outlined in Table 11.2.</w:t>
            </w:r>
          </w:p>
        </w:tc>
      </w:tr>
      <w:tr w:rsidR="001C34F3" w14:paraId="0A7266BF" w14:textId="77777777" w:rsidTr="00552B3B">
        <w:tc>
          <w:tcPr>
            <w:tcW w:w="9243" w:type="dxa"/>
            <w:tcBorders>
              <w:bottom w:val="single" w:sz="4" w:space="0" w:color="auto"/>
            </w:tcBorders>
          </w:tcPr>
          <w:p w14:paraId="3AE55172" w14:textId="77777777" w:rsidR="001C34F3" w:rsidRDefault="00AE3CB6">
            <w:pPr>
              <w:rPr>
                <w:rFonts w:ascii="Arial" w:hAnsi="Arial"/>
              </w:rPr>
            </w:pPr>
            <w:r>
              <w:rPr>
                <w:noProof/>
              </w:rPr>
              <w:lastRenderedPageBreak/>
              <mc:AlternateContent>
                <mc:Choice Requires="wps">
                  <w:drawing>
                    <wp:anchor distT="45720" distB="45720" distL="114300" distR="114300" simplePos="0" relativeHeight="251657728" behindDoc="0" locked="0" layoutInCell="1" allowOverlap="1" wp14:anchorId="49FB79B8" wp14:editId="4F795C5D">
                      <wp:simplePos x="0" y="0"/>
                      <wp:positionH relativeFrom="column">
                        <wp:posOffset>3810</wp:posOffset>
                      </wp:positionH>
                      <wp:positionV relativeFrom="paragraph">
                        <wp:posOffset>242570</wp:posOffset>
                      </wp:positionV>
                      <wp:extent cx="6162675" cy="4972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972050"/>
                              </a:xfrm>
                              <a:prstGeom prst="rect">
                                <a:avLst/>
                              </a:prstGeom>
                              <a:solidFill>
                                <a:srgbClr val="FFFFFF"/>
                              </a:solidFill>
                              <a:ln w="9525">
                                <a:solidFill>
                                  <a:srgbClr val="000000"/>
                                </a:solidFill>
                                <a:miter lim="800000"/>
                                <a:headEnd/>
                                <a:tailEnd/>
                              </a:ln>
                            </wps:spPr>
                            <wps:txbx>
                              <w:txbxContent>
                                <w:tbl>
                                  <w:tblPr>
                                    <w:tblW w:w="4935" w:type="pct"/>
                                    <w:tblBorders>
                                      <w:top w:val="single" w:sz="2" w:space="0" w:color="262626"/>
                                      <w:bottom w:val="single" w:sz="2" w:space="0" w:color="262626"/>
                                    </w:tblBorders>
                                    <w:tblLayout w:type="fixed"/>
                                    <w:tblLook w:val="0620" w:firstRow="1" w:lastRow="0" w:firstColumn="0" w:lastColumn="0" w:noHBand="1" w:noVBand="1"/>
                                  </w:tblPr>
                                  <w:tblGrid>
                                    <w:gridCol w:w="4091"/>
                                    <w:gridCol w:w="4952"/>
                                    <w:gridCol w:w="41"/>
                                    <w:gridCol w:w="197"/>
                                  </w:tblGrid>
                                  <w:tr w:rsidR="00287734" w:rsidRPr="00267451" w14:paraId="38943AFA" w14:textId="77777777" w:rsidTr="0017475D">
                                    <w:trPr>
                                      <w:gridAfter w:val="2"/>
                                      <w:wAfter w:w="128" w:type="pct"/>
                                      <w:tblHeader/>
                                    </w:trPr>
                                    <w:tc>
                                      <w:tcPr>
                                        <w:tcW w:w="4872" w:type="pct"/>
                                        <w:gridSpan w:val="2"/>
                                      </w:tcPr>
                                      <w:p w14:paraId="1848B6A9" w14:textId="77777777" w:rsidR="00287734" w:rsidRPr="002467D8" w:rsidRDefault="00287734" w:rsidP="00267451">
                                        <w:pPr>
                                          <w:pStyle w:val="TableCaption"/>
                                          <w:rPr>
                                            <w:rFonts w:ascii="Arial" w:hAnsi="Arial" w:cs="Arial"/>
                                            <w:sz w:val="18"/>
                                          </w:rPr>
                                        </w:pPr>
                                        <w:bookmarkStart w:id="102" w:name="_Toc8384841"/>
                                        <w:r w:rsidRPr="002467D8">
                                          <w:rPr>
                                            <w:rFonts w:ascii="Arial" w:hAnsi="Arial" w:cs="Arial"/>
                                            <w:sz w:val="18"/>
                                          </w:rPr>
                                          <w:t xml:space="preserve">Table </w:t>
                                        </w:r>
                                        <w:r>
                                          <w:rPr>
                                            <w:rFonts w:ascii="Arial" w:hAnsi="Arial" w:cs="Arial"/>
                                            <w:sz w:val="18"/>
                                          </w:rPr>
                                          <w:t>11.2</w:t>
                                        </w:r>
                                        <w:r w:rsidRPr="002467D8">
                                          <w:rPr>
                                            <w:rFonts w:ascii="Arial" w:hAnsi="Arial" w:cs="Arial"/>
                                            <w:sz w:val="18"/>
                                          </w:rPr>
                                          <w:tab/>
                                          <w:t>Potential combined impacts against EES referral criteria</w:t>
                                        </w:r>
                                        <w:bookmarkEnd w:id="102"/>
                                      </w:p>
                                    </w:tc>
                                  </w:tr>
                                  <w:tr w:rsidR="00287734" w14:paraId="529D97C5" w14:textId="77777777" w:rsidTr="0017475D">
                                    <w:tblPrEx>
                                      <w:tblBorders>
                                        <w:top w:val="none" w:sz="0" w:space="0" w:color="auto"/>
                                        <w:bottom w:val="none" w:sz="0" w:space="0" w:color="auto"/>
                                      </w:tblBorders>
                                    </w:tblPrEx>
                                    <w:trPr>
                                      <w:gridAfter w:val="1"/>
                                      <w:wAfter w:w="106" w:type="pct"/>
                                    </w:trPr>
                                    <w:tc>
                                      <w:tcPr>
                                        <w:tcW w:w="2204" w:type="pct"/>
                                      </w:tcPr>
                                      <w:p w14:paraId="29A74A89" w14:textId="77777777" w:rsidR="00287734" w:rsidRPr="002467D8" w:rsidRDefault="00287734" w:rsidP="00267451">
                                        <w:pPr>
                                          <w:pStyle w:val="TableHeading"/>
                                          <w:rPr>
                                            <w:rFonts w:ascii="Arial" w:hAnsi="Arial" w:cs="Arial"/>
                                            <w:szCs w:val="18"/>
                                          </w:rPr>
                                        </w:pPr>
                                        <w:r w:rsidRPr="002467D8">
                                          <w:rPr>
                                            <w:rFonts w:ascii="Arial" w:hAnsi="Arial" w:cs="Arial"/>
                                            <w:szCs w:val="18"/>
                                          </w:rPr>
                                          <w:t>Criterion</w:t>
                                        </w:r>
                                      </w:p>
                                    </w:tc>
                                    <w:tc>
                                      <w:tcPr>
                                        <w:tcW w:w="2690" w:type="pct"/>
                                        <w:gridSpan w:val="2"/>
                                      </w:tcPr>
                                      <w:p w14:paraId="11E328B6" w14:textId="77777777" w:rsidR="00287734" w:rsidRPr="002467D8" w:rsidRDefault="00287734" w:rsidP="00267451">
                                        <w:pPr>
                                          <w:pStyle w:val="TableHeading"/>
                                          <w:rPr>
                                            <w:rFonts w:ascii="Arial" w:hAnsi="Arial" w:cs="Arial"/>
                                            <w:szCs w:val="18"/>
                                          </w:rPr>
                                        </w:pPr>
                                        <w:r w:rsidRPr="002467D8">
                                          <w:rPr>
                                            <w:rFonts w:ascii="Arial" w:hAnsi="Arial" w:cs="Arial"/>
                                            <w:szCs w:val="18"/>
                                          </w:rPr>
                                          <w:t>Potential impacts</w:t>
                                        </w:r>
                                      </w:p>
                                    </w:tc>
                                  </w:tr>
                                  <w:tr w:rsidR="00287734" w14:paraId="41043F97" w14:textId="77777777" w:rsidTr="0017475D">
                                    <w:trPr>
                                      <w:gridAfter w:val="1"/>
                                      <w:wAfter w:w="106" w:type="pct"/>
                                    </w:trPr>
                                    <w:tc>
                                      <w:tcPr>
                                        <w:tcW w:w="2204" w:type="pct"/>
                                      </w:tcPr>
                                      <w:p w14:paraId="02D44F9D" w14:textId="77777777" w:rsidR="00287734" w:rsidRPr="002467D8" w:rsidRDefault="00287734" w:rsidP="00267451">
                                        <w:pPr>
                                          <w:pStyle w:val="TableText"/>
                                          <w:rPr>
                                            <w:rFonts w:ascii="Arial" w:hAnsi="Arial" w:cs="Arial"/>
                                            <w:szCs w:val="18"/>
                                          </w:rPr>
                                        </w:pPr>
                                        <w:r w:rsidRPr="002467D8">
                                          <w:rPr>
                                            <w:rFonts w:ascii="Arial" w:hAnsi="Arial" w:cs="Arial"/>
                                            <w:szCs w:val="18"/>
                                          </w:rPr>
                                          <w:t>Potential clearing of 10 ha or more of native vegetation.</w:t>
                                        </w:r>
                                      </w:p>
                                    </w:tc>
                                    <w:tc>
                                      <w:tcPr>
                                        <w:tcW w:w="2690" w:type="pct"/>
                                        <w:gridSpan w:val="2"/>
                                      </w:tcPr>
                                      <w:p w14:paraId="25FEF4DB" w14:textId="120356F0" w:rsidR="00287734" w:rsidRPr="002467D8" w:rsidRDefault="00287734" w:rsidP="00267451">
                                        <w:pPr>
                                          <w:pStyle w:val="TableText"/>
                                          <w:rPr>
                                            <w:rFonts w:ascii="Arial" w:hAnsi="Arial" w:cs="Arial"/>
                                            <w:szCs w:val="18"/>
                                          </w:rPr>
                                        </w:pPr>
                                        <w:r w:rsidRPr="002467D8">
                                          <w:rPr>
                                            <w:rFonts w:ascii="Arial" w:hAnsi="Arial" w:cs="Arial"/>
                                            <w:szCs w:val="18"/>
                                          </w:rPr>
                                          <w:t xml:space="preserve">The </w:t>
                                        </w:r>
                                        <w:r>
                                          <w:rPr>
                                            <w:rFonts w:ascii="Arial" w:hAnsi="Arial" w:cs="Arial"/>
                                            <w:szCs w:val="18"/>
                                          </w:rPr>
                                          <w:t xml:space="preserve">ecology study </w:t>
                                        </w:r>
                                        <w:r w:rsidRPr="002467D8">
                                          <w:rPr>
                                            <w:rFonts w:ascii="Arial" w:hAnsi="Arial" w:cs="Arial"/>
                                            <w:szCs w:val="18"/>
                                          </w:rPr>
                                          <w:t xml:space="preserve">area is predicted to contain 461 ha of native EVCs </w:t>
                                        </w:r>
                                        <w:r>
                                          <w:rPr>
                                            <w:rFonts w:ascii="Arial" w:hAnsi="Arial" w:cs="Arial"/>
                                            <w:szCs w:val="18"/>
                                          </w:rPr>
                                          <w:t xml:space="preserve">(Figure 19) </w:t>
                                        </w:r>
                                        <w:r w:rsidRPr="002467D8">
                                          <w:rPr>
                                            <w:rFonts w:ascii="Arial" w:hAnsi="Arial" w:cs="Arial"/>
                                            <w:szCs w:val="18"/>
                                          </w:rPr>
                                          <w:t>and scattered trees that may be impacted. Targeted surveys will be completed to verify their presence and extent. Project design will consider measures to avoid and/or minimise their clearing.</w:t>
                                        </w:r>
                                      </w:p>
                                    </w:tc>
                                  </w:tr>
                                  <w:tr w:rsidR="00287734" w14:paraId="38E75A3E" w14:textId="77777777" w:rsidTr="0017475D">
                                    <w:tblPrEx>
                                      <w:tblCellMar>
                                        <w:top w:w="28" w:type="dxa"/>
                                        <w:bottom w:w="28" w:type="dxa"/>
                                      </w:tblCellMar>
                                    </w:tblPrEx>
                                    <w:trPr>
                                      <w:gridAfter w:val="1"/>
                                      <w:wAfter w:w="106" w:type="pct"/>
                                    </w:trPr>
                                    <w:tc>
                                      <w:tcPr>
                                        <w:tcW w:w="2204" w:type="pct"/>
                                      </w:tcPr>
                                      <w:p w14:paraId="5B086004" w14:textId="77777777" w:rsidR="00287734" w:rsidRPr="002467D8" w:rsidRDefault="00287734" w:rsidP="00267451">
                                        <w:pPr>
                                          <w:pStyle w:val="TableText"/>
                                          <w:rPr>
                                            <w:rFonts w:ascii="Arial" w:hAnsi="Arial" w:cs="Arial"/>
                                            <w:szCs w:val="18"/>
                                          </w:rPr>
                                        </w:pPr>
                                        <w:r w:rsidRPr="002467D8">
                                          <w:rPr>
                                            <w:rFonts w:ascii="Arial" w:hAnsi="Arial" w:cs="Arial"/>
                                            <w:szCs w:val="18"/>
                                          </w:rPr>
                                          <w:t>Matters listed under the FFG Act including potential loss of a significant area of a listed community, potential loss of a genetically important population of an endangered or threatened species, potential loss of critical habitat or potentially significant effects on habitat values of a wetland supporting migratory bird species.</w:t>
                                        </w:r>
                                      </w:p>
                                    </w:tc>
                                    <w:tc>
                                      <w:tcPr>
                                        <w:tcW w:w="2690" w:type="pct"/>
                                        <w:gridSpan w:val="2"/>
                                      </w:tcPr>
                                      <w:p w14:paraId="6B586353" w14:textId="6E327CD8" w:rsidR="00287734" w:rsidRPr="002467D8" w:rsidRDefault="00287734" w:rsidP="00267451">
                                        <w:pPr>
                                          <w:pStyle w:val="TableText"/>
                                          <w:rPr>
                                            <w:rFonts w:ascii="Arial" w:hAnsi="Arial" w:cs="Arial"/>
                                            <w:szCs w:val="18"/>
                                          </w:rPr>
                                        </w:pPr>
                                        <w:r w:rsidRPr="002467D8">
                                          <w:rPr>
                                            <w:rFonts w:ascii="Arial" w:hAnsi="Arial" w:cs="Arial"/>
                                            <w:szCs w:val="18"/>
                                          </w:rPr>
                                          <w:t xml:space="preserve">Woodlands in the </w:t>
                                        </w:r>
                                        <w:r>
                                          <w:rPr>
                                            <w:rFonts w:ascii="Arial" w:hAnsi="Arial" w:cs="Arial"/>
                                            <w:szCs w:val="18"/>
                                          </w:rPr>
                                          <w:t xml:space="preserve">ecology study </w:t>
                                        </w:r>
                                        <w:r w:rsidRPr="002467D8">
                                          <w:rPr>
                                            <w:rFonts w:ascii="Arial" w:hAnsi="Arial" w:cs="Arial"/>
                                            <w:szCs w:val="18"/>
                                          </w:rPr>
                                          <w:t xml:space="preserve">area represent Victorian Temperate Woodland Bird Community. The Project area is also likely to support Semi-arid Northwest Plains </w:t>
                                        </w:r>
                                        <w:r w:rsidRPr="002467D8">
                                          <w:rPr>
                                            <w:rFonts w:ascii="Arial" w:hAnsi="Arial" w:cs="Arial"/>
                                            <w:szCs w:val="18"/>
                                          </w:rPr>
                                          <w:t>Buloke Grassy woodland Community and Red Gum Swamp Community No 1 (Figure 1</w:t>
                                        </w:r>
                                        <w:r>
                                          <w:rPr>
                                            <w:rFonts w:ascii="Arial" w:hAnsi="Arial" w:cs="Arial"/>
                                            <w:szCs w:val="18"/>
                                          </w:rPr>
                                          <w:t>9</w:t>
                                        </w:r>
                                        <w:r w:rsidRPr="002467D8">
                                          <w:rPr>
                                            <w:rFonts w:ascii="Arial" w:hAnsi="Arial" w:cs="Arial"/>
                                            <w:szCs w:val="18"/>
                                          </w:rPr>
                                          <w:t xml:space="preserve">). Five FFG Act listed species </w:t>
                                        </w:r>
                                        <w:r w:rsidRPr="00AD07F1">
                                          <w:rPr>
                                            <w:rFonts w:ascii="Arial" w:hAnsi="Arial" w:cs="Arial"/>
                                            <w:szCs w:val="18"/>
                                          </w:rPr>
                                          <w:t>comprising Buloke, Magpie Goose, Diamond Firetail, Whiskered Tern and Brown Toadlet were</w:t>
                                        </w:r>
                                        <w:r w:rsidRPr="002467D8">
                                          <w:rPr>
                                            <w:rFonts w:ascii="Arial" w:hAnsi="Arial" w:cs="Arial"/>
                                            <w:szCs w:val="18"/>
                                          </w:rPr>
                                          <w:t xml:space="preserve"> recorded during baseline surveys. A number of wetlands occur in the </w:t>
                                        </w:r>
                                        <w:r>
                                          <w:rPr>
                                            <w:rFonts w:ascii="Arial" w:hAnsi="Arial" w:cs="Arial"/>
                                            <w:szCs w:val="18"/>
                                          </w:rPr>
                                          <w:t xml:space="preserve">Environmental study area </w:t>
                                        </w:r>
                                        <w:r w:rsidRPr="002467D8">
                                          <w:rPr>
                                            <w:rFonts w:ascii="Arial" w:hAnsi="Arial" w:cs="Arial"/>
                                            <w:szCs w:val="18"/>
                                          </w:rPr>
                                          <w:t xml:space="preserve">that are likely to support migratory species (Figure </w:t>
                                        </w:r>
                                        <w:r>
                                          <w:rPr>
                                            <w:rFonts w:ascii="Arial" w:hAnsi="Arial" w:cs="Arial"/>
                                            <w:szCs w:val="18"/>
                                          </w:rPr>
                                          <w:t>23</w:t>
                                        </w:r>
                                        <w:r w:rsidRPr="002467D8">
                                          <w:rPr>
                                            <w:rFonts w:ascii="Arial" w:hAnsi="Arial" w:cs="Arial"/>
                                            <w:szCs w:val="18"/>
                                          </w:rPr>
                                          <w:t xml:space="preserve">). Detailed and targeted surveys will be completed for the above listed species and communities. The design will consider measures to avoid and/or minimise impacts on these communities or species. </w:t>
                                        </w:r>
                                      </w:p>
                                    </w:tc>
                                  </w:tr>
                                  <w:tr w:rsidR="00287734" w14:paraId="48C2136B" w14:textId="77777777" w:rsidTr="0017475D">
                                    <w:trPr>
                                      <w:tblHeader/>
                                    </w:trPr>
                                    <w:tc>
                                      <w:tcPr>
                                        <w:tcW w:w="2204" w:type="pct"/>
                                      </w:tcPr>
                                      <w:p w14:paraId="1E7DD65D" w14:textId="77777777" w:rsidR="00287734" w:rsidRPr="002467D8" w:rsidRDefault="00287734" w:rsidP="00267451">
                                        <w:pPr>
                                          <w:pStyle w:val="TableText"/>
                                          <w:rPr>
                                            <w:rFonts w:ascii="Arial" w:hAnsi="Arial" w:cs="Arial"/>
                                            <w:szCs w:val="18"/>
                                          </w:rPr>
                                        </w:pPr>
                                        <w:r w:rsidRPr="002467D8">
                                          <w:rPr>
                                            <w:rFonts w:ascii="Arial" w:hAnsi="Arial" w:cs="Arial"/>
                                            <w:szCs w:val="18"/>
                                          </w:rPr>
                                          <w:t>Potential extensive or major effects on landscape values of regional importance, especially where recognised by a planning scheme overlay or within or adjoining land reserved under the National Parks Act</w:t>
                                        </w:r>
                                        <w:r w:rsidRPr="002467D8">
                                          <w:rPr>
                                            <w:rFonts w:ascii="Arial" w:hAnsi="Arial" w:cs="Arial"/>
                                            <w:i/>
                                            <w:szCs w:val="18"/>
                                          </w:rPr>
                                          <w:t xml:space="preserve">. </w:t>
                                        </w:r>
                                      </w:p>
                                    </w:tc>
                                    <w:tc>
                                      <w:tcPr>
                                        <w:tcW w:w="2796" w:type="pct"/>
                                        <w:gridSpan w:val="3"/>
                                      </w:tcPr>
                                      <w:p w14:paraId="3C7E637D" w14:textId="77777777" w:rsidR="00287734" w:rsidRDefault="00287734" w:rsidP="00267451">
                                        <w:pPr>
                                          <w:pStyle w:val="TableText"/>
                                          <w:rPr>
                                            <w:rFonts w:ascii="Arial" w:hAnsi="Arial" w:cs="Arial"/>
                                            <w:szCs w:val="18"/>
                                          </w:rPr>
                                        </w:pPr>
                                        <w:r w:rsidRPr="002467D8">
                                          <w:rPr>
                                            <w:rFonts w:ascii="Arial" w:hAnsi="Arial" w:cs="Arial"/>
                                            <w:szCs w:val="18"/>
                                          </w:rPr>
                                          <w:t xml:space="preserve">No parks or reserves listed under the National Parks Act </w:t>
                                        </w:r>
                                      </w:p>
                                      <w:p w14:paraId="51FA59AB" w14:textId="21EC6EA5" w:rsidR="00287734" w:rsidRDefault="00287734" w:rsidP="00267451">
                                        <w:pPr>
                                          <w:pStyle w:val="TableText"/>
                                          <w:rPr>
                                            <w:rFonts w:ascii="Arial" w:hAnsi="Arial" w:cs="Arial"/>
                                            <w:szCs w:val="18"/>
                                          </w:rPr>
                                        </w:pPr>
                                        <w:r w:rsidRPr="002467D8">
                                          <w:rPr>
                                            <w:rFonts w:ascii="Arial" w:hAnsi="Arial" w:cs="Arial"/>
                                            <w:szCs w:val="18"/>
                                          </w:rPr>
                                          <w:t xml:space="preserve">occur in </w:t>
                                        </w:r>
                                        <w:r w:rsidRPr="00AD07F1">
                                          <w:rPr>
                                            <w:rFonts w:ascii="Arial" w:hAnsi="Arial" w:cs="Arial"/>
                                            <w:szCs w:val="18"/>
                                          </w:rPr>
                                          <w:t>the ecology study area.</w:t>
                                        </w:r>
                                        <w:r w:rsidRPr="002467D8">
                                          <w:rPr>
                                            <w:rFonts w:ascii="Arial" w:hAnsi="Arial" w:cs="Arial"/>
                                            <w:szCs w:val="18"/>
                                          </w:rPr>
                                          <w:t xml:space="preserve"> The south-west part of the Project site is covered by Environmental Significance </w:t>
                                        </w:r>
                                      </w:p>
                                      <w:p w14:paraId="4A183A7E" w14:textId="0EF210AE" w:rsidR="00287734" w:rsidRDefault="00287734" w:rsidP="00267451">
                                        <w:pPr>
                                          <w:pStyle w:val="TableText"/>
                                          <w:rPr>
                                            <w:rFonts w:ascii="Arial" w:hAnsi="Arial" w:cs="Arial"/>
                                            <w:szCs w:val="18"/>
                                          </w:rPr>
                                        </w:pPr>
                                        <w:r w:rsidRPr="002467D8">
                                          <w:rPr>
                                            <w:rFonts w:ascii="Arial" w:hAnsi="Arial" w:cs="Arial"/>
                                            <w:szCs w:val="18"/>
                                          </w:rPr>
                                          <w:t xml:space="preserve">Overlay – Schedule 4 </w:t>
                                        </w:r>
                                        <w:r>
                                          <w:rPr>
                                            <w:rFonts w:ascii="Arial" w:hAnsi="Arial" w:cs="Arial"/>
                                            <w:szCs w:val="18"/>
                                          </w:rPr>
                                          <w:t xml:space="preserve">(Figure 11) </w:t>
                                        </w:r>
                                        <w:r w:rsidRPr="002467D8">
                                          <w:rPr>
                                            <w:rFonts w:ascii="Arial" w:hAnsi="Arial" w:cs="Arial"/>
                                            <w:szCs w:val="18"/>
                                          </w:rPr>
                                          <w:t xml:space="preserve">under the Horsham Rural City Planning Scheme. Most of the wetlands in the </w:t>
                                        </w:r>
                                      </w:p>
                                      <w:p w14:paraId="7F3C891D" w14:textId="77777777" w:rsidR="00287734" w:rsidRDefault="00287734" w:rsidP="00267451">
                                        <w:pPr>
                                          <w:pStyle w:val="TableText"/>
                                          <w:rPr>
                                            <w:rFonts w:ascii="Arial" w:hAnsi="Arial" w:cs="Arial"/>
                                            <w:szCs w:val="18"/>
                                          </w:rPr>
                                        </w:pPr>
                                        <w:r>
                                          <w:rPr>
                                            <w:rFonts w:ascii="Arial" w:hAnsi="Arial" w:cs="Arial"/>
                                            <w:szCs w:val="18"/>
                                          </w:rPr>
                                          <w:t xml:space="preserve">biodiversity study </w:t>
                                        </w:r>
                                        <w:r w:rsidRPr="002467D8">
                                          <w:rPr>
                                            <w:rFonts w:ascii="Arial" w:hAnsi="Arial" w:cs="Arial"/>
                                            <w:szCs w:val="18"/>
                                          </w:rPr>
                                          <w:t xml:space="preserve">area are covered by Environmental Significance Overlay – Schedule 2 which protect the </w:t>
                                        </w:r>
                                      </w:p>
                                      <w:p w14:paraId="7D2CE5F9" w14:textId="1E88C00E" w:rsidR="00287734" w:rsidRDefault="00287734" w:rsidP="00267451">
                                        <w:pPr>
                                          <w:pStyle w:val="TableText"/>
                                          <w:rPr>
                                            <w:rFonts w:ascii="Arial" w:hAnsi="Arial" w:cs="Arial"/>
                                            <w:szCs w:val="18"/>
                                          </w:rPr>
                                        </w:pPr>
                                        <w:r w:rsidRPr="002467D8">
                                          <w:rPr>
                                            <w:rFonts w:ascii="Arial" w:hAnsi="Arial" w:cs="Arial"/>
                                            <w:szCs w:val="18"/>
                                          </w:rPr>
                                          <w:t xml:space="preserve">Natimuk Douglas Wetlands. </w:t>
                                        </w:r>
                                      </w:p>
                                      <w:p w14:paraId="6E4784E4" w14:textId="0CF70FFC" w:rsidR="00287734" w:rsidRPr="002467D8" w:rsidRDefault="00287734" w:rsidP="00267451">
                                        <w:pPr>
                                          <w:pStyle w:val="TableText"/>
                                          <w:rPr>
                                            <w:rFonts w:ascii="Arial" w:hAnsi="Arial" w:cs="Arial"/>
                                            <w:szCs w:val="18"/>
                                          </w:rPr>
                                        </w:pPr>
                                      </w:p>
                                    </w:tc>
                                  </w:tr>
                                </w:tbl>
                                <w:p w14:paraId="31DE948B" w14:textId="77777777" w:rsidR="00287734" w:rsidRPr="008D4567" w:rsidRDefault="00287734" w:rsidP="0017475D">
                                  <w:pPr>
                                    <w:pStyle w:val="ListBullet"/>
                                    <w:numPr>
                                      <w:ilvl w:val="0"/>
                                      <w:numId w:val="0"/>
                                    </w:numPr>
                                    <w:ind w:left="419"/>
                                  </w:pPr>
                                  <w:r w:rsidRPr="0017475D">
                                    <w:rPr>
                                      <w:rFonts w:cs="Arial"/>
                                      <w:b w:val="0"/>
                                      <w:lang w:eastAsia="en-US"/>
                                    </w:rPr>
                                    <w:t>Four declared weeds (Bridal Creeper, Slender Thistle, Spear Thistle and African Boxthorn) and one declared pest (Red Fox) were recorded during baseline surveys.</w:t>
                                  </w:r>
                                </w:p>
                                <w:p w14:paraId="586FBB9F" w14:textId="77777777" w:rsidR="00287734" w:rsidRDefault="00287734" w:rsidP="00552B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B79B8" id="_x0000_s1027" type="#_x0000_t202" style="position:absolute;margin-left:.3pt;margin-top:19.1pt;width:485.25pt;height:39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">
                      <v:textbox>
                        <w:txbxContent>
                          <w:tbl>
                            <w:tblPr>
                              <w:tblW w:w="4935" w:type="pct"/>
                              <w:tblBorders>
                                <w:top w:val="single" w:sz="2" w:space="0" w:color="262626"/>
                                <w:bottom w:val="single" w:sz="2" w:space="0" w:color="262626"/>
                              </w:tblBorders>
                              <w:tblLayout w:type="fixed"/>
                              <w:tblLook w:val="0620" w:firstRow="1" w:lastRow="0" w:firstColumn="0" w:lastColumn="0" w:noHBand="1" w:noVBand="1"/>
                            </w:tblPr>
                            <w:tblGrid>
                              <w:gridCol w:w="4091"/>
                              <w:gridCol w:w="4952"/>
                              <w:gridCol w:w="41"/>
                              <w:gridCol w:w="197"/>
                            </w:tblGrid>
                            <w:tr w:rsidR="00287734" w:rsidRPr="00267451" w14:paraId="38943AFA" w14:textId="77777777" w:rsidTr="0017475D">
                              <w:trPr>
                                <w:gridAfter w:val="2"/>
                                <w:wAfter w:w="128" w:type="pct"/>
                                <w:tblHeader/>
                              </w:trPr>
                              <w:tc>
                                <w:tcPr>
                                  <w:tcW w:w="4872" w:type="pct"/>
                                  <w:gridSpan w:val="2"/>
                                </w:tcPr>
                                <w:p w14:paraId="1848B6A9" w14:textId="77777777" w:rsidR="00287734" w:rsidRPr="002467D8" w:rsidRDefault="00287734" w:rsidP="00267451">
                                  <w:pPr>
                                    <w:pStyle w:val="TableCaption"/>
                                    <w:rPr>
                                      <w:rFonts w:ascii="Arial" w:hAnsi="Arial" w:cs="Arial"/>
                                      <w:sz w:val="18"/>
                                    </w:rPr>
                                  </w:pPr>
                                  <w:bookmarkStart w:id="103" w:name="_Toc8384841"/>
                                  <w:r w:rsidRPr="002467D8">
                                    <w:rPr>
                                      <w:rFonts w:ascii="Arial" w:hAnsi="Arial" w:cs="Arial"/>
                                      <w:sz w:val="18"/>
                                    </w:rPr>
                                    <w:t xml:space="preserve">Table </w:t>
                                  </w:r>
                                  <w:r>
                                    <w:rPr>
                                      <w:rFonts w:ascii="Arial" w:hAnsi="Arial" w:cs="Arial"/>
                                      <w:sz w:val="18"/>
                                    </w:rPr>
                                    <w:t>11.2</w:t>
                                  </w:r>
                                  <w:r w:rsidRPr="002467D8">
                                    <w:rPr>
                                      <w:rFonts w:ascii="Arial" w:hAnsi="Arial" w:cs="Arial"/>
                                      <w:sz w:val="18"/>
                                    </w:rPr>
                                    <w:tab/>
                                    <w:t>Potential combined impacts against EES referral criteria</w:t>
                                  </w:r>
                                  <w:bookmarkEnd w:id="103"/>
                                </w:p>
                              </w:tc>
                            </w:tr>
                            <w:tr w:rsidR="00287734" w14:paraId="529D97C5" w14:textId="77777777" w:rsidTr="0017475D">
                              <w:tblPrEx>
                                <w:tblBorders>
                                  <w:top w:val="none" w:sz="0" w:space="0" w:color="auto"/>
                                  <w:bottom w:val="none" w:sz="0" w:space="0" w:color="auto"/>
                                </w:tblBorders>
                              </w:tblPrEx>
                              <w:trPr>
                                <w:gridAfter w:val="1"/>
                                <w:wAfter w:w="106" w:type="pct"/>
                              </w:trPr>
                              <w:tc>
                                <w:tcPr>
                                  <w:tcW w:w="2204" w:type="pct"/>
                                </w:tcPr>
                                <w:p w14:paraId="29A74A89" w14:textId="77777777" w:rsidR="00287734" w:rsidRPr="002467D8" w:rsidRDefault="00287734" w:rsidP="00267451">
                                  <w:pPr>
                                    <w:pStyle w:val="TableHeading"/>
                                    <w:rPr>
                                      <w:rFonts w:ascii="Arial" w:hAnsi="Arial" w:cs="Arial"/>
                                      <w:szCs w:val="18"/>
                                    </w:rPr>
                                  </w:pPr>
                                  <w:r w:rsidRPr="002467D8">
                                    <w:rPr>
                                      <w:rFonts w:ascii="Arial" w:hAnsi="Arial" w:cs="Arial"/>
                                      <w:szCs w:val="18"/>
                                    </w:rPr>
                                    <w:t>Criterion</w:t>
                                  </w:r>
                                </w:p>
                              </w:tc>
                              <w:tc>
                                <w:tcPr>
                                  <w:tcW w:w="2690" w:type="pct"/>
                                  <w:gridSpan w:val="2"/>
                                </w:tcPr>
                                <w:p w14:paraId="11E328B6" w14:textId="77777777" w:rsidR="00287734" w:rsidRPr="002467D8" w:rsidRDefault="00287734" w:rsidP="00267451">
                                  <w:pPr>
                                    <w:pStyle w:val="TableHeading"/>
                                    <w:rPr>
                                      <w:rFonts w:ascii="Arial" w:hAnsi="Arial" w:cs="Arial"/>
                                      <w:szCs w:val="18"/>
                                    </w:rPr>
                                  </w:pPr>
                                  <w:r w:rsidRPr="002467D8">
                                    <w:rPr>
                                      <w:rFonts w:ascii="Arial" w:hAnsi="Arial" w:cs="Arial"/>
                                      <w:szCs w:val="18"/>
                                    </w:rPr>
                                    <w:t>Potential impacts</w:t>
                                  </w:r>
                                </w:p>
                              </w:tc>
                            </w:tr>
                            <w:tr w:rsidR="00287734" w14:paraId="41043F97" w14:textId="77777777" w:rsidTr="0017475D">
                              <w:trPr>
                                <w:gridAfter w:val="1"/>
                                <w:wAfter w:w="106" w:type="pct"/>
                              </w:trPr>
                              <w:tc>
                                <w:tcPr>
                                  <w:tcW w:w="2204" w:type="pct"/>
                                </w:tcPr>
                                <w:p w14:paraId="02D44F9D" w14:textId="77777777" w:rsidR="00287734" w:rsidRPr="002467D8" w:rsidRDefault="00287734" w:rsidP="00267451">
                                  <w:pPr>
                                    <w:pStyle w:val="TableText"/>
                                    <w:rPr>
                                      <w:rFonts w:ascii="Arial" w:hAnsi="Arial" w:cs="Arial"/>
                                      <w:szCs w:val="18"/>
                                    </w:rPr>
                                  </w:pPr>
                                  <w:r w:rsidRPr="002467D8">
                                    <w:rPr>
                                      <w:rFonts w:ascii="Arial" w:hAnsi="Arial" w:cs="Arial"/>
                                      <w:szCs w:val="18"/>
                                    </w:rPr>
                                    <w:t>Potential clearing of 10 ha or more of native vegetation.</w:t>
                                  </w:r>
                                </w:p>
                              </w:tc>
                              <w:tc>
                                <w:tcPr>
                                  <w:tcW w:w="2690" w:type="pct"/>
                                  <w:gridSpan w:val="2"/>
                                </w:tcPr>
                                <w:p w14:paraId="25FEF4DB" w14:textId="120356F0" w:rsidR="00287734" w:rsidRPr="002467D8" w:rsidRDefault="00287734" w:rsidP="00267451">
                                  <w:pPr>
                                    <w:pStyle w:val="TableText"/>
                                    <w:rPr>
                                      <w:rFonts w:ascii="Arial" w:hAnsi="Arial" w:cs="Arial"/>
                                      <w:szCs w:val="18"/>
                                    </w:rPr>
                                  </w:pPr>
                                  <w:r w:rsidRPr="002467D8">
                                    <w:rPr>
                                      <w:rFonts w:ascii="Arial" w:hAnsi="Arial" w:cs="Arial"/>
                                      <w:szCs w:val="18"/>
                                    </w:rPr>
                                    <w:t xml:space="preserve">The </w:t>
                                  </w:r>
                                  <w:r>
                                    <w:rPr>
                                      <w:rFonts w:ascii="Arial" w:hAnsi="Arial" w:cs="Arial"/>
                                      <w:szCs w:val="18"/>
                                    </w:rPr>
                                    <w:t xml:space="preserve">ecology study </w:t>
                                  </w:r>
                                  <w:r w:rsidRPr="002467D8">
                                    <w:rPr>
                                      <w:rFonts w:ascii="Arial" w:hAnsi="Arial" w:cs="Arial"/>
                                      <w:szCs w:val="18"/>
                                    </w:rPr>
                                    <w:t xml:space="preserve">area is predicted to contain 461 ha of native EVCs </w:t>
                                  </w:r>
                                  <w:r>
                                    <w:rPr>
                                      <w:rFonts w:ascii="Arial" w:hAnsi="Arial" w:cs="Arial"/>
                                      <w:szCs w:val="18"/>
                                    </w:rPr>
                                    <w:t xml:space="preserve">(Figure 19) </w:t>
                                  </w:r>
                                  <w:r w:rsidRPr="002467D8">
                                    <w:rPr>
                                      <w:rFonts w:ascii="Arial" w:hAnsi="Arial" w:cs="Arial"/>
                                      <w:szCs w:val="18"/>
                                    </w:rPr>
                                    <w:t>and scattered trees that may be impacted. Targeted surveys will be completed to verify their presence and extent. Project design will consider measures to avoid and/or minimise their clearing.</w:t>
                                  </w:r>
                                </w:p>
                              </w:tc>
                            </w:tr>
                            <w:tr w:rsidR="00287734" w14:paraId="38E75A3E" w14:textId="77777777" w:rsidTr="0017475D">
                              <w:tblPrEx>
                                <w:tblCellMar>
                                  <w:top w:w="28" w:type="dxa"/>
                                  <w:bottom w:w="28" w:type="dxa"/>
                                </w:tblCellMar>
                              </w:tblPrEx>
                              <w:trPr>
                                <w:gridAfter w:val="1"/>
                                <w:wAfter w:w="106" w:type="pct"/>
                              </w:trPr>
                              <w:tc>
                                <w:tcPr>
                                  <w:tcW w:w="2204" w:type="pct"/>
                                </w:tcPr>
                                <w:p w14:paraId="5B086004" w14:textId="77777777" w:rsidR="00287734" w:rsidRPr="002467D8" w:rsidRDefault="00287734" w:rsidP="00267451">
                                  <w:pPr>
                                    <w:pStyle w:val="TableText"/>
                                    <w:rPr>
                                      <w:rFonts w:ascii="Arial" w:hAnsi="Arial" w:cs="Arial"/>
                                      <w:szCs w:val="18"/>
                                    </w:rPr>
                                  </w:pPr>
                                  <w:r w:rsidRPr="002467D8">
                                    <w:rPr>
                                      <w:rFonts w:ascii="Arial" w:hAnsi="Arial" w:cs="Arial"/>
                                      <w:szCs w:val="18"/>
                                    </w:rPr>
                                    <w:t>Matters listed under the FFG Act including potential loss of a significant area of a listed community, potential loss of a genetically important population of an endangered or threatened species, potential loss of critical habitat or potentially significant effects on habitat values of a wetland supporting migratory bird species.</w:t>
                                  </w:r>
                                </w:p>
                              </w:tc>
                              <w:tc>
                                <w:tcPr>
                                  <w:tcW w:w="2690" w:type="pct"/>
                                  <w:gridSpan w:val="2"/>
                                </w:tcPr>
                                <w:p w14:paraId="6B586353" w14:textId="6E327CD8" w:rsidR="00287734" w:rsidRPr="002467D8" w:rsidRDefault="00287734" w:rsidP="00267451">
                                  <w:pPr>
                                    <w:pStyle w:val="TableText"/>
                                    <w:rPr>
                                      <w:rFonts w:ascii="Arial" w:hAnsi="Arial" w:cs="Arial"/>
                                      <w:szCs w:val="18"/>
                                    </w:rPr>
                                  </w:pPr>
                                  <w:r w:rsidRPr="002467D8">
                                    <w:rPr>
                                      <w:rFonts w:ascii="Arial" w:hAnsi="Arial" w:cs="Arial"/>
                                      <w:szCs w:val="18"/>
                                    </w:rPr>
                                    <w:t xml:space="preserve">Woodlands in the </w:t>
                                  </w:r>
                                  <w:r>
                                    <w:rPr>
                                      <w:rFonts w:ascii="Arial" w:hAnsi="Arial" w:cs="Arial"/>
                                      <w:szCs w:val="18"/>
                                    </w:rPr>
                                    <w:t xml:space="preserve">ecology study </w:t>
                                  </w:r>
                                  <w:r w:rsidRPr="002467D8">
                                    <w:rPr>
                                      <w:rFonts w:ascii="Arial" w:hAnsi="Arial" w:cs="Arial"/>
                                      <w:szCs w:val="18"/>
                                    </w:rPr>
                                    <w:t xml:space="preserve">area represent Victorian Temperate Woodland Bird Community. The Project area is also likely to support Semi-arid Northwest Plains </w:t>
                                  </w:r>
                                  <w:r w:rsidRPr="002467D8">
                                    <w:rPr>
                                      <w:rFonts w:ascii="Arial" w:hAnsi="Arial" w:cs="Arial"/>
                                      <w:szCs w:val="18"/>
                                    </w:rPr>
                                    <w:t>Buloke Grassy woodland Community and Red Gum Swamp Community No 1 (Figure 1</w:t>
                                  </w:r>
                                  <w:r>
                                    <w:rPr>
                                      <w:rFonts w:ascii="Arial" w:hAnsi="Arial" w:cs="Arial"/>
                                      <w:szCs w:val="18"/>
                                    </w:rPr>
                                    <w:t>9</w:t>
                                  </w:r>
                                  <w:r w:rsidRPr="002467D8">
                                    <w:rPr>
                                      <w:rFonts w:ascii="Arial" w:hAnsi="Arial" w:cs="Arial"/>
                                      <w:szCs w:val="18"/>
                                    </w:rPr>
                                    <w:t xml:space="preserve">). Five FFG Act listed species </w:t>
                                  </w:r>
                                  <w:r w:rsidRPr="00AD07F1">
                                    <w:rPr>
                                      <w:rFonts w:ascii="Arial" w:hAnsi="Arial" w:cs="Arial"/>
                                      <w:szCs w:val="18"/>
                                    </w:rPr>
                                    <w:t>comprising Buloke, Magpie Goose, Diamond Firetail, Whiskered Tern and Brown Toadlet were</w:t>
                                  </w:r>
                                  <w:r w:rsidRPr="002467D8">
                                    <w:rPr>
                                      <w:rFonts w:ascii="Arial" w:hAnsi="Arial" w:cs="Arial"/>
                                      <w:szCs w:val="18"/>
                                    </w:rPr>
                                    <w:t xml:space="preserve"> recorded during baseline surveys. A number of wetlands occur in the </w:t>
                                  </w:r>
                                  <w:r>
                                    <w:rPr>
                                      <w:rFonts w:ascii="Arial" w:hAnsi="Arial" w:cs="Arial"/>
                                      <w:szCs w:val="18"/>
                                    </w:rPr>
                                    <w:t xml:space="preserve">Environmental study area </w:t>
                                  </w:r>
                                  <w:r w:rsidRPr="002467D8">
                                    <w:rPr>
                                      <w:rFonts w:ascii="Arial" w:hAnsi="Arial" w:cs="Arial"/>
                                      <w:szCs w:val="18"/>
                                    </w:rPr>
                                    <w:t xml:space="preserve">that are likely to support migratory species (Figure </w:t>
                                  </w:r>
                                  <w:r>
                                    <w:rPr>
                                      <w:rFonts w:ascii="Arial" w:hAnsi="Arial" w:cs="Arial"/>
                                      <w:szCs w:val="18"/>
                                    </w:rPr>
                                    <w:t>23</w:t>
                                  </w:r>
                                  <w:r w:rsidRPr="002467D8">
                                    <w:rPr>
                                      <w:rFonts w:ascii="Arial" w:hAnsi="Arial" w:cs="Arial"/>
                                      <w:szCs w:val="18"/>
                                    </w:rPr>
                                    <w:t xml:space="preserve">). Detailed and targeted surveys will be completed for the above listed species and communities. The design will consider measures to avoid and/or minimise impacts on these communities or species. </w:t>
                                  </w:r>
                                </w:p>
                              </w:tc>
                            </w:tr>
                            <w:tr w:rsidR="00287734" w14:paraId="48C2136B" w14:textId="77777777" w:rsidTr="0017475D">
                              <w:trPr>
                                <w:tblHeader/>
                              </w:trPr>
                              <w:tc>
                                <w:tcPr>
                                  <w:tcW w:w="2204" w:type="pct"/>
                                </w:tcPr>
                                <w:p w14:paraId="1E7DD65D" w14:textId="77777777" w:rsidR="00287734" w:rsidRPr="002467D8" w:rsidRDefault="00287734" w:rsidP="00267451">
                                  <w:pPr>
                                    <w:pStyle w:val="TableText"/>
                                    <w:rPr>
                                      <w:rFonts w:ascii="Arial" w:hAnsi="Arial" w:cs="Arial"/>
                                      <w:szCs w:val="18"/>
                                    </w:rPr>
                                  </w:pPr>
                                  <w:r w:rsidRPr="002467D8">
                                    <w:rPr>
                                      <w:rFonts w:ascii="Arial" w:hAnsi="Arial" w:cs="Arial"/>
                                      <w:szCs w:val="18"/>
                                    </w:rPr>
                                    <w:t>Potential extensive or major effects on landscape values of regional importance, especially where recognised by a planning scheme overlay or within or adjoining land reserved under the National Parks Act</w:t>
                                  </w:r>
                                  <w:r w:rsidRPr="002467D8">
                                    <w:rPr>
                                      <w:rFonts w:ascii="Arial" w:hAnsi="Arial" w:cs="Arial"/>
                                      <w:i/>
                                      <w:szCs w:val="18"/>
                                    </w:rPr>
                                    <w:t xml:space="preserve">. </w:t>
                                  </w:r>
                                </w:p>
                              </w:tc>
                              <w:tc>
                                <w:tcPr>
                                  <w:tcW w:w="2796" w:type="pct"/>
                                  <w:gridSpan w:val="3"/>
                                </w:tcPr>
                                <w:p w14:paraId="3C7E637D" w14:textId="77777777" w:rsidR="00287734" w:rsidRDefault="00287734" w:rsidP="00267451">
                                  <w:pPr>
                                    <w:pStyle w:val="TableText"/>
                                    <w:rPr>
                                      <w:rFonts w:ascii="Arial" w:hAnsi="Arial" w:cs="Arial"/>
                                      <w:szCs w:val="18"/>
                                    </w:rPr>
                                  </w:pPr>
                                  <w:r w:rsidRPr="002467D8">
                                    <w:rPr>
                                      <w:rFonts w:ascii="Arial" w:hAnsi="Arial" w:cs="Arial"/>
                                      <w:szCs w:val="18"/>
                                    </w:rPr>
                                    <w:t xml:space="preserve">No parks or reserves listed under the National Parks Act </w:t>
                                  </w:r>
                                </w:p>
                                <w:p w14:paraId="51FA59AB" w14:textId="21EC6EA5" w:rsidR="00287734" w:rsidRDefault="00287734" w:rsidP="00267451">
                                  <w:pPr>
                                    <w:pStyle w:val="TableText"/>
                                    <w:rPr>
                                      <w:rFonts w:ascii="Arial" w:hAnsi="Arial" w:cs="Arial"/>
                                      <w:szCs w:val="18"/>
                                    </w:rPr>
                                  </w:pPr>
                                  <w:r w:rsidRPr="002467D8">
                                    <w:rPr>
                                      <w:rFonts w:ascii="Arial" w:hAnsi="Arial" w:cs="Arial"/>
                                      <w:szCs w:val="18"/>
                                    </w:rPr>
                                    <w:t xml:space="preserve">occur in </w:t>
                                  </w:r>
                                  <w:r w:rsidRPr="00AD07F1">
                                    <w:rPr>
                                      <w:rFonts w:ascii="Arial" w:hAnsi="Arial" w:cs="Arial"/>
                                      <w:szCs w:val="18"/>
                                    </w:rPr>
                                    <w:t>the ecology study area.</w:t>
                                  </w:r>
                                  <w:r w:rsidRPr="002467D8">
                                    <w:rPr>
                                      <w:rFonts w:ascii="Arial" w:hAnsi="Arial" w:cs="Arial"/>
                                      <w:szCs w:val="18"/>
                                    </w:rPr>
                                    <w:t xml:space="preserve"> The south-west part of the Project site is covered by Environmental Significance </w:t>
                                  </w:r>
                                </w:p>
                                <w:p w14:paraId="4A183A7E" w14:textId="0EF210AE" w:rsidR="00287734" w:rsidRDefault="00287734" w:rsidP="00267451">
                                  <w:pPr>
                                    <w:pStyle w:val="TableText"/>
                                    <w:rPr>
                                      <w:rFonts w:ascii="Arial" w:hAnsi="Arial" w:cs="Arial"/>
                                      <w:szCs w:val="18"/>
                                    </w:rPr>
                                  </w:pPr>
                                  <w:r w:rsidRPr="002467D8">
                                    <w:rPr>
                                      <w:rFonts w:ascii="Arial" w:hAnsi="Arial" w:cs="Arial"/>
                                      <w:szCs w:val="18"/>
                                    </w:rPr>
                                    <w:t xml:space="preserve">Overlay – Schedule 4 </w:t>
                                  </w:r>
                                  <w:r>
                                    <w:rPr>
                                      <w:rFonts w:ascii="Arial" w:hAnsi="Arial" w:cs="Arial"/>
                                      <w:szCs w:val="18"/>
                                    </w:rPr>
                                    <w:t xml:space="preserve">(Figure 11) </w:t>
                                  </w:r>
                                  <w:r w:rsidRPr="002467D8">
                                    <w:rPr>
                                      <w:rFonts w:ascii="Arial" w:hAnsi="Arial" w:cs="Arial"/>
                                      <w:szCs w:val="18"/>
                                    </w:rPr>
                                    <w:t xml:space="preserve">under the Horsham Rural City Planning Scheme. Most of the wetlands in the </w:t>
                                  </w:r>
                                </w:p>
                                <w:p w14:paraId="7F3C891D" w14:textId="77777777" w:rsidR="00287734" w:rsidRDefault="00287734" w:rsidP="00267451">
                                  <w:pPr>
                                    <w:pStyle w:val="TableText"/>
                                    <w:rPr>
                                      <w:rFonts w:ascii="Arial" w:hAnsi="Arial" w:cs="Arial"/>
                                      <w:szCs w:val="18"/>
                                    </w:rPr>
                                  </w:pPr>
                                  <w:r>
                                    <w:rPr>
                                      <w:rFonts w:ascii="Arial" w:hAnsi="Arial" w:cs="Arial"/>
                                      <w:szCs w:val="18"/>
                                    </w:rPr>
                                    <w:t xml:space="preserve">biodiversity study </w:t>
                                  </w:r>
                                  <w:r w:rsidRPr="002467D8">
                                    <w:rPr>
                                      <w:rFonts w:ascii="Arial" w:hAnsi="Arial" w:cs="Arial"/>
                                      <w:szCs w:val="18"/>
                                    </w:rPr>
                                    <w:t xml:space="preserve">area are covered by Environmental Significance Overlay – Schedule 2 which protect the </w:t>
                                  </w:r>
                                </w:p>
                                <w:p w14:paraId="7D2CE5F9" w14:textId="1E88C00E" w:rsidR="00287734" w:rsidRDefault="00287734" w:rsidP="00267451">
                                  <w:pPr>
                                    <w:pStyle w:val="TableText"/>
                                    <w:rPr>
                                      <w:rFonts w:ascii="Arial" w:hAnsi="Arial" w:cs="Arial"/>
                                      <w:szCs w:val="18"/>
                                    </w:rPr>
                                  </w:pPr>
                                  <w:r w:rsidRPr="002467D8">
                                    <w:rPr>
                                      <w:rFonts w:ascii="Arial" w:hAnsi="Arial" w:cs="Arial"/>
                                      <w:szCs w:val="18"/>
                                    </w:rPr>
                                    <w:t xml:space="preserve">Natimuk Douglas Wetlands. </w:t>
                                  </w:r>
                                </w:p>
                                <w:p w14:paraId="6E4784E4" w14:textId="0CF70FFC" w:rsidR="00287734" w:rsidRPr="002467D8" w:rsidRDefault="00287734" w:rsidP="00267451">
                                  <w:pPr>
                                    <w:pStyle w:val="TableText"/>
                                    <w:rPr>
                                      <w:rFonts w:ascii="Arial" w:hAnsi="Arial" w:cs="Arial"/>
                                      <w:szCs w:val="18"/>
                                    </w:rPr>
                                  </w:pPr>
                                </w:p>
                              </w:tc>
                            </w:tr>
                          </w:tbl>
                          <w:p w14:paraId="31DE948B" w14:textId="77777777" w:rsidR="00287734" w:rsidRPr="008D4567" w:rsidRDefault="00287734" w:rsidP="0017475D">
                            <w:pPr>
                              <w:pStyle w:val="ListBullet"/>
                              <w:numPr>
                                <w:ilvl w:val="0"/>
                                <w:numId w:val="0"/>
                              </w:numPr>
                              <w:ind w:left="419"/>
                            </w:pPr>
                            <w:r w:rsidRPr="0017475D">
                              <w:rPr>
                                <w:rFonts w:cs="Arial"/>
                                <w:b w:val="0"/>
                                <w:lang w:eastAsia="en-US"/>
                              </w:rPr>
                              <w:t>Four declared weeds (Bridal Creeper, Slender Thistle, Spear Thistle and African Boxthorn) and one declared pest (Red Fox) were recorded during baseline surveys.</w:t>
                            </w:r>
                          </w:p>
                          <w:p w14:paraId="586FBB9F" w14:textId="77777777" w:rsidR="00287734" w:rsidRDefault="00287734" w:rsidP="00552B3B"/>
                        </w:txbxContent>
                      </v:textbox>
                      <w10:wrap type="square"/>
                    </v:shape>
                  </w:pict>
                </mc:Fallback>
              </mc:AlternateContent>
            </w:r>
          </w:p>
        </w:tc>
      </w:tr>
      <w:tr w:rsidR="001C34F3" w14:paraId="6F1D055E" w14:textId="77777777" w:rsidTr="00552B3B">
        <w:tblPrEx>
          <w:tblBorders>
            <w:top w:val="none" w:sz="0" w:space="0" w:color="auto"/>
            <w:left w:val="none" w:sz="0" w:space="0" w:color="auto"/>
            <w:bottom w:val="none" w:sz="0" w:space="0" w:color="auto"/>
            <w:right w:val="none" w:sz="0" w:space="0" w:color="auto"/>
            <w:insideV w:val="none" w:sz="0" w:space="0" w:color="auto"/>
          </w:tblBorders>
        </w:tblPrEx>
        <w:tc>
          <w:tcPr>
            <w:tcW w:w="9243" w:type="dxa"/>
            <w:tcBorders>
              <w:top w:val="single" w:sz="4" w:space="0" w:color="auto"/>
              <w:left w:val="single" w:sz="4" w:space="0" w:color="auto"/>
              <w:bottom w:val="single" w:sz="4" w:space="0" w:color="auto"/>
              <w:right w:val="single" w:sz="4" w:space="0" w:color="auto"/>
            </w:tcBorders>
          </w:tcPr>
          <w:p w14:paraId="65364C61" w14:textId="5B0A3C08" w:rsidR="00D0190B" w:rsidRPr="008D4567" w:rsidRDefault="00D0190B" w:rsidP="0017475D">
            <w:pPr>
              <w:pStyle w:val="ListBullet"/>
              <w:numPr>
                <w:ilvl w:val="0"/>
                <w:numId w:val="0"/>
              </w:numPr>
              <w:ind w:left="419"/>
            </w:pPr>
          </w:p>
        </w:tc>
      </w:tr>
      <w:tr w:rsidR="001C34F3" w14:paraId="5569CF83" w14:textId="77777777" w:rsidTr="00552B3B">
        <w:tc>
          <w:tcPr>
            <w:tcW w:w="9243" w:type="dxa"/>
            <w:tcBorders>
              <w:top w:val="single" w:sz="4" w:space="0" w:color="auto"/>
            </w:tcBorders>
          </w:tcPr>
          <w:p w14:paraId="4763E913" w14:textId="77777777" w:rsidR="00D554FC" w:rsidRDefault="00D554FC" w:rsidP="00D554FC">
            <w:pPr>
              <w:pStyle w:val="Heading2"/>
              <w:ind w:left="0"/>
              <w:rPr>
                <w:lang w:eastAsia="en-US"/>
              </w:rPr>
            </w:pPr>
            <w:r>
              <w:rPr>
                <w:lang w:eastAsia="en-US"/>
              </w:rPr>
              <w:lastRenderedPageBreak/>
              <w:t>11.2 Radioactivity</w:t>
            </w:r>
          </w:p>
          <w:p w14:paraId="5EF1568A" w14:textId="77777777" w:rsidR="00D554FC" w:rsidRPr="00D554FC" w:rsidRDefault="00D554FC" w:rsidP="00D554FC">
            <w:pPr>
              <w:rPr>
                <w:lang w:eastAsia="en-US"/>
              </w:rPr>
            </w:pPr>
          </w:p>
          <w:p w14:paraId="6B91E7C3" w14:textId="4DEBBA0B" w:rsidR="00B25572" w:rsidRDefault="00B25572" w:rsidP="005E7434">
            <w:pPr>
              <w:pStyle w:val="BodyText"/>
              <w:spacing w:after="120"/>
              <w:jc w:val="both"/>
              <w:rPr>
                <w:rFonts w:ascii="Arial" w:hAnsi="Arial"/>
                <w:b w:val="0"/>
                <w:bCs w:val="0"/>
                <w:sz w:val="20"/>
                <w:szCs w:val="20"/>
                <w:lang w:eastAsia="en-AU"/>
              </w:rPr>
            </w:pPr>
            <w:r w:rsidRPr="00B25572">
              <w:rPr>
                <w:rFonts w:ascii="Arial" w:hAnsi="Arial" w:cs="Arial"/>
                <w:b w:val="0"/>
                <w:sz w:val="20"/>
                <w:szCs w:val="20"/>
              </w:rPr>
              <w:t>All heavy mineral sand deposits contain traces of naturally occurring uranium (</w:t>
            </w:r>
            <w:proofErr w:type="spellStart"/>
            <w:r w:rsidRPr="00B25572">
              <w:rPr>
                <w:rFonts w:ascii="Arial" w:hAnsi="Arial" w:cs="Arial"/>
                <w:b w:val="0"/>
                <w:sz w:val="20"/>
                <w:szCs w:val="20"/>
              </w:rPr>
              <w:t>U</w:t>
            </w:r>
            <w:r w:rsidRPr="00B25572">
              <w:rPr>
                <w:rFonts w:ascii="Arial" w:hAnsi="Arial" w:cs="Arial"/>
                <w:b w:val="0"/>
                <w:sz w:val="20"/>
                <w:szCs w:val="20"/>
                <w:vertAlign w:val="subscript"/>
              </w:rPr>
              <w:t>nat</w:t>
            </w:r>
            <w:proofErr w:type="spellEnd"/>
            <w:r w:rsidRPr="00B25572">
              <w:rPr>
                <w:rFonts w:ascii="Arial" w:hAnsi="Arial" w:cs="Arial"/>
                <w:b w:val="0"/>
                <w:sz w:val="20"/>
                <w:szCs w:val="20"/>
              </w:rPr>
              <w:t>) and thorium (</w:t>
            </w:r>
            <w:proofErr w:type="spellStart"/>
            <w:r w:rsidRPr="00B25572">
              <w:rPr>
                <w:rFonts w:ascii="Arial" w:hAnsi="Arial" w:cs="Arial"/>
                <w:b w:val="0"/>
                <w:sz w:val="20"/>
                <w:szCs w:val="20"/>
              </w:rPr>
              <w:t>Th</w:t>
            </w:r>
            <w:r w:rsidRPr="00B25572">
              <w:rPr>
                <w:rFonts w:ascii="Arial" w:hAnsi="Arial" w:cs="Arial"/>
                <w:b w:val="0"/>
                <w:sz w:val="20"/>
                <w:szCs w:val="20"/>
                <w:vertAlign w:val="subscript"/>
              </w:rPr>
              <w:t>nat</w:t>
            </w:r>
            <w:proofErr w:type="spellEnd"/>
            <w:r w:rsidRPr="00B25572">
              <w:rPr>
                <w:rFonts w:ascii="Arial" w:hAnsi="Arial" w:cs="Arial"/>
                <w:b w:val="0"/>
                <w:sz w:val="20"/>
                <w:szCs w:val="20"/>
              </w:rPr>
              <w:t>), also known as naturally occurring radioactive material, or NORM. NORM in mineral sands primarily comprises of Thorium-232 (Th</w:t>
            </w:r>
            <w:r w:rsidRPr="00B25572">
              <w:rPr>
                <w:rFonts w:ascii="Arial" w:hAnsi="Arial" w:cs="Arial"/>
                <w:b w:val="0"/>
                <w:sz w:val="20"/>
                <w:szCs w:val="20"/>
                <w:vertAlign w:val="superscript"/>
              </w:rPr>
              <w:t>232</w:t>
            </w:r>
            <w:r w:rsidRPr="00B25572">
              <w:rPr>
                <w:rFonts w:ascii="Arial" w:hAnsi="Arial" w:cs="Arial"/>
                <w:b w:val="0"/>
                <w:sz w:val="20"/>
                <w:szCs w:val="20"/>
              </w:rPr>
              <w:t>) and its decay chain progeny, and Uranium-238 (U</w:t>
            </w:r>
            <w:r w:rsidRPr="00B25572">
              <w:rPr>
                <w:rFonts w:ascii="Arial" w:hAnsi="Arial" w:cs="Arial"/>
                <w:b w:val="0"/>
                <w:sz w:val="20"/>
                <w:szCs w:val="20"/>
                <w:vertAlign w:val="superscript"/>
              </w:rPr>
              <w:t>238</w:t>
            </w:r>
            <w:r w:rsidRPr="00B25572">
              <w:rPr>
                <w:rFonts w:ascii="Arial" w:hAnsi="Arial" w:cs="Arial"/>
                <w:b w:val="0"/>
                <w:sz w:val="20"/>
                <w:szCs w:val="20"/>
              </w:rPr>
              <w:t>) and its decay chain progeny; Uranium-235 (U</w:t>
            </w:r>
            <w:r w:rsidRPr="00B25572">
              <w:rPr>
                <w:rFonts w:ascii="Arial" w:hAnsi="Arial" w:cs="Arial"/>
                <w:b w:val="0"/>
                <w:sz w:val="20"/>
                <w:szCs w:val="20"/>
                <w:vertAlign w:val="superscript"/>
              </w:rPr>
              <w:t>235</w:t>
            </w:r>
            <w:r w:rsidRPr="00B25572">
              <w:rPr>
                <w:rFonts w:ascii="Arial" w:hAnsi="Arial" w:cs="Arial"/>
                <w:b w:val="0"/>
                <w:sz w:val="20"/>
                <w:szCs w:val="20"/>
              </w:rPr>
              <w:t xml:space="preserve">) and its decay chain progeny typically comprises approximately 0.72% of </w:t>
            </w:r>
            <w:proofErr w:type="spellStart"/>
            <w:r w:rsidRPr="00B25572">
              <w:rPr>
                <w:rFonts w:ascii="Arial" w:hAnsi="Arial" w:cs="Arial"/>
                <w:b w:val="0"/>
                <w:sz w:val="20"/>
                <w:szCs w:val="20"/>
              </w:rPr>
              <w:t>U</w:t>
            </w:r>
            <w:r w:rsidRPr="00B25572">
              <w:rPr>
                <w:rFonts w:ascii="Arial" w:hAnsi="Arial" w:cs="Arial"/>
                <w:b w:val="0"/>
                <w:sz w:val="20"/>
                <w:szCs w:val="20"/>
                <w:vertAlign w:val="subscript"/>
              </w:rPr>
              <w:t>nat</w:t>
            </w:r>
            <w:proofErr w:type="spellEnd"/>
            <w:r w:rsidRPr="00B25572">
              <w:rPr>
                <w:rFonts w:ascii="Arial" w:hAnsi="Arial" w:cs="Arial"/>
                <w:b w:val="0"/>
                <w:sz w:val="20"/>
                <w:szCs w:val="20"/>
              </w:rPr>
              <w:t>. As the head of chain radioisotopes, U</w:t>
            </w:r>
            <w:r w:rsidRPr="00B25572">
              <w:rPr>
                <w:rFonts w:ascii="Arial" w:hAnsi="Arial" w:cs="Arial"/>
                <w:b w:val="0"/>
                <w:sz w:val="20"/>
                <w:szCs w:val="20"/>
                <w:vertAlign w:val="superscript"/>
              </w:rPr>
              <w:t>238</w:t>
            </w:r>
            <w:r w:rsidRPr="00B25572">
              <w:rPr>
                <w:rFonts w:ascii="Arial" w:hAnsi="Arial" w:cs="Arial"/>
                <w:b w:val="0"/>
                <w:sz w:val="20"/>
                <w:szCs w:val="20"/>
              </w:rPr>
              <w:t xml:space="preserve"> and Th</w:t>
            </w:r>
            <w:r w:rsidRPr="00B25572">
              <w:rPr>
                <w:rFonts w:ascii="Arial" w:hAnsi="Arial" w:cs="Arial"/>
                <w:b w:val="0"/>
                <w:sz w:val="20"/>
                <w:szCs w:val="20"/>
                <w:vertAlign w:val="superscript"/>
              </w:rPr>
              <w:t>232</w:t>
            </w:r>
            <w:r w:rsidRPr="00B25572">
              <w:rPr>
                <w:rFonts w:ascii="Arial" w:hAnsi="Arial" w:cs="Arial"/>
                <w:b w:val="0"/>
                <w:sz w:val="20"/>
                <w:szCs w:val="20"/>
              </w:rPr>
              <w:t xml:space="preserve"> have the longest half-lives in their respective decay chains at 4.5 billion years and 14 billion years respectively.</w:t>
            </w:r>
          </w:p>
          <w:p w14:paraId="577518CD" w14:textId="69E2222F" w:rsidR="00D554FC" w:rsidRDefault="00B25572" w:rsidP="005E7434">
            <w:pPr>
              <w:pStyle w:val="BodyText"/>
              <w:spacing w:after="120"/>
              <w:jc w:val="both"/>
              <w:rPr>
                <w:rFonts w:ascii="Arial" w:hAnsi="Arial"/>
                <w:b w:val="0"/>
                <w:bCs w:val="0"/>
                <w:sz w:val="20"/>
                <w:szCs w:val="20"/>
                <w:lang w:eastAsia="en-AU"/>
              </w:rPr>
            </w:pPr>
            <w:r w:rsidRPr="00B25572">
              <w:rPr>
                <w:rFonts w:ascii="Arial" w:hAnsi="Arial" w:cs="Arial"/>
                <w:b w:val="0"/>
                <w:sz w:val="20"/>
                <w:szCs w:val="20"/>
              </w:rPr>
              <w:t xml:space="preserve">The </w:t>
            </w:r>
            <w:proofErr w:type="spellStart"/>
            <w:r w:rsidRPr="00B25572">
              <w:rPr>
                <w:rFonts w:ascii="Arial" w:hAnsi="Arial" w:cs="Arial"/>
                <w:b w:val="0"/>
                <w:sz w:val="20"/>
                <w:szCs w:val="20"/>
              </w:rPr>
              <w:t>U</w:t>
            </w:r>
            <w:r w:rsidRPr="00B25572">
              <w:rPr>
                <w:rFonts w:ascii="Arial" w:hAnsi="Arial" w:cs="Arial"/>
                <w:b w:val="0"/>
                <w:sz w:val="20"/>
                <w:szCs w:val="20"/>
                <w:vertAlign w:val="subscript"/>
              </w:rPr>
              <w:t>nat</w:t>
            </w:r>
            <w:proofErr w:type="spellEnd"/>
            <w:r w:rsidRPr="00B25572">
              <w:rPr>
                <w:rFonts w:ascii="Arial" w:hAnsi="Arial" w:cs="Arial"/>
                <w:b w:val="0"/>
                <w:sz w:val="20"/>
                <w:szCs w:val="20"/>
              </w:rPr>
              <w:t xml:space="preserve"> and </w:t>
            </w:r>
            <w:proofErr w:type="spellStart"/>
            <w:r w:rsidRPr="00B25572">
              <w:rPr>
                <w:rFonts w:ascii="Arial" w:hAnsi="Arial" w:cs="Arial"/>
                <w:b w:val="0"/>
                <w:sz w:val="20"/>
                <w:szCs w:val="20"/>
              </w:rPr>
              <w:t>Th</w:t>
            </w:r>
            <w:r w:rsidRPr="00B25572">
              <w:rPr>
                <w:rFonts w:ascii="Arial" w:hAnsi="Arial" w:cs="Arial"/>
                <w:b w:val="0"/>
                <w:sz w:val="20"/>
                <w:szCs w:val="20"/>
                <w:vertAlign w:val="subscript"/>
              </w:rPr>
              <w:t>nat</w:t>
            </w:r>
            <w:proofErr w:type="spellEnd"/>
            <w:r w:rsidRPr="00B25572">
              <w:rPr>
                <w:rFonts w:ascii="Arial" w:hAnsi="Arial" w:cs="Arial"/>
                <w:b w:val="0"/>
                <w:sz w:val="20"/>
                <w:szCs w:val="20"/>
              </w:rPr>
              <w:t xml:space="preserve"> is contained within the solid mineral grains of the mineral monazite, xenotime, zircon and some ilmenites. Radioactivity is predominately associated with the rare earth phosphate mineral monazite, which typically contains 0.1 to 0.3% uranium and 5 to 7% and thorium. Flowcharts that provide an overview of the mineral streams and associated distribution of radioactivity throughout the proposed mineral sands mining, processing and refining stages are </w:t>
            </w:r>
            <w:r w:rsidR="009E14B7">
              <w:rPr>
                <w:rFonts w:ascii="Arial" w:hAnsi="Arial" w:cs="Arial"/>
                <w:b w:val="0"/>
                <w:sz w:val="20"/>
                <w:szCs w:val="20"/>
              </w:rPr>
              <w:t xml:space="preserve">presented as Figures </w:t>
            </w:r>
            <w:r w:rsidR="007E61D6">
              <w:rPr>
                <w:rFonts w:ascii="Arial" w:hAnsi="Arial" w:cs="Arial"/>
                <w:b w:val="0"/>
                <w:sz w:val="20"/>
                <w:szCs w:val="20"/>
              </w:rPr>
              <w:t>5</w:t>
            </w:r>
            <w:r w:rsidR="009E14B7">
              <w:rPr>
                <w:rFonts w:ascii="Arial" w:hAnsi="Arial" w:cs="Arial"/>
                <w:b w:val="0"/>
                <w:sz w:val="20"/>
                <w:szCs w:val="20"/>
              </w:rPr>
              <w:t xml:space="preserve"> and </w:t>
            </w:r>
            <w:r w:rsidR="007E61D6">
              <w:rPr>
                <w:rFonts w:ascii="Arial" w:hAnsi="Arial" w:cs="Arial"/>
                <w:b w:val="0"/>
                <w:sz w:val="20"/>
                <w:szCs w:val="20"/>
              </w:rPr>
              <w:t>6</w:t>
            </w:r>
            <w:r w:rsidR="009E14B7">
              <w:rPr>
                <w:rFonts w:ascii="Arial" w:hAnsi="Arial" w:cs="Arial"/>
                <w:b w:val="0"/>
                <w:sz w:val="20"/>
                <w:szCs w:val="20"/>
              </w:rPr>
              <w:t>.</w:t>
            </w:r>
          </w:p>
          <w:p w14:paraId="42455F24" w14:textId="7D8F029F" w:rsidR="00D554FC" w:rsidRDefault="00D554FC" w:rsidP="005E7434">
            <w:pPr>
              <w:pStyle w:val="BodyText"/>
              <w:spacing w:after="120"/>
              <w:jc w:val="both"/>
              <w:rPr>
                <w:rFonts w:ascii="Arial" w:hAnsi="Arial"/>
                <w:b w:val="0"/>
                <w:bCs w:val="0"/>
                <w:sz w:val="20"/>
                <w:szCs w:val="20"/>
                <w:lang w:eastAsia="en-AU"/>
              </w:rPr>
            </w:pPr>
            <w:r w:rsidRPr="00D554FC">
              <w:rPr>
                <w:rFonts w:ascii="Arial" w:hAnsi="Arial"/>
                <w:b w:val="0"/>
                <w:bCs w:val="0"/>
                <w:sz w:val="20"/>
                <w:szCs w:val="20"/>
                <w:lang w:eastAsia="en-AU"/>
              </w:rPr>
              <w:t xml:space="preserve">The mineral separation plant will physically separate the ore </w:t>
            </w:r>
            <w:proofErr w:type="spellStart"/>
            <w:r w:rsidRPr="00D554FC">
              <w:rPr>
                <w:rFonts w:ascii="Arial" w:hAnsi="Arial"/>
                <w:b w:val="0"/>
                <w:bCs w:val="0"/>
                <w:sz w:val="20"/>
                <w:szCs w:val="20"/>
                <w:lang w:eastAsia="en-AU"/>
              </w:rPr>
              <w:t>ore</w:t>
            </w:r>
            <w:proofErr w:type="spellEnd"/>
            <w:r w:rsidRPr="00D554FC">
              <w:rPr>
                <w:rFonts w:ascii="Arial" w:hAnsi="Arial"/>
                <w:b w:val="0"/>
                <w:bCs w:val="0"/>
                <w:sz w:val="20"/>
                <w:szCs w:val="20"/>
                <w:lang w:eastAsia="en-AU"/>
              </w:rPr>
              <w:t xml:space="preserve"> (~25ppm </w:t>
            </w:r>
            <w:proofErr w:type="spellStart"/>
            <w:r w:rsidRPr="00D554FC">
              <w:rPr>
                <w:rFonts w:ascii="Arial" w:hAnsi="Arial"/>
                <w:b w:val="0"/>
                <w:bCs w:val="0"/>
                <w:sz w:val="20"/>
                <w:szCs w:val="20"/>
                <w:lang w:eastAsia="en-AU"/>
              </w:rPr>
              <w:t>U</w:t>
            </w:r>
            <w:r w:rsidRPr="004956E7">
              <w:rPr>
                <w:rFonts w:ascii="Arial" w:hAnsi="Arial"/>
                <w:b w:val="0"/>
                <w:bCs w:val="0"/>
                <w:sz w:val="20"/>
                <w:szCs w:val="20"/>
                <w:vertAlign w:val="subscript"/>
                <w:lang w:eastAsia="en-AU"/>
              </w:rPr>
              <w:t>nat</w:t>
            </w:r>
            <w:proofErr w:type="spellEnd"/>
            <w:r w:rsidRPr="00D554FC">
              <w:rPr>
                <w:rFonts w:ascii="Arial" w:hAnsi="Arial"/>
                <w:b w:val="0"/>
                <w:bCs w:val="0"/>
                <w:sz w:val="20"/>
                <w:szCs w:val="20"/>
                <w:lang w:eastAsia="en-AU"/>
              </w:rPr>
              <w:t xml:space="preserve">, ~250ppm </w:t>
            </w:r>
            <w:proofErr w:type="spellStart"/>
            <w:r w:rsidRPr="004956E7">
              <w:rPr>
                <w:rFonts w:ascii="Arial" w:hAnsi="Arial"/>
                <w:b w:val="0"/>
                <w:bCs w:val="0"/>
                <w:sz w:val="20"/>
                <w:szCs w:val="20"/>
                <w:vertAlign w:val="subscript"/>
                <w:lang w:eastAsia="en-AU"/>
              </w:rPr>
              <w:t>Thnat</w:t>
            </w:r>
            <w:proofErr w:type="spellEnd"/>
            <w:r w:rsidRPr="004956E7">
              <w:rPr>
                <w:rFonts w:ascii="Arial" w:hAnsi="Arial"/>
                <w:b w:val="0"/>
                <w:bCs w:val="0"/>
                <w:sz w:val="20"/>
                <w:szCs w:val="20"/>
                <w:vertAlign w:val="subscript"/>
                <w:lang w:eastAsia="en-AU"/>
              </w:rPr>
              <w:t>,</w:t>
            </w:r>
            <w:r w:rsidRPr="00D554FC">
              <w:rPr>
                <w:rFonts w:ascii="Arial" w:hAnsi="Arial"/>
                <w:b w:val="0"/>
                <w:bCs w:val="0"/>
                <w:sz w:val="20"/>
                <w:szCs w:val="20"/>
                <w:lang w:eastAsia="en-AU"/>
              </w:rPr>
              <w:t xml:space="preserve"> head of chain activity of ~1.34 </w:t>
            </w:r>
            <w:proofErr w:type="spellStart"/>
            <w:r w:rsidRPr="00D554FC">
              <w:rPr>
                <w:rFonts w:ascii="Arial" w:hAnsi="Arial"/>
                <w:b w:val="0"/>
                <w:bCs w:val="0"/>
                <w:sz w:val="20"/>
                <w:szCs w:val="20"/>
                <w:lang w:eastAsia="en-AU"/>
              </w:rPr>
              <w:t>Bq</w:t>
            </w:r>
            <w:proofErr w:type="spellEnd"/>
            <w:r w:rsidRPr="00D554FC">
              <w:rPr>
                <w:rFonts w:ascii="Arial" w:hAnsi="Arial"/>
                <w:b w:val="0"/>
                <w:bCs w:val="0"/>
                <w:sz w:val="20"/>
                <w:szCs w:val="20"/>
                <w:lang w:eastAsia="en-AU"/>
              </w:rPr>
              <w:t xml:space="preserve">/g) from the host material to form heavy mineral concentrate (HMC) and about 9 </w:t>
            </w:r>
            <w:proofErr w:type="spellStart"/>
            <w:r w:rsidR="0090562B">
              <w:rPr>
                <w:rFonts w:ascii="Arial" w:hAnsi="Arial"/>
                <w:b w:val="0"/>
                <w:bCs w:val="0"/>
                <w:sz w:val="20"/>
                <w:szCs w:val="20"/>
                <w:lang w:eastAsia="en-AU"/>
              </w:rPr>
              <w:t>Mtpa</w:t>
            </w:r>
            <w:proofErr w:type="spellEnd"/>
            <w:r w:rsidRPr="00D554FC">
              <w:rPr>
                <w:rFonts w:ascii="Arial" w:hAnsi="Arial"/>
                <w:b w:val="0"/>
                <w:bCs w:val="0"/>
                <w:sz w:val="20"/>
                <w:szCs w:val="20"/>
                <w:lang w:eastAsia="en-AU"/>
              </w:rPr>
              <w:t xml:space="preserve"> MSP tailings (Figure </w:t>
            </w:r>
            <w:r w:rsidR="007E61D6">
              <w:rPr>
                <w:rFonts w:ascii="Arial" w:hAnsi="Arial"/>
                <w:b w:val="0"/>
                <w:bCs w:val="0"/>
                <w:sz w:val="20"/>
                <w:szCs w:val="20"/>
                <w:lang w:eastAsia="en-AU"/>
              </w:rPr>
              <w:t>5</w:t>
            </w:r>
            <w:r w:rsidRPr="00D554FC">
              <w:rPr>
                <w:rFonts w:ascii="Arial" w:hAnsi="Arial"/>
                <w:b w:val="0"/>
                <w:bCs w:val="0"/>
                <w:sz w:val="20"/>
                <w:szCs w:val="20"/>
                <w:lang w:eastAsia="en-AU"/>
              </w:rPr>
              <w:t>). There will be no chemical changes to the minerals within the mineral separation plant. The HMC will contain the vast majority of the monazite originally present in the ore. Therefore, the MSP tailings will have lower radioactivity than the host material prior to extraction. After initial out-of-pit storage, this material will be returned to the mine void.</w:t>
            </w:r>
          </w:p>
          <w:p w14:paraId="7A5FCCC7" w14:textId="321D6D63" w:rsidR="00D554FC" w:rsidRDefault="00D554FC" w:rsidP="005E7434">
            <w:pPr>
              <w:pStyle w:val="BodyText"/>
              <w:spacing w:after="120"/>
              <w:jc w:val="both"/>
              <w:rPr>
                <w:rFonts w:ascii="Arial" w:hAnsi="Arial"/>
                <w:b w:val="0"/>
                <w:bCs w:val="0"/>
                <w:sz w:val="20"/>
                <w:szCs w:val="20"/>
                <w:lang w:eastAsia="en-AU"/>
              </w:rPr>
            </w:pPr>
            <w:r w:rsidRPr="00D554FC">
              <w:rPr>
                <w:rFonts w:ascii="Arial" w:hAnsi="Arial"/>
                <w:b w:val="0"/>
                <w:bCs w:val="0"/>
                <w:sz w:val="20"/>
                <w:szCs w:val="20"/>
                <w:lang w:eastAsia="en-AU"/>
              </w:rPr>
              <w:t xml:space="preserve">The HMC will be further processed within the rare earth and zircon refinery. This will involve chemical processing which will generate about 260 </w:t>
            </w:r>
            <w:proofErr w:type="spellStart"/>
            <w:r w:rsidRPr="00D554FC">
              <w:rPr>
                <w:rFonts w:ascii="Arial" w:hAnsi="Arial"/>
                <w:b w:val="0"/>
                <w:bCs w:val="0"/>
                <w:sz w:val="20"/>
                <w:szCs w:val="20"/>
                <w:lang w:eastAsia="en-AU"/>
              </w:rPr>
              <w:t>ktpa</w:t>
            </w:r>
            <w:proofErr w:type="spellEnd"/>
            <w:r w:rsidRPr="00D554FC">
              <w:rPr>
                <w:rFonts w:ascii="Arial" w:hAnsi="Arial"/>
                <w:b w:val="0"/>
                <w:bCs w:val="0"/>
                <w:sz w:val="20"/>
                <w:szCs w:val="20"/>
                <w:lang w:eastAsia="en-AU"/>
              </w:rPr>
              <w:t xml:space="preserve"> of salt and gypsum residue that will include elevated uranium and thorium concentrations. The gypsum residue will contain 300 - </w:t>
            </w:r>
            <w:r w:rsidR="00B25572">
              <w:rPr>
                <w:rFonts w:ascii="Arial" w:hAnsi="Arial"/>
                <w:b w:val="0"/>
                <w:bCs w:val="0"/>
                <w:sz w:val="20"/>
                <w:szCs w:val="20"/>
                <w:lang w:eastAsia="en-AU"/>
              </w:rPr>
              <w:t>4</w:t>
            </w:r>
            <w:r w:rsidRPr="00D554FC">
              <w:rPr>
                <w:rFonts w:ascii="Arial" w:hAnsi="Arial"/>
                <w:b w:val="0"/>
                <w:bCs w:val="0"/>
                <w:sz w:val="20"/>
                <w:szCs w:val="20"/>
                <w:lang w:eastAsia="en-AU"/>
              </w:rPr>
              <w:t xml:space="preserve">00 </w:t>
            </w:r>
            <w:proofErr w:type="spellStart"/>
            <w:r w:rsidRPr="00D554FC">
              <w:rPr>
                <w:rFonts w:ascii="Arial" w:hAnsi="Arial"/>
                <w:b w:val="0"/>
                <w:bCs w:val="0"/>
                <w:sz w:val="20"/>
                <w:szCs w:val="20"/>
                <w:lang w:eastAsia="en-AU"/>
              </w:rPr>
              <w:t>Bq</w:t>
            </w:r>
            <w:proofErr w:type="spellEnd"/>
            <w:r w:rsidRPr="00D554FC">
              <w:rPr>
                <w:rFonts w:ascii="Arial" w:hAnsi="Arial"/>
                <w:b w:val="0"/>
                <w:bCs w:val="0"/>
                <w:sz w:val="20"/>
                <w:szCs w:val="20"/>
                <w:lang w:eastAsia="en-AU"/>
              </w:rPr>
              <w:t>/g total activity so will be classified as low-level radioactive waste.</w:t>
            </w:r>
          </w:p>
          <w:p w14:paraId="79C792F2" w14:textId="6187C551" w:rsidR="00D554FC" w:rsidRDefault="00D554FC" w:rsidP="005E7434">
            <w:pPr>
              <w:pStyle w:val="BodyText"/>
              <w:spacing w:after="120"/>
              <w:jc w:val="both"/>
              <w:rPr>
                <w:rFonts w:ascii="Arial" w:hAnsi="Arial"/>
                <w:b w:val="0"/>
                <w:bCs w:val="0"/>
                <w:sz w:val="20"/>
                <w:szCs w:val="20"/>
                <w:lang w:eastAsia="en-AU"/>
              </w:rPr>
            </w:pPr>
            <w:r w:rsidRPr="00D554FC">
              <w:rPr>
                <w:rFonts w:ascii="Arial" w:hAnsi="Arial"/>
                <w:b w:val="0"/>
                <w:bCs w:val="0"/>
                <w:sz w:val="20"/>
                <w:szCs w:val="20"/>
                <w:lang w:eastAsia="en-AU"/>
              </w:rPr>
              <w:t xml:space="preserve"> </w:t>
            </w:r>
            <w:r w:rsidR="00BC6914" w:rsidRPr="00102A41">
              <w:rPr>
                <w:rFonts w:ascii="Arial" w:hAnsi="Arial"/>
                <w:b w:val="0"/>
                <w:bCs w:val="0"/>
                <w:sz w:val="20"/>
                <w:szCs w:val="20"/>
                <w:lang w:eastAsia="en-AU"/>
              </w:rPr>
              <w:t xml:space="preserve">As </w:t>
            </w:r>
            <w:r w:rsidR="00102A41">
              <w:rPr>
                <w:rFonts w:ascii="Arial" w:hAnsi="Arial"/>
                <w:b w:val="0"/>
                <w:bCs w:val="0"/>
                <w:sz w:val="20"/>
                <w:szCs w:val="20"/>
                <w:lang w:eastAsia="en-AU"/>
              </w:rPr>
              <w:t>stated</w:t>
            </w:r>
            <w:r w:rsidR="00BC6914" w:rsidRPr="00102A41">
              <w:rPr>
                <w:rFonts w:ascii="Arial" w:hAnsi="Arial"/>
                <w:b w:val="0"/>
                <w:bCs w:val="0"/>
                <w:sz w:val="20"/>
                <w:szCs w:val="20"/>
                <w:lang w:eastAsia="en-AU"/>
              </w:rPr>
              <w:t xml:space="preserve"> previously, by-products may be diluted to the extent they are not classified as low-level radioactive waste, or they may be stored separately in lined engineered facilities onsite. In either case, by-products will be permanently stored onsite to ensure radiation exposure to people and the environmental is As Low As Reasonably Achievable (the ALARA principle), in accordance with Iluka’s Radiation Management Licence issued under the </w:t>
            </w:r>
            <w:r w:rsidR="00BC6914" w:rsidRPr="00B25572">
              <w:rPr>
                <w:rFonts w:ascii="Arial" w:hAnsi="Arial"/>
                <w:b w:val="0"/>
                <w:bCs w:val="0"/>
                <w:i/>
                <w:sz w:val="20"/>
                <w:szCs w:val="20"/>
                <w:lang w:eastAsia="en-AU"/>
              </w:rPr>
              <w:t>Radiation Act 2005</w:t>
            </w:r>
            <w:r w:rsidR="00BC6914" w:rsidRPr="00102A41">
              <w:rPr>
                <w:rFonts w:ascii="Arial" w:hAnsi="Arial"/>
                <w:b w:val="0"/>
                <w:bCs w:val="0"/>
                <w:sz w:val="20"/>
                <w:szCs w:val="20"/>
                <w:lang w:eastAsia="en-AU"/>
              </w:rPr>
              <w:t>, radiation management plans required as a condition of that licence.</w:t>
            </w:r>
          </w:p>
          <w:p w14:paraId="785D4532" w14:textId="77777777" w:rsidR="00BC6914" w:rsidRDefault="00BC6914" w:rsidP="005E7434">
            <w:pPr>
              <w:pStyle w:val="BodyText"/>
              <w:spacing w:after="120"/>
              <w:jc w:val="both"/>
              <w:rPr>
                <w:rFonts w:ascii="Arial" w:hAnsi="Arial"/>
                <w:b w:val="0"/>
                <w:bCs w:val="0"/>
                <w:sz w:val="20"/>
                <w:szCs w:val="20"/>
                <w:lang w:eastAsia="en-AU"/>
              </w:rPr>
            </w:pPr>
            <w:r w:rsidRPr="00D554FC">
              <w:rPr>
                <w:rFonts w:ascii="Arial" w:hAnsi="Arial"/>
                <w:b w:val="0"/>
                <w:bCs w:val="0"/>
                <w:sz w:val="20"/>
                <w:szCs w:val="20"/>
                <w:lang w:eastAsia="en-AU"/>
              </w:rPr>
              <w:t xml:space="preserve">A radiation baseline assessment is currently </w:t>
            </w:r>
            <w:r w:rsidR="008E1975">
              <w:rPr>
                <w:rFonts w:ascii="Arial" w:hAnsi="Arial"/>
                <w:b w:val="0"/>
                <w:bCs w:val="0"/>
                <w:sz w:val="20"/>
                <w:szCs w:val="20"/>
                <w:lang w:eastAsia="en-AU"/>
              </w:rPr>
              <w:t>underway to characterise the background radiation environment at the Project site.</w:t>
            </w:r>
            <w:r w:rsidRPr="00D554FC">
              <w:rPr>
                <w:rFonts w:ascii="Arial" w:hAnsi="Arial"/>
                <w:b w:val="0"/>
                <w:bCs w:val="0"/>
                <w:sz w:val="20"/>
                <w:szCs w:val="20"/>
                <w:lang w:eastAsia="en-AU"/>
              </w:rPr>
              <w:t xml:space="preserve"> </w:t>
            </w:r>
            <w:r w:rsidR="008E1975">
              <w:rPr>
                <w:rFonts w:ascii="Arial" w:hAnsi="Arial"/>
                <w:b w:val="0"/>
                <w:bCs w:val="0"/>
                <w:sz w:val="20"/>
                <w:szCs w:val="20"/>
                <w:lang w:eastAsia="en-AU"/>
              </w:rPr>
              <w:t>A</w:t>
            </w:r>
            <w:r w:rsidRPr="00D554FC">
              <w:rPr>
                <w:rFonts w:ascii="Arial" w:hAnsi="Arial"/>
                <w:b w:val="0"/>
                <w:bCs w:val="0"/>
                <w:sz w:val="20"/>
                <w:szCs w:val="20"/>
                <w:lang w:eastAsia="en-AU"/>
              </w:rPr>
              <w:t xml:space="preserve"> </w:t>
            </w:r>
            <w:r w:rsidR="008E1975">
              <w:rPr>
                <w:rFonts w:ascii="Arial" w:hAnsi="Arial"/>
                <w:b w:val="0"/>
                <w:bCs w:val="0"/>
                <w:sz w:val="20"/>
                <w:szCs w:val="20"/>
                <w:lang w:eastAsia="en-AU"/>
              </w:rPr>
              <w:t>radiological</w:t>
            </w:r>
            <w:r w:rsidRPr="00D554FC">
              <w:rPr>
                <w:rFonts w:ascii="Arial" w:hAnsi="Arial"/>
                <w:b w:val="0"/>
                <w:bCs w:val="0"/>
                <w:sz w:val="20"/>
                <w:szCs w:val="20"/>
                <w:lang w:eastAsia="en-AU"/>
              </w:rPr>
              <w:t xml:space="preserve"> impact assessment </w:t>
            </w:r>
            <w:r w:rsidR="008E1975">
              <w:rPr>
                <w:rFonts w:ascii="Arial" w:hAnsi="Arial"/>
                <w:b w:val="0"/>
                <w:bCs w:val="0"/>
                <w:sz w:val="20"/>
                <w:szCs w:val="20"/>
                <w:lang w:eastAsia="en-AU"/>
              </w:rPr>
              <w:t>is planned to assess the potential radiological impacts to workers, the public and the environment due to the Project operations</w:t>
            </w:r>
            <w:r w:rsidRPr="00D554FC">
              <w:rPr>
                <w:rFonts w:ascii="Arial" w:hAnsi="Arial"/>
                <w:b w:val="0"/>
                <w:bCs w:val="0"/>
                <w:sz w:val="20"/>
                <w:szCs w:val="20"/>
                <w:lang w:eastAsia="en-AU"/>
              </w:rPr>
              <w:t>.</w:t>
            </w:r>
          </w:p>
          <w:p w14:paraId="21AFFF33" w14:textId="77777777" w:rsidR="001C34F3" w:rsidRDefault="00BC6914" w:rsidP="00643373">
            <w:pPr>
              <w:pStyle w:val="BodyText"/>
              <w:spacing w:after="120"/>
              <w:jc w:val="both"/>
              <w:rPr>
                <w:rFonts w:ascii="Arial" w:hAnsi="Arial"/>
                <w:b w:val="0"/>
                <w:bCs w:val="0"/>
                <w:sz w:val="20"/>
                <w:szCs w:val="20"/>
                <w:lang w:eastAsia="en-AU"/>
              </w:rPr>
            </w:pPr>
            <w:r w:rsidRPr="00102A41">
              <w:rPr>
                <w:rFonts w:ascii="Arial" w:hAnsi="Arial"/>
                <w:b w:val="0"/>
                <w:bCs w:val="0"/>
                <w:sz w:val="20"/>
                <w:szCs w:val="20"/>
                <w:lang w:eastAsia="en-AU"/>
              </w:rPr>
              <w:t>Radiation will be managed in accordance with Iluka’s approved Murray Basin Operations Radiation Management Plan. Management measures such as minimising exposure time, increasing distance from exposure sources, and shielding of sources will be used to ensure that radiation exposure to people and the environment meets prescribed statutory limits and is ALARA. A site-specific addendum to the Radiation Management Plan will be prepared that describes the combination of measures to be implemented for the Project</w:t>
            </w:r>
            <w:r w:rsidR="00054E35">
              <w:rPr>
                <w:rFonts w:ascii="Arial" w:hAnsi="Arial"/>
                <w:b w:val="0"/>
                <w:bCs w:val="0"/>
                <w:sz w:val="20"/>
                <w:szCs w:val="20"/>
                <w:lang w:eastAsia="en-AU"/>
              </w:rPr>
              <w:t xml:space="preserve"> as informed by the radiological impact assessment</w:t>
            </w:r>
            <w:r w:rsidRPr="00102A41">
              <w:rPr>
                <w:rFonts w:ascii="Arial" w:hAnsi="Arial"/>
                <w:b w:val="0"/>
                <w:bCs w:val="0"/>
                <w:sz w:val="20"/>
                <w:szCs w:val="20"/>
                <w:lang w:eastAsia="en-AU"/>
              </w:rPr>
              <w:t>.</w:t>
            </w:r>
          </w:p>
          <w:p w14:paraId="2D3495F6" w14:textId="272DC374" w:rsidR="009E14B7" w:rsidRDefault="009E14B7" w:rsidP="00643373">
            <w:pPr>
              <w:pStyle w:val="BodyText"/>
              <w:spacing w:after="120"/>
              <w:jc w:val="both"/>
              <w:rPr>
                <w:rFonts w:ascii="Arial" w:hAnsi="Arial"/>
              </w:rPr>
            </w:pPr>
          </w:p>
        </w:tc>
      </w:tr>
      <w:tr w:rsidR="001C34F3" w14:paraId="45CFB8ED" w14:textId="77777777" w:rsidTr="00E96A1F">
        <w:tc>
          <w:tcPr>
            <w:tcW w:w="9243" w:type="dxa"/>
          </w:tcPr>
          <w:p w14:paraId="574AC9ED" w14:textId="77DE1AFF" w:rsidR="00D554FC" w:rsidRDefault="00D554FC" w:rsidP="00643373">
            <w:pPr>
              <w:pStyle w:val="Heading2"/>
              <w:keepLines/>
              <w:numPr>
                <w:ilvl w:val="1"/>
                <w:numId w:val="0"/>
              </w:numPr>
              <w:tabs>
                <w:tab w:val="clear" w:pos="2904"/>
                <w:tab w:val="clear" w:pos="3907"/>
                <w:tab w:val="clear" w:pos="4910"/>
                <w:tab w:val="clear" w:pos="5913"/>
                <w:tab w:val="clear" w:pos="6916"/>
              </w:tabs>
              <w:spacing w:after="120"/>
              <w:ind w:left="851" w:hanging="851"/>
              <w:jc w:val="both"/>
            </w:pPr>
            <w:r>
              <w:t>11.3 Groundwater</w:t>
            </w:r>
          </w:p>
          <w:p w14:paraId="1EBE8FD1" w14:textId="77777777" w:rsidR="009E14B7" w:rsidRPr="009E14B7" w:rsidRDefault="009E14B7" w:rsidP="009E14B7"/>
          <w:p w14:paraId="6B31742B" w14:textId="77777777" w:rsidR="00D554FC" w:rsidRPr="006E4F06" w:rsidRDefault="007F5924" w:rsidP="00643373">
            <w:pPr>
              <w:pStyle w:val="BodyText"/>
              <w:spacing w:after="120"/>
              <w:jc w:val="left"/>
              <w:rPr>
                <w:rFonts w:ascii="Arial" w:hAnsi="Arial"/>
                <w:b w:val="0"/>
                <w:bCs w:val="0"/>
                <w:sz w:val="20"/>
                <w:szCs w:val="20"/>
                <w:lang w:eastAsia="en-AU"/>
              </w:rPr>
            </w:pPr>
            <w:r w:rsidRPr="006E4F06">
              <w:rPr>
                <w:rFonts w:ascii="Arial" w:hAnsi="Arial"/>
                <w:b w:val="0"/>
                <w:bCs w:val="0"/>
                <w:sz w:val="20"/>
                <w:szCs w:val="20"/>
                <w:lang w:eastAsia="en-AU"/>
              </w:rPr>
              <w:t>In the absence of appropriate management measures there is potential for the Project to impact groundwater quality, drawdown distances, inflow rates and groundwater dependent ecosystems.</w:t>
            </w:r>
          </w:p>
          <w:p w14:paraId="09F98E2B" w14:textId="52BB16C2" w:rsidR="001C34F3" w:rsidRDefault="00BC6914" w:rsidP="00643373">
            <w:pPr>
              <w:pStyle w:val="BodyText"/>
              <w:spacing w:after="120"/>
              <w:jc w:val="both"/>
              <w:rPr>
                <w:rFonts w:ascii="Arial" w:hAnsi="Arial"/>
              </w:rPr>
            </w:pPr>
            <w:r>
              <w:rPr>
                <w:rFonts w:ascii="Arial" w:hAnsi="Arial"/>
                <w:b w:val="0"/>
                <w:bCs w:val="0"/>
                <w:sz w:val="20"/>
                <w:szCs w:val="20"/>
                <w:lang w:eastAsia="en-AU"/>
              </w:rPr>
              <w:t>Detailed</w:t>
            </w:r>
            <w:r w:rsidRPr="0093699E">
              <w:rPr>
                <w:rFonts w:ascii="Arial" w:hAnsi="Arial"/>
                <w:b w:val="0"/>
                <w:bCs w:val="0"/>
                <w:sz w:val="20"/>
                <w:szCs w:val="20"/>
                <w:lang w:eastAsia="en-AU"/>
              </w:rPr>
              <w:t xml:space="preserve"> </w:t>
            </w:r>
            <w:r w:rsidR="007F5924" w:rsidRPr="0093699E">
              <w:rPr>
                <w:rFonts w:ascii="Arial" w:hAnsi="Arial"/>
                <w:b w:val="0"/>
                <w:bCs w:val="0"/>
                <w:sz w:val="20"/>
                <w:szCs w:val="20"/>
                <w:lang w:eastAsia="en-AU"/>
              </w:rPr>
              <w:t xml:space="preserve">hydrogeological investigations will be undertaken to </w:t>
            </w:r>
            <w:r w:rsidR="00EC26DC">
              <w:rPr>
                <w:rFonts w:ascii="Arial" w:hAnsi="Arial"/>
                <w:b w:val="0"/>
                <w:bCs w:val="0"/>
                <w:sz w:val="20"/>
                <w:szCs w:val="20"/>
                <w:lang w:eastAsia="en-AU"/>
              </w:rPr>
              <w:t xml:space="preserve">develop and calibrate a hydrogeological model for the </w:t>
            </w:r>
            <w:r w:rsidR="00D02516">
              <w:rPr>
                <w:rFonts w:ascii="Arial" w:hAnsi="Arial"/>
                <w:b w:val="0"/>
                <w:bCs w:val="0"/>
                <w:sz w:val="20"/>
                <w:szCs w:val="20"/>
                <w:lang w:eastAsia="en-AU"/>
              </w:rPr>
              <w:t>P</w:t>
            </w:r>
            <w:r w:rsidR="00EC26DC">
              <w:rPr>
                <w:rFonts w:ascii="Arial" w:hAnsi="Arial"/>
                <w:b w:val="0"/>
                <w:bCs w:val="0"/>
                <w:sz w:val="20"/>
                <w:szCs w:val="20"/>
                <w:lang w:eastAsia="en-AU"/>
              </w:rPr>
              <w:t>roject site,</w:t>
            </w:r>
            <w:r w:rsidR="007F5924" w:rsidRPr="0093699E">
              <w:rPr>
                <w:rFonts w:ascii="Arial" w:hAnsi="Arial"/>
                <w:b w:val="0"/>
                <w:bCs w:val="0"/>
                <w:sz w:val="20"/>
                <w:szCs w:val="20"/>
                <w:lang w:eastAsia="en-AU"/>
              </w:rPr>
              <w:t xml:space="preserve"> and assess potential impacts on regional groundwater resources</w:t>
            </w:r>
            <w:r w:rsidR="00054E35">
              <w:rPr>
                <w:rFonts w:ascii="Arial" w:hAnsi="Arial"/>
                <w:b w:val="0"/>
                <w:bCs w:val="0"/>
                <w:sz w:val="20"/>
                <w:szCs w:val="20"/>
                <w:lang w:eastAsia="en-AU"/>
              </w:rPr>
              <w:t>, receptors and users</w:t>
            </w:r>
            <w:r w:rsidR="007F5924" w:rsidRPr="0093699E">
              <w:rPr>
                <w:rFonts w:ascii="Arial" w:hAnsi="Arial"/>
                <w:b w:val="0"/>
                <w:bCs w:val="0"/>
                <w:sz w:val="20"/>
                <w:szCs w:val="20"/>
                <w:lang w:eastAsia="en-AU"/>
              </w:rPr>
              <w:t xml:space="preserve">. </w:t>
            </w:r>
          </w:p>
        </w:tc>
      </w:tr>
      <w:tr w:rsidR="001C34F3" w14:paraId="73C998F2" w14:textId="77777777" w:rsidTr="00E96A1F">
        <w:tc>
          <w:tcPr>
            <w:tcW w:w="9243" w:type="dxa"/>
          </w:tcPr>
          <w:p w14:paraId="4CF62381" w14:textId="77777777" w:rsidR="00D554FC" w:rsidRPr="00D554FC" w:rsidRDefault="00D554FC" w:rsidP="00D554FC">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r>
              <w:lastRenderedPageBreak/>
              <w:t xml:space="preserve">11.4 </w:t>
            </w:r>
            <w:r w:rsidRPr="00D554FC">
              <w:t>Surface water</w:t>
            </w:r>
          </w:p>
          <w:p w14:paraId="19BCE9AD" w14:textId="0F9FFD0D" w:rsidR="00D554FC" w:rsidRDefault="00054E35" w:rsidP="00643373">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A baseline surface water assessment has been undertaken to identify the surface hydrology features of the Project site, including identification of site sub-catchments, flow paths, and </w:t>
            </w:r>
            <w:r w:rsidR="00D02516">
              <w:rPr>
                <w:rFonts w:ascii="Arial" w:hAnsi="Arial"/>
                <w:b w:val="0"/>
                <w:bCs w:val="0"/>
                <w:sz w:val="20"/>
                <w:szCs w:val="20"/>
                <w:lang w:eastAsia="en-AU"/>
              </w:rPr>
              <w:t>onsite</w:t>
            </w:r>
            <w:r>
              <w:rPr>
                <w:rFonts w:ascii="Arial" w:hAnsi="Arial"/>
                <w:b w:val="0"/>
                <w:bCs w:val="0"/>
                <w:sz w:val="20"/>
                <w:szCs w:val="20"/>
                <w:lang w:eastAsia="en-AU"/>
              </w:rPr>
              <w:t xml:space="preserve"> and </w:t>
            </w:r>
            <w:r w:rsidR="00D02516">
              <w:rPr>
                <w:rFonts w:ascii="Arial" w:hAnsi="Arial"/>
                <w:b w:val="0"/>
                <w:bCs w:val="0"/>
                <w:sz w:val="20"/>
                <w:szCs w:val="20"/>
                <w:lang w:eastAsia="en-AU"/>
              </w:rPr>
              <w:t>offsite</w:t>
            </w:r>
            <w:r>
              <w:rPr>
                <w:rFonts w:ascii="Arial" w:hAnsi="Arial"/>
                <w:b w:val="0"/>
                <w:bCs w:val="0"/>
                <w:sz w:val="20"/>
                <w:szCs w:val="20"/>
                <w:lang w:eastAsia="en-AU"/>
              </w:rPr>
              <w:t xml:space="preserve"> receptors. As detailed site layout plans are developed a surface water impact assessment </w:t>
            </w:r>
            <w:r w:rsidR="00D554FC" w:rsidRPr="00D554FC">
              <w:rPr>
                <w:rFonts w:ascii="Arial" w:hAnsi="Arial"/>
                <w:b w:val="0"/>
                <w:bCs w:val="0"/>
                <w:sz w:val="20"/>
                <w:szCs w:val="20"/>
                <w:lang w:eastAsia="en-AU"/>
              </w:rPr>
              <w:t xml:space="preserve">will be undertaken to assess the potential disturbance to existing flow paths, and whether the </w:t>
            </w:r>
            <w:r w:rsidR="00D02516">
              <w:rPr>
                <w:rFonts w:ascii="Arial" w:hAnsi="Arial"/>
                <w:b w:val="0"/>
                <w:bCs w:val="0"/>
                <w:sz w:val="20"/>
                <w:szCs w:val="20"/>
                <w:lang w:eastAsia="en-AU"/>
              </w:rPr>
              <w:t>Project</w:t>
            </w:r>
            <w:r w:rsidR="00D554FC" w:rsidRPr="00D554FC">
              <w:rPr>
                <w:rFonts w:ascii="Arial" w:hAnsi="Arial"/>
                <w:b w:val="0"/>
                <w:bCs w:val="0"/>
                <w:sz w:val="20"/>
                <w:szCs w:val="20"/>
                <w:lang w:eastAsia="en-AU"/>
              </w:rPr>
              <w:t xml:space="preserve"> has the potential to change the hydrological regime</w:t>
            </w:r>
            <w:r w:rsidR="004F40FD">
              <w:rPr>
                <w:rFonts w:ascii="Arial" w:hAnsi="Arial"/>
                <w:b w:val="0"/>
                <w:bCs w:val="0"/>
                <w:sz w:val="20"/>
                <w:szCs w:val="20"/>
                <w:lang w:eastAsia="en-AU"/>
              </w:rPr>
              <w:t xml:space="preserve"> or impact receptor </w:t>
            </w:r>
            <w:r w:rsidR="00D554FC" w:rsidRPr="00D554FC">
              <w:rPr>
                <w:rFonts w:ascii="Arial" w:hAnsi="Arial"/>
                <w:b w:val="0"/>
                <w:bCs w:val="0"/>
                <w:sz w:val="20"/>
                <w:szCs w:val="20"/>
                <w:lang w:eastAsia="en-AU"/>
              </w:rPr>
              <w:t xml:space="preserve">waterbodies </w:t>
            </w:r>
            <w:r w:rsidR="004F40FD">
              <w:rPr>
                <w:rFonts w:ascii="Arial" w:hAnsi="Arial"/>
                <w:b w:val="0"/>
                <w:bCs w:val="0"/>
                <w:sz w:val="20"/>
                <w:szCs w:val="20"/>
                <w:lang w:eastAsia="en-AU"/>
              </w:rPr>
              <w:t>with</w:t>
            </w:r>
            <w:r w:rsidR="00D554FC" w:rsidRPr="00D554FC">
              <w:rPr>
                <w:rFonts w:ascii="Arial" w:hAnsi="Arial"/>
                <w:b w:val="0"/>
                <w:bCs w:val="0"/>
                <w:sz w:val="20"/>
                <w:szCs w:val="20"/>
                <w:lang w:eastAsia="en-AU"/>
              </w:rPr>
              <w:t>in the Project site or downstream.</w:t>
            </w:r>
          </w:p>
          <w:p w14:paraId="7F5D5534" w14:textId="77777777" w:rsidR="004F40FD" w:rsidRDefault="00D554FC" w:rsidP="00643373">
            <w:pPr>
              <w:pStyle w:val="BodyText"/>
              <w:spacing w:after="120"/>
              <w:jc w:val="both"/>
              <w:rPr>
                <w:rFonts w:ascii="Arial" w:hAnsi="Arial"/>
                <w:b w:val="0"/>
                <w:bCs w:val="0"/>
                <w:sz w:val="20"/>
                <w:szCs w:val="20"/>
                <w:lang w:eastAsia="en-AU"/>
              </w:rPr>
            </w:pPr>
            <w:r w:rsidRPr="00D554FC">
              <w:rPr>
                <w:rFonts w:ascii="Arial" w:hAnsi="Arial"/>
                <w:b w:val="0"/>
                <w:bCs w:val="0"/>
                <w:sz w:val="20"/>
                <w:szCs w:val="20"/>
                <w:lang w:eastAsia="en-AU"/>
              </w:rPr>
              <w:t>Due to the relatively flat topography, the majority of the Project site falls within flood hazard vulnerability class ‘H1’, meaning it is generally safe for people, buildings and vehicles (Water Technology 2018). There is potential for flood hazard to be increased in some areas by the Project due to the diversion or capture of water.</w:t>
            </w:r>
          </w:p>
          <w:p w14:paraId="5C7AF303" w14:textId="4521936A" w:rsidR="001C34F3" w:rsidRPr="00D554FC" w:rsidRDefault="004F40FD" w:rsidP="004F40FD">
            <w:pPr>
              <w:pStyle w:val="BodyText"/>
              <w:jc w:val="both"/>
              <w:rPr>
                <w:rFonts w:ascii="Arial" w:hAnsi="Arial"/>
                <w:b w:val="0"/>
                <w:bCs w:val="0"/>
                <w:sz w:val="20"/>
                <w:szCs w:val="20"/>
                <w:lang w:eastAsia="en-AU"/>
              </w:rPr>
            </w:pPr>
            <w:r>
              <w:rPr>
                <w:rFonts w:ascii="Arial" w:hAnsi="Arial"/>
                <w:b w:val="0"/>
                <w:bCs w:val="0"/>
                <w:sz w:val="20"/>
                <w:szCs w:val="20"/>
                <w:lang w:eastAsia="en-AU"/>
              </w:rPr>
              <w:t xml:space="preserve">Surface water modelling undertaken as part of the impact assessment will be used to assess changes to flood hazard across the Project site. The modelling will also be used to inform site surface water management infrastructure such as sizing and location of drains, sumps, pumps, pipelines and dams to </w:t>
            </w:r>
            <w:r w:rsidR="008D39F7">
              <w:rPr>
                <w:rFonts w:ascii="Arial" w:hAnsi="Arial"/>
                <w:b w:val="0"/>
                <w:bCs w:val="0"/>
                <w:sz w:val="20"/>
                <w:szCs w:val="20"/>
                <w:lang w:eastAsia="en-AU"/>
              </w:rPr>
              <w:t>prevent</w:t>
            </w:r>
            <w:r>
              <w:rPr>
                <w:rFonts w:ascii="Arial" w:hAnsi="Arial"/>
                <w:b w:val="0"/>
                <w:bCs w:val="0"/>
                <w:sz w:val="20"/>
                <w:szCs w:val="20"/>
                <w:lang w:eastAsia="en-AU"/>
              </w:rPr>
              <w:t xml:space="preserve"> </w:t>
            </w:r>
            <w:r w:rsidR="00D02516">
              <w:rPr>
                <w:rFonts w:ascii="Arial" w:hAnsi="Arial"/>
                <w:b w:val="0"/>
                <w:bCs w:val="0"/>
                <w:sz w:val="20"/>
                <w:szCs w:val="20"/>
                <w:lang w:eastAsia="en-AU"/>
              </w:rPr>
              <w:t>offsite</w:t>
            </w:r>
            <w:r w:rsidR="00736691">
              <w:rPr>
                <w:rFonts w:ascii="Arial" w:hAnsi="Arial"/>
                <w:b w:val="0"/>
                <w:bCs w:val="0"/>
                <w:sz w:val="20"/>
                <w:szCs w:val="20"/>
                <w:lang w:eastAsia="en-AU"/>
              </w:rPr>
              <w:t xml:space="preserve"> discharge of </w:t>
            </w:r>
            <w:r>
              <w:rPr>
                <w:rFonts w:ascii="Arial" w:hAnsi="Arial"/>
                <w:b w:val="0"/>
                <w:bCs w:val="0"/>
                <w:sz w:val="20"/>
                <w:szCs w:val="20"/>
                <w:lang w:eastAsia="en-AU"/>
              </w:rPr>
              <w:t xml:space="preserve">surface water </w:t>
            </w:r>
            <w:r w:rsidR="00736691">
              <w:rPr>
                <w:rFonts w:ascii="Arial" w:hAnsi="Arial"/>
                <w:b w:val="0"/>
                <w:bCs w:val="0"/>
                <w:sz w:val="20"/>
                <w:szCs w:val="20"/>
                <w:lang w:eastAsia="en-AU"/>
              </w:rPr>
              <w:t xml:space="preserve">having water quality indicators that exceed the objectives as </w:t>
            </w:r>
            <w:r w:rsidR="008D39F7">
              <w:rPr>
                <w:rFonts w:ascii="Arial" w:hAnsi="Arial"/>
                <w:b w:val="0"/>
                <w:bCs w:val="0"/>
                <w:sz w:val="20"/>
                <w:szCs w:val="20"/>
                <w:lang w:eastAsia="en-AU"/>
              </w:rPr>
              <w:t>determined in accordance with</w:t>
            </w:r>
            <w:r w:rsidR="00736691">
              <w:rPr>
                <w:rFonts w:ascii="Arial" w:hAnsi="Arial"/>
                <w:b w:val="0"/>
                <w:bCs w:val="0"/>
                <w:sz w:val="20"/>
                <w:szCs w:val="20"/>
                <w:lang w:eastAsia="en-AU"/>
              </w:rPr>
              <w:t xml:space="preserve"> the </w:t>
            </w:r>
            <w:r w:rsidR="00736691" w:rsidRPr="00643373">
              <w:rPr>
                <w:rFonts w:ascii="Arial" w:hAnsi="Arial"/>
                <w:b w:val="0"/>
                <w:bCs w:val="0"/>
                <w:i/>
                <w:sz w:val="20"/>
                <w:szCs w:val="20"/>
                <w:lang w:eastAsia="en-AU"/>
              </w:rPr>
              <w:t>State Environment Protection Policy (Waters)</w:t>
            </w:r>
            <w:r w:rsidR="00736691">
              <w:rPr>
                <w:rFonts w:ascii="Arial" w:hAnsi="Arial"/>
                <w:b w:val="0"/>
                <w:bCs w:val="0"/>
                <w:sz w:val="20"/>
                <w:szCs w:val="20"/>
                <w:lang w:eastAsia="en-AU"/>
              </w:rPr>
              <w:t xml:space="preserve">, or SEPP (Waters), </w:t>
            </w:r>
            <w:r>
              <w:rPr>
                <w:rFonts w:ascii="Arial" w:hAnsi="Arial"/>
                <w:b w:val="0"/>
                <w:bCs w:val="0"/>
                <w:sz w:val="20"/>
                <w:szCs w:val="20"/>
                <w:lang w:eastAsia="en-AU"/>
              </w:rPr>
              <w:t>is prevented.</w:t>
            </w:r>
          </w:p>
        </w:tc>
      </w:tr>
      <w:tr w:rsidR="001C34F3" w14:paraId="3F6191DA" w14:textId="77777777" w:rsidTr="00552B3B">
        <w:tc>
          <w:tcPr>
            <w:tcW w:w="9243" w:type="dxa"/>
            <w:tcBorders>
              <w:bottom w:val="single" w:sz="4" w:space="0" w:color="auto"/>
            </w:tcBorders>
          </w:tcPr>
          <w:p w14:paraId="17FD7A79" w14:textId="77777777" w:rsidR="005A5704" w:rsidRPr="005A5704" w:rsidRDefault="005A5704" w:rsidP="005A5704">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r>
              <w:t xml:space="preserve">11.5 </w:t>
            </w:r>
            <w:r w:rsidRPr="005A5704">
              <w:t>Air quality</w:t>
            </w:r>
          </w:p>
          <w:p w14:paraId="72501F7D" w14:textId="1CB93AD8" w:rsidR="005A5704" w:rsidRDefault="005A5704" w:rsidP="005A5704">
            <w:pPr>
              <w:pStyle w:val="BodyText"/>
              <w:jc w:val="both"/>
              <w:rPr>
                <w:rFonts w:ascii="Arial" w:hAnsi="Arial"/>
                <w:b w:val="0"/>
                <w:bCs w:val="0"/>
                <w:sz w:val="20"/>
                <w:szCs w:val="20"/>
                <w:lang w:eastAsia="en-AU"/>
              </w:rPr>
            </w:pPr>
            <w:r w:rsidRPr="005A5704">
              <w:rPr>
                <w:rFonts w:ascii="Arial" w:hAnsi="Arial"/>
                <w:b w:val="0"/>
                <w:bCs w:val="0"/>
                <w:sz w:val="20"/>
                <w:szCs w:val="20"/>
                <w:lang w:eastAsia="en-AU"/>
              </w:rPr>
              <w:t>In the absence of appropriate management measures, air emissions from the construction, mining, and the operation of the processing plant (mineral separation plant and refiner</w:t>
            </w:r>
            <w:r w:rsidR="0073776F">
              <w:rPr>
                <w:rFonts w:ascii="Arial" w:hAnsi="Arial"/>
                <w:b w:val="0"/>
                <w:bCs w:val="0"/>
                <w:sz w:val="20"/>
                <w:szCs w:val="20"/>
                <w:lang w:eastAsia="en-AU"/>
              </w:rPr>
              <w:t>y</w:t>
            </w:r>
            <w:r w:rsidRPr="005A5704">
              <w:rPr>
                <w:rFonts w:ascii="Arial" w:hAnsi="Arial"/>
                <w:b w:val="0"/>
                <w:bCs w:val="0"/>
                <w:sz w:val="20"/>
                <w:szCs w:val="20"/>
                <w:lang w:eastAsia="en-AU"/>
              </w:rPr>
              <w:t xml:space="preserve">), and Project-related traffic have potential to: </w:t>
            </w:r>
          </w:p>
          <w:p w14:paraId="06D4ECB5" w14:textId="77777777" w:rsidR="005A5704" w:rsidRPr="0017475D" w:rsidRDefault="005A5704" w:rsidP="0017475D">
            <w:pPr>
              <w:pStyle w:val="ListBullet"/>
              <w:numPr>
                <w:ilvl w:val="0"/>
                <w:numId w:val="17"/>
              </w:numPr>
              <w:rPr>
                <w:b w:val="0"/>
                <w:bCs w:val="0"/>
              </w:rPr>
            </w:pPr>
            <w:r w:rsidRPr="0017475D">
              <w:rPr>
                <w:b w:val="0"/>
                <w:bCs w:val="0"/>
              </w:rPr>
              <w:t>increase gases and particulate matter concentrations in the air;</w:t>
            </w:r>
          </w:p>
          <w:p w14:paraId="31899D9E" w14:textId="4233B4AA" w:rsidR="00E12CA9" w:rsidRPr="0017475D" w:rsidRDefault="00E12CA9" w:rsidP="0017475D">
            <w:pPr>
              <w:pStyle w:val="ListBullet"/>
              <w:numPr>
                <w:ilvl w:val="0"/>
                <w:numId w:val="17"/>
              </w:numPr>
              <w:rPr>
                <w:b w:val="0"/>
                <w:bCs w:val="0"/>
              </w:rPr>
            </w:pPr>
            <w:r w:rsidRPr="0017475D">
              <w:rPr>
                <w:b w:val="0"/>
                <w:bCs w:val="0"/>
              </w:rPr>
              <w:t>increase radiation exposure due to inhalation of airborne radioactive dust</w:t>
            </w:r>
            <w:r w:rsidR="00B25572" w:rsidRPr="0017475D">
              <w:rPr>
                <w:b w:val="0"/>
                <w:bCs w:val="0"/>
              </w:rPr>
              <w:t>, or</w:t>
            </w:r>
            <w:r w:rsidR="006A7128" w:rsidRPr="0017475D">
              <w:rPr>
                <w:b w:val="0"/>
                <w:bCs w:val="0"/>
              </w:rPr>
              <w:t xml:space="preserve"> atmospheric radon and thoron</w:t>
            </w:r>
            <w:r w:rsidRPr="0017475D">
              <w:rPr>
                <w:b w:val="0"/>
                <w:bCs w:val="0"/>
              </w:rPr>
              <w:t>;</w:t>
            </w:r>
          </w:p>
          <w:p w14:paraId="07708347" w14:textId="79D7DCDE" w:rsidR="005A5704" w:rsidRPr="0017475D" w:rsidRDefault="005A5704" w:rsidP="0017475D">
            <w:pPr>
              <w:pStyle w:val="ListBullet"/>
              <w:numPr>
                <w:ilvl w:val="0"/>
                <w:numId w:val="17"/>
              </w:numPr>
              <w:rPr>
                <w:b w:val="0"/>
                <w:bCs w:val="0"/>
              </w:rPr>
            </w:pPr>
            <w:r w:rsidRPr="0017475D">
              <w:rPr>
                <w:b w:val="0"/>
                <w:bCs w:val="0"/>
              </w:rPr>
              <w:t>reduce local amenity; and</w:t>
            </w:r>
            <w:r w:rsidR="009E14B7" w:rsidRPr="0017475D">
              <w:rPr>
                <w:b w:val="0"/>
                <w:bCs w:val="0"/>
              </w:rPr>
              <w:t>/or</w:t>
            </w:r>
          </w:p>
          <w:p w14:paraId="0268FC36" w14:textId="694123D0" w:rsidR="005A5704" w:rsidRPr="0017475D" w:rsidRDefault="005A5704" w:rsidP="0017475D">
            <w:pPr>
              <w:pStyle w:val="ListBullet"/>
              <w:numPr>
                <w:ilvl w:val="0"/>
                <w:numId w:val="17"/>
              </w:numPr>
              <w:rPr>
                <w:b w:val="0"/>
                <w:bCs w:val="0"/>
              </w:rPr>
            </w:pPr>
            <w:r w:rsidRPr="0017475D">
              <w:rPr>
                <w:b w:val="0"/>
                <w:bCs w:val="0"/>
              </w:rPr>
              <w:t>reduce crop quality.</w:t>
            </w:r>
          </w:p>
          <w:p w14:paraId="10A046B0" w14:textId="77777777" w:rsidR="005A5704" w:rsidRDefault="005A5704" w:rsidP="005A5704">
            <w:pPr>
              <w:pStyle w:val="BodyText"/>
              <w:jc w:val="both"/>
              <w:rPr>
                <w:rFonts w:ascii="Arial" w:hAnsi="Arial"/>
                <w:b w:val="0"/>
                <w:bCs w:val="0"/>
                <w:sz w:val="20"/>
                <w:szCs w:val="20"/>
                <w:lang w:eastAsia="en-AU"/>
              </w:rPr>
            </w:pPr>
            <w:r w:rsidRPr="005A5704">
              <w:rPr>
                <w:rFonts w:ascii="Arial" w:hAnsi="Arial"/>
                <w:b w:val="0"/>
                <w:bCs w:val="0"/>
                <w:sz w:val="20"/>
                <w:szCs w:val="20"/>
                <w:lang w:eastAsia="en-AU"/>
              </w:rPr>
              <w:t xml:space="preserve">The most significant air pollutant is expected to be dust generated from land clearing, mining and the operation of traffic on unsealed roads. The extent of the impacts will depend on prevailing weather conditions, the proximity of the receiver to the Project site and the effectiveness of the mitigation measures implemented. </w:t>
            </w:r>
          </w:p>
          <w:p w14:paraId="6FC481B6" w14:textId="77777777" w:rsidR="005A5704" w:rsidRPr="005A5704" w:rsidRDefault="005A5704" w:rsidP="005A5704">
            <w:pPr>
              <w:pStyle w:val="BodyText"/>
              <w:jc w:val="both"/>
              <w:rPr>
                <w:rFonts w:ascii="Arial" w:hAnsi="Arial"/>
                <w:b w:val="0"/>
                <w:bCs w:val="0"/>
                <w:sz w:val="20"/>
                <w:szCs w:val="20"/>
                <w:lang w:eastAsia="en-AU"/>
              </w:rPr>
            </w:pPr>
          </w:p>
          <w:p w14:paraId="60B127AA" w14:textId="5AE63742" w:rsidR="009A5B6E" w:rsidRDefault="005A5704" w:rsidP="009A5B6E">
            <w:pPr>
              <w:pStyle w:val="BodyText"/>
              <w:spacing w:after="120"/>
              <w:jc w:val="both"/>
              <w:rPr>
                <w:rFonts w:ascii="Arial" w:hAnsi="Arial"/>
                <w:b w:val="0"/>
                <w:bCs w:val="0"/>
                <w:sz w:val="20"/>
                <w:szCs w:val="20"/>
                <w:lang w:eastAsia="en-AU"/>
              </w:rPr>
            </w:pPr>
            <w:r w:rsidRPr="005A5704">
              <w:rPr>
                <w:rFonts w:ascii="Arial" w:hAnsi="Arial"/>
                <w:b w:val="0"/>
                <w:bCs w:val="0"/>
                <w:sz w:val="20"/>
                <w:szCs w:val="20"/>
                <w:lang w:eastAsia="en-AU"/>
              </w:rPr>
              <w:t>The air quality impact assessment will quantify the potential impacts and will inform Project design and operations to ensure air quality impacts are minimised</w:t>
            </w:r>
            <w:r w:rsidR="009A5B6E">
              <w:rPr>
                <w:rFonts w:ascii="Arial" w:hAnsi="Arial"/>
                <w:b w:val="0"/>
                <w:bCs w:val="0"/>
                <w:sz w:val="20"/>
                <w:szCs w:val="20"/>
                <w:lang w:eastAsia="en-AU"/>
              </w:rPr>
              <w:t xml:space="preserve"> and comply with relevant air quality criteria in the </w:t>
            </w:r>
            <w:r w:rsidR="009A5B6E" w:rsidRPr="009E14B7">
              <w:rPr>
                <w:rFonts w:ascii="Arial" w:hAnsi="Arial"/>
                <w:b w:val="0"/>
                <w:bCs w:val="0"/>
                <w:i/>
                <w:iCs/>
                <w:sz w:val="20"/>
                <w:szCs w:val="20"/>
                <w:lang w:eastAsia="en-AU"/>
              </w:rPr>
              <w:t>State Environment Protection Policy (Air Quality Management)</w:t>
            </w:r>
            <w:r w:rsidR="009A5B6E">
              <w:rPr>
                <w:rFonts w:ascii="Arial" w:hAnsi="Arial"/>
                <w:b w:val="0"/>
                <w:bCs w:val="0"/>
                <w:sz w:val="20"/>
                <w:szCs w:val="20"/>
                <w:lang w:eastAsia="en-AU"/>
              </w:rPr>
              <w:t xml:space="preserve"> (SEPP AQM) and the </w:t>
            </w:r>
            <w:r w:rsidR="009A5B6E" w:rsidRPr="009E14B7">
              <w:rPr>
                <w:rFonts w:ascii="Arial" w:hAnsi="Arial"/>
                <w:b w:val="0"/>
                <w:bCs w:val="0"/>
                <w:i/>
                <w:iCs/>
                <w:sz w:val="20"/>
                <w:szCs w:val="20"/>
                <w:lang w:eastAsia="en-AU"/>
              </w:rPr>
              <w:t xml:space="preserve">Protocol for Environmental Management for Mining and Extractive </w:t>
            </w:r>
            <w:r w:rsidR="00F74F58" w:rsidRPr="009E14B7">
              <w:rPr>
                <w:rFonts w:ascii="Arial" w:hAnsi="Arial"/>
                <w:b w:val="0"/>
                <w:bCs w:val="0"/>
                <w:i/>
                <w:iCs/>
                <w:sz w:val="20"/>
                <w:szCs w:val="20"/>
                <w:lang w:eastAsia="en-AU"/>
              </w:rPr>
              <w:t>Industries</w:t>
            </w:r>
            <w:r w:rsidR="009A5B6E">
              <w:rPr>
                <w:rFonts w:ascii="Arial" w:hAnsi="Arial"/>
                <w:b w:val="0"/>
                <w:bCs w:val="0"/>
                <w:sz w:val="20"/>
                <w:szCs w:val="20"/>
                <w:lang w:eastAsia="en-AU"/>
              </w:rPr>
              <w:t xml:space="preserve"> (the Mining PEM)</w:t>
            </w:r>
            <w:r w:rsidRPr="005A5704">
              <w:rPr>
                <w:rFonts w:ascii="Arial" w:hAnsi="Arial"/>
                <w:b w:val="0"/>
                <w:bCs w:val="0"/>
                <w:sz w:val="20"/>
                <w:szCs w:val="20"/>
                <w:lang w:eastAsia="en-AU"/>
              </w:rPr>
              <w:t>.</w:t>
            </w:r>
          </w:p>
          <w:p w14:paraId="074B8B0A" w14:textId="77777777" w:rsidR="001C34F3" w:rsidRDefault="00061847" w:rsidP="009A5B6E">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Identification and assessment of a</w:t>
            </w:r>
            <w:r w:rsidR="00E12CA9">
              <w:rPr>
                <w:rFonts w:ascii="Arial" w:hAnsi="Arial"/>
                <w:b w:val="0"/>
                <w:bCs w:val="0"/>
                <w:sz w:val="20"/>
                <w:szCs w:val="20"/>
                <w:lang w:eastAsia="en-AU"/>
              </w:rPr>
              <w:t xml:space="preserve">ir emissions from the proposed mineral processing and refining </w:t>
            </w:r>
            <w:r>
              <w:rPr>
                <w:rFonts w:ascii="Arial" w:hAnsi="Arial"/>
                <w:b w:val="0"/>
                <w:bCs w:val="0"/>
                <w:sz w:val="20"/>
                <w:szCs w:val="20"/>
                <w:lang w:eastAsia="en-AU"/>
              </w:rPr>
              <w:t>is occurring</w:t>
            </w:r>
            <w:r w:rsidR="00E12CA9">
              <w:rPr>
                <w:rFonts w:ascii="Arial" w:hAnsi="Arial"/>
                <w:b w:val="0"/>
                <w:bCs w:val="0"/>
                <w:sz w:val="20"/>
                <w:szCs w:val="20"/>
                <w:lang w:eastAsia="en-AU"/>
              </w:rPr>
              <w:t xml:space="preserve"> as part of current pilot</w:t>
            </w:r>
            <w:r>
              <w:rPr>
                <w:rFonts w:ascii="Arial" w:hAnsi="Arial"/>
                <w:b w:val="0"/>
                <w:bCs w:val="0"/>
                <w:sz w:val="20"/>
                <w:szCs w:val="20"/>
                <w:lang w:eastAsia="en-AU"/>
              </w:rPr>
              <w:t>-plant scale</w:t>
            </w:r>
            <w:r w:rsidR="00E12CA9">
              <w:rPr>
                <w:rFonts w:ascii="Arial" w:hAnsi="Arial"/>
                <w:b w:val="0"/>
                <w:bCs w:val="0"/>
                <w:sz w:val="20"/>
                <w:szCs w:val="20"/>
                <w:lang w:eastAsia="en-AU"/>
              </w:rPr>
              <w:t xml:space="preserve"> metallurgical </w:t>
            </w:r>
            <w:r>
              <w:rPr>
                <w:rFonts w:ascii="Arial" w:hAnsi="Arial"/>
                <w:b w:val="0"/>
                <w:bCs w:val="0"/>
                <w:sz w:val="20"/>
                <w:szCs w:val="20"/>
                <w:lang w:eastAsia="en-AU"/>
              </w:rPr>
              <w:t>investigations.</w:t>
            </w:r>
          </w:p>
          <w:p w14:paraId="7821AFC8" w14:textId="77777777" w:rsidR="00E12CA9" w:rsidRDefault="00E12CA9" w:rsidP="006A7128">
            <w:pPr>
              <w:pStyle w:val="BodyText"/>
              <w:jc w:val="both"/>
              <w:rPr>
                <w:rFonts w:ascii="Arial" w:hAnsi="Arial"/>
              </w:rPr>
            </w:pPr>
            <w:r>
              <w:rPr>
                <w:rFonts w:ascii="Arial" w:hAnsi="Arial"/>
                <w:b w:val="0"/>
                <w:bCs w:val="0"/>
                <w:sz w:val="20"/>
                <w:szCs w:val="20"/>
                <w:lang w:eastAsia="en-AU"/>
              </w:rPr>
              <w:t>Radiation exposure due to inhalation of radioactive dust</w:t>
            </w:r>
            <w:r w:rsidR="006A7128">
              <w:rPr>
                <w:rFonts w:ascii="Arial" w:hAnsi="Arial"/>
                <w:b w:val="0"/>
                <w:bCs w:val="0"/>
                <w:sz w:val="20"/>
                <w:szCs w:val="20"/>
                <w:lang w:eastAsia="en-AU"/>
              </w:rPr>
              <w:t>,</w:t>
            </w:r>
            <w:r>
              <w:rPr>
                <w:rFonts w:ascii="Arial" w:hAnsi="Arial"/>
                <w:b w:val="0"/>
                <w:bCs w:val="0"/>
                <w:sz w:val="20"/>
                <w:szCs w:val="20"/>
                <w:lang w:eastAsia="en-AU"/>
              </w:rPr>
              <w:t xml:space="preserve"> </w:t>
            </w:r>
            <w:r w:rsidR="006A7128">
              <w:rPr>
                <w:rFonts w:ascii="Arial" w:hAnsi="Arial"/>
                <w:b w:val="0"/>
                <w:bCs w:val="0"/>
                <w:sz w:val="20"/>
                <w:szCs w:val="20"/>
                <w:lang w:eastAsia="en-AU"/>
              </w:rPr>
              <w:t>or atmospheric radon and thoron, will be</w:t>
            </w:r>
            <w:r>
              <w:rPr>
                <w:rFonts w:ascii="Arial" w:hAnsi="Arial"/>
                <w:b w:val="0"/>
                <w:bCs w:val="0"/>
                <w:sz w:val="20"/>
                <w:szCs w:val="20"/>
                <w:lang w:eastAsia="en-AU"/>
              </w:rPr>
              <w:t xml:space="preserve"> considered as part of the radiological impact assessment for the Project.</w:t>
            </w:r>
          </w:p>
        </w:tc>
      </w:tr>
      <w:tr w:rsidR="001C34F3" w14:paraId="562ABFFE" w14:textId="77777777" w:rsidTr="00552B3B">
        <w:tblPrEx>
          <w:tblBorders>
            <w:top w:val="none" w:sz="0" w:space="0" w:color="auto"/>
            <w:left w:val="none" w:sz="0" w:space="0" w:color="auto"/>
            <w:bottom w:val="none" w:sz="0" w:space="0" w:color="auto"/>
            <w:right w:val="none" w:sz="0" w:space="0" w:color="auto"/>
            <w:insideV w:val="none" w:sz="0" w:space="0" w:color="auto"/>
          </w:tblBorders>
        </w:tblPrEx>
        <w:tc>
          <w:tcPr>
            <w:tcW w:w="9243" w:type="dxa"/>
            <w:tcBorders>
              <w:top w:val="single" w:sz="4" w:space="0" w:color="auto"/>
              <w:left w:val="single" w:sz="4" w:space="0" w:color="auto"/>
              <w:bottom w:val="single" w:sz="4" w:space="0" w:color="auto"/>
              <w:right w:val="single" w:sz="4" w:space="0" w:color="auto"/>
            </w:tcBorders>
          </w:tcPr>
          <w:p w14:paraId="1D253E53" w14:textId="77777777" w:rsidR="005A5704" w:rsidRDefault="005A5704" w:rsidP="005A5704">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r>
              <w:lastRenderedPageBreak/>
              <w:t>11.6 Soils and rehabilitation</w:t>
            </w:r>
          </w:p>
          <w:p w14:paraId="38D4BFBC" w14:textId="77777777" w:rsidR="005A5704" w:rsidRPr="005A5704" w:rsidRDefault="005A5704" w:rsidP="0044477E">
            <w:pPr>
              <w:pStyle w:val="BodyText"/>
              <w:spacing w:after="120"/>
              <w:jc w:val="both"/>
              <w:rPr>
                <w:rFonts w:ascii="Arial" w:hAnsi="Arial"/>
                <w:b w:val="0"/>
                <w:bCs w:val="0"/>
                <w:sz w:val="20"/>
                <w:szCs w:val="20"/>
                <w:lang w:eastAsia="en-AU"/>
              </w:rPr>
            </w:pPr>
            <w:r w:rsidRPr="005A5704">
              <w:rPr>
                <w:rFonts w:ascii="Arial" w:hAnsi="Arial"/>
                <w:b w:val="0"/>
                <w:bCs w:val="0"/>
                <w:sz w:val="20"/>
                <w:szCs w:val="20"/>
                <w:lang w:eastAsia="en-AU"/>
              </w:rPr>
              <w:t>In the absence of appropriate management measures, there is potential for Project-related activities to result in a reduction in topsoil/subsoil quantity and/or quality which may in turn impact the eventual rehabilitation success.</w:t>
            </w:r>
          </w:p>
          <w:p w14:paraId="54CC5102" w14:textId="77777777" w:rsidR="005A5704" w:rsidRPr="005A5704" w:rsidRDefault="005A5704" w:rsidP="0044477E">
            <w:pPr>
              <w:pStyle w:val="BodyText"/>
              <w:spacing w:after="120"/>
              <w:jc w:val="both"/>
              <w:rPr>
                <w:rFonts w:ascii="Arial" w:hAnsi="Arial"/>
                <w:b w:val="0"/>
                <w:bCs w:val="0"/>
                <w:sz w:val="20"/>
                <w:szCs w:val="20"/>
                <w:lang w:eastAsia="en-AU"/>
              </w:rPr>
            </w:pPr>
            <w:r w:rsidRPr="005A5704">
              <w:rPr>
                <w:rFonts w:ascii="Arial" w:hAnsi="Arial"/>
                <w:b w:val="0"/>
                <w:bCs w:val="0"/>
                <w:sz w:val="20"/>
                <w:szCs w:val="20"/>
                <w:lang w:eastAsia="en-AU"/>
              </w:rPr>
              <w:t>These potential impacts can be mitigated through the careful management of stockpiles, by-product disposal and ongoing monitoring of soil and groundwater characteristics.</w:t>
            </w:r>
          </w:p>
          <w:p w14:paraId="3D4C9F08" w14:textId="77777777" w:rsidR="001C34F3" w:rsidRDefault="005A5704" w:rsidP="0044477E">
            <w:pPr>
              <w:pStyle w:val="BodyText"/>
              <w:spacing w:after="120"/>
              <w:jc w:val="both"/>
              <w:rPr>
                <w:rFonts w:ascii="Arial" w:hAnsi="Arial"/>
                <w:b w:val="0"/>
                <w:bCs w:val="0"/>
                <w:sz w:val="20"/>
                <w:szCs w:val="20"/>
                <w:lang w:eastAsia="en-AU"/>
              </w:rPr>
            </w:pPr>
            <w:r w:rsidRPr="005A5704">
              <w:rPr>
                <w:rFonts w:ascii="Arial" w:hAnsi="Arial"/>
                <w:b w:val="0"/>
                <w:bCs w:val="0"/>
                <w:sz w:val="20"/>
                <w:szCs w:val="20"/>
                <w:lang w:eastAsia="en-AU"/>
              </w:rPr>
              <w:t xml:space="preserve">The soil and landscape impact assessment will quantify the potential impacts and will inform Project design and operations to ensure soil and landscape impacts are minimised during construction, operation, closure and rehabilitation. </w:t>
            </w:r>
          </w:p>
          <w:p w14:paraId="3F7DBF90" w14:textId="786EE3E3" w:rsidR="0044477E" w:rsidRPr="00054999" w:rsidRDefault="009E14B7" w:rsidP="009E14B7">
            <w:pPr>
              <w:pStyle w:val="BodyText"/>
              <w:spacing w:after="120"/>
              <w:jc w:val="both"/>
              <w:rPr>
                <w:rFonts w:ascii="Arial" w:hAnsi="Arial"/>
                <w:b w:val="0"/>
                <w:bCs w:val="0"/>
                <w:sz w:val="20"/>
                <w:szCs w:val="20"/>
                <w:lang w:eastAsia="en-AU"/>
              </w:rPr>
            </w:pPr>
            <w:r w:rsidRPr="009E14B7">
              <w:rPr>
                <w:rFonts w:ascii="Arial" w:hAnsi="Arial"/>
                <w:b w:val="0"/>
                <w:bCs w:val="0"/>
                <w:sz w:val="20"/>
                <w:szCs w:val="20"/>
                <w:lang w:eastAsia="en-AU"/>
              </w:rPr>
              <w:t xml:space="preserve">Acid generation resulting from pit dewatering is not expected to occur. The occurrence of Acid Sulphate Soils (ASS) and Acid Sulphate Rock (ASR) have been assessed via the sampling and geochemical analysis of samples collected during an exploration drilling program undertaken in March 2018. A total of four samples were collected from the southern half of the deposit (approximately 2 km south of the test pit site) for analysis via the chromium reducible </w:t>
            </w:r>
            <w:proofErr w:type="spellStart"/>
            <w:r w:rsidRPr="009E14B7">
              <w:rPr>
                <w:rFonts w:ascii="Arial" w:hAnsi="Arial"/>
                <w:b w:val="0"/>
                <w:bCs w:val="0"/>
                <w:sz w:val="20"/>
                <w:szCs w:val="20"/>
                <w:lang w:eastAsia="en-AU"/>
              </w:rPr>
              <w:t>sulfur</w:t>
            </w:r>
            <w:proofErr w:type="spellEnd"/>
            <w:r w:rsidRPr="009E14B7">
              <w:rPr>
                <w:rFonts w:ascii="Arial" w:hAnsi="Arial"/>
                <w:b w:val="0"/>
                <w:bCs w:val="0"/>
                <w:sz w:val="20"/>
                <w:szCs w:val="20"/>
                <w:lang w:eastAsia="en-AU"/>
              </w:rPr>
              <w:t xml:space="preserve"> suite and net acid generating (NAG) </w:t>
            </w:r>
            <w:proofErr w:type="spellStart"/>
            <w:r w:rsidRPr="009E14B7">
              <w:rPr>
                <w:rFonts w:ascii="Arial" w:hAnsi="Arial"/>
                <w:b w:val="0"/>
                <w:bCs w:val="0"/>
                <w:sz w:val="20"/>
                <w:szCs w:val="20"/>
                <w:lang w:eastAsia="en-AU"/>
              </w:rPr>
              <w:t>NAGpH</w:t>
            </w:r>
            <w:proofErr w:type="spellEnd"/>
            <w:r w:rsidRPr="009E14B7">
              <w:rPr>
                <w:rFonts w:ascii="Arial" w:hAnsi="Arial"/>
                <w:b w:val="0"/>
                <w:bCs w:val="0"/>
                <w:sz w:val="20"/>
                <w:szCs w:val="20"/>
                <w:lang w:eastAsia="en-AU"/>
              </w:rPr>
              <w:t xml:space="preserve">. The results of the analysis were compared to the criteria in Publication 655.1 (EPA 2009) and the classification criteria set out in the </w:t>
            </w:r>
            <w:r w:rsidRPr="009E14B7">
              <w:rPr>
                <w:rFonts w:ascii="Arial" w:hAnsi="Arial"/>
                <w:b w:val="0"/>
                <w:bCs w:val="0"/>
                <w:i/>
                <w:iCs/>
                <w:sz w:val="20"/>
                <w:szCs w:val="20"/>
                <w:lang w:eastAsia="en-AU"/>
              </w:rPr>
              <w:t>Acid Rock Drainage Test Handbook</w:t>
            </w:r>
            <w:r w:rsidRPr="009E14B7">
              <w:rPr>
                <w:rFonts w:ascii="Arial" w:hAnsi="Arial"/>
                <w:b w:val="0"/>
                <w:bCs w:val="0"/>
                <w:sz w:val="20"/>
                <w:szCs w:val="20"/>
                <w:lang w:eastAsia="en-AU"/>
              </w:rPr>
              <w:t xml:space="preserve"> (AMIRA 2002). The results provide no indication of the presence of acid </w:t>
            </w:r>
            <w:proofErr w:type="spellStart"/>
            <w:r w:rsidRPr="009E14B7">
              <w:rPr>
                <w:rFonts w:ascii="Arial" w:hAnsi="Arial"/>
                <w:b w:val="0"/>
                <w:bCs w:val="0"/>
                <w:sz w:val="20"/>
                <w:szCs w:val="20"/>
                <w:lang w:eastAsia="en-AU"/>
              </w:rPr>
              <w:t>sulfate</w:t>
            </w:r>
            <w:proofErr w:type="spellEnd"/>
            <w:r w:rsidRPr="009E14B7">
              <w:rPr>
                <w:rFonts w:ascii="Arial" w:hAnsi="Arial"/>
                <w:b w:val="0"/>
                <w:bCs w:val="0"/>
                <w:sz w:val="20"/>
                <w:szCs w:val="20"/>
                <w:lang w:eastAsia="en-AU"/>
              </w:rPr>
              <w:t xml:space="preserve"> soils or acid </w:t>
            </w:r>
            <w:proofErr w:type="spellStart"/>
            <w:r w:rsidRPr="009E14B7">
              <w:rPr>
                <w:rFonts w:ascii="Arial" w:hAnsi="Arial"/>
                <w:b w:val="0"/>
                <w:bCs w:val="0"/>
                <w:sz w:val="20"/>
                <w:szCs w:val="20"/>
                <w:lang w:eastAsia="en-AU"/>
              </w:rPr>
              <w:t>sulfate</w:t>
            </w:r>
            <w:proofErr w:type="spellEnd"/>
            <w:r w:rsidRPr="009E14B7">
              <w:rPr>
                <w:rFonts w:ascii="Arial" w:hAnsi="Arial"/>
                <w:b w:val="0"/>
                <w:bCs w:val="0"/>
                <w:sz w:val="20"/>
                <w:szCs w:val="20"/>
                <w:lang w:eastAsia="en-AU"/>
              </w:rPr>
              <w:t xml:space="preserve"> rock. The analysis results and assessment are described in the report </w:t>
            </w:r>
            <w:r w:rsidRPr="009E14B7">
              <w:rPr>
                <w:rFonts w:ascii="Arial" w:hAnsi="Arial"/>
                <w:b w:val="0"/>
                <w:bCs w:val="0"/>
                <w:i/>
                <w:iCs/>
                <w:sz w:val="20"/>
                <w:szCs w:val="20"/>
                <w:lang w:eastAsia="en-AU"/>
              </w:rPr>
              <w:t>WIM100 Test Pit – Preliminary Dewatering Assessment</w:t>
            </w:r>
            <w:r w:rsidRPr="009E14B7">
              <w:rPr>
                <w:rFonts w:ascii="Arial" w:hAnsi="Arial"/>
                <w:b w:val="0"/>
                <w:bCs w:val="0"/>
                <w:sz w:val="20"/>
                <w:szCs w:val="20"/>
                <w:lang w:eastAsia="en-AU"/>
              </w:rPr>
              <w:t xml:space="preserve"> (Jacobs 2018b). Furthermore, no evidence of acid generation has been observed in the groundwater monitoring results for samples obtained during and following dewatering activities at the test pit site. </w:t>
            </w:r>
          </w:p>
        </w:tc>
      </w:tr>
      <w:tr w:rsidR="001C34F3" w14:paraId="651CA0D3" w14:textId="77777777" w:rsidTr="00552B3B">
        <w:tc>
          <w:tcPr>
            <w:tcW w:w="9243" w:type="dxa"/>
            <w:tcBorders>
              <w:top w:val="single" w:sz="4" w:space="0" w:color="auto"/>
            </w:tcBorders>
          </w:tcPr>
          <w:p w14:paraId="41145475" w14:textId="77777777" w:rsidR="005A5704" w:rsidRDefault="005A5704" w:rsidP="005A5704">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r>
              <w:lastRenderedPageBreak/>
              <w:t>11.7 Visual impact</w:t>
            </w:r>
          </w:p>
          <w:p w14:paraId="43F8D688" w14:textId="589F332A" w:rsidR="000228D4" w:rsidRPr="00212E91" w:rsidRDefault="005A5704" w:rsidP="000228D4">
            <w:pPr>
              <w:spacing w:after="120"/>
              <w:jc w:val="both"/>
              <w:rPr>
                <w:rFonts w:ascii="Arial" w:hAnsi="Arial"/>
              </w:rPr>
            </w:pPr>
            <w:r w:rsidRPr="007D4860">
              <w:rPr>
                <w:rFonts w:ascii="Arial" w:hAnsi="Arial"/>
                <w:bCs/>
              </w:rPr>
              <w:t>Stockpiles, the processing plant and Project infrastructure have the potential to impact the rural character of the area. As the site is relatively flat, it is anticipated that the Project infrastructure will be visible from a considerable distance</w:t>
            </w:r>
            <w:r w:rsidR="000228D4" w:rsidRPr="007D4860">
              <w:rPr>
                <w:rFonts w:ascii="Arial" w:hAnsi="Arial"/>
                <w:bCs/>
              </w:rPr>
              <w:t>.</w:t>
            </w:r>
            <w:r w:rsidR="000228D4">
              <w:rPr>
                <w:rFonts w:ascii="Arial" w:hAnsi="Arial"/>
                <w:b/>
                <w:bCs/>
              </w:rPr>
              <w:t xml:space="preserve"> </w:t>
            </w:r>
            <w:r w:rsidR="000228D4" w:rsidRPr="000228D4">
              <w:rPr>
                <w:rFonts w:ascii="Arial" w:hAnsi="Arial"/>
                <w:bCs/>
              </w:rPr>
              <w:t>As previously noted</w:t>
            </w:r>
            <w:r w:rsidR="000228D4">
              <w:rPr>
                <w:rFonts w:ascii="Arial" w:hAnsi="Arial"/>
                <w:b/>
                <w:bCs/>
              </w:rPr>
              <w:t xml:space="preserve"> </w:t>
            </w:r>
            <w:r w:rsidR="000228D4" w:rsidRPr="00212E91">
              <w:rPr>
                <w:rFonts w:ascii="Arial" w:hAnsi="Arial"/>
              </w:rPr>
              <w:t xml:space="preserve">it is possible that the following areas in the broader region may have views </w:t>
            </w:r>
            <w:r w:rsidR="009E14B7">
              <w:rPr>
                <w:rFonts w:ascii="Arial" w:hAnsi="Arial"/>
              </w:rPr>
              <w:t>to t</w:t>
            </w:r>
            <w:r w:rsidR="000228D4" w:rsidRPr="00212E91">
              <w:rPr>
                <w:rFonts w:ascii="Arial" w:hAnsi="Arial"/>
              </w:rPr>
              <w:t>he site:  </w:t>
            </w:r>
          </w:p>
          <w:p w14:paraId="3C4B0AEE" w14:textId="77777777" w:rsidR="000228D4" w:rsidRPr="0017475D" w:rsidRDefault="000228D4" w:rsidP="0017475D">
            <w:pPr>
              <w:pStyle w:val="ListBullet"/>
              <w:numPr>
                <w:ilvl w:val="0"/>
                <w:numId w:val="17"/>
              </w:numPr>
              <w:rPr>
                <w:b w:val="0"/>
                <w:bCs w:val="0"/>
              </w:rPr>
            </w:pPr>
            <w:r w:rsidRPr="0017475D">
              <w:rPr>
                <w:b w:val="0"/>
                <w:bCs w:val="0"/>
              </w:rPr>
              <w:t>Mount Arapiles-</w:t>
            </w:r>
            <w:proofErr w:type="spellStart"/>
            <w:r w:rsidRPr="0017475D">
              <w:rPr>
                <w:b w:val="0"/>
                <w:bCs w:val="0"/>
              </w:rPr>
              <w:t>Tooan</w:t>
            </w:r>
            <w:proofErr w:type="spellEnd"/>
            <w:r w:rsidRPr="0017475D">
              <w:rPr>
                <w:b w:val="0"/>
                <w:bCs w:val="0"/>
              </w:rPr>
              <w:t xml:space="preserve"> State Park, located approximately 15 km to the north/north-west of the site, with an elevation of 388 m AHD; 140m above Wimmera Plains</w:t>
            </w:r>
            <w:r w:rsidR="006B0B30" w:rsidRPr="0017475D">
              <w:rPr>
                <w:b w:val="0"/>
                <w:bCs w:val="0"/>
              </w:rPr>
              <w:t>;</w:t>
            </w:r>
          </w:p>
          <w:p w14:paraId="25EF190A" w14:textId="02AB8ECD" w:rsidR="000228D4" w:rsidRPr="0017475D" w:rsidRDefault="000228D4" w:rsidP="0017475D">
            <w:pPr>
              <w:pStyle w:val="ListBullet"/>
              <w:numPr>
                <w:ilvl w:val="0"/>
                <w:numId w:val="17"/>
              </w:numPr>
              <w:rPr>
                <w:b w:val="0"/>
                <w:bCs w:val="0"/>
              </w:rPr>
            </w:pPr>
            <w:r w:rsidRPr="0017475D">
              <w:rPr>
                <w:b w:val="0"/>
                <w:bCs w:val="0"/>
              </w:rPr>
              <w:t xml:space="preserve">Black Range State Park (unnamed peak), located approximately 17 km to the south-east of the site, </w:t>
            </w:r>
            <w:r w:rsidR="006B0B30" w:rsidRPr="0017475D">
              <w:rPr>
                <w:b w:val="0"/>
                <w:bCs w:val="0"/>
              </w:rPr>
              <w:t>with an elevation of 490 m AHD;</w:t>
            </w:r>
            <w:r w:rsidR="0035115B" w:rsidRPr="0017475D">
              <w:rPr>
                <w:b w:val="0"/>
                <w:bCs w:val="0"/>
              </w:rPr>
              <w:t xml:space="preserve"> and</w:t>
            </w:r>
          </w:p>
          <w:p w14:paraId="60A06089" w14:textId="2124B64E" w:rsidR="000228D4" w:rsidRPr="0017475D" w:rsidRDefault="000228D4" w:rsidP="0017475D">
            <w:pPr>
              <w:pStyle w:val="ListBullet"/>
              <w:numPr>
                <w:ilvl w:val="0"/>
                <w:numId w:val="17"/>
              </w:numPr>
              <w:rPr>
                <w:b w:val="0"/>
                <w:bCs w:val="0"/>
              </w:rPr>
            </w:pPr>
            <w:r w:rsidRPr="0017475D">
              <w:rPr>
                <w:b w:val="0"/>
                <w:bCs w:val="0"/>
              </w:rPr>
              <w:t>Black Range State Park (unnamed peak), located approximately 20 km to the south/south-east of the site, with an elevation of 548 m AHD</w:t>
            </w:r>
            <w:r w:rsidR="0035115B" w:rsidRPr="0017475D">
              <w:rPr>
                <w:b w:val="0"/>
                <w:bCs w:val="0"/>
              </w:rPr>
              <w:t>.</w:t>
            </w:r>
          </w:p>
          <w:p w14:paraId="7DC804C3" w14:textId="77777777" w:rsidR="0035115B" w:rsidRPr="00784DD5" w:rsidRDefault="0035115B" w:rsidP="00784DD5">
            <w:pPr>
              <w:pStyle w:val="BodyText"/>
              <w:jc w:val="both"/>
              <w:rPr>
                <w:rFonts w:ascii="Arial" w:hAnsi="Arial"/>
                <w:b w:val="0"/>
                <w:bCs w:val="0"/>
                <w:sz w:val="20"/>
                <w:szCs w:val="20"/>
                <w:lang w:eastAsia="en-AU"/>
              </w:rPr>
            </w:pPr>
            <w:r w:rsidRPr="00784DD5">
              <w:rPr>
                <w:rFonts w:ascii="Arial" w:hAnsi="Arial"/>
                <w:b w:val="0"/>
                <w:bCs w:val="0"/>
                <w:sz w:val="20"/>
                <w:szCs w:val="20"/>
                <w:lang w:eastAsia="en-AU"/>
              </w:rPr>
              <w:t xml:space="preserve">While the following elevated areas occur in the local region, viewshed analysis will be required to determine whether the intervening Grampians mountain range disrupts views to the site: </w:t>
            </w:r>
          </w:p>
          <w:p w14:paraId="03A441B0" w14:textId="1F7B4C48" w:rsidR="000228D4" w:rsidRPr="0017475D" w:rsidRDefault="0035115B" w:rsidP="0017475D">
            <w:pPr>
              <w:pStyle w:val="ListBullet"/>
              <w:numPr>
                <w:ilvl w:val="0"/>
                <w:numId w:val="17"/>
              </w:numPr>
              <w:rPr>
                <w:b w:val="0"/>
                <w:bCs w:val="0"/>
              </w:rPr>
            </w:pPr>
            <w:r w:rsidRPr="0017475D">
              <w:rPr>
                <w:b w:val="0"/>
                <w:bCs w:val="0"/>
              </w:rPr>
              <w:t>t</w:t>
            </w:r>
            <w:r w:rsidR="000228D4" w:rsidRPr="0017475D">
              <w:rPr>
                <w:b w:val="0"/>
                <w:bCs w:val="0"/>
              </w:rPr>
              <w:t>he Grampians (Roses Gap), located approximately 35 km to the east of the site, with an elevation of 613 m AHD;</w:t>
            </w:r>
          </w:p>
          <w:p w14:paraId="4F78AF37" w14:textId="627EED8A" w:rsidR="000228D4" w:rsidRPr="0017475D" w:rsidRDefault="0035115B" w:rsidP="0017475D">
            <w:pPr>
              <w:pStyle w:val="ListBullet"/>
              <w:numPr>
                <w:ilvl w:val="0"/>
                <w:numId w:val="17"/>
              </w:numPr>
              <w:rPr>
                <w:b w:val="0"/>
                <w:bCs w:val="0"/>
              </w:rPr>
            </w:pPr>
            <w:r w:rsidRPr="0017475D">
              <w:rPr>
                <w:b w:val="0"/>
                <w:bCs w:val="0"/>
              </w:rPr>
              <w:t>t</w:t>
            </w:r>
            <w:r w:rsidR="000228D4" w:rsidRPr="0017475D">
              <w:rPr>
                <w:b w:val="0"/>
                <w:bCs w:val="0"/>
              </w:rPr>
              <w:t>he Grampians (Halls Gap), located approximately 47 km to the east/south-east of the site, with an elevation of 858 m AHD;</w:t>
            </w:r>
          </w:p>
          <w:p w14:paraId="63E6A63F" w14:textId="4F27D553" w:rsidR="000228D4" w:rsidRPr="0017475D" w:rsidRDefault="0035115B" w:rsidP="0017475D">
            <w:pPr>
              <w:pStyle w:val="ListBullet"/>
              <w:numPr>
                <w:ilvl w:val="0"/>
                <w:numId w:val="17"/>
              </w:numPr>
              <w:rPr>
                <w:b w:val="0"/>
                <w:bCs w:val="0"/>
              </w:rPr>
            </w:pPr>
            <w:r w:rsidRPr="0017475D">
              <w:rPr>
                <w:b w:val="0"/>
                <w:bCs w:val="0"/>
              </w:rPr>
              <w:t>t</w:t>
            </w:r>
            <w:r w:rsidR="000228D4" w:rsidRPr="0017475D">
              <w:rPr>
                <w:b w:val="0"/>
                <w:bCs w:val="0"/>
              </w:rPr>
              <w:t>he Grampians (Victoria Range), located approximately 45 km to the south-east of the site, with an elevation of 971 m AHD; and</w:t>
            </w:r>
          </w:p>
          <w:p w14:paraId="2284B3DA" w14:textId="2FC7EC8A" w:rsidR="000228D4" w:rsidRPr="0017475D" w:rsidRDefault="0035115B" w:rsidP="0017475D">
            <w:pPr>
              <w:pStyle w:val="ListBullet"/>
              <w:numPr>
                <w:ilvl w:val="0"/>
                <w:numId w:val="17"/>
              </w:numPr>
              <w:rPr>
                <w:b w:val="0"/>
                <w:bCs w:val="0"/>
              </w:rPr>
            </w:pPr>
            <w:r w:rsidRPr="0017475D">
              <w:rPr>
                <w:b w:val="0"/>
                <w:bCs w:val="0"/>
              </w:rPr>
              <w:t>t</w:t>
            </w:r>
            <w:r w:rsidR="000228D4" w:rsidRPr="0017475D">
              <w:rPr>
                <w:b w:val="0"/>
                <w:bCs w:val="0"/>
              </w:rPr>
              <w:t>he Grampians (Mt William), located approximately 64 km to the east/south-east of the site, with an elevation of 1160 m AHD.</w:t>
            </w:r>
          </w:p>
          <w:p w14:paraId="57F47A6D" w14:textId="77777777" w:rsidR="000228D4" w:rsidRDefault="000228D4" w:rsidP="005A5704">
            <w:pPr>
              <w:pStyle w:val="BodyText"/>
              <w:jc w:val="both"/>
              <w:rPr>
                <w:rFonts w:ascii="Arial" w:hAnsi="Arial"/>
                <w:b w:val="0"/>
                <w:bCs w:val="0"/>
                <w:sz w:val="20"/>
                <w:szCs w:val="20"/>
                <w:lang w:eastAsia="en-AU"/>
              </w:rPr>
            </w:pPr>
          </w:p>
          <w:p w14:paraId="59098555" w14:textId="5A0D8D4C" w:rsidR="005A5704" w:rsidRDefault="000228D4" w:rsidP="005A5704">
            <w:pPr>
              <w:pStyle w:val="BodyText"/>
              <w:jc w:val="both"/>
              <w:rPr>
                <w:rFonts w:ascii="Arial" w:hAnsi="Arial"/>
                <w:b w:val="0"/>
                <w:bCs w:val="0"/>
                <w:sz w:val="20"/>
                <w:szCs w:val="20"/>
                <w:lang w:eastAsia="en-AU"/>
              </w:rPr>
            </w:pPr>
            <w:r>
              <w:rPr>
                <w:rFonts w:ascii="Arial" w:hAnsi="Arial"/>
                <w:b w:val="0"/>
                <w:bCs w:val="0"/>
                <w:sz w:val="20"/>
                <w:szCs w:val="20"/>
                <w:lang w:eastAsia="en-AU"/>
              </w:rPr>
              <w:t>T</w:t>
            </w:r>
            <w:r w:rsidR="005A5704" w:rsidRPr="005A5704">
              <w:rPr>
                <w:rFonts w:ascii="Arial" w:hAnsi="Arial"/>
                <w:b w:val="0"/>
                <w:bCs w:val="0"/>
                <w:sz w:val="20"/>
                <w:szCs w:val="20"/>
                <w:lang w:eastAsia="en-AU"/>
              </w:rPr>
              <w:t xml:space="preserve">he presence of roadside and scattered trees in and around the Project site will </w:t>
            </w:r>
            <w:r w:rsidR="009E14B7">
              <w:rPr>
                <w:rFonts w:ascii="Arial" w:hAnsi="Arial"/>
                <w:b w:val="0"/>
                <w:bCs w:val="0"/>
                <w:sz w:val="20"/>
                <w:szCs w:val="20"/>
                <w:lang w:eastAsia="en-AU"/>
              </w:rPr>
              <w:t xml:space="preserve">provide some </w:t>
            </w:r>
            <w:r w:rsidR="005A5704" w:rsidRPr="005A5704">
              <w:rPr>
                <w:rFonts w:ascii="Arial" w:hAnsi="Arial"/>
                <w:b w:val="0"/>
                <w:bCs w:val="0"/>
                <w:sz w:val="20"/>
                <w:szCs w:val="20"/>
                <w:lang w:eastAsia="en-AU"/>
              </w:rPr>
              <w:t>visual screening</w:t>
            </w:r>
            <w:r w:rsidR="009E14B7">
              <w:rPr>
                <w:rFonts w:ascii="Arial" w:hAnsi="Arial"/>
                <w:b w:val="0"/>
                <w:bCs w:val="0"/>
                <w:sz w:val="20"/>
                <w:szCs w:val="20"/>
                <w:lang w:eastAsia="en-AU"/>
              </w:rPr>
              <w:t xml:space="preserve"> for views in the surrounding area at a similar elevation. </w:t>
            </w:r>
            <w:r w:rsidR="005A5704" w:rsidRPr="005A5704">
              <w:rPr>
                <w:rFonts w:ascii="Arial" w:hAnsi="Arial"/>
                <w:b w:val="0"/>
                <w:bCs w:val="0"/>
                <w:sz w:val="20"/>
                <w:szCs w:val="20"/>
                <w:lang w:eastAsia="en-AU"/>
              </w:rPr>
              <w:t xml:space="preserve"> </w:t>
            </w:r>
          </w:p>
          <w:p w14:paraId="5D4CF0A2" w14:textId="77777777" w:rsidR="005A5704" w:rsidRPr="005A5704" w:rsidRDefault="005A5704" w:rsidP="005A5704">
            <w:pPr>
              <w:pStyle w:val="BodyText"/>
              <w:jc w:val="both"/>
              <w:rPr>
                <w:rFonts w:ascii="Arial" w:hAnsi="Arial"/>
                <w:b w:val="0"/>
                <w:bCs w:val="0"/>
                <w:sz w:val="20"/>
                <w:szCs w:val="20"/>
                <w:lang w:eastAsia="en-AU"/>
              </w:rPr>
            </w:pPr>
          </w:p>
          <w:p w14:paraId="6BB86020" w14:textId="504BDF60" w:rsidR="005A5704" w:rsidRDefault="005A5704" w:rsidP="005A5704">
            <w:pPr>
              <w:pStyle w:val="BodyText"/>
              <w:jc w:val="both"/>
              <w:rPr>
                <w:rFonts w:ascii="Arial" w:hAnsi="Arial"/>
                <w:b w:val="0"/>
                <w:bCs w:val="0"/>
                <w:sz w:val="20"/>
                <w:szCs w:val="20"/>
                <w:lang w:eastAsia="en-AU"/>
              </w:rPr>
            </w:pPr>
            <w:r w:rsidRPr="005A5704">
              <w:rPr>
                <w:rFonts w:ascii="Arial" w:hAnsi="Arial"/>
                <w:b w:val="0"/>
                <w:bCs w:val="0"/>
                <w:sz w:val="20"/>
                <w:szCs w:val="20"/>
                <w:lang w:eastAsia="en-AU"/>
              </w:rPr>
              <w:t>In the absence of appropriate design measures, operations at night may result in light-spill impacting nearby residents</w:t>
            </w:r>
            <w:r w:rsidR="009E14B7">
              <w:rPr>
                <w:rFonts w:ascii="Arial" w:hAnsi="Arial"/>
                <w:b w:val="0"/>
                <w:bCs w:val="0"/>
                <w:sz w:val="20"/>
                <w:szCs w:val="20"/>
                <w:lang w:eastAsia="en-AU"/>
              </w:rPr>
              <w:t xml:space="preserve"> or indicate the Project’s location from more distant viewpoints. </w:t>
            </w:r>
          </w:p>
          <w:p w14:paraId="1B4C8D56" w14:textId="77777777" w:rsidR="005A5704" w:rsidRPr="005A5704" w:rsidRDefault="005A5704" w:rsidP="005A5704">
            <w:pPr>
              <w:pStyle w:val="BodyText"/>
              <w:jc w:val="both"/>
              <w:rPr>
                <w:rFonts w:ascii="Arial" w:hAnsi="Arial"/>
                <w:b w:val="0"/>
                <w:bCs w:val="0"/>
                <w:sz w:val="20"/>
                <w:szCs w:val="20"/>
                <w:lang w:eastAsia="en-AU"/>
              </w:rPr>
            </w:pPr>
            <w:r w:rsidRPr="005A5704">
              <w:rPr>
                <w:rFonts w:ascii="Arial" w:hAnsi="Arial"/>
                <w:b w:val="0"/>
                <w:bCs w:val="0"/>
                <w:sz w:val="20"/>
                <w:szCs w:val="20"/>
                <w:lang w:eastAsia="en-AU"/>
              </w:rPr>
              <w:t xml:space="preserve"> </w:t>
            </w:r>
          </w:p>
          <w:p w14:paraId="62D6CA52" w14:textId="3C525433" w:rsidR="001C34F3" w:rsidRDefault="005A5704" w:rsidP="005A5704">
            <w:pPr>
              <w:pStyle w:val="BodyText"/>
              <w:jc w:val="both"/>
              <w:rPr>
                <w:rFonts w:ascii="Arial" w:hAnsi="Arial"/>
              </w:rPr>
            </w:pPr>
            <w:r w:rsidRPr="005A5704">
              <w:rPr>
                <w:rFonts w:ascii="Arial" w:hAnsi="Arial"/>
                <w:b w:val="0"/>
                <w:bCs w:val="0"/>
                <w:sz w:val="20"/>
                <w:szCs w:val="20"/>
                <w:lang w:eastAsia="en-AU"/>
              </w:rPr>
              <w:t xml:space="preserve">The </w:t>
            </w:r>
            <w:r w:rsidR="009E14B7">
              <w:rPr>
                <w:rFonts w:ascii="Arial" w:hAnsi="Arial"/>
                <w:b w:val="0"/>
                <w:bCs w:val="0"/>
                <w:sz w:val="20"/>
                <w:szCs w:val="20"/>
                <w:lang w:eastAsia="en-AU"/>
              </w:rPr>
              <w:t xml:space="preserve">landscape, </w:t>
            </w:r>
            <w:r w:rsidRPr="005A5704">
              <w:rPr>
                <w:rFonts w:ascii="Arial" w:hAnsi="Arial"/>
                <w:b w:val="0"/>
                <w:bCs w:val="0"/>
                <w:sz w:val="20"/>
                <w:szCs w:val="20"/>
                <w:lang w:eastAsia="en-AU"/>
              </w:rPr>
              <w:t>visual</w:t>
            </w:r>
            <w:r w:rsidR="009E14B7">
              <w:rPr>
                <w:rFonts w:ascii="Arial" w:hAnsi="Arial"/>
                <w:b w:val="0"/>
                <w:bCs w:val="0"/>
                <w:sz w:val="20"/>
                <w:szCs w:val="20"/>
                <w:lang w:eastAsia="en-AU"/>
              </w:rPr>
              <w:t xml:space="preserve"> and lighting </w:t>
            </w:r>
            <w:r w:rsidRPr="005A5704">
              <w:rPr>
                <w:rFonts w:ascii="Arial" w:hAnsi="Arial"/>
                <w:b w:val="0"/>
                <w:bCs w:val="0"/>
                <w:sz w:val="20"/>
                <w:szCs w:val="20"/>
                <w:lang w:eastAsia="en-AU"/>
              </w:rPr>
              <w:t xml:space="preserve">impact assessment will quantify the potential impacts and will inform Project design to ensure visual impacts are minimised. </w:t>
            </w:r>
          </w:p>
        </w:tc>
      </w:tr>
      <w:tr w:rsidR="001C34F3" w14:paraId="6CD0BFCA" w14:textId="77777777" w:rsidTr="00E96A1F">
        <w:tc>
          <w:tcPr>
            <w:tcW w:w="9243" w:type="dxa"/>
          </w:tcPr>
          <w:p w14:paraId="1652B438" w14:textId="77777777" w:rsidR="005A5704" w:rsidRDefault="002E0967" w:rsidP="005A5704">
            <w:pPr>
              <w:pStyle w:val="Heading2"/>
              <w:keepLines/>
              <w:numPr>
                <w:ilvl w:val="1"/>
                <w:numId w:val="0"/>
              </w:numPr>
              <w:tabs>
                <w:tab w:val="clear" w:pos="2904"/>
                <w:tab w:val="clear" w:pos="3907"/>
                <w:tab w:val="clear" w:pos="4910"/>
                <w:tab w:val="clear" w:pos="5913"/>
                <w:tab w:val="clear" w:pos="6916"/>
              </w:tabs>
              <w:spacing w:before="240" w:after="240"/>
              <w:ind w:left="851" w:hanging="851"/>
              <w:jc w:val="both"/>
              <w:rPr>
                <w:lang w:eastAsia="en-US"/>
              </w:rPr>
            </w:pPr>
            <w:r>
              <w:rPr>
                <w:lang w:eastAsia="en-US"/>
              </w:rPr>
              <w:t xml:space="preserve">11.8 </w:t>
            </w:r>
            <w:r w:rsidR="005A5704">
              <w:rPr>
                <w:lang w:eastAsia="en-US"/>
              </w:rPr>
              <w:t>Noise and vibration</w:t>
            </w:r>
          </w:p>
          <w:p w14:paraId="7DD87B97" w14:textId="6C064CDA" w:rsidR="005A5704" w:rsidRDefault="005A5704" w:rsidP="002E0967">
            <w:pPr>
              <w:pStyle w:val="BodyText"/>
              <w:jc w:val="both"/>
              <w:rPr>
                <w:rFonts w:ascii="Arial" w:hAnsi="Arial"/>
                <w:b w:val="0"/>
                <w:bCs w:val="0"/>
                <w:sz w:val="20"/>
                <w:szCs w:val="20"/>
                <w:lang w:eastAsia="en-AU"/>
              </w:rPr>
            </w:pPr>
            <w:r w:rsidRPr="002E0967">
              <w:rPr>
                <w:rFonts w:ascii="Arial" w:hAnsi="Arial"/>
                <w:b w:val="0"/>
                <w:bCs w:val="0"/>
                <w:sz w:val="20"/>
                <w:szCs w:val="20"/>
                <w:lang w:eastAsia="en-AU"/>
              </w:rPr>
              <w:t xml:space="preserve">Operation of plant, equipment and machinery during construction and operations will increase noise </w:t>
            </w:r>
            <w:r w:rsidR="00020AA8">
              <w:rPr>
                <w:rFonts w:ascii="Arial" w:hAnsi="Arial"/>
                <w:b w:val="0"/>
                <w:bCs w:val="0"/>
                <w:sz w:val="20"/>
                <w:szCs w:val="20"/>
                <w:lang w:eastAsia="en-AU"/>
              </w:rPr>
              <w:t>(</w:t>
            </w:r>
            <w:r w:rsidR="00020AA8" w:rsidRPr="002E0967">
              <w:rPr>
                <w:rFonts w:ascii="Arial" w:hAnsi="Arial"/>
                <w:b w:val="0"/>
                <w:bCs w:val="0"/>
                <w:sz w:val="20"/>
                <w:szCs w:val="20"/>
                <w:lang w:eastAsia="en-AU"/>
              </w:rPr>
              <w:t xml:space="preserve">and potentially also vibration </w:t>
            </w:r>
            <w:r w:rsidR="00020AA8">
              <w:rPr>
                <w:rFonts w:ascii="Arial" w:hAnsi="Arial"/>
                <w:b w:val="0"/>
                <w:bCs w:val="0"/>
                <w:sz w:val="20"/>
                <w:szCs w:val="20"/>
                <w:lang w:eastAsia="en-AU"/>
              </w:rPr>
              <w:t xml:space="preserve">levels) </w:t>
            </w:r>
            <w:r w:rsidRPr="002E0967">
              <w:rPr>
                <w:rFonts w:ascii="Arial" w:hAnsi="Arial"/>
                <w:b w:val="0"/>
                <w:bCs w:val="0"/>
                <w:sz w:val="20"/>
                <w:szCs w:val="20"/>
                <w:lang w:eastAsia="en-AU"/>
              </w:rPr>
              <w:t>above background levels, in and around the Project site. The impacts to sensitive receivers will depend on the emitted noise levels and frequencies, weather conditions, locations of the sources and receivers</w:t>
            </w:r>
            <w:r w:rsidR="00020AA8">
              <w:rPr>
                <w:rFonts w:ascii="Arial" w:hAnsi="Arial"/>
                <w:b w:val="0"/>
                <w:bCs w:val="0"/>
                <w:sz w:val="20"/>
                <w:szCs w:val="20"/>
                <w:lang w:eastAsia="en-AU"/>
              </w:rPr>
              <w:t xml:space="preserve">, and the effectiveness of mitigation measures. </w:t>
            </w:r>
          </w:p>
          <w:p w14:paraId="750A5959" w14:textId="77777777" w:rsidR="002E0967" w:rsidRPr="002E0967" w:rsidRDefault="002E0967" w:rsidP="002E0967">
            <w:pPr>
              <w:pStyle w:val="BodyText"/>
              <w:jc w:val="both"/>
              <w:rPr>
                <w:rFonts w:ascii="Arial" w:hAnsi="Arial"/>
                <w:b w:val="0"/>
                <w:bCs w:val="0"/>
                <w:sz w:val="20"/>
                <w:szCs w:val="20"/>
                <w:lang w:eastAsia="en-AU"/>
              </w:rPr>
            </w:pPr>
          </w:p>
          <w:p w14:paraId="29129129" w14:textId="1F33FBF8" w:rsidR="002E0967" w:rsidRDefault="005A5704" w:rsidP="002E0967">
            <w:pPr>
              <w:pStyle w:val="BodyText"/>
              <w:jc w:val="both"/>
              <w:rPr>
                <w:rFonts w:ascii="Arial" w:hAnsi="Arial"/>
                <w:b w:val="0"/>
                <w:bCs w:val="0"/>
                <w:sz w:val="20"/>
                <w:szCs w:val="20"/>
                <w:lang w:eastAsia="en-AU"/>
              </w:rPr>
            </w:pPr>
            <w:r w:rsidRPr="002E0967">
              <w:rPr>
                <w:rFonts w:ascii="Arial" w:hAnsi="Arial"/>
                <w:b w:val="0"/>
                <w:bCs w:val="0"/>
                <w:sz w:val="20"/>
                <w:szCs w:val="20"/>
                <w:lang w:eastAsia="en-AU"/>
              </w:rPr>
              <w:t xml:space="preserve">Similarly, the increase in vehicle movements travelling to, from and within the site will also increase noise levels along roads, potentially impacting the amenity of residents </w:t>
            </w:r>
            <w:r w:rsidR="00020AA8">
              <w:rPr>
                <w:rFonts w:ascii="Arial" w:hAnsi="Arial"/>
                <w:b w:val="0"/>
                <w:bCs w:val="0"/>
                <w:sz w:val="20"/>
                <w:szCs w:val="20"/>
                <w:lang w:eastAsia="en-AU"/>
              </w:rPr>
              <w:t>along</w:t>
            </w:r>
            <w:r w:rsidRPr="002E0967">
              <w:rPr>
                <w:rFonts w:ascii="Arial" w:hAnsi="Arial"/>
                <w:b w:val="0"/>
                <w:bCs w:val="0"/>
                <w:sz w:val="20"/>
                <w:szCs w:val="20"/>
                <w:lang w:eastAsia="en-AU"/>
              </w:rPr>
              <w:t xml:space="preserve"> these routes.</w:t>
            </w:r>
          </w:p>
          <w:p w14:paraId="4857A60A" w14:textId="77777777" w:rsidR="005A5704" w:rsidRPr="002E0967" w:rsidRDefault="005A5704" w:rsidP="002E0967">
            <w:pPr>
              <w:pStyle w:val="BodyText"/>
              <w:jc w:val="both"/>
              <w:rPr>
                <w:rFonts w:ascii="Arial" w:hAnsi="Arial"/>
                <w:b w:val="0"/>
                <w:bCs w:val="0"/>
                <w:sz w:val="20"/>
                <w:szCs w:val="20"/>
                <w:lang w:eastAsia="en-AU"/>
              </w:rPr>
            </w:pPr>
            <w:r w:rsidRPr="002E0967">
              <w:rPr>
                <w:rFonts w:ascii="Arial" w:hAnsi="Arial"/>
                <w:b w:val="0"/>
                <w:bCs w:val="0"/>
                <w:sz w:val="20"/>
                <w:szCs w:val="20"/>
                <w:lang w:eastAsia="en-AU"/>
              </w:rPr>
              <w:t xml:space="preserve"> </w:t>
            </w:r>
          </w:p>
          <w:p w14:paraId="4EEE32F7" w14:textId="77777777" w:rsidR="001C34F3" w:rsidRDefault="005A5704" w:rsidP="004956E7">
            <w:pPr>
              <w:pStyle w:val="Default"/>
              <w:jc w:val="both"/>
              <w:rPr>
                <w:b/>
                <w:bCs/>
                <w:sz w:val="20"/>
                <w:szCs w:val="20"/>
              </w:rPr>
            </w:pPr>
            <w:r w:rsidRPr="006B0B30">
              <w:rPr>
                <w:rFonts w:cs="Times New Roman"/>
                <w:color w:val="auto"/>
                <w:sz w:val="20"/>
                <w:szCs w:val="20"/>
              </w:rPr>
              <w:t>The noise and</w:t>
            </w:r>
            <w:r w:rsidR="00020AA8">
              <w:rPr>
                <w:rFonts w:cs="Times New Roman"/>
                <w:color w:val="auto"/>
                <w:sz w:val="20"/>
                <w:szCs w:val="20"/>
              </w:rPr>
              <w:t xml:space="preserve"> </w:t>
            </w:r>
            <w:r w:rsidRPr="006B0B30">
              <w:rPr>
                <w:rFonts w:cs="Times New Roman"/>
                <w:color w:val="auto"/>
                <w:sz w:val="20"/>
                <w:szCs w:val="20"/>
              </w:rPr>
              <w:t>vibration impact assessment</w:t>
            </w:r>
            <w:r w:rsidR="00EC26DC" w:rsidRPr="006B0B30">
              <w:rPr>
                <w:rFonts w:cs="Times New Roman"/>
                <w:color w:val="auto"/>
                <w:sz w:val="20"/>
                <w:szCs w:val="20"/>
              </w:rPr>
              <w:t>s</w:t>
            </w:r>
            <w:r w:rsidRPr="006B0B30">
              <w:rPr>
                <w:rFonts w:cs="Times New Roman"/>
                <w:color w:val="auto"/>
                <w:sz w:val="20"/>
                <w:szCs w:val="20"/>
              </w:rPr>
              <w:t xml:space="preserve"> will quantify the potential impacts and will inform Project design and operations to ensure noise and vibration impacts are minimised</w:t>
            </w:r>
            <w:r w:rsidR="006B0B30" w:rsidRPr="006B0B30">
              <w:rPr>
                <w:rFonts w:cs="Times New Roman"/>
                <w:color w:val="auto"/>
                <w:sz w:val="20"/>
                <w:szCs w:val="20"/>
              </w:rPr>
              <w:t xml:space="preserve">, and </w:t>
            </w:r>
            <w:r w:rsidR="002C3810">
              <w:rPr>
                <w:rFonts w:cs="Times New Roman"/>
                <w:color w:val="auto"/>
                <w:sz w:val="20"/>
                <w:szCs w:val="20"/>
              </w:rPr>
              <w:t xml:space="preserve">that noise emissions </w:t>
            </w:r>
            <w:r w:rsidR="006B0B30" w:rsidRPr="006B0B30">
              <w:rPr>
                <w:rFonts w:cs="Times New Roman"/>
                <w:color w:val="auto"/>
                <w:sz w:val="20"/>
                <w:szCs w:val="20"/>
              </w:rPr>
              <w:t>comply with the recommended maximum noise levels</w:t>
            </w:r>
            <w:r w:rsidR="006B0B30">
              <w:rPr>
                <w:rFonts w:cs="Times New Roman"/>
                <w:color w:val="auto"/>
                <w:sz w:val="20"/>
                <w:szCs w:val="20"/>
              </w:rPr>
              <w:t xml:space="preserve"> determined in accordance with</w:t>
            </w:r>
            <w:r w:rsidR="006B0B30" w:rsidRPr="006B0B30">
              <w:rPr>
                <w:rFonts w:cs="Times New Roman"/>
                <w:color w:val="auto"/>
                <w:sz w:val="20"/>
                <w:szCs w:val="20"/>
              </w:rPr>
              <w:t xml:space="preserve"> </w:t>
            </w:r>
            <w:r w:rsidR="006B0B30" w:rsidRPr="006B0B30">
              <w:rPr>
                <w:rFonts w:cs="Times New Roman"/>
                <w:i/>
                <w:color w:val="auto"/>
                <w:sz w:val="20"/>
                <w:szCs w:val="20"/>
              </w:rPr>
              <w:t xml:space="preserve">Noise from Industry in Regional Victoria (NIRV): Recommended </w:t>
            </w:r>
            <w:r w:rsidR="00020AA8">
              <w:rPr>
                <w:rFonts w:cs="Times New Roman"/>
                <w:i/>
                <w:color w:val="auto"/>
                <w:sz w:val="20"/>
                <w:szCs w:val="20"/>
              </w:rPr>
              <w:t>M</w:t>
            </w:r>
            <w:r w:rsidR="006B0B30" w:rsidRPr="006B0B30">
              <w:rPr>
                <w:rFonts w:cs="Times New Roman"/>
                <w:i/>
                <w:color w:val="auto"/>
                <w:sz w:val="20"/>
                <w:szCs w:val="20"/>
              </w:rPr>
              <w:t xml:space="preserve">aximum </w:t>
            </w:r>
            <w:r w:rsidR="00020AA8">
              <w:rPr>
                <w:rFonts w:cs="Times New Roman"/>
                <w:i/>
                <w:color w:val="auto"/>
                <w:sz w:val="20"/>
                <w:szCs w:val="20"/>
              </w:rPr>
              <w:t>N</w:t>
            </w:r>
            <w:r w:rsidR="006B0B30" w:rsidRPr="006B0B30">
              <w:rPr>
                <w:rFonts w:cs="Times New Roman"/>
                <w:i/>
                <w:color w:val="auto"/>
                <w:sz w:val="20"/>
                <w:szCs w:val="20"/>
              </w:rPr>
              <w:t xml:space="preserve">oise </w:t>
            </w:r>
            <w:r w:rsidR="00020AA8">
              <w:rPr>
                <w:rFonts w:cs="Times New Roman"/>
                <w:i/>
                <w:color w:val="auto"/>
                <w:sz w:val="20"/>
                <w:szCs w:val="20"/>
              </w:rPr>
              <w:t>L</w:t>
            </w:r>
            <w:r w:rsidR="006B0B30" w:rsidRPr="006B0B30">
              <w:rPr>
                <w:rFonts w:cs="Times New Roman"/>
                <w:i/>
                <w:color w:val="auto"/>
                <w:sz w:val="20"/>
                <w:szCs w:val="20"/>
              </w:rPr>
              <w:t xml:space="preserve">evels from </w:t>
            </w:r>
            <w:r w:rsidR="00020AA8">
              <w:rPr>
                <w:rFonts w:cs="Times New Roman"/>
                <w:i/>
                <w:color w:val="auto"/>
                <w:sz w:val="20"/>
                <w:szCs w:val="20"/>
              </w:rPr>
              <w:t>C</w:t>
            </w:r>
            <w:r w:rsidR="006B0B30" w:rsidRPr="006B0B30">
              <w:rPr>
                <w:rFonts w:cs="Times New Roman"/>
                <w:i/>
                <w:color w:val="auto"/>
                <w:sz w:val="20"/>
                <w:szCs w:val="20"/>
              </w:rPr>
              <w:t xml:space="preserve">ommerce, </w:t>
            </w:r>
            <w:r w:rsidR="00020AA8">
              <w:rPr>
                <w:rFonts w:cs="Times New Roman"/>
                <w:i/>
                <w:color w:val="auto"/>
                <w:sz w:val="20"/>
                <w:szCs w:val="20"/>
              </w:rPr>
              <w:t>I</w:t>
            </w:r>
            <w:r w:rsidR="006B0B30" w:rsidRPr="006B0B30">
              <w:rPr>
                <w:rFonts w:cs="Times New Roman"/>
                <w:i/>
                <w:color w:val="auto"/>
                <w:sz w:val="20"/>
                <w:szCs w:val="20"/>
              </w:rPr>
              <w:t xml:space="preserve">ndustry and </w:t>
            </w:r>
            <w:r w:rsidR="00020AA8">
              <w:rPr>
                <w:rFonts w:cs="Times New Roman"/>
                <w:i/>
                <w:color w:val="auto"/>
                <w:sz w:val="20"/>
                <w:szCs w:val="20"/>
              </w:rPr>
              <w:t>T</w:t>
            </w:r>
            <w:r w:rsidR="006B0B30" w:rsidRPr="006B0B30">
              <w:rPr>
                <w:rFonts w:cs="Times New Roman"/>
                <w:i/>
                <w:color w:val="auto"/>
                <w:sz w:val="20"/>
                <w:szCs w:val="20"/>
              </w:rPr>
              <w:t xml:space="preserve">rade </w:t>
            </w:r>
            <w:r w:rsidR="00020AA8">
              <w:rPr>
                <w:rFonts w:cs="Times New Roman"/>
                <w:i/>
                <w:color w:val="auto"/>
                <w:sz w:val="20"/>
                <w:szCs w:val="20"/>
              </w:rPr>
              <w:t>P</w:t>
            </w:r>
            <w:r w:rsidR="006B0B30" w:rsidRPr="006B0B30">
              <w:rPr>
                <w:rFonts w:cs="Times New Roman"/>
                <w:i/>
                <w:color w:val="auto"/>
                <w:sz w:val="20"/>
                <w:szCs w:val="20"/>
              </w:rPr>
              <w:t xml:space="preserve">remises in </w:t>
            </w:r>
            <w:r w:rsidR="00020AA8">
              <w:rPr>
                <w:rFonts w:cs="Times New Roman"/>
                <w:i/>
                <w:color w:val="auto"/>
                <w:sz w:val="20"/>
                <w:szCs w:val="20"/>
              </w:rPr>
              <w:t>R</w:t>
            </w:r>
            <w:r w:rsidR="006B0B30" w:rsidRPr="006B0B30">
              <w:rPr>
                <w:rFonts w:cs="Times New Roman"/>
                <w:i/>
                <w:color w:val="auto"/>
                <w:sz w:val="20"/>
                <w:szCs w:val="20"/>
              </w:rPr>
              <w:t>egional Victoria</w:t>
            </w:r>
            <w:r w:rsidR="006B0B30" w:rsidRPr="006B0B30">
              <w:rPr>
                <w:rFonts w:cs="Times New Roman"/>
                <w:color w:val="auto"/>
                <w:sz w:val="20"/>
                <w:szCs w:val="20"/>
              </w:rPr>
              <w:t xml:space="preserve"> </w:t>
            </w:r>
            <w:r w:rsidR="002C3810">
              <w:rPr>
                <w:rFonts w:cs="Times New Roman"/>
                <w:color w:val="auto"/>
                <w:sz w:val="20"/>
                <w:szCs w:val="20"/>
              </w:rPr>
              <w:t>(EPA publication 1411).</w:t>
            </w:r>
            <w:r w:rsidRPr="002E0967">
              <w:rPr>
                <w:b/>
                <w:bCs/>
                <w:sz w:val="20"/>
                <w:szCs w:val="20"/>
              </w:rPr>
              <w:t xml:space="preserve"> </w:t>
            </w:r>
          </w:p>
          <w:p w14:paraId="6589A6CC" w14:textId="506507EF" w:rsidR="006960F4" w:rsidRPr="004956E7" w:rsidRDefault="006960F4" w:rsidP="004956E7">
            <w:pPr>
              <w:pStyle w:val="Default"/>
              <w:jc w:val="both"/>
              <w:rPr>
                <w:sz w:val="20"/>
                <w:szCs w:val="20"/>
              </w:rPr>
            </w:pPr>
          </w:p>
        </w:tc>
      </w:tr>
      <w:tr w:rsidR="001C34F3" w14:paraId="65821E80" w14:textId="77777777" w:rsidTr="00552B3B">
        <w:tc>
          <w:tcPr>
            <w:tcW w:w="9243" w:type="dxa"/>
            <w:tcBorders>
              <w:bottom w:val="nil"/>
            </w:tcBorders>
          </w:tcPr>
          <w:p w14:paraId="1F5AA6DD" w14:textId="77777777" w:rsidR="002E0967" w:rsidRPr="002E0967" w:rsidRDefault="002E0967" w:rsidP="002E0967">
            <w:pPr>
              <w:pStyle w:val="Heading2"/>
              <w:keepLines/>
              <w:numPr>
                <w:ilvl w:val="1"/>
                <w:numId w:val="0"/>
              </w:numPr>
              <w:tabs>
                <w:tab w:val="clear" w:pos="2904"/>
                <w:tab w:val="clear" w:pos="3907"/>
                <w:tab w:val="clear" w:pos="4910"/>
                <w:tab w:val="clear" w:pos="5913"/>
                <w:tab w:val="clear" w:pos="6916"/>
              </w:tabs>
              <w:spacing w:before="240" w:after="240"/>
              <w:ind w:left="851" w:hanging="851"/>
              <w:jc w:val="both"/>
              <w:rPr>
                <w:lang w:eastAsia="en-US"/>
              </w:rPr>
            </w:pPr>
            <w:r w:rsidRPr="002E0967">
              <w:rPr>
                <w:lang w:eastAsia="en-US"/>
              </w:rPr>
              <w:lastRenderedPageBreak/>
              <w:t>11.9 Traffic and transport</w:t>
            </w:r>
          </w:p>
          <w:p w14:paraId="3010252A" w14:textId="5D687F1D" w:rsidR="002467D8" w:rsidRPr="002E0967" w:rsidRDefault="00020AA8" w:rsidP="002E0967">
            <w:pPr>
              <w:pStyle w:val="BodyText"/>
              <w:jc w:val="both"/>
              <w:rPr>
                <w:rFonts w:ascii="Arial" w:hAnsi="Arial"/>
                <w:b w:val="0"/>
                <w:bCs w:val="0"/>
                <w:sz w:val="20"/>
                <w:szCs w:val="20"/>
                <w:lang w:eastAsia="en-AU"/>
              </w:rPr>
            </w:pPr>
            <w:r>
              <w:rPr>
                <w:rFonts w:ascii="Arial" w:hAnsi="Arial"/>
                <w:b w:val="0"/>
                <w:bCs w:val="0"/>
                <w:sz w:val="20"/>
                <w:szCs w:val="20"/>
                <w:lang w:eastAsia="en-AU"/>
              </w:rPr>
              <w:t>T</w:t>
            </w:r>
            <w:r w:rsidR="002E0967" w:rsidRPr="002E0967">
              <w:rPr>
                <w:rFonts w:ascii="Arial" w:hAnsi="Arial"/>
                <w:b w:val="0"/>
                <w:bCs w:val="0"/>
                <w:sz w:val="20"/>
                <w:szCs w:val="20"/>
                <w:lang w:eastAsia="en-AU"/>
              </w:rPr>
              <w:t>raffic volumes in the general area will increase as a result of Project-related traffic. This may result in safety and amenity impacts including:</w:t>
            </w:r>
          </w:p>
          <w:p w14:paraId="766E8203" w14:textId="77777777" w:rsidR="002E0967" w:rsidRPr="0017475D" w:rsidRDefault="002E0967" w:rsidP="0017475D">
            <w:pPr>
              <w:pStyle w:val="ListBullet"/>
              <w:numPr>
                <w:ilvl w:val="0"/>
                <w:numId w:val="17"/>
              </w:numPr>
              <w:rPr>
                <w:b w:val="0"/>
                <w:bCs w:val="0"/>
              </w:rPr>
            </w:pPr>
            <w:r w:rsidRPr="0017475D">
              <w:rPr>
                <w:b w:val="0"/>
                <w:bCs w:val="0"/>
              </w:rPr>
              <w:t>increased travel times;</w:t>
            </w:r>
          </w:p>
          <w:p w14:paraId="087EB16B" w14:textId="407D374F" w:rsidR="002E0967" w:rsidRPr="0017475D" w:rsidRDefault="002E0967" w:rsidP="0017475D">
            <w:pPr>
              <w:pStyle w:val="ListBullet"/>
              <w:numPr>
                <w:ilvl w:val="0"/>
                <w:numId w:val="17"/>
              </w:numPr>
              <w:rPr>
                <w:b w:val="0"/>
                <w:bCs w:val="0"/>
              </w:rPr>
            </w:pPr>
            <w:r w:rsidRPr="0017475D">
              <w:rPr>
                <w:b w:val="0"/>
                <w:bCs w:val="0"/>
              </w:rPr>
              <w:t>increased crash risk;</w:t>
            </w:r>
          </w:p>
          <w:p w14:paraId="1EBFB8CE" w14:textId="0E3F4EAE" w:rsidR="00020AA8" w:rsidRPr="0017475D" w:rsidRDefault="00020AA8" w:rsidP="0017475D">
            <w:pPr>
              <w:pStyle w:val="ListBullet"/>
              <w:numPr>
                <w:ilvl w:val="0"/>
                <w:numId w:val="17"/>
              </w:numPr>
              <w:rPr>
                <w:b w:val="0"/>
                <w:bCs w:val="0"/>
              </w:rPr>
            </w:pPr>
            <w:r w:rsidRPr="0017475D">
              <w:rPr>
                <w:b w:val="0"/>
                <w:bCs w:val="0"/>
              </w:rPr>
              <w:t>increased volumes of light, heavy, oversized and over mass vehicles;</w:t>
            </w:r>
          </w:p>
          <w:p w14:paraId="7F6900F4" w14:textId="77777777" w:rsidR="002E0967" w:rsidRPr="0017475D" w:rsidRDefault="002E0967" w:rsidP="0017475D">
            <w:pPr>
              <w:pStyle w:val="ListBullet"/>
              <w:numPr>
                <w:ilvl w:val="0"/>
                <w:numId w:val="17"/>
              </w:numPr>
              <w:rPr>
                <w:b w:val="0"/>
                <w:bCs w:val="0"/>
              </w:rPr>
            </w:pPr>
            <w:r w:rsidRPr="0017475D">
              <w:rPr>
                <w:b w:val="0"/>
                <w:bCs w:val="0"/>
              </w:rPr>
              <w:t>increased road maintenance requirements;</w:t>
            </w:r>
          </w:p>
          <w:p w14:paraId="51859B72" w14:textId="77777777" w:rsidR="002E0967" w:rsidRPr="0017475D" w:rsidRDefault="002E0967" w:rsidP="0017475D">
            <w:pPr>
              <w:pStyle w:val="ListBullet"/>
              <w:numPr>
                <w:ilvl w:val="0"/>
                <w:numId w:val="17"/>
              </w:numPr>
              <w:rPr>
                <w:b w:val="0"/>
                <w:bCs w:val="0"/>
              </w:rPr>
            </w:pPr>
            <w:r w:rsidRPr="0017475D">
              <w:rPr>
                <w:b w:val="0"/>
                <w:bCs w:val="0"/>
              </w:rPr>
              <w:t>increased vehicle exhaust emissions; and</w:t>
            </w:r>
          </w:p>
          <w:p w14:paraId="0DA939B0" w14:textId="77777777" w:rsidR="002E0967" w:rsidRPr="0017475D" w:rsidRDefault="002E0967" w:rsidP="0017475D">
            <w:pPr>
              <w:pStyle w:val="ListBullet"/>
              <w:numPr>
                <w:ilvl w:val="0"/>
                <w:numId w:val="17"/>
              </w:numPr>
              <w:rPr>
                <w:b w:val="0"/>
                <w:bCs w:val="0"/>
              </w:rPr>
            </w:pPr>
            <w:r w:rsidRPr="0017475D">
              <w:rPr>
                <w:b w:val="0"/>
                <w:bCs w:val="0"/>
              </w:rPr>
              <w:t xml:space="preserve">road detours and/or closures. </w:t>
            </w:r>
          </w:p>
          <w:p w14:paraId="3016BD2D" w14:textId="77777777" w:rsidR="002467D8" w:rsidRDefault="002467D8" w:rsidP="002E0967">
            <w:pPr>
              <w:pStyle w:val="BodyText"/>
              <w:jc w:val="both"/>
              <w:rPr>
                <w:rFonts w:ascii="Arial" w:hAnsi="Arial"/>
                <w:b w:val="0"/>
                <w:bCs w:val="0"/>
                <w:sz w:val="20"/>
                <w:szCs w:val="20"/>
                <w:lang w:eastAsia="en-AU"/>
              </w:rPr>
            </w:pPr>
          </w:p>
          <w:p w14:paraId="73642F93" w14:textId="4466D6FD" w:rsidR="00020AA8" w:rsidRPr="002E0967" w:rsidRDefault="002E0967" w:rsidP="00020AA8">
            <w:pPr>
              <w:pStyle w:val="BodyText"/>
              <w:jc w:val="both"/>
              <w:rPr>
                <w:rFonts w:ascii="Arial" w:hAnsi="Arial"/>
                <w:b w:val="0"/>
                <w:bCs w:val="0"/>
                <w:sz w:val="20"/>
                <w:szCs w:val="20"/>
                <w:lang w:eastAsia="en-AU"/>
              </w:rPr>
            </w:pPr>
            <w:r w:rsidRPr="002E0967">
              <w:rPr>
                <w:rFonts w:ascii="Arial" w:hAnsi="Arial"/>
                <w:b w:val="0"/>
                <w:bCs w:val="0"/>
                <w:sz w:val="20"/>
                <w:szCs w:val="20"/>
                <w:lang w:eastAsia="en-AU"/>
              </w:rPr>
              <w:t>The traffic and transport impact assessment will quantify the potential impacts and will inform Project design and operations to ensure traffic and transport impacts are minimised.</w:t>
            </w:r>
            <w:r w:rsidR="00020AA8">
              <w:rPr>
                <w:rFonts w:ascii="Arial" w:hAnsi="Arial"/>
                <w:b w:val="0"/>
                <w:bCs w:val="0"/>
                <w:sz w:val="20"/>
                <w:szCs w:val="20"/>
                <w:lang w:eastAsia="en-AU"/>
              </w:rPr>
              <w:t xml:space="preserve"> See also Section 1</w:t>
            </w:r>
            <w:r w:rsidR="00801C64">
              <w:rPr>
                <w:rFonts w:ascii="Arial" w:hAnsi="Arial"/>
                <w:b w:val="0"/>
                <w:bCs w:val="0"/>
                <w:sz w:val="20"/>
                <w:szCs w:val="20"/>
                <w:lang w:eastAsia="en-AU"/>
              </w:rPr>
              <w:t>5</w:t>
            </w:r>
            <w:r w:rsidR="00020AA8">
              <w:rPr>
                <w:rFonts w:ascii="Arial" w:hAnsi="Arial"/>
                <w:b w:val="0"/>
                <w:bCs w:val="0"/>
                <w:sz w:val="20"/>
                <w:szCs w:val="20"/>
                <w:lang w:eastAsia="en-AU"/>
              </w:rPr>
              <w:t>.1.</w:t>
            </w:r>
          </w:p>
        </w:tc>
      </w:tr>
      <w:tr w:rsidR="001C34F3" w14:paraId="708802C1" w14:textId="77777777" w:rsidTr="00E96A1F">
        <w:tc>
          <w:tcPr>
            <w:tcW w:w="9243" w:type="dxa"/>
          </w:tcPr>
          <w:p w14:paraId="59C46F25" w14:textId="77777777" w:rsidR="00FD555F" w:rsidRDefault="00FD555F" w:rsidP="00FD555F">
            <w:pPr>
              <w:tabs>
                <w:tab w:val="left" w:pos="2904"/>
                <w:tab w:val="left" w:pos="3907"/>
                <w:tab w:val="left" w:pos="4910"/>
                <w:tab w:val="left" w:pos="5913"/>
                <w:tab w:val="left" w:pos="6916"/>
              </w:tabs>
              <w:rPr>
                <w:rFonts w:ascii="Arial" w:hAnsi="Arial"/>
                <w:b/>
                <w:sz w:val="22"/>
              </w:rPr>
            </w:pPr>
          </w:p>
          <w:p w14:paraId="3A88975B" w14:textId="2523641D" w:rsidR="00FD555F" w:rsidRPr="002E0967" w:rsidRDefault="00FD555F" w:rsidP="00FD555F">
            <w:pPr>
              <w:tabs>
                <w:tab w:val="left" w:pos="2904"/>
                <w:tab w:val="left" w:pos="3907"/>
                <w:tab w:val="left" w:pos="4910"/>
                <w:tab w:val="left" w:pos="5913"/>
                <w:tab w:val="left" w:pos="6916"/>
              </w:tabs>
              <w:rPr>
                <w:rFonts w:ascii="Arial" w:hAnsi="Arial"/>
                <w:b/>
                <w:sz w:val="22"/>
              </w:rPr>
            </w:pPr>
            <w:r w:rsidRPr="002E0967">
              <w:rPr>
                <w:rFonts w:ascii="Arial" w:hAnsi="Arial"/>
                <w:b/>
                <w:sz w:val="22"/>
              </w:rPr>
              <w:t>12 Native vegetation, flora and fauna</w:t>
            </w:r>
          </w:p>
          <w:p w14:paraId="20E853F8" w14:textId="0BEA1103" w:rsidR="00FD555F" w:rsidRDefault="00FD555F" w:rsidP="00552B3B">
            <w:pPr>
              <w:pStyle w:val="Heading2"/>
              <w:ind w:left="0"/>
            </w:pPr>
          </w:p>
          <w:p w14:paraId="2D9B513F" w14:textId="77777777" w:rsidR="00FD555F" w:rsidRPr="00FD555F" w:rsidRDefault="00FD555F" w:rsidP="00FD555F"/>
          <w:p w14:paraId="10E0236C" w14:textId="0FA75158" w:rsidR="00552B3B" w:rsidRDefault="00552B3B" w:rsidP="00552B3B">
            <w:pPr>
              <w:pStyle w:val="Heading2"/>
              <w:ind w:left="0"/>
            </w:pPr>
            <w:r>
              <w:t>12.1 Native vegetation</w:t>
            </w:r>
          </w:p>
          <w:p w14:paraId="2EFF3D51" w14:textId="77777777" w:rsidR="00552B3B" w:rsidRDefault="00552B3B" w:rsidP="002E0967">
            <w:pPr>
              <w:pStyle w:val="Heading2"/>
              <w:ind w:left="0"/>
            </w:pPr>
          </w:p>
          <w:p w14:paraId="3A3ED745" w14:textId="13B5580A" w:rsidR="002E0967" w:rsidRPr="00875062" w:rsidRDefault="002E0967" w:rsidP="002E0967">
            <w:pPr>
              <w:pStyle w:val="Heading2"/>
              <w:ind w:left="0"/>
            </w:pPr>
            <w:r>
              <w:t xml:space="preserve">12.1.1 </w:t>
            </w:r>
            <w:r w:rsidRPr="00875062">
              <w:t xml:space="preserve">Is any native vegetation likely to be cleared or otherwise affected by the </w:t>
            </w:r>
            <w:r>
              <w:t>Project</w:t>
            </w:r>
            <w:r w:rsidRPr="00875062">
              <w:t>?</w:t>
            </w:r>
          </w:p>
          <w:p w14:paraId="17D5544D" w14:textId="77777777" w:rsidR="002E0967" w:rsidRDefault="002E0967" w:rsidP="002E0967">
            <w:pPr>
              <w:pStyle w:val="BodyText"/>
              <w:jc w:val="both"/>
              <w:rPr>
                <w:rFonts w:ascii="Arial" w:hAnsi="Arial"/>
                <w:b w:val="0"/>
                <w:bCs w:val="0"/>
                <w:sz w:val="20"/>
                <w:szCs w:val="20"/>
                <w:lang w:eastAsia="en-AU"/>
              </w:rPr>
            </w:pPr>
          </w:p>
          <w:p w14:paraId="17ECCA6B" w14:textId="08624F4D" w:rsidR="004D5649" w:rsidRDefault="004D5649" w:rsidP="004D5649">
            <w:pPr>
              <w:tabs>
                <w:tab w:val="left" w:pos="5913"/>
                <w:tab w:val="left" w:pos="6916"/>
              </w:tabs>
              <w:spacing w:before="40"/>
              <w:ind w:left="720"/>
              <w:rPr>
                <w:rFonts w:ascii="Arial" w:hAnsi="Arial"/>
              </w:rPr>
            </w:pPr>
            <w:r>
              <w:rPr>
                <w:rFonts w:ascii="Arial" w:hAnsi="Arial"/>
                <w:color w:val="C0C0C0"/>
                <w:shd w:val="clear" w:color="auto" w:fill="E6E6E6"/>
              </w:rPr>
              <w:sym w:font="Webdings" w:char="F072"/>
            </w:r>
            <w:r w:rsidRPr="00A16664">
              <w:rPr>
                <w:rFonts w:ascii="Arial" w:hAnsi="Arial"/>
                <w:color w:val="C0C0C0"/>
                <w:shd w:val="clear" w:color="auto" w:fill="E6E6E6"/>
              </w:rPr>
              <w:t xml:space="preserve"> </w:t>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Pr="00672931">
              <w:rPr>
                <w:rFonts w:ascii="Arial" w:hAnsi="Arial"/>
                <w:shd w:val="clear" w:color="auto" w:fill="E6E6E6"/>
              </w:rPr>
              <w:sym w:font="Webdings" w:char="F072"/>
            </w:r>
            <w:r>
              <w:rPr>
                <w:rFonts w:ascii="Arial" w:hAnsi="Arial"/>
              </w:rPr>
              <w:t xml:space="preserve">Yes  </w:t>
            </w:r>
          </w:p>
          <w:p w14:paraId="086B501B" w14:textId="77777777" w:rsidR="004D5649" w:rsidRDefault="004D5649" w:rsidP="002E0967">
            <w:pPr>
              <w:pStyle w:val="BodyText"/>
              <w:jc w:val="both"/>
              <w:rPr>
                <w:rFonts w:ascii="Arial" w:hAnsi="Arial"/>
                <w:b w:val="0"/>
                <w:bCs w:val="0"/>
                <w:sz w:val="20"/>
                <w:szCs w:val="20"/>
                <w:lang w:eastAsia="en-AU"/>
              </w:rPr>
            </w:pPr>
          </w:p>
          <w:p w14:paraId="6E3DC1C8" w14:textId="5DA2C9D1" w:rsidR="002E0967" w:rsidRPr="002E0967" w:rsidRDefault="004D5649" w:rsidP="002E0967">
            <w:pPr>
              <w:pStyle w:val="BodyText"/>
              <w:jc w:val="both"/>
              <w:rPr>
                <w:rFonts w:ascii="Arial" w:hAnsi="Arial"/>
                <w:b w:val="0"/>
                <w:bCs w:val="0"/>
                <w:sz w:val="20"/>
                <w:szCs w:val="20"/>
                <w:lang w:eastAsia="en-AU"/>
              </w:rPr>
            </w:pPr>
            <w:r>
              <w:rPr>
                <w:rFonts w:ascii="Arial" w:hAnsi="Arial"/>
                <w:b w:val="0"/>
                <w:bCs w:val="0"/>
                <w:sz w:val="20"/>
                <w:szCs w:val="20"/>
                <w:lang w:eastAsia="en-AU"/>
              </w:rPr>
              <w:t>N</w:t>
            </w:r>
            <w:r w:rsidR="002E0967" w:rsidRPr="002E0967">
              <w:rPr>
                <w:rFonts w:ascii="Arial" w:hAnsi="Arial"/>
                <w:b w:val="0"/>
                <w:bCs w:val="0"/>
                <w:sz w:val="20"/>
                <w:szCs w:val="20"/>
                <w:lang w:eastAsia="en-AU"/>
              </w:rPr>
              <w:t xml:space="preserve">ative vegetation will need to be cleared as a result of the Project. The extent of clearing is currently unknown as the </w:t>
            </w:r>
            <w:r w:rsidR="00020AA8">
              <w:rPr>
                <w:rFonts w:ascii="Arial" w:hAnsi="Arial"/>
                <w:b w:val="0"/>
                <w:bCs w:val="0"/>
                <w:sz w:val="20"/>
                <w:szCs w:val="20"/>
                <w:lang w:eastAsia="en-AU"/>
              </w:rPr>
              <w:t xml:space="preserve">Project layout has not been finalised, the </w:t>
            </w:r>
            <w:r w:rsidR="002C3810">
              <w:rPr>
                <w:rFonts w:ascii="Arial" w:hAnsi="Arial"/>
                <w:b w:val="0"/>
                <w:bCs w:val="0"/>
                <w:sz w:val="20"/>
                <w:szCs w:val="20"/>
                <w:lang w:eastAsia="en-AU"/>
              </w:rPr>
              <w:t xml:space="preserve">total area of native vegetation and </w:t>
            </w:r>
            <w:r w:rsidR="00020AA8">
              <w:rPr>
                <w:rFonts w:ascii="Arial" w:hAnsi="Arial"/>
                <w:b w:val="0"/>
                <w:bCs w:val="0"/>
                <w:sz w:val="20"/>
                <w:szCs w:val="20"/>
                <w:lang w:eastAsia="en-AU"/>
              </w:rPr>
              <w:t xml:space="preserve">the </w:t>
            </w:r>
            <w:r w:rsidR="002C3810">
              <w:rPr>
                <w:rFonts w:ascii="Arial" w:hAnsi="Arial"/>
                <w:b w:val="0"/>
                <w:bCs w:val="0"/>
                <w:sz w:val="20"/>
                <w:szCs w:val="20"/>
                <w:lang w:eastAsia="en-AU"/>
              </w:rPr>
              <w:t>total number of scattered trees within the mine layout development envelope</w:t>
            </w:r>
            <w:r w:rsidR="004956E7">
              <w:rPr>
                <w:rFonts w:ascii="Arial" w:hAnsi="Arial"/>
                <w:b w:val="0"/>
                <w:bCs w:val="0"/>
                <w:sz w:val="20"/>
                <w:szCs w:val="20"/>
                <w:lang w:eastAsia="en-AU"/>
              </w:rPr>
              <w:t xml:space="preserve"> has not been confirmed</w:t>
            </w:r>
            <w:r w:rsidR="002C3810">
              <w:rPr>
                <w:rFonts w:ascii="Arial" w:hAnsi="Arial"/>
                <w:b w:val="0"/>
                <w:bCs w:val="0"/>
                <w:sz w:val="20"/>
                <w:szCs w:val="20"/>
                <w:lang w:eastAsia="en-AU"/>
              </w:rPr>
              <w:t xml:space="preserve"> and </w:t>
            </w:r>
            <w:r w:rsidR="004956E7">
              <w:rPr>
                <w:rFonts w:ascii="Arial" w:hAnsi="Arial"/>
                <w:b w:val="0"/>
                <w:bCs w:val="0"/>
                <w:sz w:val="20"/>
                <w:szCs w:val="20"/>
                <w:lang w:eastAsia="en-AU"/>
              </w:rPr>
              <w:t xml:space="preserve">is not currently known for the </w:t>
            </w:r>
            <w:r w:rsidR="002C3810">
              <w:rPr>
                <w:rFonts w:ascii="Arial" w:hAnsi="Arial"/>
                <w:b w:val="0"/>
                <w:bCs w:val="0"/>
                <w:sz w:val="20"/>
                <w:szCs w:val="20"/>
                <w:lang w:eastAsia="en-AU"/>
              </w:rPr>
              <w:t>offsite infrastructure areas</w:t>
            </w:r>
            <w:r w:rsidR="002E0967" w:rsidRPr="002E0967">
              <w:rPr>
                <w:rFonts w:ascii="Arial" w:hAnsi="Arial"/>
                <w:b w:val="0"/>
                <w:bCs w:val="0"/>
                <w:sz w:val="20"/>
                <w:szCs w:val="20"/>
                <w:lang w:eastAsia="en-AU"/>
              </w:rPr>
              <w:t xml:space="preserve">. </w:t>
            </w:r>
            <w:r w:rsidR="00241716" w:rsidRPr="00AD07F1">
              <w:rPr>
                <w:rFonts w:ascii="Arial" w:hAnsi="Arial"/>
                <w:b w:val="0"/>
                <w:bCs w:val="0"/>
                <w:sz w:val="20"/>
                <w:szCs w:val="20"/>
                <w:lang w:eastAsia="en-AU"/>
              </w:rPr>
              <w:t>Targeted surveys will be undertaken to determine the presence and extent of significant flora, fauna and ecological communities, along with an ecological impact assessment once the site layout and offsite infrastructure requirements are determined to assess the potential impacts.</w:t>
            </w:r>
          </w:p>
          <w:p w14:paraId="42F29D44" w14:textId="1E661B78" w:rsidR="001C34F3" w:rsidRPr="002E0967" w:rsidRDefault="001C34F3" w:rsidP="004B29CD">
            <w:pPr>
              <w:pStyle w:val="ListBullet"/>
              <w:numPr>
                <w:ilvl w:val="0"/>
                <w:numId w:val="0"/>
              </w:numPr>
            </w:pPr>
          </w:p>
        </w:tc>
      </w:tr>
      <w:tr w:rsidR="001C34F3" w14:paraId="7FEE9D52" w14:textId="77777777" w:rsidTr="00FD555F">
        <w:trPr>
          <w:trHeight w:val="5670"/>
        </w:trPr>
        <w:tc>
          <w:tcPr>
            <w:tcW w:w="9243" w:type="dxa"/>
          </w:tcPr>
          <w:p w14:paraId="2CDEAA23" w14:textId="77777777" w:rsidR="00CD2CF9" w:rsidRPr="00CD2CF9" w:rsidRDefault="00CD2CF9" w:rsidP="00CD2CF9">
            <w:pPr>
              <w:pStyle w:val="Heading2"/>
              <w:ind w:left="0"/>
            </w:pPr>
            <w:r w:rsidRPr="00CD2CF9">
              <w:lastRenderedPageBreak/>
              <w:t>12.1.2 What investigation of native vegetation in the Project area has been done?</w:t>
            </w:r>
          </w:p>
          <w:p w14:paraId="7531DCA6" w14:textId="77777777" w:rsidR="00CD2CF9" w:rsidRPr="00CD2CF9" w:rsidRDefault="00CD2CF9" w:rsidP="00CD2CF9">
            <w:pPr>
              <w:jc w:val="both"/>
            </w:pPr>
          </w:p>
          <w:p w14:paraId="14EAC7A4" w14:textId="77777777" w:rsidR="00CD2CF9" w:rsidRDefault="00CD2CF9" w:rsidP="00CD2CF9">
            <w:pPr>
              <w:pStyle w:val="BodyText"/>
              <w:jc w:val="both"/>
              <w:rPr>
                <w:rFonts w:ascii="Arial" w:hAnsi="Arial"/>
                <w:b w:val="0"/>
                <w:bCs w:val="0"/>
                <w:sz w:val="20"/>
                <w:szCs w:val="20"/>
                <w:lang w:eastAsia="en-AU"/>
              </w:rPr>
            </w:pPr>
            <w:r w:rsidRPr="00CD2CF9">
              <w:rPr>
                <w:rFonts w:ascii="Arial" w:hAnsi="Arial"/>
                <w:b w:val="0"/>
                <w:bCs w:val="0"/>
                <w:sz w:val="20"/>
                <w:szCs w:val="20"/>
                <w:lang w:eastAsia="en-AU"/>
              </w:rPr>
              <w:t>A baseline terrestrial ecology assessment was undertaken by Cardno (2018) to identify potentially occurring listed species and ecological communities within the Project site, such that these could be considered during Project design. The baseline terrestrial ecology assessment included:</w:t>
            </w:r>
          </w:p>
          <w:p w14:paraId="0DF99175" w14:textId="77777777" w:rsidR="00CD2CF9" w:rsidRPr="00CD2CF9" w:rsidRDefault="00CD2CF9" w:rsidP="00CD2CF9">
            <w:pPr>
              <w:pStyle w:val="BodyText"/>
              <w:jc w:val="both"/>
              <w:rPr>
                <w:rFonts w:ascii="Arial" w:hAnsi="Arial"/>
                <w:b w:val="0"/>
                <w:bCs w:val="0"/>
                <w:sz w:val="20"/>
                <w:szCs w:val="20"/>
                <w:lang w:eastAsia="en-AU"/>
              </w:rPr>
            </w:pPr>
          </w:p>
          <w:p w14:paraId="3A4DF5CB" w14:textId="77777777" w:rsidR="00CD2CF9" w:rsidRPr="0017475D" w:rsidRDefault="00CD2CF9" w:rsidP="0017475D">
            <w:pPr>
              <w:pStyle w:val="ListBullet"/>
              <w:numPr>
                <w:ilvl w:val="0"/>
                <w:numId w:val="17"/>
              </w:numPr>
              <w:rPr>
                <w:b w:val="0"/>
                <w:bCs w:val="0"/>
              </w:rPr>
            </w:pPr>
            <w:r w:rsidRPr="004C6895">
              <w:t xml:space="preserve">a </w:t>
            </w:r>
            <w:r w:rsidRPr="0017475D">
              <w:rPr>
                <w:b w:val="0"/>
                <w:bCs w:val="0"/>
              </w:rPr>
              <w:t>review of available biodiversity databases, planning scheme information, GIS mapping datasets and other relevant and available information;</w:t>
            </w:r>
          </w:p>
          <w:p w14:paraId="5BDB40BD" w14:textId="77777777" w:rsidR="00CD2CF9" w:rsidRPr="0017475D" w:rsidRDefault="00CD2CF9" w:rsidP="0017475D">
            <w:pPr>
              <w:pStyle w:val="ListBullet"/>
              <w:numPr>
                <w:ilvl w:val="0"/>
                <w:numId w:val="17"/>
              </w:numPr>
              <w:rPr>
                <w:b w:val="0"/>
                <w:bCs w:val="0"/>
              </w:rPr>
            </w:pPr>
            <w:r w:rsidRPr="0017475D">
              <w:rPr>
                <w:b w:val="0"/>
                <w:bCs w:val="0"/>
              </w:rPr>
              <w:t xml:space="preserve">identification of vascular flora, terrestrial vertebrate fauna and habitat values in the </w:t>
            </w:r>
            <w:r w:rsidR="00FD5A26" w:rsidRPr="0017475D">
              <w:rPr>
                <w:b w:val="0"/>
                <w:bCs w:val="0"/>
              </w:rPr>
              <w:t>b</w:t>
            </w:r>
            <w:r w:rsidRPr="0017475D">
              <w:rPr>
                <w:b w:val="0"/>
                <w:bCs w:val="0"/>
              </w:rPr>
              <w:t>iodiversity study area;</w:t>
            </w:r>
          </w:p>
          <w:p w14:paraId="054F8441" w14:textId="77777777" w:rsidR="00CD2CF9" w:rsidRPr="0017475D" w:rsidRDefault="00CD2CF9" w:rsidP="0017475D">
            <w:pPr>
              <w:pStyle w:val="ListBullet"/>
              <w:numPr>
                <w:ilvl w:val="0"/>
                <w:numId w:val="17"/>
              </w:numPr>
              <w:rPr>
                <w:b w:val="0"/>
                <w:bCs w:val="0"/>
              </w:rPr>
            </w:pPr>
            <w:r w:rsidRPr="0017475D">
              <w:rPr>
                <w:b w:val="0"/>
                <w:bCs w:val="0"/>
              </w:rPr>
              <w:t>mapping any remnant and ecologically significant flora and terrestrial fauna habitats;</w:t>
            </w:r>
          </w:p>
          <w:p w14:paraId="5691732D" w14:textId="2B96F8C0" w:rsidR="00CD2CF9" w:rsidRPr="0017475D" w:rsidRDefault="00CD2CF9" w:rsidP="0017475D">
            <w:pPr>
              <w:pStyle w:val="ListBullet"/>
              <w:numPr>
                <w:ilvl w:val="0"/>
                <w:numId w:val="17"/>
              </w:numPr>
              <w:rPr>
                <w:b w:val="0"/>
                <w:bCs w:val="0"/>
              </w:rPr>
            </w:pPr>
            <w:r w:rsidRPr="0017475D">
              <w:rPr>
                <w:b w:val="0"/>
                <w:bCs w:val="0"/>
              </w:rPr>
              <w:t xml:space="preserve">identification of flora and fauna of </w:t>
            </w:r>
            <w:r w:rsidR="00FD5A26" w:rsidRPr="0017475D">
              <w:rPr>
                <w:b w:val="0"/>
                <w:bCs w:val="0"/>
              </w:rPr>
              <w:t>n</w:t>
            </w:r>
            <w:r w:rsidRPr="0017475D">
              <w:rPr>
                <w:b w:val="0"/>
                <w:bCs w:val="0"/>
              </w:rPr>
              <w:t xml:space="preserve">ational, </w:t>
            </w:r>
            <w:r w:rsidR="007508CC" w:rsidRPr="0017475D">
              <w:rPr>
                <w:b w:val="0"/>
                <w:bCs w:val="0"/>
              </w:rPr>
              <w:t>S</w:t>
            </w:r>
            <w:r w:rsidRPr="0017475D">
              <w:rPr>
                <w:b w:val="0"/>
                <w:bCs w:val="0"/>
              </w:rPr>
              <w:t xml:space="preserve">tate and regional significance present or likely to occur in the </w:t>
            </w:r>
            <w:r w:rsidR="00FD5A26" w:rsidRPr="0017475D">
              <w:rPr>
                <w:b w:val="0"/>
                <w:bCs w:val="0"/>
              </w:rPr>
              <w:t>b</w:t>
            </w:r>
            <w:r w:rsidRPr="0017475D">
              <w:rPr>
                <w:b w:val="0"/>
                <w:bCs w:val="0"/>
              </w:rPr>
              <w:t>iodiversity study area;</w:t>
            </w:r>
          </w:p>
          <w:p w14:paraId="24FC5CB7" w14:textId="59D1B8F0" w:rsidR="00CD2CF9" w:rsidRPr="0017475D" w:rsidRDefault="00CD2CF9" w:rsidP="0017475D">
            <w:pPr>
              <w:pStyle w:val="ListBullet"/>
              <w:numPr>
                <w:ilvl w:val="0"/>
                <w:numId w:val="17"/>
              </w:numPr>
              <w:rPr>
                <w:b w:val="0"/>
                <w:bCs w:val="0"/>
              </w:rPr>
            </w:pPr>
            <w:r w:rsidRPr="0017475D">
              <w:rPr>
                <w:b w:val="0"/>
                <w:bCs w:val="0"/>
              </w:rPr>
              <w:t xml:space="preserve">habitat quality assessments of woodland and habitat patches in accordance with the relevant </w:t>
            </w:r>
            <w:r w:rsidR="007508CC" w:rsidRPr="0017475D">
              <w:rPr>
                <w:b w:val="0"/>
                <w:bCs w:val="0"/>
              </w:rPr>
              <w:t>S</w:t>
            </w:r>
            <w:r w:rsidRPr="0017475D">
              <w:rPr>
                <w:b w:val="0"/>
                <w:bCs w:val="0"/>
              </w:rPr>
              <w:t xml:space="preserve">tate and </w:t>
            </w:r>
            <w:r w:rsidR="00FD5A26" w:rsidRPr="0017475D">
              <w:rPr>
                <w:b w:val="0"/>
                <w:bCs w:val="0"/>
              </w:rPr>
              <w:t>n</w:t>
            </w:r>
            <w:r w:rsidRPr="0017475D">
              <w:rPr>
                <w:b w:val="0"/>
                <w:bCs w:val="0"/>
              </w:rPr>
              <w:t>ational native vegetation assessment frameworks; and</w:t>
            </w:r>
          </w:p>
          <w:p w14:paraId="007DAA62" w14:textId="77777777" w:rsidR="00CD2CF9" w:rsidRPr="0017475D" w:rsidRDefault="00CD2CF9" w:rsidP="0017475D">
            <w:pPr>
              <w:pStyle w:val="ListBullet"/>
              <w:numPr>
                <w:ilvl w:val="0"/>
                <w:numId w:val="17"/>
              </w:numPr>
              <w:rPr>
                <w:b w:val="0"/>
                <w:bCs w:val="0"/>
              </w:rPr>
            </w:pPr>
            <w:r w:rsidRPr="0017475D">
              <w:rPr>
                <w:b w:val="0"/>
                <w:bCs w:val="0"/>
              </w:rPr>
              <w:t xml:space="preserve">recommendations for further required assessments. </w:t>
            </w:r>
          </w:p>
          <w:p w14:paraId="013240DA" w14:textId="1F920E95" w:rsidR="002467D8" w:rsidRPr="00CD2CF9" w:rsidRDefault="00CD2CF9" w:rsidP="0017475D">
            <w:pPr>
              <w:pStyle w:val="BodyText"/>
              <w:jc w:val="both"/>
            </w:pPr>
            <w:r w:rsidRPr="0017475D">
              <w:rPr>
                <w:rFonts w:ascii="Arial" w:hAnsi="Arial"/>
                <w:b w:val="0"/>
                <w:bCs w:val="0"/>
                <w:sz w:val="20"/>
                <w:szCs w:val="20"/>
                <w:lang w:eastAsia="en-AU"/>
              </w:rPr>
              <w:t xml:space="preserve">The </w:t>
            </w:r>
            <w:r w:rsidR="00020AA8" w:rsidRPr="0017475D">
              <w:rPr>
                <w:rFonts w:ascii="Arial" w:hAnsi="Arial"/>
                <w:b w:val="0"/>
                <w:bCs w:val="0"/>
                <w:sz w:val="20"/>
                <w:szCs w:val="20"/>
                <w:lang w:eastAsia="en-AU"/>
              </w:rPr>
              <w:t xml:space="preserve">ecology </w:t>
            </w:r>
            <w:r w:rsidRPr="0017475D">
              <w:rPr>
                <w:rFonts w:ascii="Arial" w:hAnsi="Arial"/>
                <w:b w:val="0"/>
                <w:bCs w:val="0"/>
                <w:sz w:val="20"/>
                <w:szCs w:val="20"/>
                <w:lang w:eastAsia="en-AU"/>
              </w:rPr>
              <w:t xml:space="preserve">baseline report is attached at Appendix </w:t>
            </w:r>
            <w:r w:rsidR="00323595" w:rsidRPr="0017475D">
              <w:rPr>
                <w:rFonts w:ascii="Arial" w:hAnsi="Arial"/>
                <w:b w:val="0"/>
                <w:bCs w:val="0"/>
                <w:sz w:val="20"/>
                <w:szCs w:val="20"/>
                <w:lang w:eastAsia="en-AU"/>
              </w:rPr>
              <w:t>C</w:t>
            </w:r>
            <w:r w:rsidRPr="0017475D">
              <w:rPr>
                <w:rFonts w:ascii="Arial" w:hAnsi="Arial"/>
                <w:b w:val="0"/>
                <w:bCs w:val="0"/>
                <w:sz w:val="20"/>
                <w:szCs w:val="20"/>
                <w:lang w:eastAsia="en-AU"/>
              </w:rPr>
              <w:t>.</w:t>
            </w:r>
          </w:p>
        </w:tc>
      </w:tr>
      <w:tr w:rsidR="001C34F3" w14:paraId="0BFC14F1" w14:textId="77777777" w:rsidTr="00E96A1F">
        <w:tc>
          <w:tcPr>
            <w:tcW w:w="9243" w:type="dxa"/>
          </w:tcPr>
          <w:p w14:paraId="0016407D" w14:textId="77777777" w:rsidR="00CD2CF9" w:rsidRPr="00D85635" w:rsidRDefault="00CD2CF9" w:rsidP="00CD2CF9">
            <w:pPr>
              <w:pStyle w:val="Heading2"/>
              <w:ind w:left="0"/>
              <w:rPr>
                <w:rFonts w:cs="Arial"/>
              </w:rPr>
            </w:pPr>
            <w:r w:rsidRPr="00D85635">
              <w:rPr>
                <w:rFonts w:cs="Arial"/>
              </w:rPr>
              <w:lastRenderedPageBreak/>
              <w:t xml:space="preserve">12.1.3 What is the maximum area of native vegetation that may need to be cleared?         </w:t>
            </w:r>
          </w:p>
          <w:p w14:paraId="70B4B76D" w14:textId="77777777" w:rsidR="00CD2CF9" w:rsidRPr="00D85635" w:rsidRDefault="00CD2CF9" w:rsidP="00CD2CF9">
            <w:pPr>
              <w:rPr>
                <w:rFonts w:ascii="Arial" w:hAnsi="Arial" w:cs="Arial"/>
              </w:rPr>
            </w:pPr>
          </w:p>
          <w:p w14:paraId="7C2FAFC1" w14:textId="461EF283" w:rsidR="00316DD9" w:rsidRPr="00D85635" w:rsidRDefault="00285D5B" w:rsidP="00BB680D">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The baseline ecological assessment identified</w:t>
            </w:r>
            <w:r w:rsidR="00CD2CF9" w:rsidRPr="00D85635">
              <w:rPr>
                <w:rFonts w:ascii="Arial" w:hAnsi="Arial" w:cs="Arial"/>
                <w:b w:val="0"/>
                <w:bCs w:val="0"/>
                <w:sz w:val="20"/>
                <w:szCs w:val="20"/>
                <w:lang w:eastAsia="en-AU"/>
              </w:rPr>
              <w:t xml:space="preserve"> approximately 461 ha of native vegetation within the </w:t>
            </w:r>
            <w:r w:rsidRPr="00D85635">
              <w:rPr>
                <w:rFonts w:ascii="Arial" w:hAnsi="Arial" w:cs="Arial"/>
                <w:b w:val="0"/>
                <w:bCs w:val="0"/>
                <w:sz w:val="20"/>
                <w:szCs w:val="20"/>
                <w:lang w:eastAsia="en-AU"/>
              </w:rPr>
              <w:t>5,</w:t>
            </w:r>
            <w:r w:rsidR="00EF0D24" w:rsidRPr="00D85635">
              <w:rPr>
                <w:rFonts w:ascii="Arial" w:hAnsi="Arial" w:cs="Arial"/>
                <w:b w:val="0"/>
                <w:bCs w:val="0"/>
                <w:sz w:val="20"/>
                <w:szCs w:val="20"/>
                <w:lang w:eastAsia="en-AU"/>
              </w:rPr>
              <w:t xml:space="preserve">600 </w:t>
            </w:r>
            <w:r w:rsidRPr="00D85635">
              <w:rPr>
                <w:rFonts w:ascii="Arial" w:hAnsi="Arial" w:cs="Arial"/>
                <w:b w:val="0"/>
                <w:bCs w:val="0"/>
                <w:sz w:val="20"/>
                <w:szCs w:val="20"/>
                <w:lang w:eastAsia="en-AU"/>
              </w:rPr>
              <w:t>ha ecolog</w:t>
            </w:r>
            <w:r w:rsidR="00316DD9" w:rsidRPr="00D85635">
              <w:rPr>
                <w:rFonts w:ascii="Arial" w:hAnsi="Arial" w:cs="Arial"/>
                <w:b w:val="0"/>
                <w:bCs w:val="0"/>
                <w:sz w:val="20"/>
                <w:szCs w:val="20"/>
                <w:lang w:eastAsia="en-AU"/>
              </w:rPr>
              <w:t>y</w:t>
            </w:r>
            <w:r w:rsidRPr="00D85635">
              <w:rPr>
                <w:rFonts w:ascii="Arial" w:hAnsi="Arial" w:cs="Arial"/>
                <w:b w:val="0"/>
                <w:bCs w:val="0"/>
                <w:sz w:val="20"/>
                <w:szCs w:val="20"/>
                <w:lang w:eastAsia="en-AU"/>
              </w:rPr>
              <w:t xml:space="preserve"> study</w:t>
            </w:r>
            <w:r w:rsidR="00CD2CF9" w:rsidRPr="00D85635">
              <w:rPr>
                <w:rFonts w:ascii="Arial" w:hAnsi="Arial" w:cs="Arial"/>
                <w:b w:val="0"/>
                <w:bCs w:val="0"/>
                <w:sz w:val="20"/>
                <w:szCs w:val="20"/>
                <w:lang w:eastAsia="en-AU"/>
              </w:rPr>
              <w:t xml:space="preserve"> area</w:t>
            </w:r>
            <w:r w:rsidRPr="00D85635">
              <w:rPr>
                <w:rFonts w:ascii="Arial" w:hAnsi="Arial" w:cs="Arial"/>
                <w:b w:val="0"/>
                <w:bCs w:val="0"/>
                <w:sz w:val="20"/>
                <w:szCs w:val="20"/>
                <w:lang w:eastAsia="en-AU"/>
              </w:rPr>
              <w:t xml:space="preserve">, </w:t>
            </w:r>
            <w:r w:rsidR="00FB3AB9" w:rsidRPr="00D85635">
              <w:rPr>
                <w:rFonts w:ascii="Arial" w:hAnsi="Arial" w:cs="Arial"/>
                <w:b w:val="0"/>
                <w:bCs w:val="0"/>
                <w:sz w:val="20"/>
                <w:szCs w:val="20"/>
                <w:lang w:eastAsia="en-AU"/>
              </w:rPr>
              <w:t>including the vegetation associated with</w:t>
            </w:r>
            <w:r w:rsidRPr="00D85635">
              <w:rPr>
                <w:rFonts w:ascii="Arial" w:hAnsi="Arial" w:cs="Arial"/>
                <w:b w:val="0"/>
                <w:bCs w:val="0"/>
                <w:sz w:val="20"/>
                <w:szCs w:val="20"/>
                <w:lang w:eastAsia="en-AU"/>
              </w:rPr>
              <w:t xml:space="preserve"> </w:t>
            </w:r>
            <w:r w:rsidR="00316DD9" w:rsidRPr="00D85635">
              <w:rPr>
                <w:rFonts w:ascii="Arial" w:hAnsi="Arial" w:cs="Arial"/>
                <w:b w:val="0"/>
                <w:bCs w:val="0"/>
                <w:sz w:val="20"/>
                <w:szCs w:val="20"/>
                <w:lang w:eastAsia="en-AU"/>
              </w:rPr>
              <w:t xml:space="preserve">the </w:t>
            </w:r>
            <w:proofErr w:type="spellStart"/>
            <w:r w:rsidR="00FB3AB9" w:rsidRPr="00D85635">
              <w:rPr>
                <w:rFonts w:ascii="Arial" w:hAnsi="Arial" w:cs="Arial"/>
                <w:b w:val="0"/>
                <w:bCs w:val="0"/>
                <w:sz w:val="20"/>
                <w:szCs w:val="20"/>
                <w:lang w:eastAsia="en-AU"/>
              </w:rPr>
              <w:t>Jallumba</w:t>
            </w:r>
            <w:proofErr w:type="spellEnd"/>
            <w:r w:rsidR="00FB3AB9" w:rsidRPr="00D85635">
              <w:rPr>
                <w:rFonts w:ascii="Arial" w:hAnsi="Arial" w:cs="Arial"/>
                <w:b w:val="0"/>
                <w:bCs w:val="0"/>
                <w:sz w:val="20"/>
                <w:szCs w:val="20"/>
                <w:lang w:eastAsia="en-AU"/>
              </w:rPr>
              <w:t xml:space="preserve"> Marsh</w:t>
            </w:r>
            <w:r w:rsidR="00316DD9" w:rsidRPr="00D85635">
              <w:rPr>
                <w:rFonts w:ascii="Arial" w:hAnsi="Arial" w:cs="Arial"/>
                <w:b w:val="0"/>
                <w:bCs w:val="0"/>
                <w:sz w:val="20"/>
                <w:szCs w:val="20"/>
                <w:lang w:eastAsia="en-AU"/>
              </w:rPr>
              <w:t xml:space="preserve"> Flora Reserve</w:t>
            </w:r>
            <w:r w:rsidR="00FB3AB9" w:rsidRPr="00D85635">
              <w:rPr>
                <w:rFonts w:ascii="Arial" w:hAnsi="Arial" w:cs="Arial"/>
                <w:b w:val="0"/>
                <w:bCs w:val="0"/>
                <w:sz w:val="20"/>
                <w:szCs w:val="20"/>
                <w:lang w:eastAsia="en-AU"/>
              </w:rPr>
              <w:t xml:space="preserve"> and </w:t>
            </w:r>
            <w:r w:rsidR="0073776F" w:rsidRPr="00D85635">
              <w:rPr>
                <w:rFonts w:ascii="Arial" w:hAnsi="Arial" w:cs="Arial"/>
                <w:b w:val="0"/>
                <w:bCs w:val="0"/>
                <w:sz w:val="20"/>
                <w:szCs w:val="20"/>
                <w:lang w:eastAsia="en-AU"/>
              </w:rPr>
              <w:t xml:space="preserve">the </w:t>
            </w:r>
            <w:r w:rsidR="00FB3AB9" w:rsidRPr="00D85635">
              <w:rPr>
                <w:rFonts w:ascii="Arial" w:hAnsi="Arial" w:cs="Arial"/>
                <w:b w:val="0"/>
                <w:bCs w:val="0"/>
                <w:sz w:val="20"/>
                <w:szCs w:val="20"/>
                <w:lang w:eastAsia="en-AU"/>
              </w:rPr>
              <w:t>Red G</w:t>
            </w:r>
            <w:r w:rsidR="00CE4FA0" w:rsidRPr="00D85635">
              <w:rPr>
                <w:rFonts w:ascii="Arial" w:hAnsi="Arial" w:cs="Arial"/>
                <w:b w:val="0"/>
                <w:bCs w:val="0"/>
                <w:sz w:val="20"/>
                <w:szCs w:val="20"/>
                <w:lang w:eastAsia="en-AU"/>
              </w:rPr>
              <w:t>um Swamp</w:t>
            </w:r>
            <w:r w:rsidRPr="00D85635">
              <w:rPr>
                <w:rFonts w:ascii="Arial" w:hAnsi="Arial" w:cs="Arial"/>
                <w:b w:val="0"/>
                <w:bCs w:val="0"/>
                <w:sz w:val="20"/>
                <w:szCs w:val="20"/>
                <w:lang w:eastAsia="en-AU"/>
              </w:rPr>
              <w:t>.</w:t>
            </w:r>
          </w:p>
          <w:p w14:paraId="3E87A96D" w14:textId="43284D71" w:rsidR="0095181A" w:rsidRPr="00D85635" w:rsidRDefault="00FB3AB9" w:rsidP="00BB680D">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The </w:t>
            </w:r>
            <w:r w:rsidR="00E97312" w:rsidRPr="00D85635">
              <w:rPr>
                <w:rFonts w:ascii="Arial" w:hAnsi="Arial" w:cs="Arial"/>
                <w:b w:val="0"/>
                <w:bCs w:val="0"/>
                <w:sz w:val="20"/>
                <w:szCs w:val="20"/>
                <w:lang w:eastAsia="en-AU"/>
              </w:rPr>
              <w:t>mine layout</w:t>
            </w:r>
            <w:r w:rsidR="00393B42" w:rsidRPr="00D85635">
              <w:rPr>
                <w:rFonts w:ascii="Arial" w:hAnsi="Arial" w:cs="Arial"/>
                <w:b w:val="0"/>
                <w:bCs w:val="0"/>
                <w:sz w:val="20"/>
                <w:szCs w:val="20"/>
                <w:lang w:eastAsia="en-AU"/>
              </w:rPr>
              <w:t xml:space="preserve"> development envelope, which encompasses the </w:t>
            </w:r>
            <w:r w:rsidRPr="00D85635">
              <w:rPr>
                <w:rFonts w:ascii="Arial" w:hAnsi="Arial" w:cs="Arial"/>
                <w:b w:val="0"/>
                <w:bCs w:val="0"/>
                <w:sz w:val="20"/>
                <w:szCs w:val="20"/>
                <w:lang w:eastAsia="en-AU"/>
              </w:rPr>
              <w:t xml:space="preserve">indicative mining area, processing and refining plant and associated infrastructure areas, evaporation ponds and TSFs will total approximately 2,580 ha. </w:t>
            </w:r>
            <w:r w:rsidR="00BB680D" w:rsidRPr="00D85635">
              <w:rPr>
                <w:rFonts w:ascii="Arial" w:hAnsi="Arial" w:cs="Arial"/>
                <w:b w:val="0"/>
                <w:bCs w:val="0"/>
                <w:sz w:val="20"/>
                <w:szCs w:val="20"/>
                <w:lang w:eastAsia="en-AU"/>
              </w:rPr>
              <w:t xml:space="preserve">Iluka has chosen to exclude the </w:t>
            </w:r>
            <w:proofErr w:type="spellStart"/>
            <w:r w:rsidR="00BB680D" w:rsidRPr="00D85635">
              <w:rPr>
                <w:rFonts w:ascii="Arial" w:hAnsi="Arial" w:cs="Arial"/>
                <w:b w:val="0"/>
                <w:bCs w:val="0"/>
                <w:sz w:val="20"/>
                <w:szCs w:val="20"/>
                <w:lang w:eastAsia="en-AU"/>
              </w:rPr>
              <w:t>Jallumba</w:t>
            </w:r>
            <w:proofErr w:type="spellEnd"/>
            <w:r w:rsidR="00BB680D" w:rsidRPr="00D85635">
              <w:rPr>
                <w:rFonts w:ascii="Arial" w:hAnsi="Arial" w:cs="Arial"/>
                <w:b w:val="0"/>
                <w:bCs w:val="0"/>
                <w:sz w:val="20"/>
                <w:szCs w:val="20"/>
                <w:lang w:eastAsia="en-AU"/>
              </w:rPr>
              <w:t xml:space="preserve"> Marsh Flora Reserve and Red Gum Swamp from the mine layout development envelope </w:t>
            </w:r>
            <w:r w:rsidR="00020AA8" w:rsidRPr="00D85635">
              <w:rPr>
                <w:rFonts w:ascii="Arial" w:hAnsi="Arial" w:cs="Arial"/>
                <w:b w:val="0"/>
                <w:bCs w:val="0"/>
                <w:sz w:val="20"/>
                <w:szCs w:val="20"/>
                <w:lang w:eastAsia="en-AU"/>
              </w:rPr>
              <w:t>(Figure 2)</w:t>
            </w:r>
            <w:r w:rsidR="007D4860" w:rsidRPr="00D85635">
              <w:rPr>
                <w:rFonts w:ascii="Arial" w:hAnsi="Arial" w:cs="Arial"/>
                <w:b w:val="0"/>
                <w:bCs w:val="0"/>
                <w:sz w:val="20"/>
                <w:szCs w:val="20"/>
                <w:lang w:eastAsia="en-AU"/>
              </w:rPr>
              <w:t>.</w:t>
            </w:r>
            <w:r w:rsidR="00D6349E" w:rsidRPr="00D85635">
              <w:rPr>
                <w:rFonts w:ascii="Arial" w:hAnsi="Arial" w:cs="Arial"/>
                <w:b w:val="0"/>
                <w:bCs w:val="0"/>
                <w:sz w:val="20"/>
                <w:szCs w:val="20"/>
                <w:lang w:eastAsia="en-AU"/>
              </w:rPr>
              <w:t xml:space="preserve"> </w:t>
            </w:r>
          </w:p>
          <w:p w14:paraId="5E009D5A" w14:textId="79302EE1" w:rsidR="00316DD9" w:rsidRPr="00D85635" w:rsidRDefault="00241716" w:rsidP="001F7A53">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Targeted surveys will be undertaken to determine the presence and extent of significant flora, fauna and ecological communities, along with an ecological impact assessment once the site layout and offsite infrastructure requirements are determined to assess the potential impacts.</w:t>
            </w:r>
            <w:r w:rsidRPr="00D85635">
              <w:rPr>
                <w:rFonts w:ascii="Arial" w:hAnsi="Arial" w:cs="Arial"/>
              </w:rPr>
              <w:t xml:space="preserve"> </w:t>
            </w:r>
            <w:r w:rsidR="00CD2CF9" w:rsidRPr="00D85635">
              <w:rPr>
                <w:rFonts w:ascii="Arial" w:hAnsi="Arial" w:cs="Arial"/>
                <w:b w:val="0"/>
                <w:bCs w:val="0"/>
                <w:sz w:val="20"/>
                <w:szCs w:val="20"/>
                <w:lang w:eastAsia="en-AU"/>
              </w:rPr>
              <w:t xml:space="preserve">The detailed design will seek to minimise the area of native vegetation clearing. </w:t>
            </w:r>
          </w:p>
          <w:p w14:paraId="5BAD342F" w14:textId="3A1BDF5A" w:rsidR="001E3FB4" w:rsidRPr="00D85635" w:rsidRDefault="001E3FB4" w:rsidP="001E3FB4">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The potential habitat extents for listed species or threatened ecological communities within the baseline ecological study area (Cardno 2019a), which is of larger extent than the likely final mine layout and disturbance footprint is outlined in Table </w:t>
            </w:r>
            <w:r w:rsidR="00D0190B" w:rsidRPr="00D85635">
              <w:rPr>
                <w:rFonts w:ascii="Arial" w:hAnsi="Arial" w:cs="Arial"/>
                <w:b w:val="0"/>
                <w:bCs w:val="0"/>
                <w:sz w:val="20"/>
                <w:szCs w:val="20"/>
                <w:lang w:eastAsia="en-AU"/>
              </w:rPr>
              <w:t>1</w:t>
            </w:r>
            <w:r w:rsidRPr="00D85635">
              <w:rPr>
                <w:rFonts w:ascii="Arial" w:hAnsi="Arial" w:cs="Arial"/>
                <w:b w:val="0"/>
                <w:bCs w:val="0"/>
                <w:sz w:val="20"/>
                <w:szCs w:val="20"/>
                <w:lang w:eastAsia="en-AU"/>
              </w:rPr>
              <w:t>2.1. The mine layout plan will be developed in the second half of 2019.</w:t>
            </w:r>
          </w:p>
          <w:tbl>
            <w:tblPr>
              <w:tblStyle w:val="EMMTable"/>
              <w:tblW w:w="5000" w:type="pct"/>
              <w:tblLayout w:type="fixed"/>
              <w:tblLook w:val="0620" w:firstRow="1" w:lastRow="0" w:firstColumn="0" w:lastColumn="0" w:noHBand="1" w:noVBand="1"/>
            </w:tblPr>
            <w:tblGrid>
              <w:gridCol w:w="5398"/>
              <w:gridCol w:w="3629"/>
            </w:tblGrid>
            <w:tr w:rsidR="001E3FB4" w:rsidRPr="00D85635" w14:paraId="2BDEC0A6"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0B392F78" w14:textId="5A544201" w:rsidR="001E3FB4" w:rsidRPr="00D85635" w:rsidRDefault="001E3FB4" w:rsidP="001E3FB4">
                  <w:pPr>
                    <w:pStyle w:val="TableCaption"/>
                    <w:rPr>
                      <w:rFonts w:ascii="Arial" w:hAnsi="Arial" w:cs="Arial"/>
                      <w:sz w:val="18"/>
                    </w:rPr>
                  </w:pPr>
                  <w:bookmarkStart w:id="104" w:name="_Toc5893633"/>
                  <w:bookmarkStart w:id="105" w:name="_Toc5957386"/>
                  <w:bookmarkStart w:id="106" w:name="_Toc5957614"/>
                  <w:bookmarkStart w:id="107" w:name="_Toc5957742"/>
                  <w:bookmarkStart w:id="108" w:name="_Toc13470121"/>
                  <w:r w:rsidRPr="00D85635">
                    <w:rPr>
                      <w:rFonts w:ascii="Arial" w:hAnsi="Arial" w:cs="Arial"/>
                      <w:sz w:val="18"/>
                    </w:rPr>
                    <w:t xml:space="preserve">Table </w:t>
                  </w:r>
                  <w:r w:rsidR="00D0190B" w:rsidRPr="00D85635">
                    <w:rPr>
                      <w:rFonts w:ascii="Arial" w:hAnsi="Arial" w:cs="Arial"/>
                      <w:sz w:val="18"/>
                    </w:rPr>
                    <w:t>1</w:t>
                  </w:r>
                  <w:r w:rsidR="00524782" w:rsidRPr="00D85635">
                    <w:rPr>
                      <w:rFonts w:ascii="Arial" w:hAnsi="Arial" w:cs="Arial"/>
                      <w:sz w:val="18"/>
                    </w:rPr>
                    <w:fldChar w:fldCharType="begin"/>
                  </w:r>
                  <w:r w:rsidR="00524782" w:rsidRPr="00D85635">
                    <w:rPr>
                      <w:rFonts w:ascii="Arial" w:hAnsi="Arial" w:cs="Arial"/>
                      <w:sz w:val="18"/>
                    </w:rPr>
                    <w:instrText xml:space="preserve"> STYLEREF 1 \s </w:instrText>
                  </w:r>
                  <w:r w:rsidR="00524782" w:rsidRPr="00D85635">
                    <w:rPr>
                      <w:rFonts w:ascii="Arial" w:hAnsi="Arial" w:cs="Arial"/>
                      <w:sz w:val="18"/>
                    </w:rPr>
                    <w:fldChar w:fldCharType="separate"/>
                  </w:r>
                  <w:r w:rsidRPr="00D85635">
                    <w:rPr>
                      <w:rFonts w:ascii="Arial" w:hAnsi="Arial" w:cs="Arial"/>
                      <w:noProof/>
                      <w:sz w:val="18"/>
                    </w:rPr>
                    <w:t>2</w:t>
                  </w:r>
                  <w:r w:rsidR="00524782" w:rsidRPr="00D85635">
                    <w:rPr>
                      <w:rFonts w:ascii="Arial" w:hAnsi="Arial" w:cs="Arial"/>
                      <w:noProof/>
                      <w:sz w:val="18"/>
                    </w:rPr>
                    <w:fldChar w:fldCharType="end"/>
                  </w:r>
                  <w:r w:rsidRPr="00D85635">
                    <w:rPr>
                      <w:rFonts w:ascii="Arial" w:hAnsi="Arial" w:cs="Arial"/>
                      <w:sz w:val="18"/>
                    </w:rPr>
                    <w:t>.</w:t>
                  </w:r>
                  <w:r w:rsidR="00524782" w:rsidRPr="00D85635">
                    <w:rPr>
                      <w:rFonts w:ascii="Arial" w:hAnsi="Arial" w:cs="Arial"/>
                      <w:sz w:val="18"/>
                    </w:rPr>
                    <w:fldChar w:fldCharType="begin"/>
                  </w:r>
                  <w:r w:rsidR="00524782" w:rsidRPr="00D85635">
                    <w:rPr>
                      <w:rFonts w:ascii="Arial" w:hAnsi="Arial" w:cs="Arial"/>
                      <w:sz w:val="18"/>
                    </w:rPr>
                    <w:instrText xml:space="preserve"> SEQ Table \* ARABIC \s 1 </w:instrText>
                  </w:r>
                  <w:r w:rsidR="00524782" w:rsidRPr="00D85635">
                    <w:rPr>
                      <w:rFonts w:ascii="Arial" w:hAnsi="Arial" w:cs="Arial"/>
                      <w:sz w:val="18"/>
                    </w:rPr>
                    <w:fldChar w:fldCharType="separate"/>
                  </w:r>
                  <w:r w:rsidRPr="00D85635">
                    <w:rPr>
                      <w:rFonts w:ascii="Arial" w:hAnsi="Arial" w:cs="Arial"/>
                      <w:noProof/>
                      <w:sz w:val="18"/>
                    </w:rPr>
                    <w:t>1</w:t>
                  </w:r>
                  <w:r w:rsidR="00524782" w:rsidRPr="00D85635">
                    <w:rPr>
                      <w:rFonts w:ascii="Arial" w:hAnsi="Arial" w:cs="Arial"/>
                      <w:noProof/>
                      <w:sz w:val="18"/>
                    </w:rPr>
                    <w:fldChar w:fldCharType="end"/>
                  </w:r>
                  <w:r w:rsidRPr="00D85635">
                    <w:rPr>
                      <w:rFonts w:ascii="Arial" w:hAnsi="Arial" w:cs="Arial"/>
                      <w:sz w:val="18"/>
                    </w:rPr>
                    <w:tab/>
                    <w:t>Habitat extents for listed species or threatened ecological communities</w:t>
                  </w:r>
                  <w:bookmarkEnd w:id="104"/>
                  <w:bookmarkEnd w:id="105"/>
                  <w:bookmarkEnd w:id="106"/>
                  <w:bookmarkEnd w:id="107"/>
                  <w:r w:rsidRPr="00D85635">
                    <w:rPr>
                      <w:rFonts w:ascii="Arial" w:hAnsi="Arial" w:cs="Arial"/>
                      <w:sz w:val="18"/>
                    </w:rPr>
                    <w:t xml:space="preserve"> within the baseline ecological study area</w:t>
                  </w:r>
                  <w:bookmarkEnd w:id="108"/>
                </w:p>
              </w:tc>
            </w:tr>
            <w:tr w:rsidR="001E3FB4" w:rsidRPr="00D85635" w14:paraId="47512219"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2990" w:type="pct"/>
                  <w:tcBorders>
                    <w:bottom w:val="single" w:sz="4" w:space="0" w:color="000000" w:themeColor="text1"/>
                  </w:tcBorders>
                  <w:shd w:val="clear" w:color="auto" w:fill="auto"/>
                </w:tcPr>
                <w:p w14:paraId="1B9160AC" w14:textId="77777777" w:rsidR="001E3FB4" w:rsidRPr="00D85635" w:rsidRDefault="001E3FB4" w:rsidP="001E3FB4">
                  <w:pPr>
                    <w:pStyle w:val="TableHeading"/>
                    <w:rPr>
                      <w:rFonts w:ascii="Arial" w:hAnsi="Arial" w:cs="Arial"/>
                    </w:rPr>
                  </w:pPr>
                  <w:r w:rsidRPr="00D85635">
                    <w:rPr>
                      <w:rFonts w:ascii="Arial" w:hAnsi="Arial" w:cs="Arial"/>
                    </w:rPr>
                    <w:t>Protected matter</w:t>
                  </w:r>
                </w:p>
              </w:tc>
              <w:tc>
                <w:tcPr>
                  <w:tcW w:w="2010" w:type="pct"/>
                  <w:tcBorders>
                    <w:bottom w:val="single" w:sz="4" w:space="0" w:color="000000" w:themeColor="text1"/>
                  </w:tcBorders>
                  <w:shd w:val="clear" w:color="auto" w:fill="auto"/>
                </w:tcPr>
                <w:p w14:paraId="33365B16" w14:textId="77777777" w:rsidR="001E3FB4" w:rsidRPr="00D85635" w:rsidRDefault="001E3FB4" w:rsidP="001E3FB4">
                  <w:pPr>
                    <w:pStyle w:val="TableHeading"/>
                    <w:rPr>
                      <w:rFonts w:ascii="Arial" w:hAnsi="Arial" w:cs="Arial"/>
                    </w:rPr>
                  </w:pPr>
                  <w:r w:rsidRPr="00D85635">
                    <w:rPr>
                      <w:rFonts w:ascii="Arial" w:hAnsi="Arial" w:cs="Arial"/>
                    </w:rPr>
                    <w:t>Potential area of habitat impact</w:t>
                  </w:r>
                </w:p>
              </w:tc>
            </w:tr>
            <w:tr w:rsidR="001E3FB4" w:rsidRPr="00D85635" w14:paraId="7B125911" w14:textId="77777777" w:rsidTr="008D4567">
              <w:trPr>
                <w:cantSplit/>
              </w:trPr>
              <w:tc>
                <w:tcPr>
                  <w:tcW w:w="2990" w:type="pct"/>
                  <w:tcBorders>
                    <w:top w:val="single" w:sz="4" w:space="0" w:color="000000" w:themeColor="text1"/>
                    <w:bottom w:val="single" w:sz="4" w:space="0" w:color="BFBFBF" w:themeColor="background1" w:themeShade="BF"/>
                  </w:tcBorders>
                  <w:shd w:val="clear" w:color="auto" w:fill="auto"/>
                </w:tcPr>
                <w:p w14:paraId="0E960163" w14:textId="77777777" w:rsidR="001E3FB4" w:rsidRPr="00D85635" w:rsidRDefault="001E3FB4" w:rsidP="001E3FB4">
                  <w:pPr>
                    <w:pStyle w:val="TableText"/>
                    <w:rPr>
                      <w:rFonts w:ascii="Arial" w:hAnsi="Arial" w:cs="Arial"/>
                    </w:rPr>
                  </w:pPr>
                  <w:proofErr w:type="spellStart"/>
                  <w:r w:rsidRPr="00D85635">
                    <w:rPr>
                      <w:rFonts w:ascii="Arial" w:hAnsi="Arial" w:cs="Arial"/>
                    </w:rPr>
                    <w:t>Buloke</w:t>
                  </w:r>
                  <w:proofErr w:type="spellEnd"/>
                  <w:r w:rsidRPr="00D85635">
                    <w:rPr>
                      <w:rFonts w:ascii="Arial" w:hAnsi="Arial" w:cs="Arial"/>
                    </w:rPr>
                    <w:t xml:space="preserve"> Woodlands of the Riverina and Murray-Darling Depression Bioregions </w:t>
                  </w:r>
                </w:p>
              </w:tc>
              <w:tc>
                <w:tcPr>
                  <w:tcW w:w="2010" w:type="pct"/>
                  <w:tcBorders>
                    <w:top w:val="single" w:sz="4" w:space="0" w:color="000000" w:themeColor="text1"/>
                    <w:bottom w:val="single" w:sz="4" w:space="0" w:color="BFBFBF" w:themeColor="background1" w:themeShade="BF"/>
                  </w:tcBorders>
                  <w:shd w:val="clear" w:color="auto" w:fill="auto"/>
                </w:tcPr>
                <w:p w14:paraId="2BBFE073" w14:textId="77777777" w:rsidR="001E3FB4" w:rsidRPr="00D85635" w:rsidRDefault="001E3FB4" w:rsidP="001E3FB4">
                  <w:pPr>
                    <w:pStyle w:val="TableText"/>
                    <w:rPr>
                      <w:rFonts w:ascii="Arial" w:hAnsi="Arial" w:cs="Arial"/>
                    </w:rPr>
                  </w:pPr>
                  <w:r w:rsidRPr="00D85635">
                    <w:rPr>
                      <w:rFonts w:ascii="Arial" w:hAnsi="Arial" w:cs="Arial"/>
                    </w:rPr>
                    <w:t>Up to 55.3 ha of potential habitat</w:t>
                  </w:r>
                </w:p>
              </w:tc>
            </w:tr>
            <w:tr w:rsidR="001E3FB4" w:rsidRPr="00D85635" w14:paraId="1A167A4E"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09EFD159" w14:textId="77777777" w:rsidR="001E3FB4" w:rsidRPr="00D85635" w:rsidRDefault="001E3FB4" w:rsidP="001E3FB4">
                  <w:pPr>
                    <w:pStyle w:val="TableText"/>
                    <w:rPr>
                      <w:rFonts w:ascii="Arial" w:hAnsi="Arial" w:cs="Arial"/>
                    </w:rPr>
                  </w:pPr>
                  <w:r w:rsidRPr="00D85635">
                    <w:rPr>
                      <w:rFonts w:ascii="Arial" w:hAnsi="Arial" w:cs="Arial"/>
                    </w:rPr>
                    <w:t>Grey Box (</w:t>
                  </w:r>
                  <w:r w:rsidRPr="00D85635">
                    <w:rPr>
                      <w:rFonts w:ascii="Arial" w:hAnsi="Arial" w:cs="Arial"/>
                      <w:i/>
                    </w:rPr>
                    <w:t xml:space="preserve">Eucalyptus </w:t>
                  </w:r>
                  <w:proofErr w:type="spellStart"/>
                  <w:r w:rsidRPr="00D85635">
                    <w:rPr>
                      <w:rFonts w:ascii="Arial" w:hAnsi="Arial" w:cs="Arial"/>
                      <w:i/>
                    </w:rPr>
                    <w:t>microcarpa</w:t>
                  </w:r>
                  <w:proofErr w:type="spellEnd"/>
                  <w:r w:rsidRPr="00D85635">
                    <w:rPr>
                      <w:rFonts w:ascii="Arial" w:hAnsi="Arial" w:cs="Arial"/>
                    </w:rPr>
                    <w:t xml:space="preserve">) Woodlands and Derived Native Grasslands of South Eastern Australia </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503EF3A9" w14:textId="77777777" w:rsidR="001E3FB4" w:rsidRPr="00D85635" w:rsidRDefault="001E3FB4" w:rsidP="001E3FB4">
                  <w:pPr>
                    <w:pStyle w:val="TableText"/>
                    <w:rPr>
                      <w:rFonts w:ascii="Arial" w:hAnsi="Arial" w:cs="Arial"/>
                    </w:rPr>
                  </w:pPr>
                  <w:r w:rsidRPr="00D85635">
                    <w:rPr>
                      <w:rFonts w:ascii="Arial" w:hAnsi="Arial" w:cs="Arial"/>
                    </w:rPr>
                    <w:t>Up to 55.4 ha of potential habitat</w:t>
                  </w:r>
                </w:p>
              </w:tc>
            </w:tr>
            <w:tr w:rsidR="001E3FB4" w:rsidRPr="00D85635" w14:paraId="0C05C159"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6B5EC8FE" w14:textId="77777777" w:rsidR="001E3FB4" w:rsidRPr="00D85635" w:rsidRDefault="001E3FB4" w:rsidP="001E3FB4">
                  <w:pPr>
                    <w:pStyle w:val="TableText"/>
                    <w:rPr>
                      <w:rFonts w:ascii="Arial" w:hAnsi="Arial" w:cs="Arial"/>
                    </w:rPr>
                  </w:pPr>
                  <w:r w:rsidRPr="00D85635">
                    <w:rPr>
                      <w:rFonts w:ascii="Arial" w:hAnsi="Arial" w:cs="Arial"/>
                    </w:rPr>
                    <w:t xml:space="preserve">Seasonal Herbaceous Wetlands (Freshwater) of the Temperate Lowland Plains </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2E519D21" w14:textId="77777777" w:rsidR="001E3FB4" w:rsidRPr="00D85635" w:rsidRDefault="001E3FB4" w:rsidP="001E3FB4">
                  <w:pPr>
                    <w:pStyle w:val="TableText"/>
                    <w:rPr>
                      <w:rFonts w:ascii="Arial" w:hAnsi="Arial" w:cs="Arial"/>
                    </w:rPr>
                  </w:pPr>
                  <w:r w:rsidRPr="00D85635">
                    <w:rPr>
                      <w:rFonts w:ascii="Arial" w:hAnsi="Arial" w:cs="Arial"/>
                    </w:rPr>
                    <w:t>Up to 56.5 ha of potential habitat</w:t>
                  </w:r>
                </w:p>
              </w:tc>
            </w:tr>
            <w:tr w:rsidR="001E3FB4" w:rsidRPr="00D85635" w14:paraId="21CA8F06"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53D73C50" w14:textId="77777777" w:rsidR="001E3FB4" w:rsidRPr="00D85635" w:rsidRDefault="001E3FB4" w:rsidP="001E3FB4">
                  <w:pPr>
                    <w:pStyle w:val="TableText"/>
                    <w:rPr>
                      <w:rFonts w:ascii="Arial" w:hAnsi="Arial" w:cs="Arial"/>
                    </w:rPr>
                  </w:pPr>
                  <w:r w:rsidRPr="00D85635">
                    <w:rPr>
                      <w:rFonts w:ascii="Arial" w:hAnsi="Arial" w:cs="Arial"/>
                    </w:rPr>
                    <w:t>Growling Grass Frog (</w:t>
                  </w:r>
                  <w:proofErr w:type="spellStart"/>
                  <w:r w:rsidRPr="00D85635">
                    <w:rPr>
                      <w:rFonts w:ascii="Arial" w:hAnsi="Arial" w:cs="Arial"/>
                      <w:i/>
                    </w:rPr>
                    <w:t>Litoria</w:t>
                  </w:r>
                  <w:proofErr w:type="spellEnd"/>
                  <w:r w:rsidRPr="00D85635">
                    <w:rPr>
                      <w:rFonts w:ascii="Arial" w:hAnsi="Arial" w:cs="Arial"/>
                      <w:i/>
                    </w:rPr>
                    <w:t xml:space="preserve"> </w:t>
                  </w:r>
                  <w:proofErr w:type="spellStart"/>
                  <w:r w:rsidRPr="00D85635">
                    <w:rPr>
                      <w:rFonts w:ascii="Arial" w:hAnsi="Arial" w:cs="Arial"/>
                      <w:i/>
                    </w:rPr>
                    <w:t>raniformis</w:t>
                  </w:r>
                  <w:proofErr w:type="spellEnd"/>
                  <w:r w:rsidRPr="00D85635">
                    <w:rPr>
                      <w:rFonts w:ascii="Arial" w:hAnsi="Arial" w:cs="Arial"/>
                    </w:rPr>
                    <w:t>)</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03319FC2" w14:textId="77777777" w:rsidR="001E3FB4" w:rsidRPr="00D85635" w:rsidRDefault="001E3FB4" w:rsidP="001E3FB4">
                  <w:pPr>
                    <w:pStyle w:val="TableText"/>
                    <w:rPr>
                      <w:rFonts w:ascii="Arial" w:hAnsi="Arial" w:cs="Arial"/>
                    </w:rPr>
                  </w:pPr>
                  <w:r w:rsidRPr="00D85635">
                    <w:rPr>
                      <w:rFonts w:ascii="Arial" w:hAnsi="Arial" w:cs="Arial"/>
                    </w:rPr>
                    <w:t>Up to 346.3 ha of potential habitat (foraging) and 59.9 km of drainage lines (breeding and dispersal habitat)</w:t>
                  </w:r>
                </w:p>
              </w:tc>
            </w:tr>
            <w:tr w:rsidR="001E3FB4" w:rsidRPr="00D85635" w14:paraId="19D4612A"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72DD9FD6" w14:textId="77777777" w:rsidR="001E3FB4" w:rsidRPr="00D85635" w:rsidRDefault="001E3FB4" w:rsidP="001E3FB4">
                  <w:pPr>
                    <w:pStyle w:val="TableText"/>
                    <w:rPr>
                      <w:rFonts w:ascii="Arial" w:hAnsi="Arial" w:cs="Arial"/>
                    </w:rPr>
                  </w:pPr>
                  <w:r w:rsidRPr="00D85635">
                    <w:rPr>
                      <w:rFonts w:ascii="Arial" w:hAnsi="Arial" w:cs="Arial"/>
                    </w:rPr>
                    <w:t>Red-tailed Black Cockatoo (south-eastern form) (</w:t>
                  </w:r>
                  <w:r w:rsidRPr="00D85635">
                    <w:rPr>
                      <w:rFonts w:ascii="Arial" w:hAnsi="Arial" w:cs="Arial"/>
                      <w:i/>
                    </w:rPr>
                    <w:t xml:space="preserve">Calyptorhynchus </w:t>
                  </w:r>
                  <w:proofErr w:type="spellStart"/>
                  <w:r w:rsidRPr="00D85635">
                    <w:rPr>
                      <w:rFonts w:ascii="Arial" w:hAnsi="Arial" w:cs="Arial"/>
                      <w:i/>
                    </w:rPr>
                    <w:t>lathami</w:t>
                  </w:r>
                  <w:proofErr w:type="spellEnd"/>
                  <w:r w:rsidRPr="00D85635">
                    <w:rPr>
                      <w:rFonts w:ascii="Arial" w:hAnsi="Arial" w:cs="Arial"/>
                      <w:i/>
                    </w:rPr>
                    <w:t xml:space="preserve"> </w:t>
                  </w:r>
                  <w:proofErr w:type="spellStart"/>
                  <w:r w:rsidRPr="00D85635">
                    <w:rPr>
                      <w:rFonts w:ascii="Arial" w:hAnsi="Arial" w:cs="Arial"/>
                      <w:i/>
                    </w:rPr>
                    <w:t>graptogyne</w:t>
                  </w:r>
                  <w:proofErr w:type="spellEnd"/>
                  <w:r w:rsidRPr="00D85635">
                    <w:rPr>
                      <w:rFonts w:ascii="Arial" w:hAnsi="Arial" w:cs="Arial"/>
                    </w:rPr>
                    <w:t>)</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3B49D099" w14:textId="77777777" w:rsidR="001E3FB4" w:rsidRPr="00D85635" w:rsidRDefault="001E3FB4" w:rsidP="001E3FB4">
                  <w:pPr>
                    <w:pStyle w:val="TableText"/>
                    <w:rPr>
                      <w:rFonts w:ascii="Arial" w:hAnsi="Arial" w:cs="Arial"/>
                    </w:rPr>
                  </w:pPr>
                  <w:r w:rsidRPr="00D85635">
                    <w:rPr>
                      <w:rFonts w:ascii="Arial" w:hAnsi="Arial" w:cs="Arial"/>
                    </w:rPr>
                    <w:t>Up to 529.9 ha of potential habitat</w:t>
                  </w:r>
                </w:p>
              </w:tc>
            </w:tr>
            <w:tr w:rsidR="001E3FB4" w:rsidRPr="00D85635" w14:paraId="06640B13"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03A04B19" w14:textId="77777777" w:rsidR="001E3FB4" w:rsidRPr="00D85635" w:rsidRDefault="001E3FB4" w:rsidP="001E3FB4">
                  <w:pPr>
                    <w:pStyle w:val="TableText"/>
                    <w:rPr>
                      <w:rFonts w:ascii="Arial" w:hAnsi="Arial" w:cs="Arial"/>
                    </w:rPr>
                  </w:pPr>
                  <w:r w:rsidRPr="00D85635">
                    <w:rPr>
                      <w:rFonts w:ascii="Arial" w:hAnsi="Arial" w:cs="Arial"/>
                    </w:rPr>
                    <w:t>Swamp Everlasting (</w:t>
                  </w:r>
                  <w:proofErr w:type="spellStart"/>
                  <w:r w:rsidRPr="00D85635">
                    <w:rPr>
                      <w:rFonts w:ascii="Arial" w:hAnsi="Arial" w:cs="Arial"/>
                      <w:i/>
                    </w:rPr>
                    <w:t>Xerochrysum</w:t>
                  </w:r>
                  <w:proofErr w:type="spellEnd"/>
                  <w:r w:rsidRPr="00D85635">
                    <w:rPr>
                      <w:rFonts w:ascii="Arial" w:hAnsi="Arial" w:cs="Arial"/>
                      <w:i/>
                    </w:rPr>
                    <w:t xml:space="preserve"> </w:t>
                  </w:r>
                  <w:proofErr w:type="spellStart"/>
                  <w:r w:rsidRPr="00D85635">
                    <w:rPr>
                      <w:rFonts w:ascii="Arial" w:hAnsi="Arial" w:cs="Arial"/>
                      <w:i/>
                    </w:rPr>
                    <w:t>palustre</w:t>
                  </w:r>
                  <w:proofErr w:type="spellEnd"/>
                  <w:r w:rsidRPr="00D85635">
                    <w:rPr>
                      <w:rFonts w:ascii="Arial" w:hAnsi="Arial" w:cs="Arial"/>
                    </w:rPr>
                    <w:t>)</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376DB275" w14:textId="77777777" w:rsidR="001E3FB4" w:rsidRPr="00D85635" w:rsidRDefault="001E3FB4" w:rsidP="001E3FB4">
                  <w:pPr>
                    <w:pStyle w:val="TableText"/>
                    <w:rPr>
                      <w:rFonts w:ascii="Arial" w:hAnsi="Arial" w:cs="Arial"/>
                    </w:rPr>
                  </w:pPr>
                  <w:r w:rsidRPr="00D85635">
                    <w:rPr>
                      <w:rFonts w:ascii="Arial" w:hAnsi="Arial" w:cs="Arial"/>
                    </w:rPr>
                    <w:t>Up to 245.9 ha of potential habitat</w:t>
                  </w:r>
                </w:p>
              </w:tc>
            </w:tr>
            <w:tr w:rsidR="001E3FB4" w:rsidRPr="00D85635" w14:paraId="343CE5DF"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47097FD7" w14:textId="77777777" w:rsidR="001E3FB4" w:rsidRPr="00D85635" w:rsidRDefault="001E3FB4" w:rsidP="001E3FB4">
                  <w:pPr>
                    <w:pStyle w:val="TableText"/>
                    <w:rPr>
                      <w:rFonts w:ascii="Arial" w:hAnsi="Arial" w:cs="Arial"/>
                    </w:rPr>
                  </w:pPr>
                  <w:r w:rsidRPr="00D85635">
                    <w:rPr>
                      <w:rFonts w:ascii="Arial" w:hAnsi="Arial" w:cs="Arial"/>
                    </w:rPr>
                    <w:t>Red-</w:t>
                  </w:r>
                  <w:proofErr w:type="spellStart"/>
                  <w:r w:rsidRPr="00D85635">
                    <w:rPr>
                      <w:rFonts w:ascii="Arial" w:hAnsi="Arial" w:cs="Arial"/>
                    </w:rPr>
                    <w:t>lored</w:t>
                  </w:r>
                  <w:proofErr w:type="spellEnd"/>
                  <w:r w:rsidRPr="00D85635">
                    <w:rPr>
                      <w:rFonts w:ascii="Arial" w:hAnsi="Arial" w:cs="Arial"/>
                    </w:rPr>
                    <w:t xml:space="preserve"> Whistler (</w:t>
                  </w:r>
                  <w:proofErr w:type="spellStart"/>
                  <w:r w:rsidRPr="00D85635">
                    <w:rPr>
                      <w:rFonts w:ascii="Arial" w:hAnsi="Arial" w:cs="Arial"/>
                      <w:i/>
                    </w:rPr>
                    <w:t>Pachycephala</w:t>
                  </w:r>
                  <w:proofErr w:type="spellEnd"/>
                  <w:r w:rsidRPr="00D85635">
                    <w:rPr>
                      <w:rFonts w:ascii="Arial" w:hAnsi="Arial" w:cs="Arial"/>
                      <w:i/>
                    </w:rPr>
                    <w:t xml:space="preserve"> </w:t>
                  </w:r>
                  <w:proofErr w:type="spellStart"/>
                  <w:r w:rsidRPr="00D85635">
                    <w:rPr>
                      <w:rFonts w:ascii="Arial" w:hAnsi="Arial" w:cs="Arial"/>
                      <w:i/>
                    </w:rPr>
                    <w:t>rufogularis</w:t>
                  </w:r>
                  <w:proofErr w:type="spellEnd"/>
                  <w:r w:rsidRPr="00D85635">
                    <w:rPr>
                      <w:rFonts w:ascii="Arial" w:hAnsi="Arial" w:cs="Arial"/>
                    </w:rPr>
                    <w:t>)</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527A2DD3" w14:textId="77777777" w:rsidR="001E3FB4" w:rsidRPr="00D85635" w:rsidRDefault="001E3FB4" w:rsidP="001E3FB4">
                  <w:pPr>
                    <w:pStyle w:val="TableText"/>
                    <w:rPr>
                      <w:rFonts w:ascii="Arial" w:hAnsi="Arial" w:cs="Arial"/>
                    </w:rPr>
                  </w:pPr>
                  <w:r w:rsidRPr="00D85635">
                    <w:rPr>
                      <w:rFonts w:ascii="Arial" w:hAnsi="Arial" w:cs="Arial"/>
                    </w:rPr>
                    <w:t>Up to 272.1 ha of potential habitat</w:t>
                  </w:r>
                </w:p>
              </w:tc>
            </w:tr>
            <w:tr w:rsidR="001E3FB4" w:rsidRPr="00D85635" w14:paraId="72F6FA36"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1F4B7D45" w14:textId="77777777" w:rsidR="001E3FB4" w:rsidRPr="00D85635" w:rsidRDefault="001E3FB4" w:rsidP="001E3FB4">
                  <w:pPr>
                    <w:pStyle w:val="TableText"/>
                    <w:rPr>
                      <w:rFonts w:ascii="Arial" w:hAnsi="Arial" w:cs="Arial"/>
                    </w:rPr>
                  </w:pPr>
                  <w:r w:rsidRPr="00D85635">
                    <w:rPr>
                      <w:rFonts w:ascii="Arial" w:hAnsi="Arial" w:cs="Arial"/>
                    </w:rPr>
                    <w:t>Painted Honeyeater (</w:t>
                  </w:r>
                  <w:proofErr w:type="spellStart"/>
                  <w:r w:rsidRPr="00D85635">
                    <w:rPr>
                      <w:rFonts w:ascii="Arial" w:hAnsi="Arial" w:cs="Arial"/>
                      <w:i/>
                    </w:rPr>
                    <w:t>Grantiella</w:t>
                  </w:r>
                  <w:proofErr w:type="spellEnd"/>
                  <w:r w:rsidRPr="00D85635">
                    <w:rPr>
                      <w:rFonts w:ascii="Arial" w:hAnsi="Arial" w:cs="Arial"/>
                      <w:i/>
                    </w:rPr>
                    <w:t xml:space="preserve"> </w:t>
                  </w:r>
                  <w:proofErr w:type="spellStart"/>
                  <w:r w:rsidRPr="00D85635">
                    <w:rPr>
                      <w:rFonts w:ascii="Arial" w:hAnsi="Arial" w:cs="Arial"/>
                      <w:i/>
                    </w:rPr>
                    <w:t>picta</w:t>
                  </w:r>
                  <w:proofErr w:type="spellEnd"/>
                  <w:r w:rsidRPr="00D85635">
                    <w:rPr>
                      <w:rFonts w:ascii="Arial" w:hAnsi="Arial" w:cs="Arial"/>
                    </w:rPr>
                    <w:t>)</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2E119111" w14:textId="77777777" w:rsidR="001E3FB4" w:rsidRPr="00D85635" w:rsidRDefault="001E3FB4" w:rsidP="001E3FB4">
                  <w:pPr>
                    <w:pStyle w:val="TableText"/>
                    <w:rPr>
                      <w:rFonts w:ascii="Arial" w:hAnsi="Arial" w:cs="Arial"/>
                    </w:rPr>
                  </w:pPr>
                  <w:r w:rsidRPr="00D85635">
                    <w:rPr>
                      <w:rFonts w:ascii="Arial" w:hAnsi="Arial" w:cs="Arial"/>
                    </w:rPr>
                    <w:t>Up to 529.9 ha of potential habitat</w:t>
                  </w:r>
                </w:p>
              </w:tc>
            </w:tr>
            <w:tr w:rsidR="001E3FB4" w:rsidRPr="00D85635" w14:paraId="347EE76F"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07E9DCF0" w14:textId="77777777" w:rsidR="001E3FB4" w:rsidRPr="00D85635" w:rsidRDefault="001E3FB4" w:rsidP="001E3FB4">
                  <w:pPr>
                    <w:pStyle w:val="TableText"/>
                    <w:rPr>
                      <w:rFonts w:ascii="Arial" w:hAnsi="Arial" w:cs="Arial"/>
                    </w:rPr>
                  </w:pPr>
                  <w:r w:rsidRPr="00D85635">
                    <w:rPr>
                      <w:rFonts w:ascii="Arial" w:hAnsi="Arial" w:cs="Arial"/>
                    </w:rPr>
                    <w:t>Curlew Sandpiper (</w:t>
                  </w:r>
                  <w:proofErr w:type="spellStart"/>
                  <w:r w:rsidRPr="00D85635">
                    <w:rPr>
                      <w:rFonts w:ascii="Arial" w:hAnsi="Arial" w:cs="Arial"/>
                      <w:i/>
                    </w:rPr>
                    <w:t>Callidris</w:t>
                  </w:r>
                  <w:proofErr w:type="spellEnd"/>
                  <w:r w:rsidRPr="00D85635">
                    <w:rPr>
                      <w:rFonts w:ascii="Arial" w:hAnsi="Arial" w:cs="Arial"/>
                      <w:i/>
                    </w:rPr>
                    <w:t xml:space="preserve"> </w:t>
                  </w:r>
                  <w:proofErr w:type="spellStart"/>
                  <w:r w:rsidRPr="00D85635">
                    <w:rPr>
                      <w:rFonts w:ascii="Arial" w:hAnsi="Arial" w:cs="Arial"/>
                      <w:i/>
                    </w:rPr>
                    <w:t>ferruginea</w:t>
                  </w:r>
                  <w:proofErr w:type="spellEnd"/>
                  <w:r w:rsidRPr="00D85635">
                    <w:rPr>
                      <w:rFonts w:ascii="Arial" w:hAnsi="Arial" w:cs="Arial"/>
                    </w:rPr>
                    <w:t>)</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31CD8548" w14:textId="77777777" w:rsidR="001E3FB4" w:rsidRPr="00D85635" w:rsidRDefault="001E3FB4" w:rsidP="001E3FB4">
                  <w:pPr>
                    <w:pStyle w:val="TableText"/>
                    <w:rPr>
                      <w:rFonts w:ascii="Arial" w:hAnsi="Arial" w:cs="Arial"/>
                    </w:rPr>
                  </w:pPr>
                  <w:r w:rsidRPr="00D85635">
                    <w:rPr>
                      <w:rFonts w:ascii="Arial" w:hAnsi="Arial" w:cs="Arial"/>
                    </w:rPr>
                    <w:t>Up to 334.4 ha of potential habitat</w:t>
                  </w:r>
                </w:p>
              </w:tc>
            </w:tr>
            <w:tr w:rsidR="001E3FB4" w:rsidRPr="00D85635" w14:paraId="194787E2" w14:textId="77777777" w:rsidTr="008D4567">
              <w:trPr>
                <w:cantSplit/>
              </w:trPr>
              <w:tc>
                <w:tcPr>
                  <w:tcW w:w="2990" w:type="pct"/>
                  <w:tcBorders>
                    <w:top w:val="single" w:sz="4" w:space="0" w:color="BFBFBF" w:themeColor="background1" w:themeShade="BF"/>
                    <w:bottom w:val="single" w:sz="4" w:space="0" w:color="BFBFBF" w:themeColor="background1" w:themeShade="BF"/>
                  </w:tcBorders>
                  <w:shd w:val="clear" w:color="auto" w:fill="auto"/>
                </w:tcPr>
                <w:p w14:paraId="038163B8" w14:textId="77777777" w:rsidR="001E3FB4" w:rsidRPr="00D85635" w:rsidRDefault="001E3FB4" w:rsidP="001E3FB4">
                  <w:pPr>
                    <w:pStyle w:val="TableText"/>
                    <w:rPr>
                      <w:rFonts w:ascii="Arial" w:hAnsi="Arial" w:cs="Arial"/>
                    </w:rPr>
                  </w:pPr>
                  <w:r w:rsidRPr="00D85635">
                    <w:rPr>
                      <w:rFonts w:ascii="Arial" w:hAnsi="Arial" w:cs="Arial"/>
                    </w:rPr>
                    <w:t>Australasian Bittern (</w:t>
                  </w:r>
                  <w:r w:rsidRPr="00D85635">
                    <w:rPr>
                      <w:rFonts w:ascii="Arial" w:hAnsi="Arial" w:cs="Arial"/>
                      <w:i/>
                    </w:rPr>
                    <w:t xml:space="preserve">Botaurus </w:t>
                  </w:r>
                  <w:proofErr w:type="spellStart"/>
                  <w:r w:rsidRPr="00D85635">
                    <w:rPr>
                      <w:rFonts w:ascii="Arial" w:hAnsi="Arial" w:cs="Arial"/>
                      <w:i/>
                    </w:rPr>
                    <w:t>poiciloptilus</w:t>
                  </w:r>
                  <w:proofErr w:type="spellEnd"/>
                  <w:r w:rsidRPr="00D85635">
                    <w:rPr>
                      <w:rFonts w:ascii="Arial" w:hAnsi="Arial" w:cs="Arial"/>
                    </w:rPr>
                    <w:t>)</w:t>
                  </w:r>
                </w:p>
              </w:tc>
              <w:tc>
                <w:tcPr>
                  <w:tcW w:w="2010" w:type="pct"/>
                  <w:tcBorders>
                    <w:top w:val="single" w:sz="4" w:space="0" w:color="BFBFBF" w:themeColor="background1" w:themeShade="BF"/>
                    <w:bottom w:val="single" w:sz="4" w:space="0" w:color="BFBFBF" w:themeColor="background1" w:themeShade="BF"/>
                  </w:tcBorders>
                  <w:shd w:val="clear" w:color="auto" w:fill="auto"/>
                </w:tcPr>
                <w:p w14:paraId="15DB4DE2" w14:textId="77777777" w:rsidR="001E3FB4" w:rsidRPr="00D85635" w:rsidRDefault="001E3FB4" w:rsidP="001E3FB4">
                  <w:pPr>
                    <w:pStyle w:val="TableText"/>
                    <w:rPr>
                      <w:rFonts w:ascii="Arial" w:hAnsi="Arial" w:cs="Arial"/>
                    </w:rPr>
                  </w:pPr>
                  <w:r w:rsidRPr="00D85635">
                    <w:rPr>
                      <w:rFonts w:ascii="Arial" w:hAnsi="Arial" w:cs="Arial"/>
                    </w:rPr>
                    <w:t>Up to 334.4 ha of potential habitat</w:t>
                  </w:r>
                </w:p>
              </w:tc>
            </w:tr>
            <w:tr w:rsidR="001E3FB4" w:rsidRPr="00D85635" w14:paraId="6A174930" w14:textId="77777777" w:rsidTr="008D4567">
              <w:trPr>
                <w:cantSplit/>
              </w:trPr>
              <w:tc>
                <w:tcPr>
                  <w:tcW w:w="2990" w:type="pct"/>
                  <w:tcBorders>
                    <w:top w:val="single" w:sz="4" w:space="0" w:color="BFBFBF" w:themeColor="background1" w:themeShade="BF"/>
                    <w:bottom w:val="single" w:sz="2" w:space="0" w:color="000000" w:themeColor="text1"/>
                  </w:tcBorders>
                  <w:shd w:val="clear" w:color="auto" w:fill="auto"/>
                </w:tcPr>
                <w:p w14:paraId="6834A617" w14:textId="77777777" w:rsidR="001E3FB4" w:rsidRPr="00D85635" w:rsidRDefault="001E3FB4" w:rsidP="001E3FB4">
                  <w:pPr>
                    <w:pStyle w:val="TableText"/>
                    <w:rPr>
                      <w:rFonts w:ascii="Arial" w:hAnsi="Arial" w:cs="Arial"/>
                    </w:rPr>
                  </w:pPr>
                  <w:r w:rsidRPr="00D85635">
                    <w:rPr>
                      <w:rFonts w:ascii="Arial" w:hAnsi="Arial" w:cs="Arial"/>
                    </w:rPr>
                    <w:t>Swift Parrot (</w:t>
                  </w:r>
                  <w:proofErr w:type="spellStart"/>
                  <w:r w:rsidRPr="00D85635">
                    <w:rPr>
                      <w:rFonts w:ascii="Arial" w:hAnsi="Arial" w:cs="Arial"/>
                      <w:i/>
                    </w:rPr>
                    <w:t>Lathamus</w:t>
                  </w:r>
                  <w:proofErr w:type="spellEnd"/>
                  <w:r w:rsidRPr="00D85635">
                    <w:rPr>
                      <w:rFonts w:ascii="Arial" w:hAnsi="Arial" w:cs="Arial"/>
                      <w:i/>
                    </w:rPr>
                    <w:t xml:space="preserve"> </w:t>
                  </w:r>
                  <w:proofErr w:type="spellStart"/>
                  <w:r w:rsidRPr="00D85635">
                    <w:rPr>
                      <w:rFonts w:ascii="Arial" w:hAnsi="Arial" w:cs="Arial"/>
                      <w:i/>
                    </w:rPr>
                    <w:t>discolor</w:t>
                  </w:r>
                  <w:proofErr w:type="spellEnd"/>
                  <w:r w:rsidRPr="00D85635">
                    <w:rPr>
                      <w:rFonts w:ascii="Arial" w:hAnsi="Arial" w:cs="Arial"/>
                    </w:rPr>
                    <w:t>)</w:t>
                  </w:r>
                </w:p>
              </w:tc>
              <w:tc>
                <w:tcPr>
                  <w:tcW w:w="2010" w:type="pct"/>
                  <w:tcBorders>
                    <w:top w:val="single" w:sz="4" w:space="0" w:color="BFBFBF" w:themeColor="background1" w:themeShade="BF"/>
                    <w:bottom w:val="single" w:sz="2" w:space="0" w:color="000000" w:themeColor="text1"/>
                  </w:tcBorders>
                  <w:shd w:val="clear" w:color="auto" w:fill="auto"/>
                </w:tcPr>
                <w:p w14:paraId="46D4BB03" w14:textId="77777777" w:rsidR="001E3FB4" w:rsidRPr="00D85635" w:rsidRDefault="001E3FB4" w:rsidP="001E3FB4">
                  <w:pPr>
                    <w:pStyle w:val="TableText"/>
                    <w:rPr>
                      <w:rFonts w:ascii="Arial" w:hAnsi="Arial" w:cs="Arial"/>
                    </w:rPr>
                  </w:pPr>
                  <w:r w:rsidRPr="00D85635">
                    <w:rPr>
                      <w:rFonts w:ascii="Arial" w:hAnsi="Arial" w:cs="Arial"/>
                    </w:rPr>
                    <w:t>Up to 272.1 ha of potential habitat</w:t>
                  </w:r>
                </w:p>
              </w:tc>
            </w:tr>
          </w:tbl>
          <w:p w14:paraId="6537BC93" w14:textId="77777777" w:rsidR="001E3FB4" w:rsidRPr="00D85635" w:rsidRDefault="001E3FB4" w:rsidP="001E3FB4">
            <w:pPr>
              <w:pStyle w:val="BodyText"/>
              <w:spacing w:after="120"/>
              <w:jc w:val="both"/>
              <w:rPr>
                <w:rFonts w:ascii="Arial" w:hAnsi="Arial" w:cs="Arial"/>
                <w:b w:val="0"/>
                <w:bCs w:val="0"/>
                <w:sz w:val="20"/>
                <w:szCs w:val="20"/>
                <w:lang w:eastAsia="en-AU"/>
              </w:rPr>
            </w:pPr>
          </w:p>
          <w:p w14:paraId="1A5FB43F" w14:textId="3B85A27D" w:rsidR="001E3FB4" w:rsidRPr="00D85635" w:rsidRDefault="001E3FB4" w:rsidP="001E3FB4">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The ecological impacts associated with the indicative mineralised extent versus an indicative mining extent that excludes the </w:t>
            </w:r>
            <w:proofErr w:type="spellStart"/>
            <w:r w:rsidR="00316DD9" w:rsidRPr="00D85635">
              <w:rPr>
                <w:rFonts w:ascii="Arial" w:hAnsi="Arial" w:cs="Arial"/>
                <w:b w:val="0"/>
                <w:bCs w:val="0"/>
                <w:sz w:val="20"/>
                <w:szCs w:val="20"/>
                <w:lang w:eastAsia="en-AU"/>
              </w:rPr>
              <w:t>Jallumba</w:t>
            </w:r>
            <w:proofErr w:type="spellEnd"/>
            <w:r w:rsidR="00316DD9" w:rsidRPr="00D85635">
              <w:rPr>
                <w:rFonts w:ascii="Arial" w:hAnsi="Arial" w:cs="Arial"/>
                <w:b w:val="0"/>
                <w:bCs w:val="0"/>
                <w:sz w:val="20"/>
                <w:szCs w:val="20"/>
                <w:lang w:eastAsia="en-AU"/>
              </w:rPr>
              <w:t xml:space="preserve"> Marsh Flora Reserve</w:t>
            </w:r>
            <w:r w:rsidRPr="00D85635">
              <w:rPr>
                <w:rFonts w:ascii="Arial" w:hAnsi="Arial" w:cs="Arial"/>
                <w:b w:val="0"/>
                <w:bCs w:val="0"/>
                <w:sz w:val="20"/>
                <w:szCs w:val="20"/>
                <w:lang w:eastAsia="en-AU"/>
              </w:rPr>
              <w:t xml:space="preserve"> and Red Gum Swamp areas were assessed by Cardno in a letter dated 21/07/2019 (Appendix </w:t>
            </w:r>
            <w:r w:rsidR="00323595" w:rsidRPr="00D85635">
              <w:rPr>
                <w:rFonts w:ascii="Arial" w:hAnsi="Arial" w:cs="Arial"/>
                <w:b w:val="0"/>
                <w:bCs w:val="0"/>
                <w:sz w:val="20"/>
                <w:szCs w:val="20"/>
                <w:lang w:eastAsia="en-AU"/>
              </w:rPr>
              <w:t>J</w:t>
            </w:r>
            <w:r w:rsidRPr="00D85635">
              <w:rPr>
                <w:rFonts w:ascii="Arial" w:hAnsi="Arial" w:cs="Arial"/>
                <w:b w:val="0"/>
                <w:bCs w:val="0"/>
                <w:sz w:val="20"/>
                <w:szCs w:val="20"/>
                <w:lang w:eastAsia="en-AU"/>
              </w:rPr>
              <w:t>). Ecological values present or likely to be present were identified for the following areas:</w:t>
            </w:r>
          </w:p>
          <w:p w14:paraId="64928763" w14:textId="77777777" w:rsidR="001E3FB4" w:rsidRPr="00D85635" w:rsidRDefault="001E3FB4" w:rsidP="0017475D">
            <w:pPr>
              <w:pStyle w:val="BodyText"/>
              <w:numPr>
                <w:ilvl w:val="0"/>
                <w:numId w:val="57"/>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baseline ecological assessment study area (an upper limit, assumes the entire 5,600 ha ecological study area is disturbed);</w:t>
            </w:r>
          </w:p>
          <w:p w14:paraId="6460CB23" w14:textId="77777777" w:rsidR="001E3FB4" w:rsidRPr="00D85635" w:rsidRDefault="001E3FB4" w:rsidP="0017475D">
            <w:pPr>
              <w:pStyle w:val="ListBullet"/>
              <w:numPr>
                <w:ilvl w:val="0"/>
                <w:numId w:val="57"/>
              </w:numPr>
              <w:rPr>
                <w:rFonts w:cs="Arial"/>
                <w:b w:val="0"/>
                <w:bCs w:val="0"/>
              </w:rPr>
            </w:pPr>
            <w:r w:rsidRPr="00D85635">
              <w:rPr>
                <w:rFonts w:cs="Arial"/>
                <w:b w:val="0"/>
                <w:bCs w:val="0"/>
              </w:rPr>
              <w:t xml:space="preserve">indicative mineralised extent (totalling 1,509 ha, including the overlap areas with </w:t>
            </w:r>
            <w:proofErr w:type="spellStart"/>
            <w:r w:rsidRPr="00D85635">
              <w:rPr>
                <w:rFonts w:cs="Arial"/>
                <w:b w:val="0"/>
                <w:bCs w:val="0"/>
              </w:rPr>
              <w:t>Jallumba</w:t>
            </w:r>
            <w:proofErr w:type="spellEnd"/>
            <w:r w:rsidRPr="00D85635">
              <w:rPr>
                <w:rFonts w:cs="Arial"/>
                <w:b w:val="0"/>
                <w:bCs w:val="0"/>
              </w:rPr>
              <w:t xml:space="preserve"> Marsh Flora Reserve and Red Gum Swamp); and</w:t>
            </w:r>
          </w:p>
          <w:p w14:paraId="705DE650" w14:textId="77777777" w:rsidR="001E3FB4" w:rsidRPr="00D85635" w:rsidRDefault="001E3FB4" w:rsidP="0017475D">
            <w:pPr>
              <w:pStyle w:val="ListBullet"/>
              <w:numPr>
                <w:ilvl w:val="0"/>
                <w:numId w:val="57"/>
              </w:numPr>
              <w:rPr>
                <w:rFonts w:cs="Arial"/>
                <w:b w:val="0"/>
                <w:bCs w:val="0"/>
              </w:rPr>
            </w:pPr>
            <w:r w:rsidRPr="00D85635">
              <w:rPr>
                <w:rFonts w:cs="Arial"/>
                <w:b w:val="0"/>
                <w:bCs w:val="0"/>
              </w:rPr>
              <w:lastRenderedPageBreak/>
              <w:t>indicative mining extent (</w:t>
            </w:r>
            <w:proofErr w:type="spellStart"/>
            <w:r w:rsidRPr="00D85635">
              <w:rPr>
                <w:rFonts w:cs="Arial"/>
                <w:b w:val="0"/>
                <w:bCs w:val="0"/>
              </w:rPr>
              <w:t>ie</w:t>
            </w:r>
            <w:proofErr w:type="spellEnd"/>
            <w:r w:rsidRPr="00D85635">
              <w:rPr>
                <w:rFonts w:cs="Arial"/>
                <w:b w:val="0"/>
                <w:bCs w:val="0"/>
              </w:rPr>
              <w:t xml:space="preserve"> the indicative mineralised extent with the overlap areas of </w:t>
            </w:r>
            <w:proofErr w:type="spellStart"/>
            <w:r w:rsidRPr="00D85635">
              <w:rPr>
                <w:rFonts w:cs="Arial"/>
                <w:b w:val="0"/>
                <w:bCs w:val="0"/>
              </w:rPr>
              <w:t>Jallumba</w:t>
            </w:r>
            <w:proofErr w:type="spellEnd"/>
            <w:r w:rsidRPr="00D85635">
              <w:rPr>
                <w:rFonts w:cs="Arial"/>
                <w:b w:val="0"/>
                <w:bCs w:val="0"/>
              </w:rPr>
              <w:t xml:space="preserve"> Marsh Flora Reserve and Red Gum Swamp excluded, totalling 1,308 ha. This is referred to as the revised mineralised extent in the Letter of Advice (Cardno 2019b).</w:t>
            </w:r>
          </w:p>
          <w:p w14:paraId="5D597AC7" w14:textId="347C911F" w:rsidR="001E3FB4" w:rsidRPr="00D85635" w:rsidRDefault="001E3FB4" w:rsidP="001E3FB4">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Ecological values considered in the assessment related to threatened species, threatened ecological communities, and native vegetation (Appendix </w:t>
            </w:r>
            <w:r w:rsidR="00323595" w:rsidRPr="00D85635">
              <w:rPr>
                <w:rFonts w:ascii="Arial" w:hAnsi="Arial" w:cs="Arial"/>
                <w:b w:val="0"/>
                <w:bCs w:val="0"/>
                <w:sz w:val="20"/>
                <w:szCs w:val="20"/>
                <w:lang w:eastAsia="en-AU"/>
              </w:rPr>
              <w:t>J</w:t>
            </w:r>
            <w:r w:rsidRPr="00D85635">
              <w:rPr>
                <w:rFonts w:ascii="Arial" w:hAnsi="Arial" w:cs="Arial"/>
                <w:b w:val="0"/>
                <w:bCs w:val="0"/>
                <w:sz w:val="20"/>
                <w:szCs w:val="20"/>
                <w:lang w:eastAsia="en-AU"/>
              </w:rPr>
              <w:t>), and the associated scenario testing offset requirements report (</w:t>
            </w:r>
            <w:proofErr w:type="spellStart"/>
            <w:r w:rsidRPr="00D85635">
              <w:rPr>
                <w:rFonts w:ascii="Arial" w:hAnsi="Arial" w:cs="Arial"/>
                <w:b w:val="0"/>
                <w:bCs w:val="0"/>
                <w:sz w:val="20"/>
                <w:szCs w:val="20"/>
                <w:lang w:eastAsia="en-AU"/>
              </w:rPr>
              <w:t>Ensym</w:t>
            </w:r>
            <w:proofErr w:type="spellEnd"/>
            <w:r w:rsidRPr="00D85635">
              <w:rPr>
                <w:rFonts w:ascii="Arial" w:hAnsi="Arial" w:cs="Arial"/>
                <w:b w:val="0"/>
                <w:bCs w:val="0"/>
                <w:sz w:val="20"/>
                <w:szCs w:val="20"/>
                <w:lang w:eastAsia="en-AU"/>
              </w:rPr>
              <w:t xml:space="preserve">) sourced from DELWP (also in Appendix </w:t>
            </w:r>
            <w:r w:rsidR="00323595" w:rsidRPr="00D85635">
              <w:rPr>
                <w:rFonts w:ascii="Arial" w:hAnsi="Arial" w:cs="Arial"/>
                <w:b w:val="0"/>
                <w:bCs w:val="0"/>
                <w:sz w:val="20"/>
                <w:szCs w:val="20"/>
                <w:lang w:eastAsia="en-AU"/>
              </w:rPr>
              <w:t>J</w:t>
            </w:r>
            <w:r w:rsidRPr="00D85635">
              <w:rPr>
                <w:rFonts w:ascii="Arial" w:hAnsi="Arial" w:cs="Arial"/>
                <w:b w:val="0"/>
                <w:bCs w:val="0"/>
                <w:sz w:val="20"/>
                <w:szCs w:val="20"/>
                <w:lang w:eastAsia="en-AU"/>
              </w:rPr>
              <w:t xml:space="preserve">). </w:t>
            </w:r>
          </w:p>
          <w:p w14:paraId="4CC81DE7" w14:textId="6615081F" w:rsidR="001E3FB4" w:rsidRPr="00D85635" w:rsidRDefault="00241716" w:rsidP="001E3FB4">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T</w:t>
            </w:r>
            <w:r w:rsidR="001E3FB4" w:rsidRPr="00D85635">
              <w:rPr>
                <w:rFonts w:ascii="Arial" w:hAnsi="Arial" w:cs="Arial"/>
                <w:b w:val="0"/>
                <w:bCs w:val="0"/>
                <w:sz w:val="20"/>
                <w:szCs w:val="20"/>
                <w:lang w:eastAsia="en-AU"/>
              </w:rPr>
              <w:t xml:space="preserve">hreatened species (classed either as endangered or vulnerable) are more likely to be impacted by the potential development footprint than the modified footprint (with the </w:t>
            </w:r>
            <w:proofErr w:type="spellStart"/>
            <w:r w:rsidR="00316DD9" w:rsidRPr="00D85635">
              <w:rPr>
                <w:rFonts w:ascii="Arial" w:hAnsi="Arial" w:cs="Arial"/>
                <w:b w:val="0"/>
                <w:bCs w:val="0"/>
                <w:sz w:val="20"/>
                <w:szCs w:val="20"/>
                <w:lang w:eastAsia="en-AU"/>
              </w:rPr>
              <w:t>Jallumba</w:t>
            </w:r>
            <w:proofErr w:type="spellEnd"/>
            <w:r w:rsidR="00316DD9" w:rsidRPr="00D85635">
              <w:rPr>
                <w:rFonts w:ascii="Arial" w:hAnsi="Arial" w:cs="Arial"/>
                <w:b w:val="0"/>
                <w:bCs w:val="0"/>
                <w:sz w:val="20"/>
                <w:szCs w:val="20"/>
                <w:lang w:eastAsia="en-AU"/>
              </w:rPr>
              <w:t xml:space="preserve"> Marsh Flora Reserve</w:t>
            </w:r>
            <w:r w:rsidR="001E3FB4" w:rsidRPr="00D85635">
              <w:rPr>
                <w:rFonts w:ascii="Arial" w:hAnsi="Arial" w:cs="Arial"/>
                <w:b w:val="0"/>
                <w:bCs w:val="0"/>
                <w:sz w:val="20"/>
                <w:szCs w:val="20"/>
                <w:lang w:eastAsia="en-AU"/>
              </w:rPr>
              <w:t xml:space="preserve"> and Red Gum Swamp areas excluded), and that differences in habitat impacts are largely attributed to the exclusion of </w:t>
            </w:r>
            <w:proofErr w:type="spellStart"/>
            <w:r w:rsidR="00316DD9" w:rsidRPr="00D85635">
              <w:rPr>
                <w:rFonts w:ascii="Arial" w:hAnsi="Arial" w:cs="Arial"/>
                <w:b w:val="0"/>
                <w:bCs w:val="0"/>
                <w:sz w:val="20"/>
                <w:szCs w:val="20"/>
                <w:lang w:eastAsia="en-AU"/>
              </w:rPr>
              <w:t>Jallumba</w:t>
            </w:r>
            <w:proofErr w:type="spellEnd"/>
            <w:r w:rsidR="00316DD9" w:rsidRPr="00D85635">
              <w:rPr>
                <w:rFonts w:ascii="Arial" w:hAnsi="Arial" w:cs="Arial"/>
                <w:b w:val="0"/>
                <w:bCs w:val="0"/>
                <w:sz w:val="20"/>
                <w:szCs w:val="20"/>
                <w:lang w:eastAsia="en-AU"/>
              </w:rPr>
              <w:t xml:space="preserve"> Marsh Flora Reserve</w:t>
            </w:r>
            <w:r w:rsidR="001E3FB4" w:rsidRPr="00D85635">
              <w:rPr>
                <w:rFonts w:ascii="Arial" w:hAnsi="Arial" w:cs="Arial"/>
                <w:b w:val="0"/>
                <w:bCs w:val="0"/>
                <w:sz w:val="20"/>
                <w:szCs w:val="20"/>
                <w:lang w:eastAsia="en-AU"/>
              </w:rPr>
              <w:t>. There was little difference in impact relating to Red Gum Swamp between the two footprints</w:t>
            </w:r>
            <w:r w:rsidRPr="00D85635">
              <w:rPr>
                <w:rFonts w:ascii="Arial" w:hAnsi="Arial" w:cs="Arial"/>
                <w:b w:val="0"/>
                <w:bCs w:val="0"/>
                <w:sz w:val="20"/>
                <w:szCs w:val="20"/>
                <w:lang w:eastAsia="en-AU"/>
              </w:rPr>
              <w:t xml:space="preserve"> (Appendix </w:t>
            </w:r>
            <w:r w:rsidR="00323595" w:rsidRPr="00D85635">
              <w:rPr>
                <w:rFonts w:ascii="Arial" w:hAnsi="Arial" w:cs="Arial"/>
                <w:b w:val="0"/>
                <w:bCs w:val="0"/>
                <w:sz w:val="20"/>
                <w:szCs w:val="20"/>
                <w:lang w:eastAsia="en-AU"/>
              </w:rPr>
              <w:t>J</w:t>
            </w:r>
            <w:r w:rsidRPr="00D85635">
              <w:rPr>
                <w:rFonts w:ascii="Arial" w:hAnsi="Arial" w:cs="Arial"/>
                <w:b w:val="0"/>
                <w:bCs w:val="0"/>
                <w:sz w:val="20"/>
                <w:szCs w:val="20"/>
                <w:lang w:eastAsia="en-AU"/>
              </w:rPr>
              <w:t>)</w:t>
            </w:r>
            <w:r w:rsidR="001E3FB4" w:rsidRPr="00D85635">
              <w:rPr>
                <w:rFonts w:ascii="Arial" w:hAnsi="Arial" w:cs="Arial"/>
                <w:b w:val="0"/>
                <w:bCs w:val="0"/>
                <w:sz w:val="20"/>
                <w:szCs w:val="20"/>
                <w:lang w:eastAsia="en-AU"/>
              </w:rPr>
              <w:t xml:space="preserve">. </w:t>
            </w:r>
          </w:p>
          <w:p w14:paraId="342FF931" w14:textId="5D115029" w:rsidR="001E3FB4" w:rsidRPr="00D85635" w:rsidRDefault="001E3FB4" w:rsidP="001E3FB4">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By excluding the Red Gum Swamp and the </w:t>
            </w:r>
            <w:proofErr w:type="spellStart"/>
            <w:r w:rsidRPr="00D85635">
              <w:rPr>
                <w:rFonts w:ascii="Arial" w:hAnsi="Arial" w:cs="Arial"/>
                <w:b w:val="0"/>
                <w:bCs w:val="0"/>
                <w:sz w:val="20"/>
                <w:szCs w:val="20"/>
                <w:lang w:eastAsia="en-AU"/>
              </w:rPr>
              <w:t>Jallumba</w:t>
            </w:r>
            <w:proofErr w:type="spellEnd"/>
            <w:r w:rsidRPr="00D85635">
              <w:rPr>
                <w:rFonts w:ascii="Arial" w:hAnsi="Arial" w:cs="Arial"/>
                <w:b w:val="0"/>
                <w:bCs w:val="0"/>
                <w:sz w:val="20"/>
                <w:szCs w:val="20"/>
                <w:lang w:eastAsia="en-AU"/>
              </w:rPr>
              <w:t xml:space="preserve"> Marsh </w:t>
            </w:r>
            <w:r w:rsidR="00316DD9" w:rsidRPr="00D85635">
              <w:rPr>
                <w:rFonts w:ascii="Arial" w:hAnsi="Arial" w:cs="Arial"/>
                <w:b w:val="0"/>
                <w:bCs w:val="0"/>
                <w:sz w:val="20"/>
                <w:szCs w:val="20"/>
                <w:lang w:eastAsia="en-AU"/>
              </w:rPr>
              <w:t xml:space="preserve">Flora </w:t>
            </w:r>
            <w:r w:rsidRPr="00D85635">
              <w:rPr>
                <w:rFonts w:ascii="Arial" w:hAnsi="Arial" w:cs="Arial"/>
                <w:b w:val="0"/>
                <w:bCs w:val="0"/>
                <w:sz w:val="20"/>
                <w:szCs w:val="20"/>
                <w:lang w:eastAsia="en-AU"/>
              </w:rPr>
              <w:t xml:space="preserve">Reserve from the potential development footprint, the total area with potential for TECs to occur is reduced from approximately 99 ha to less than 1 ha (Table </w:t>
            </w:r>
            <w:r w:rsidR="00D0190B" w:rsidRPr="00D85635">
              <w:rPr>
                <w:rFonts w:ascii="Arial" w:hAnsi="Arial" w:cs="Arial"/>
                <w:b w:val="0"/>
                <w:bCs w:val="0"/>
                <w:sz w:val="20"/>
                <w:szCs w:val="20"/>
                <w:lang w:eastAsia="en-AU"/>
              </w:rPr>
              <w:t>1</w:t>
            </w:r>
            <w:r w:rsidRPr="00D85635">
              <w:rPr>
                <w:rFonts w:ascii="Arial" w:hAnsi="Arial" w:cs="Arial"/>
                <w:b w:val="0"/>
                <w:bCs w:val="0"/>
                <w:sz w:val="20"/>
                <w:szCs w:val="20"/>
                <w:lang w:eastAsia="en-AU"/>
              </w:rPr>
              <w:t xml:space="preserve">2.2). </w:t>
            </w:r>
          </w:p>
          <w:tbl>
            <w:tblPr>
              <w:tblStyle w:val="EMMTable"/>
              <w:tblW w:w="5000" w:type="pct"/>
              <w:tblLayout w:type="fixed"/>
              <w:tblLook w:val="0620" w:firstRow="1" w:lastRow="0" w:firstColumn="0" w:lastColumn="0" w:noHBand="1" w:noVBand="1"/>
            </w:tblPr>
            <w:tblGrid>
              <w:gridCol w:w="2453"/>
              <w:gridCol w:w="2060"/>
              <w:gridCol w:w="2257"/>
              <w:gridCol w:w="2257"/>
            </w:tblGrid>
            <w:tr w:rsidR="001E3FB4" w:rsidRPr="00D85635" w14:paraId="190A983D"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2F779136" w14:textId="40021CC6" w:rsidR="001E3FB4" w:rsidRPr="00D85635" w:rsidRDefault="001E3FB4" w:rsidP="001E3FB4">
                  <w:pPr>
                    <w:pStyle w:val="TableCaption"/>
                    <w:rPr>
                      <w:rFonts w:ascii="Arial" w:hAnsi="Arial" w:cs="Arial"/>
                      <w:sz w:val="18"/>
                    </w:rPr>
                  </w:pPr>
                  <w:bookmarkStart w:id="109" w:name="_Toc13470122"/>
                  <w:r w:rsidRPr="00D85635">
                    <w:rPr>
                      <w:rFonts w:ascii="Arial" w:hAnsi="Arial" w:cs="Arial"/>
                      <w:sz w:val="18"/>
                    </w:rPr>
                    <w:t xml:space="preserve">Table </w:t>
                  </w:r>
                  <w:r w:rsidR="00D0190B" w:rsidRPr="00D85635">
                    <w:rPr>
                      <w:rFonts w:ascii="Arial" w:hAnsi="Arial" w:cs="Arial"/>
                      <w:sz w:val="18"/>
                    </w:rPr>
                    <w:t>1</w:t>
                  </w:r>
                  <w:r w:rsidR="00524782" w:rsidRPr="00D85635">
                    <w:rPr>
                      <w:rFonts w:ascii="Arial" w:hAnsi="Arial" w:cs="Arial"/>
                      <w:sz w:val="18"/>
                    </w:rPr>
                    <w:fldChar w:fldCharType="begin"/>
                  </w:r>
                  <w:r w:rsidR="00524782" w:rsidRPr="00D85635">
                    <w:rPr>
                      <w:rFonts w:ascii="Arial" w:hAnsi="Arial" w:cs="Arial"/>
                      <w:sz w:val="18"/>
                    </w:rPr>
                    <w:instrText xml:space="preserve"> STYLEREF 1 \s </w:instrText>
                  </w:r>
                  <w:r w:rsidR="00524782" w:rsidRPr="00D85635">
                    <w:rPr>
                      <w:rFonts w:ascii="Arial" w:hAnsi="Arial" w:cs="Arial"/>
                      <w:sz w:val="18"/>
                    </w:rPr>
                    <w:fldChar w:fldCharType="separate"/>
                  </w:r>
                  <w:r w:rsidRPr="00D85635">
                    <w:rPr>
                      <w:rFonts w:ascii="Arial" w:hAnsi="Arial" w:cs="Arial"/>
                      <w:noProof/>
                      <w:sz w:val="18"/>
                    </w:rPr>
                    <w:t>2</w:t>
                  </w:r>
                  <w:r w:rsidR="00524782" w:rsidRPr="00D85635">
                    <w:rPr>
                      <w:rFonts w:ascii="Arial" w:hAnsi="Arial" w:cs="Arial"/>
                      <w:noProof/>
                      <w:sz w:val="18"/>
                    </w:rPr>
                    <w:fldChar w:fldCharType="end"/>
                  </w:r>
                  <w:r w:rsidRPr="00D85635">
                    <w:rPr>
                      <w:rFonts w:ascii="Arial" w:hAnsi="Arial" w:cs="Arial"/>
                      <w:sz w:val="18"/>
                    </w:rPr>
                    <w:t>.</w:t>
                  </w:r>
                  <w:r w:rsidR="00524782" w:rsidRPr="00D85635">
                    <w:rPr>
                      <w:rFonts w:ascii="Arial" w:hAnsi="Arial" w:cs="Arial"/>
                      <w:sz w:val="18"/>
                    </w:rPr>
                    <w:fldChar w:fldCharType="begin"/>
                  </w:r>
                  <w:r w:rsidR="00524782" w:rsidRPr="00D85635">
                    <w:rPr>
                      <w:rFonts w:ascii="Arial" w:hAnsi="Arial" w:cs="Arial"/>
                      <w:sz w:val="18"/>
                    </w:rPr>
                    <w:instrText xml:space="preserve"> SEQ Table \* ARABIC \s 1 </w:instrText>
                  </w:r>
                  <w:r w:rsidR="00524782" w:rsidRPr="00D85635">
                    <w:rPr>
                      <w:rFonts w:ascii="Arial" w:hAnsi="Arial" w:cs="Arial"/>
                      <w:sz w:val="18"/>
                    </w:rPr>
                    <w:fldChar w:fldCharType="separate"/>
                  </w:r>
                  <w:r w:rsidRPr="00D85635">
                    <w:rPr>
                      <w:rFonts w:ascii="Arial" w:hAnsi="Arial" w:cs="Arial"/>
                      <w:noProof/>
                      <w:sz w:val="18"/>
                    </w:rPr>
                    <w:t>2</w:t>
                  </w:r>
                  <w:r w:rsidR="00524782" w:rsidRPr="00D85635">
                    <w:rPr>
                      <w:rFonts w:ascii="Arial" w:hAnsi="Arial" w:cs="Arial"/>
                      <w:noProof/>
                      <w:sz w:val="18"/>
                    </w:rPr>
                    <w:fldChar w:fldCharType="end"/>
                  </w:r>
                  <w:r w:rsidRPr="00D85635">
                    <w:rPr>
                      <w:rFonts w:ascii="Arial" w:hAnsi="Arial" w:cs="Arial"/>
                      <w:sz w:val="18"/>
                    </w:rPr>
                    <w:tab/>
                    <w:t>Area of EPBC threatened ecological community potentially impacted by the three disturbance options</w:t>
                  </w:r>
                  <w:bookmarkEnd w:id="109"/>
                </w:p>
              </w:tc>
            </w:tr>
            <w:tr w:rsidR="001E3FB4" w:rsidRPr="00D85635" w14:paraId="47ECE216"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1359" w:type="pct"/>
                  <w:tcBorders>
                    <w:bottom w:val="single" w:sz="4" w:space="0" w:color="000000" w:themeColor="text1"/>
                  </w:tcBorders>
                  <w:shd w:val="clear" w:color="auto" w:fill="auto"/>
                </w:tcPr>
                <w:p w14:paraId="467F2AE9" w14:textId="77777777" w:rsidR="001E3FB4" w:rsidRPr="00D85635" w:rsidRDefault="001E3FB4" w:rsidP="001E3FB4">
                  <w:pPr>
                    <w:pStyle w:val="TableHeading"/>
                    <w:rPr>
                      <w:rFonts w:ascii="Arial" w:hAnsi="Arial" w:cs="Arial"/>
                    </w:rPr>
                  </w:pPr>
                  <w:r w:rsidRPr="00D85635">
                    <w:rPr>
                      <w:rFonts w:ascii="Arial" w:hAnsi="Arial" w:cs="Arial"/>
                    </w:rPr>
                    <w:t>Community</w:t>
                  </w:r>
                </w:p>
              </w:tc>
              <w:tc>
                <w:tcPr>
                  <w:tcW w:w="1141" w:type="pct"/>
                  <w:tcBorders>
                    <w:bottom w:val="single" w:sz="4" w:space="0" w:color="000000" w:themeColor="text1"/>
                  </w:tcBorders>
                  <w:shd w:val="clear" w:color="auto" w:fill="auto"/>
                </w:tcPr>
                <w:p w14:paraId="179E02D1" w14:textId="77777777" w:rsidR="001E3FB4" w:rsidRPr="00D85635" w:rsidRDefault="001E3FB4" w:rsidP="001E3FB4">
                  <w:pPr>
                    <w:pStyle w:val="TableHeading"/>
                    <w:jc w:val="center"/>
                    <w:rPr>
                      <w:rFonts w:ascii="Arial" w:hAnsi="Arial" w:cs="Arial"/>
                    </w:rPr>
                  </w:pPr>
                  <w:r w:rsidRPr="00D85635">
                    <w:rPr>
                      <w:rFonts w:ascii="Arial" w:hAnsi="Arial" w:cs="Arial"/>
                    </w:rPr>
                    <w:t>Baseline study area (ha)</w:t>
                  </w:r>
                </w:p>
              </w:tc>
              <w:tc>
                <w:tcPr>
                  <w:tcW w:w="1250" w:type="pct"/>
                  <w:tcBorders>
                    <w:bottom w:val="single" w:sz="4" w:space="0" w:color="000000" w:themeColor="text1"/>
                  </w:tcBorders>
                  <w:shd w:val="clear" w:color="auto" w:fill="auto"/>
                </w:tcPr>
                <w:p w14:paraId="23DEBB0F" w14:textId="77777777" w:rsidR="001E3FB4" w:rsidRPr="00D85635" w:rsidRDefault="001E3FB4" w:rsidP="001E3FB4">
                  <w:pPr>
                    <w:pStyle w:val="TableHeading"/>
                    <w:jc w:val="center"/>
                    <w:rPr>
                      <w:rFonts w:ascii="Arial" w:hAnsi="Arial" w:cs="Arial"/>
                    </w:rPr>
                  </w:pPr>
                  <w:r w:rsidRPr="00D85635">
                    <w:rPr>
                      <w:rFonts w:ascii="Arial" w:hAnsi="Arial" w:cs="Arial"/>
                    </w:rPr>
                    <w:t>Indicative mineralisation extent (ha)</w:t>
                  </w:r>
                </w:p>
              </w:tc>
              <w:tc>
                <w:tcPr>
                  <w:tcW w:w="1250" w:type="pct"/>
                  <w:tcBorders>
                    <w:bottom w:val="single" w:sz="4" w:space="0" w:color="000000" w:themeColor="text1"/>
                  </w:tcBorders>
                  <w:shd w:val="clear" w:color="auto" w:fill="auto"/>
                </w:tcPr>
                <w:p w14:paraId="32BAEB98" w14:textId="77777777" w:rsidR="001E3FB4" w:rsidRPr="00D85635" w:rsidRDefault="001E3FB4" w:rsidP="001E3FB4">
                  <w:pPr>
                    <w:pStyle w:val="TableHeading"/>
                    <w:jc w:val="center"/>
                    <w:rPr>
                      <w:rFonts w:ascii="Arial" w:hAnsi="Arial" w:cs="Arial"/>
                    </w:rPr>
                  </w:pPr>
                  <w:r w:rsidRPr="00D85635">
                    <w:rPr>
                      <w:rFonts w:ascii="Arial" w:hAnsi="Arial" w:cs="Arial"/>
                    </w:rPr>
                    <w:t>Indicative mining extent (ha)</w:t>
                  </w:r>
                </w:p>
              </w:tc>
            </w:tr>
            <w:tr w:rsidR="001E3FB4" w:rsidRPr="00D85635" w14:paraId="39397C64" w14:textId="77777777" w:rsidTr="008D4567">
              <w:trPr>
                <w:cantSplit/>
              </w:trPr>
              <w:tc>
                <w:tcPr>
                  <w:tcW w:w="1359" w:type="pct"/>
                  <w:tcBorders>
                    <w:top w:val="single" w:sz="4" w:space="0" w:color="000000" w:themeColor="text1"/>
                    <w:bottom w:val="single" w:sz="4" w:space="0" w:color="BFBFBF" w:themeColor="background1" w:themeShade="BF"/>
                  </w:tcBorders>
                  <w:shd w:val="clear" w:color="auto" w:fill="auto"/>
                </w:tcPr>
                <w:p w14:paraId="65AA44D9" w14:textId="77777777" w:rsidR="001E3FB4" w:rsidRPr="00D85635" w:rsidRDefault="001E3FB4" w:rsidP="001E3FB4">
                  <w:pPr>
                    <w:pStyle w:val="TableText"/>
                    <w:rPr>
                      <w:rFonts w:ascii="Arial" w:hAnsi="Arial" w:cs="Arial"/>
                    </w:rPr>
                  </w:pPr>
                  <w:r w:rsidRPr="00D85635">
                    <w:rPr>
                      <w:rFonts w:ascii="Arial" w:hAnsi="Arial" w:cs="Arial"/>
                      <w:bCs/>
                    </w:rPr>
                    <w:t>Grey Box (</w:t>
                  </w:r>
                  <w:r w:rsidRPr="00D85635">
                    <w:rPr>
                      <w:rFonts w:ascii="Arial" w:hAnsi="Arial" w:cs="Arial"/>
                      <w:bCs/>
                      <w:i/>
                      <w:iCs/>
                    </w:rPr>
                    <w:t xml:space="preserve">Eucalyptus </w:t>
                  </w:r>
                  <w:proofErr w:type="spellStart"/>
                  <w:r w:rsidRPr="00D85635">
                    <w:rPr>
                      <w:rFonts w:ascii="Arial" w:hAnsi="Arial" w:cs="Arial"/>
                      <w:bCs/>
                      <w:i/>
                      <w:iCs/>
                    </w:rPr>
                    <w:t>microcarpa</w:t>
                  </w:r>
                  <w:proofErr w:type="spellEnd"/>
                  <w:r w:rsidRPr="00D85635">
                    <w:rPr>
                      <w:rFonts w:ascii="Arial" w:hAnsi="Arial" w:cs="Arial"/>
                      <w:bCs/>
                    </w:rPr>
                    <w:t>) Grassy Woodlands and Derived Native Grasslands of South-eastern Australia</w:t>
                  </w:r>
                </w:p>
              </w:tc>
              <w:tc>
                <w:tcPr>
                  <w:tcW w:w="1141" w:type="pct"/>
                  <w:tcBorders>
                    <w:top w:val="single" w:sz="4" w:space="0" w:color="000000" w:themeColor="text1"/>
                    <w:bottom w:val="single" w:sz="4" w:space="0" w:color="BFBFBF" w:themeColor="background1" w:themeShade="BF"/>
                  </w:tcBorders>
                  <w:shd w:val="clear" w:color="auto" w:fill="auto"/>
                </w:tcPr>
                <w:p w14:paraId="50203763" w14:textId="77777777" w:rsidR="001E3FB4" w:rsidRPr="00D85635" w:rsidRDefault="001E3FB4" w:rsidP="001E3FB4">
                  <w:pPr>
                    <w:pStyle w:val="TableText"/>
                    <w:jc w:val="center"/>
                    <w:rPr>
                      <w:rFonts w:ascii="Arial" w:hAnsi="Arial" w:cs="Arial"/>
                    </w:rPr>
                  </w:pPr>
                  <w:r w:rsidRPr="00D85635">
                    <w:rPr>
                      <w:rFonts w:ascii="Arial" w:hAnsi="Arial" w:cs="Arial"/>
                    </w:rPr>
                    <w:t>56.67</w:t>
                  </w:r>
                </w:p>
              </w:tc>
              <w:tc>
                <w:tcPr>
                  <w:tcW w:w="1250" w:type="pct"/>
                  <w:tcBorders>
                    <w:top w:val="single" w:sz="4" w:space="0" w:color="000000" w:themeColor="text1"/>
                    <w:bottom w:val="single" w:sz="4" w:space="0" w:color="BFBFBF" w:themeColor="background1" w:themeShade="BF"/>
                  </w:tcBorders>
                  <w:shd w:val="clear" w:color="auto" w:fill="auto"/>
                </w:tcPr>
                <w:p w14:paraId="7EF9A2C8" w14:textId="77777777" w:rsidR="001E3FB4" w:rsidRPr="00D85635" w:rsidRDefault="001E3FB4" w:rsidP="001E3FB4">
                  <w:pPr>
                    <w:pStyle w:val="TableText"/>
                    <w:jc w:val="center"/>
                    <w:rPr>
                      <w:rFonts w:ascii="Arial" w:hAnsi="Arial" w:cs="Arial"/>
                    </w:rPr>
                  </w:pPr>
                  <w:r w:rsidRPr="00D85635">
                    <w:rPr>
                      <w:rFonts w:ascii="Arial" w:hAnsi="Arial" w:cs="Arial"/>
                    </w:rPr>
                    <w:t>39.91</w:t>
                  </w:r>
                </w:p>
              </w:tc>
              <w:tc>
                <w:tcPr>
                  <w:tcW w:w="1250" w:type="pct"/>
                  <w:tcBorders>
                    <w:top w:val="single" w:sz="4" w:space="0" w:color="000000" w:themeColor="text1"/>
                    <w:bottom w:val="single" w:sz="4" w:space="0" w:color="BFBFBF" w:themeColor="background1" w:themeShade="BF"/>
                  </w:tcBorders>
                  <w:shd w:val="clear" w:color="auto" w:fill="auto"/>
                </w:tcPr>
                <w:p w14:paraId="49E6E058" w14:textId="77777777" w:rsidR="001E3FB4" w:rsidRPr="00D85635" w:rsidRDefault="001E3FB4" w:rsidP="001E3FB4">
                  <w:pPr>
                    <w:pStyle w:val="TableText"/>
                    <w:jc w:val="center"/>
                    <w:rPr>
                      <w:rFonts w:ascii="Arial" w:hAnsi="Arial" w:cs="Arial"/>
                    </w:rPr>
                  </w:pPr>
                  <w:r w:rsidRPr="00D85635">
                    <w:rPr>
                      <w:rFonts w:ascii="Arial" w:hAnsi="Arial" w:cs="Arial"/>
                    </w:rPr>
                    <w:t>&lt;0.01</w:t>
                  </w:r>
                </w:p>
              </w:tc>
            </w:tr>
            <w:tr w:rsidR="001E3FB4" w:rsidRPr="00D85635" w14:paraId="0C430834" w14:textId="77777777" w:rsidTr="008D4567">
              <w:trPr>
                <w:cantSplit/>
              </w:trPr>
              <w:tc>
                <w:tcPr>
                  <w:tcW w:w="1359" w:type="pct"/>
                  <w:tcBorders>
                    <w:top w:val="single" w:sz="4" w:space="0" w:color="BFBFBF" w:themeColor="background1" w:themeShade="BF"/>
                    <w:bottom w:val="single" w:sz="4" w:space="0" w:color="BFBFBF" w:themeColor="background1" w:themeShade="BF"/>
                  </w:tcBorders>
                  <w:shd w:val="clear" w:color="auto" w:fill="auto"/>
                </w:tcPr>
                <w:p w14:paraId="6D65DBCC" w14:textId="77777777" w:rsidR="001E3FB4" w:rsidRPr="00D85635" w:rsidRDefault="001E3FB4" w:rsidP="001E3FB4">
                  <w:pPr>
                    <w:pStyle w:val="TableText"/>
                    <w:rPr>
                      <w:rFonts w:ascii="Arial" w:hAnsi="Arial" w:cs="Arial"/>
                    </w:rPr>
                  </w:pPr>
                  <w:proofErr w:type="spellStart"/>
                  <w:r w:rsidRPr="00D85635">
                    <w:rPr>
                      <w:rFonts w:ascii="Arial" w:hAnsi="Arial" w:cs="Arial"/>
                      <w:bCs/>
                    </w:rPr>
                    <w:t>Buloke</w:t>
                  </w:r>
                  <w:proofErr w:type="spellEnd"/>
                  <w:r w:rsidRPr="00D85635">
                    <w:rPr>
                      <w:rFonts w:ascii="Arial" w:hAnsi="Arial" w:cs="Arial"/>
                      <w:bCs/>
                    </w:rPr>
                    <w:t xml:space="preserve"> Woodlands of the Riverina and Murray-Darling Depression Bioregions</w:t>
                  </w:r>
                </w:p>
              </w:tc>
              <w:tc>
                <w:tcPr>
                  <w:tcW w:w="1141" w:type="pct"/>
                  <w:tcBorders>
                    <w:top w:val="single" w:sz="4" w:space="0" w:color="BFBFBF" w:themeColor="background1" w:themeShade="BF"/>
                    <w:bottom w:val="single" w:sz="4" w:space="0" w:color="BFBFBF" w:themeColor="background1" w:themeShade="BF"/>
                  </w:tcBorders>
                  <w:shd w:val="clear" w:color="auto" w:fill="auto"/>
                </w:tcPr>
                <w:p w14:paraId="77AE0848" w14:textId="77777777" w:rsidR="001E3FB4" w:rsidRPr="00D85635" w:rsidRDefault="001E3FB4" w:rsidP="001E3FB4">
                  <w:pPr>
                    <w:pStyle w:val="TableText"/>
                    <w:jc w:val="center"/>
                    <w:rPr>
                      <w:rFonts w:ascii="Arial" w:hAnsi="Arial" w:cs="Arial"/>
                    </w:rPr>
                  </w:pPr>
                  <w:r w:rsidRPr="00D85635">
                    <w:rPr>
                      <w:rFonts w:ascii="Arial" w:hAnsi="Arial" w:cs="Arial"/>
                    </w:rPr>
                    <w:t>56.61</w:t>
                  </w:r>
                </w:p>
              </w:tc>
              <w:tc>
                <w:tcPr>
                  <w:tcW w:w="1250" w:type="pct"/>
                  <w:tcBorders>
                    <w:top w:val="single" w:sz="4" w:space="0" w:color="BFBFBF" w:themeColor="background1" w:themeShade="BF"/>
                    <w:bottom w:val="single" w:sz="4" w:space="0" w:color="BFBFBF" w:themeColor="background1" w:themeShade="BF"/>
                  </w:tcBorders>
                  <w:shd w:val="clear" w:color="auto" w:fill="auto"/>
                </w:tcPr>
                <w:p w14:paraId="6A80B700" w14:textId="77777777" w:rsidR="001E3FB4" w:rsidRPr="00D85635" w:rsidRDefault="001E3FB4" w:rsidP="001E3FB4">
                  <w:pPr>
                    <w:pStyle w:val="TableText"/>
                    <w:jc w:val="center"/>
                    <w:rPr>
                      <w:rFonts w:ascii="Arial" w:hAnsi="Arial" w:cs="Arial"/>
                    </w:rPr>
                  </w:pPr>
                  <w:r w:rsidRPr="00D85635">
                    <w:rPr>
                      <w:rFonts w:ascii="Arial" w:hAnsi="Arial" w:cs="Arial"/>
                    </w:rPr>
                    <w:t>40.18</w:t>
                  </w:r>
                </w:p>
              </w:tc>
              <w:tc>
                <w:tcPr>
                  <w:tcW w:w="1250" w:type="pct"/>
                  <w:tcBorders>
                    <w:top w:val="single" w:sz="4" w:space="0" w:color="BFBFBF" w:themeColor="background1" w:themeShade="BF"/>
                    <w:bottom w:val="single" w:sz="4" w:space="0" w:color="BFBFBF" w:themeColor="background1" w:themeShade="BF"/>
                  </w:tcBorders>
                  <w:shd w:val="clear" w:color="auto" w:fill="auto"/>
                </w:tcPr>
                <w:p w14:paraId="66F97D26" w14:textId="77777777" w:rsidR="001E3FB4" w:rsidRPr="00D85635" w:rsidRDefault="001E3FB4" w:rsidP="001E3FB4">
                  <w:pPr>
                    <w:pStyle w:val="TableText"/>
                    <w:jc w:val="center"/>
                    <w:rPr>
                      <w:rFonts w:ascii="Arial" w:hAnsi="Arial" w:cs="Arial"/>
                    </w:rPr>
                  </w:pPr>
                  <w:r w:rsidRPr="00D85635">
                    <w:rPr>
                      <w:rFonts w:ascii="Arial" w:hAnsi="Arial" w:cs="Arial"/>
                    </w:rPr>
                    <w:t>0.11</w:t>
                  </w:r>
                </w:p>
              </w:tc>
            </w:tr>
            <w:tr w:rsidR="001E3FB4" w:rsidRPr="00D85635" w14:paraId="63DC4CA2" w14:textId="77777777" w:rsidTr="008D4567">
              <w:trPr>
                <w:cantSplit/>
              </w:trPr>
              <w:tc>
                <w:tcPr>
                  <w:tcW w:w="1359" w:type="pct"/>
                  <w:tcBorders>
                    <w:top w:val="single" w:sz="4" w:space="0" w:color="BFBFBF" w:themeColor="background1" w:themeShade="BF"/>
                    <w:bottom w:val="single" w:sz="4" w:space="0" w:color="000000"/>
                  </w:tcBorders>
                  <w:shd w:val="clear" w:color="auto" w:fill="auto"/>
                </w:tcPr>
                <w:p w14:paraId="029E6DDD" w14:textId="77777777" w:rsidR="001E3FB4" w:rsidRPr="00D85635" w:rsidRDefault="001E3FB4" w:rsidP="001E3FB4">
                  <w:pPr>
                    <w:pStyle w:val="TableText"/>
                    <w:rPr>
                      <w:rFonts w:ascii="Arial" w:hAnsi="Arial" w:cs="Arial"/>
                    </w:rPr>
                  </w:pPr>
                  <w:r w:rsidRPr="00D85635">
                    <w:rPr>
                      <w:rFonts w:ascii="Arial" w:hAnsi="Arial" w:cs="Arial"/>
                      <w:bCs/>
                    </w:rPr>
                    <w:t>Seasonal Herbaceous Wetlands (Freshwater) of the Temperate Lowland Plains</w:t>
                  </w:r>
                </w:p>
              </w:tc>
              <w:tc>
                <w:tcPr>
                  <w:tcW w:w="1141" w:type="pct"/>
                  <w:tcBorders>
                    <w:top w:val="single" w:sz="4" w:space="0" w:color="BFBFBF" w:themeColor="background1" w:themeShade="BF"/>
                    <w:bottom w:val="single" w:sz="4" w:space="0" w:color="000000"/>
                  </w:tcBorders>
                  <w:shd w:val="clear" w:color="auto" w:fill="auto"/>
                </w:tcPr>
                <w:p w14:paraId="12E968E4" w14:textId="77777777" w:rsidR="001E3FB4" w:rsidRPr="00D85635" w:rsidRDefault="001E3FB4" w:rsidP="001E3FB4">
                  <w:pPr>
                    <w:pStyle w:val="TableText"/>
                    <w:jc w:val="center"/>
                    <w:rPr>
                      <w:rFonts w:ascii="Arial" w:hAnsi="Arial" w:cs="Arial"/>
                    </w:rPr>
                  </w:pPr>
                  <w:r w:rsidRPr="00D85635">
                    <w:rPr>
                      <w:rFonts w:ascii="Arial" w:hAnsi="Arial" w:cs="Arial"/>
                    </w:rPr>
                    <w:t>57.85</w:t>
                  </w:r>
                </w:p>
              </w:tc>
              <w:tc>
                <w:tcPr>
                  <w:tcW w:w="1250" w:type="pct"/>
                  <w:tcBorders>
                    <w:top w:val="single" w:sz="4" w:space="0" w:color="BFBFBF" w:themeColor="background1" w:themeShade="BF"/>
                    <w:bottom w:val="single" w:sz="4" w:space="0" w:color="000000"/>
                  </w:tcBorders>
                  <w:shd w:val="clear" w:color="auto" w:fill="auto"/>
                </w:tcPr>
                <w:p w14:paraId="1F69AFC0" w14:textId="77777777" w:rsidR="001E3FB4" w:rsidRPr="00D85635" w:rsidRDefault="001E3FB4" w:rsidP="001E3FB4">
                  <w:pPr>
                    <w:pStyle w:val="TableText"/>
                    <w:jc w:val="center"/>
                    <w:rPr>
                      <w:rFonts w:ascii="Arial" w:hAnsi="Arial" w:cs="Arial"/>
                    </w:rPr>
                  </w:pPr>
                  <w:r w:rsidRPr="00D85635">
                    <w:rPr>
                      <w:rFonts w:ascii="Arial" w:hAnsi="Arial" w:cs="Arial"/>
                    </w:rPr>
                    <w:t>19.37</w:t>
                  </w:r>
                </w:p>
              </w:tc>
              <w:tc>
                <w:tcPr>
                  <w:tcW w:w="1250" w:type="pct"/>
                  <w:tcBorders>
                    <w:top w:val="single" w:sz="4" w:space="0" w:color="BFBFBF" w:themeColor="background1" w:themeShade="BF"/>
                    <w:bottom w:val="single" w:sz="4" w:space="0" w:color="000000"/>
                  </w:tcBorders>
                  <w:shd w:val="clear" w:color="auto" w:fill="auto"/>
                </w:tcPr>
                <w:p w14:paraId="348816B7" w14:textId="77777777" w:rsidR="001E3FB4" w:rsidRPr="00D85635" w:rsidRDefault="001E3FB4" w:rsidP="001E3FB4">
                  <w:pPr>
                    <w:pStyle w:val="TableText"/>
                    <w:jc w:val="center"/>
                    <w:rPr>
                      <w:rFonts w:ascii="Arial" w:hAnsi="Arial" w:cs="Arial"/>
                    </w:rPr>
                  </w:pPr>
                  <w:r w:rsidRPr="00D85635">
                    <w:rPr>
                      <w:rFonts w:ascii="Arial" w:hAnsi="Arial" w:cs="Arial"/>
                    </w:rPr>
                    <w:t>0.00</w:t>
                  </w:r>
                </w:p>
              </w:tc>
            </w:tr>
            <w:tr w:rsidR="001E3FB4" w:rsidRPr="00D85635" w14:paraId="38866FAF" w14:textId="77777777" w:rsidTr="008D4567">
              <w:trPr>
                <w:cantSplit/>
              </w:trPr>
              <w:tc>
                <w:tcPr>
                  <w:tcW w:w="1359" w:type="pct"/>
                  <w:tcBorders>
                    <w:top w:val="single" w:sz="4" w:space="0" w:color="000000"/>
                    <w:bottom w:val="single" w:sz="2" w:space="0" w:color="000000" w:themeColor="text1"/>
                  </w:tcBorders>
                  <w:shd w:val="clear" w:color="auto" w:fill="auto"/>
                </w:tcPr>
                <w:p w14:paraId="1574E11C" w14:textId="77777777" w:rsidR="001E3FB4" w:rsidRPr="00D85635" w:rsidRDefault="001E3FB4" w:rsidP="001E3FB4">
                  <w:pPr>
                    <w:pStyle w:val="TableText"/>
                    <w:rPr>
                      <w:rFonts w:ascii="Arial" w:hAnsi="Arial" w:cs="Arial"/>
                    </w:rPr>
                  </w:pPr>
                  <w:r w:rsidRPr="00D85635">
                    <w:rPr>
                      <w:rFonts w:ascii="Arial" w:hAnsi="Arial" w:cs="Arial"/>
                      <w:b/>
                    </w:rPr>
                    <w:t>Total</w:t>
                  </w:r>
                </w:p>
              </w:tc>
              <w:tc>
                <w:tcPr>
                  <w:tcW w:w="1141" w:type="pct"/>
                  <w:tcBorders>
                    <w:top w:val="single" w:sz="4" w:space="0" w:color="000000"/>
                    <w:bottom w:val="single" w:sz="2" w:space="0" w:color="000000" w:themeColor="text1"/>
                  </w:tcBorders>
                  <w:shd w:val="clear" w:color="auto" w:fill="auto"/>
                </w:tcPr>
                <w:p w14:paraId="3FECA51F" w14:textId="77777777" w:rsidR="001E3FB4" w:rsidRPr="00D85635" w:rsidRDefault="001E3FB4" w:rsidP="001E3FB4">
                  <w:pPr>
                    <w:pStyle w:val="TableText"/>
                    <w:jc w:val="center"/>
                    <w:rPr>
                      <w:rFonts w:ascii="Arial" w:hAnsi="Arial" w:cs="Arial"/>
                    </w:rPr>
                  </w:pPr>
                  <w:r w:rsidRPr="00D85635">
                    <w:rPr>
                      <w:rFonts w:ascii="Arial" w:hAnsi="Arial" w:cs="Arial"/>
                      <w:b/>
                    </w:rPr>
                    <w:t>171.13</w:t>
                  </w:r>
                </w:p>
              </w:tc>
              <w:tc>
                <w:tcPr>
                  <w:tcW w:w="1250" w:type="pct"/>
                  <w:tcBorders>
                    <w:top w:val="single" w:sz="4" w:space="0" w:color="000000"/>
                    <w:bottom w:val="single" w:sz="2" w:space="0" w:color="000000" w:themeColor="text1"/>
                  </w:tcBorders>
                  <w:shd w:val="clear" w:color="auto" w:fill="auto"/>
                </w:tcPr>
                <w:p w14:paraId="748767B5" w14:textId="77777777" w:rsidR="001E3FB4" w:rsidRPr="00D85635" w:rsidRDefault="001E3FB4" w:rsidP="001E3FB4">
                  <w:pPr>
                    <w:pStyle w:val="TableText"/>
                    <w:jc w:val="center"/>
                    <w:rPr>
                      <w:rFonts w:ascii="Arial" w:hAnsi="Arial" w:cs="Arial"/>
                    </w:rPr>
                  </w:pPr>
                  <w:r w:rsidRPr="00D85635">
                    <w:rPr>
                      <w:rFonts w:ascii="Arial" w:hAnsi="Arial" w:cs="Arial"/>
                      <w:b/>
                    </w:rPr>
                    <w:t>99.46</w:t>
                  </w:r>
                </w:p>
              </w:tc>
              <w:tc>
                <w:tcPr>
                  <w:tcW w:w="1250" w:type="pct"/>
                  <w:tcBorders>
                    <w:top w:val="single" w:sz="4" w:space="0" w:color="000000"/>
                    <w:bottom w:val="single" w:sz="2" w:space="0" w:color="000000" w:themeColor="text1"/>
                  </w:tcBorders>
                  <w:shd w:val="clear" w:color="auto" w:fill="auto"/>
                </w:tcPr>
                <w:p w14:paraId="09A2759B" w14:textId="77777777" w:rsidR="001E3FB4" w:rsidRPr="00D85635" w:rsidRDefault="001E3FB4" w:rsidP="001E3FB4">
                  <w:pPr>
                    <w:pStyle w:val="TableText"/>
                    <w:jc w:val="center"/>
                    <w:rPr>
                      <w:rFonts w:ascii="Arial" w:hAnsi="Arial" w:cs="Arial"/>
                    </w:rPr>
                  </w:pPr>
                  <w:r w:rsidRPr="00D85635">
                    <w:rPr>
                      <w:rFonts w:ascii="Arial" w:hAnsi="Arial" w:cs="Arial"/>
                      <w:b/>
                    </w:rPr>
                    <w:t>0.11</w:t>
                  </w:r>
                </w:p>
              </w:tc>
            </w:tr>
          </w:tbl>
          <w:p w14:paraId="18776524" w14:textId="77777777" w:rsidR="001E3FB4" w:rsidRPr="00D85635" w:rsidRDefault="001E3FB4" w:rsidP="001E3FB4">
            <w:pPr>
              <w:spacing w:line="280" w:lineRule="atLeast"/>
              <w:rPr>
                <w:rFonts w:ascii="Arial" w:hAnsi="Arial" w:cs="Arial"/>
              </w:rPr>
            </w:pPr>
          </w:p>
          <w:p w14:paraId="376FE461" w14:textId="610D8CC3" w:rsidR="001E3FB4" w:rsidRPr="00D85635" w:rsidRDefault="001E3FB4" w:rsidP="001E3FB4">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The </w:t>
            </w:r>
            <w:r w:rsidR="00515EEB" w:rsidRPr="00D85635">
              <w:rPr>
                <w:rFonts w:ascii="Arial" w:hAnsi="Arial" w:cs="Arial"/>
                <w:b w:val="0"/>
                <w:bCs w:val="0"/>
                <w:sz w:val="20"/>
                <w:szCs w:val="20"/>
                <w:lang w:eastAsia="en-AU"/>
              </w:rPr>
              <w:t>report</w:t>
            </w:r>
            <w:r w:rsidRPr="00D85635">
              <w:rPr>
                <w:rFonts w:ascii="Arial" w:hAnsi="Arial" w:cs="Arial"/>
                <w:b w:val="0"/>
                <w:bCs w:val="0"/>
                <w:sz w:val="20"/>
                <w:szCs w:val="20"/>
                <w:lang w:eastAsia="en-AU"/>
              </w:rPr>
              <w:t xml:space="preserve"> also showed that by excluding Red Gum Swamp and the </w:t>
            </w:r>
            <w:proofErr w:type="spellStart"/>
            <w:r w:rsidRPr="00D85635">
              <w:rPr>
                <w:rFonts w:ascii="Arial" w:hAnsi="Arial" w:cs="Arial"/>
                <w:b w:val="0"/>
                <w:bCs w:val="0"/>
                <w:sz w:val="20"/>
                <w:szCs w:val="20"/>
                <w:lang w:eastAsia="en-AU"/>
              </w:rPr>
              <w:t>Jallumba</w:t>
            </w:r>
            <w:proofErr w:type="spellEnd"/>
            <w:r w:rsidRPr="00D85635">
              <w:rPr>
                <w:rFonts w:ascii="Arial" w:hAnsi="Arial" w:cs="Arial"/>
                <w:b w:val="0"/>
                <w:bCs w:val="0"/>
                <w:sz w:val="20"/>
                <w:szCs w:val="20"/>
                <w:lang w:eastAsia="en-AU"/>
              </w:rPr>
              <w:t xml:space="preserve"> Marsh </w:t>
            </w:r>
            <w:r w:rsidR="00316DD9" w:rsidRPr="00D85635">
              <w:rPr>
                <w:rFonts w:ascii="Arial" w:hAnsi="Arial" w:cs="Arial"/>
                <w:b w:val="0"/>
                <w:bCs w:val="0"/>
                <w:sz w:val="20"/>
                <w:szCs w:val="20"/>
                <w:lang w:eastAsia="en-AU"/>
              </w:rPr>
              <w:t xml:space="preserve">Flora </w:t>
            </w:r>
            <w:r w:rsidRPr="00D85635">
              <w:rPr>
                <w:rFonts w:ascii="Arial" w:hAnsi="Arial" w:cs="Arial"/>
                <w:b w:val="0"/>
                <w:bCs w:val="0"/>
                <w:sz w:val="20"/>
                <w:szCs w:val="20"/>
                <w:lang w:eastAsia="en-AU"/>
              </w:rPr>
              <w:t xml:space="preserve">Reserve from the potential development footprint, the total area with potential for native vegetation to be impacted is reduced from approximately 93 ha to less than 1 ha (Table </w:t>
            </w:r>
            <w:r w:rsidR="00D0190B" w:rsidRPr="00D85635">
              <w:rPr>
                <w:rFonts w:ascii="Arial" w:hAnsi="Arial" w:cs="Arial"/>
                <w:b w:val="0"/>
                <w:bCs w:val="0"/>
                <w:sz w:val="20"/>
                <w:szCs w:val="20"/>
                <w:lang w:eastAsia="en-AU"/>
              </w:rPr>
              <w:t>1</w:t>
            </w:r>
            <w:r w:rsidRPr="00D85635">
              <w:rPr>
                <w:rFonts w:ascii="Arial" w:hAnsi="Arial" w:cs="Arial"/>
                <w:b w:val="0"/>
                <w:bCs w:val="0"/>
                <w:sz w:val="20"/>
                <w:szCs w:val="20"/>
                <w:lang w:eastAsia="en-AU"/>
              </w:rPr>
              <w:t>2.3). It should be noted that for the purposes of the exclusion area assessment native vegetation removed is based on native patches and did not include scattered trees, which have not yet been fully assessed in the field. Field assessment of scattered trees will be undertaken as part of the targeted ecological assessment works scheduled for the second half of 2019.</w:t>
            </w:r>
          </w:p>
          <w:p w14:paraId="5A992FF5" w14:textId="77777777" w:rsidR="001E3FB4" w:rsidRPr="00D85635" w:rsidRDefault="001E3FB4" w:rsidP="001E3FB4">
            <w:pPr>
              <w:autoSpaceDE w:val="0"/>
              <w:autoSpaceDN w:val="0"/>
              <w:adjustRightInd w:val="0"/>
              <w:rPr>
                <w:rFonts w:ascii="Arial" w:hAnsi="Arial" w:cs="Arial"/>
              </w:rPr>
            </w:pPr>
          </w:p>
          <w:tbl>
            <w:tblPr>
              <w:tblStyle w:val="EMMTable"/>
              <w:tblW w:w="5000" w:type="pct"/>
              <w:tblLayout w:type="fixed"/>
              <w:tblLook w:val="0620" w:firstRow="1" w:lastRow="0" w:firstColumn="0" w:lastColumn="0" w:noHBand="1" w:noVBand="1"/>
            </w:tblPr>
            <w:tblGrid>
              <w:gridCol w:w="1806"/>
              <w:gridCol w:w="1806"/>
              <w:gridCol w:w="1805"/>
              <w:gridCol w:w="1805"/>
              <w:gridCol w:w="1805"/>
            </w:tblGrid>
            <w:tr w:rsidR="001E3FB4" w:rsidRPr="00D85635" w14:paraId="259543F7"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0" w:type="pct"/>
                  <w:gridSpan w:val="5"/>
                </w:tcPr>
                <w:p w14:paraId="41D1B839" w14:textId="2C16A3AF" w:rsidR="001E3FB4" w:rsidRPr="00D85635" w:rsidRDefault="001E3FB4" w:rsidP="001E3FB4">
                  <w:pPr>
                    <w:pStyle w:val="TableCaption"/>
                    <w:rPr>
                      <w:rFonts w:ascii="Arial" w:hAnsi="Arial" w:cs="Arial"/>
                      <w:sz w:val="18"/>
                    </w:rPr>
                  </w:pPr>
                  <w:bookmarkStart w:id="110" w:name="_Toc13470123"/>
                  <w:r w:rsidRPr="00D85635">
                    <w:rPr>
                      <w:rFonts w:ascii="Arial" w:hAnsi="Arial" w:cs="Arial"/>
                      <w:sz w:val="18"/>
                    </w:rPr>
                    <w:t xml:space="preserve">Table </w:t>
                  </w:r>
                  <w:r w:rsidR="00D0190B" w:rsidRPr="00D85635">
                    <w:rPr>
                      <w:rFonts w:ascii="Arial" w:hAnsi="Arial" w:cs="Arial"/>
                      <w:sz w:val="18"/>
                    </w:rPr>
                    <w:t>1</w:t>
                  </w:r>
                  <w:r w:rsidR="00524782" w:rsidRPr="00D85635">
                    <w:rPr>
                      <w:rFonts w:ascii="Arial" w:hAnsi="Arial" w:cs="Arial"/>
                      <w:sz w:val="18"/>
                    </w:rPr>
                    <w:fldChar w:fldCharType="begin"/>
                  </w:r>
                  <w:r w:rsidR="00524782" w:rsidRPr="00D85635">
                    <w:rPr>
                      <w:rFonts w:ascii="Arial" w:hAnsi="Arial" w:cs="Arial"/>
                      <w:sz w:val="18"/>
                    </w:rPr>
                    <w:instrText xml:space="preserve"> STYLEREF 1 \s </w:instrText>
                  </w:r>
                  <w:r w:rsidR="00524782" w:rsidRPr="00D85635">
                    <w:rPr>
                      <w:rFonts w:ascii="Arial" w:hAnsi="Arial" w:cs="Arial"/>
                      <w:sz w:val="18"/>
                    </w:rPr>
                    <w:fldChar w:fldCharType="separate"/>
                  </w:r>
                  <w:r w:rsidRPr="00D85635">
                    <w:rPr>
                      <w:rFonts w:ascii="Arial" w:hAnsi="Arial" w:cs="Arial"/>
                      <w:noProof/>
                      <w:sz w:val="18"/>
                    </w:rPr>
                    <w:t>2</w:t>
                  </w:r>
                  <w:r w:rsidR="00524782" w:rsidRPr="00D85635">
                    <w:rPr>
                      <w:rFonts w:ascii="Arial" w:hAnsi="Arial" w:cs="Arial"/>
                      <w:noProof/>
                      <w:sz w:val="18"/>
                    </w:rPr>
                    <w:fldChar w:fldCharType="end"/>
                  </w:r>
                  <w:r w:rsidRPr="00D85635">
                    <w:rPr>
                      <w:rFonts w:ascii="Arial" w:hAnsi="Arial" w:cs="Arial"/>
                      <w:sz w:val="18"/>
                    </w:rPr>
                    <w:t>.</w:t>
                  </w:r>
                  <w:r w:rsidR="00524782" w:rsidRPr="00D85635">
                    <w:rPr>
                      <w:rFonts w:ascii="Arial" w:hAnsi="Arial" w:cs="Arial"/>
                      <w:sz w:val="18"/>
                    </w:rPr>
                    <w:fldChar w:fldCharType="begin"/>
                  </w:r>
                  <w:r w:rsidR="00524782" w:rsidRPr="00D85635">
                    <w:rPr>
                      <w:rFonts w:ascii="Arial" w:hAnsi="Arial" w:cs="Arial"/>
                      <w:sz w:val="18"/>
                    </w:rPr>
                    <w:instrText xml:space="preserve"> SEQ Table \* ARABIC \s 1 </w:instrText>
                  </w:r>
                  <w:r w:rsidR="00524782" w:rsidRPr="00D85635">
                    <w:rPr>
                      <w:rFonts w:ascii="Arial" w:hAnsi="Arial" w:cs="Arial"/>
                      <w:sz w:val="18"/>
                    </w:rPr>
                    <w:fldChar w:fldCharType="separate"/>
                  </w:r>
                  <w:r w:rsidRPr="00D85635">
                    <w:rPr>
                      <w:rFonts w:ascii="Arial" w:hAnsi="Arial" w:cs="Arial"/>
                      <w:noProof/>
                      <w:sz w:val="18"/>
                    </w:rPr>
                    <w:t>3</w:t>
                  </w:r>
                  <w:r w:rsidR="00524782" w:rsidRPr="00D85635">
                    <w:rPr>
                      <w:rFonts w:ascii="Arial" w:hAnsi="Arial" w:cs="Arial"/>
                      <w:noProof/>
                      <w:sz w:val="18"/>
                    </w:rPr>
                    <w:fldChar w:fldCharType="end"/>
                  </w:r>
                  <w:r w:rsidRPr="00D85635">
                    <w:rPr>
                      <w:rFonts w:ascii="Arial" w:hAnsi="Arial" w:cs="Arial"/>
                      <w:sz w:val="18"/>
                    </w:rPr>
                    <w:tab/>
                    <w:t>Area of EVC potentially impacted by the three disturbance options</w:t>
                  </w:r>
                  <w:bookmarkEnd w:id="110"/>
                </w:p>
              </w:tc>
            </w:tr>
            <w:tr w:rsidR="001E3FB4" w:rsidRPr="00D85635" w14:paraId="365A0136"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0" w:type="pct"/>
                  <w:tcBorders>
                    <w:bottom w:val="single" w:sz="4" w:space="0" w:color="000000" w:themeColor="text1"/>
                  </w:tcBorders>
                  <w:shd w:val="clear" w:color="auto" w:fill="auto"/>
                </w:tcPr>
                <w:p w14:paraId="6A5D2BBA" w14:textId="77777777" w:rsidR="001E3FB4" w:rsidRPr="00D85635" w:rsidRDefault="001E3FB4" w:rsidP="001E3FB4">
                  <w:pPr>
                    <w:pStyle w:val="TableHeading"/>
                    <w:rPr>
                      <w:rFonts w:ascii="Arial" w:hAnsi="Arial" w:cs="Arial"/>
                    </w:rPr>
                  </w:pPr>
                  <w:r w:rsidRPr="00D85635">
                    <w:rPr>
                      <w:rFonts w:ascii="Arial" w:hAnsi="Arial" w:cs="Arial"/>
                    </w:rPr>
                    <w:t>Ecological vegetation classes</w:t>
                  </w:r>
                </w:p>
              </w:tc>
              <w:tc>
                <w:tcPr>
                  <w:tcW w:w="0" w:type="pct"/>
                  <w:tcBorders>
                    <w:bottom w:val="single" w:sz="4" w:space="0" w:color="000000" w:themeColor="text1"/>
                  </w:tcBorders>
                  <w:shd w:val="clear" w:color="auto" w:fill="auto"/>
                </w:tcPr>
                <w:p w14:paraId="136365F9" w14:textId="77777777" w:rsidR="001E3FB4" w:rsidRPr="00D85635" w:rsidRDefault="001E3FB4" w:rsidP="001E3FB4">
                  <w:pPr>
                    <w:pStyle w:val="TableHeading"/>
                    <w:rPr>
                      <w:rFonts w:ascii="Arial" w:hAnsi="Arial" w:cs="Arial"/>
                    </w:rPr>
                  </w:pPr>
                  <w:r w:rsidRPr="00D85635">
                    <w:rPr>
                      <w:rFonts w:ascii="Arial" w:hAnsi="Arial" w:cs="Arial"/>
                    </w:rPr>
                    <w:t>Bioregional conservation status</w:t>
                  </w:r>
                </w:p>
              </w:tc>
              <w:tc>
                <w:tcPr>
                  <w:tcW w:w="0" w:type="pct"/>
                  <w:tcBorders>
                    <w:bottom w:val="single" w:sz="4" w:space="0" w:color="000000" w:themeColor="text1"/>
                  </w:tcBorders>
                  <w:shd w:val="clear" w:color="auto" w:fill="auto"/>
                </w:tcPr>
                <w:p w14:paraId="674BCE68" w14:textId="77777777" w:rsidR="001E3FB4" w:rsidRPr="00D85635" w:rsidRDefault="001E3FB4" w:rsidP="001E3FB4">
                  <w:pPr>
                    <w:pStyle w:val="TableHeading"/>
                    <w:jc w:val="center"/>
                    <w:rPr>
                      <w:rFonts w:ascii="Arial" w:hAnsi="Arial" w:cs="Arial"/>
                    </w:rPr>
                  </w:pPr>
                  <w:r w:rsidRPr="00D85635">
                    <w:rPr>
                      <w:rFonts w:ascii="Arial" w:hAnsi="Arial" w:cs="Arial"/>
                    </w:rPr>
                    <w:t>Baseline study area (ha)</w:t>
                  </w:r>
                </w:p>
              </w:tc>
              <w:tc>
                <w:tcPr>
                  <w:tcW w:w="0" w:type="pct"/>
                  <w:tcBorders>
                    <w:bottom w:val="single" w:sz="4" w:space="0" w:color="000000" w:themeColor="text1"/>
                  </w:tcBorders>
                  <w:shd w:val="clear" w:color="auto" w:fill="auto"/>
                </w:tcPr>
                <w:p w14:paraId="623A5A86" w14:textId="77777777" w:rsidR="001E3FB4" w:rsidRPr="00D85635" w:rsidRDefault="001E3FB4" w:rsidP="001E3FB4">
                  <w:pPr>
                    <w:pStyle w:val="TableHeading"/>
                    <w:jc w:val="center"/>
                    <w:rPr>
                      <w:rFonts w:ascii="Arial" w:hAnsi="Arial" w:cs="Arial"/>
                    </w:rPr>
                  </w:pPr>
                  <w:r w:rsidRPr="00D85635">
                    <w:rPr>
                      <w:rFonts w:ascii="Arial" w:hAnsi="Arial" w:cs="Arial"/>
                    </w:rPr>
                    <w:t>Indicative mineralisation extent (ha)</w:t>
                  </w:r>
                </w:p>
              </w:tc>
              <w:tc>
                <w:tcPr>
                  <w:tcW w:w="0" w:type="pct"/>
                  <w:tcBorders>
                    <w:bottom w:val="single" w:sz="4" w:space="0" w:color="000000" w:themeColor="text1"/>
                  </w:tcBorders>
                  <w:shd w:val="clear" w:color="auto" w:fill="auto"/>
                </w:tcPr>
                <w:p w14:paraId="73AFB259" w14:textId="77777777" w:rsidR="001E3FB4" w:rsidRPr="00D85635" w:rsidRDefault="001E3FB4" w:rsidP="001E3FB4">
                  <w:pPr>
                    <w:pStyle w:val="TableHeading"/>
                    <w:jc w:val="center"/>
                    <w:rPr>
                      <w:rFonts w:ascii="Arial" w:hAnsi="Arial" w:cs="Arial"/>
                    </w:rPr>
                  </w:pPr>
                  <w:r w:rsidRPr="00D85635">
                    <w:rPr>
                      <w:rFonts w:ascii="Arial" w:hAnsi="Arial" w:cs="Arial"/>
                    </w:rPr>
                    <w:t>Indicative mining extent (ha)</w:t>
                  </w:r>
                </w:p>
              </w:tc>
            </w:tr>
            <w:tr w:rsidR="001E3FB4" w:rsidRPr="00D85635" w14:paraId="61F42703" w14:textId="77777777" w:rsidTr="008D4567">
              <w:trPr>
                <w:cantSplit/>
              </w:trPr>
              <w:tc>
                <w:tcPr>
                  <w:tcW w:w="0" w:type="pct"/>
                  <w:tcBorders>
                    <w:top w:val="single" w:sz="4" w:space="0" w:color="000000" w:themeColor="text1"/>
                    <w:bottom w:val="single" w:sz="4" w:space="0" w:color="BFBFBF" w:themeColor="background1" w:themeShade="BF"/>
                  </w:tcBorders>
                  <w:shd w:val="clear" w:color="auto" w:fill="auto"/>
                </w:tcPr>
                <w:p w14:paraId="35ED3847" w14:textId="77777777" w:rsidR="001E3FB4" w:rsidRPr="00D85635" w:rsidRDefault="001E3FB4" w:rsidP="001E3FB4">
                  <w:pPr>
                    <w:pStyle w:val="TableText"/>
                    <w:rPr>
                      <w:rFonts w:ascii="Arial" w:hAnsi="Arial" w:cs="Arial"/>
                    </w:rPr>
                  </w:pPr>
                  <w:r w:rsidRPr="00D85635">
                    <w:rPr>
                      <w:rFonts w:ascii="Arial" w:hAnsi="Arial" w:cs="Arial"/>
                    </w:rPr>
                    <w:t>WIM_0125</w:t>
                  </w:r>
                </w:p>
              </w:tc>
              <w:tc>
                <w:tcPr>
                  <w:tcW w:w="0" w:type="pct"/>
                  <w:tcBorders>
                    <w:top w:val="single" w:sz="4" w:space="0" w:color="000000" w:themeColor="text1"/>
                    <w:bottom w:val="single" w:sz="4" w:space="0" w:color="BFBFBF" w:themeColor="background1" w:themeShade="BF"/>
                  </w:tcBorders>
                  <w:shd w:val="clear" w:color="auto" w:fill="auto"/>
                </w:tcPr>
                <w:p w14:paraId="6894D674" w14:textId="77777777" w:rsidR="001E3FB4" w:rsidRPr="00D85635" w:rsidRDefault="001E3FB4" w:rsidP="001E3FB4">
                  <w:pPr>
                    <w:pStyle w:val="TableText"/>
                    <w:rPr>
                      <w:rFonts w:ascii="Arial" w:hAnsi="Arial" w:cs="Arial"/>
                    </w:rPr>
                  </w:pPr>
                  <w:r w:rsidRPr="00D85635">
                    <w:rPr>
                      <w:rFonts w:ascii="Arial" w:hAnsi="Arial" w:cs="Arial"/>
                    </w:rPr>
                    <w:t>Endangered</w:t>
                  </w:r>
                </w:p>
              </w:tc>
              <w:tc>
                <w:tcPr>
                  <w:tcW w:w="0" w:type="pct"/>
                  <w:tcBorders>
                    <w:top w:val="single" w:sz="4" w:space="0" w:color="000000" w:themeColor="text1"/>
                    <w:bottom w:val="single" w:sz="4" w:space="0" w:color="BFBFBF" w:themeColor="background1" w:themeShade="BF"/>
                  </w:tcBorders>
                  <w:shd w:val="clear" w:color="auto" w:fill="auto"/>
                </w:tcPr>
                <w:p w14:paraId="30F4181A" w14:textId="77777777" w:rsidR="001E3FB4" w:rsidRPr="00D85635" w:rsidRDefault="001E3FB4" w:rsidP="001E3FB4">
                  <w:pPr>
                    <w:pStyle w:val="TableText"/>
                    <w:jc w:val="center"/>
                    <w:rPr>
                      <w:rFonts w:ascii="Arial" w:hAnsi="Arial" w:cs="Arial"/>
                    </w:rPr>
                  </w:pPr>
                  <w:r w:rsidRPr="00D85635">
                    <w:rPr>
                      <w:rFonts w:ascii="Arial" w:hAnsi="Arial" w:cs="Arial"/>
                    </w:rPr>
                    <w:t>56.50</w:t>
                  </w:r>
                </w:p>
              </w:tc>
              <w:tc>
                <w:tcPr>
                  <w:tcW w:w="0" w:type="pct"/>
                  <w:tcBorders>
                    <w:top w:val="single" w:sz="4" w:space="0" w:color="000000" w:themeColor="text1"/>
                    <w:bottom w:val="single" w:sz="4" w:space="0" w:color="BFBFBF" w:themeColor="background1" w:themeShade="BF"/>
                  </w:tcBorders>
                  <w:shd w:val="clear" w:color="auto" w:fill="auto"/>
                </w:tcPr>
                <w:p w14:paraId="1F4D6FDE" w14:textId="77777777" w:rsidR="001E3FB4" w:rsidRPr="00D85635" w:rsidRDefault="001E3FB4" w:rsidP="001E3FB4">
                  <w:pPr>
                    <w:pStyle w:val="TableText"/>
                    <w:jc w:val="center"/>
                    <w:rPr>
                      <w:rFonts w:ascii="Arial" w:hAnsi="Arial" w:cs="Arial"/>
                    </w:rPr>
                  </w:pPr>
                  <w:r w:rsidRPr="00D85635">
                    <w:rPr>
                      <w:rFonts w:ascii="Arial" w:hAnsi="Arial" w:cs="Arial"/>
                    </w:rPr>
                    <w:t>19.37</w:t>
                  </w:r>
                </w:p>
              </w:tc>
              <w:tc>
                <w:tcPr>
                  <w:tcW w:w="0" w:type="pct"/>
                  <w:tcBorders>
                    <w:top w:val="single" w:sz="4" w:space="0" w:color="000000" w:themeColor="text1"/>
                    <w:bottom w:val="single" w:sz="4" w:space="0" w:color="BFBFBF" w:themeColor="background1" w:themeShade="BF"/>
                  </w:tcBorders>
                  <w:shd w:val="clear" w:color="auto" w:fill="auto"/>
                </w:tcPr>
                <w:p w14:paraId="78C969FE" w14:textId="77777777" w:rsidR="001E3FB4" w:rsidRPr="00D85635" w:rsidRDefault="001E3FB4" w:rsidP="001E3FB4">
                  <w:pPr>
                    <w:pStyle w:val="TableText"/>
                    <w:jc w:val="center"/>
                    <w:rPr>
                      <w:rFonts w:ascii="Arial" w:hAnsi="Arial" w:cs="Arial"/>
                    </w:rPr>
                  </w:pPr>
                  <w:r w:rsidRPr="00D85635">
                    <w:rPr>
                      <w:rFonts w:ascii="Arial" w:hAnsi="Arial" w:cs="Arial"/>
                    </w:rPr>
                    <w:t>0.00</w:t>
                  </w:r>
                </w:p>
              </w:tc>
            </w:tr>
            <w:tr w:rsidR="001E3FB4" w:rsidRPr="00D85635" w14:paraId="7541A991" w14:textId="77777777" w:rsidTr="008D4567">
              <w:trPr>
                <w:cantSplit/>
              </w:trPr>
              <w:tc>
                <w:tcPr>
                  <w:tcW w:w="0" w:type="pct"/>
                  <w:tcBorders>
                    <w:top w:val="single" w:sz="4" w:space="0" w:color="BFBFBF" w:themeColor="background1" w:themeShade="BF"/>
                    <w:bottom w:val="single" w:sz="4" w:space="0" w:color="BFBFBF" w:themeColor="background1" w:themeShade="BF"/>
                  </w:tcBorders>
                  <w:shd w:val="clear" w:color="auto" w:fill="auto"/>
                </w:tcPr>
                <w:p w14:paraId="6E899419" w14:textId="77777777" w:rsidR="001E3FB4" w:rsidRPr="00D85635" w:rsidRDefault="001E3FB4" w:rsidP="001E3FB4">
                  <w:pPr>
                    <w:pStyle w:val="TableText"/>
                    <w:rPr>
                      <w:rFonts w:ascii="Arial" w:hAnsi="Arial" w:cs="Arial"/>
                    </w:rPr>
                  </w:pPr>
                  <w:r w:rsidRPr="00D85635">
                    <w:rPr>
                      <w:rFonts w:ascii="Arial" w:hAnsi="Arial" w:cs="Arial"/>
                    </w:rPr>
                    <w:t>WIM_0292</w:t>
                  </w:r>
                </w:p>
              </w:tc>
              <w:tc>
                <w:tcPr>
                  <w:tcW w:w="0" w:type="pct"/>
                  <w:tcBorders>
                    <w:top w:val="single" w:sz="4" w:space="0" w:color="BFBFBF" w:themeColor="background1" w:themeShade="BF"/>
                    <w:bottom w:val="single" w:sz="4" w:space="0" w:color="BFBFBF" w:themeColor="background1" w:themeShade="BF"/>
                  </w:tcBorders>
                  <w:shd w:val="clear" w:color="auto" w:fill="auto"/>
                </w:tcPr>
                <w:p w14:paraId="2F038682" w14:textId="77777777" w:rsidR="001E3FB4" w:rsidRPr="00D85635" w:rsidRDefault="001E3FB4" w:rsidP="001E3FB4">
                  <w:pPr>
                    <w:pStyle w:val="TableText"/>
                    <w:rPr>
                      <w:rFonts w:ascii="Arial" w:hAnsi="Arial" w:cs="Arial"/>
                    </w:rPr>
                  </w:pPr>
                  <w:r w:rsidRPr="00D85635">
                    <w:rPr>
                      <w:rFonts w:ascii="Arial" w:hAnsi="Arial" w:cs="Arial"/>
                    </w:rPr>
                    <w:t>Vulnerable</w:t>
                  </w:r>
                </w:p>
              </w:tc>
              <w:tc>
                <w:tcPr>
                  <w:tcW w:w="0" w:type="pct"/>
                  <w:tcBorders>
                    <w:top w:val="single" w:sz="4" w:space="0" w:color="BFBFBF" w:themeColor="background1" w:themeShade="BF"/>
                    <w:bottom w:val="single" w:sz="4" w:space="0" w:color="BFBFBF" w:themeColor="background1" w:themeShade="BF"/>
                  </w:tcBorders>
                  <w:shd w:val="clear" w:color="auto" w:fill="auto"/>
                </w:tcPr>
                <w:p w14:paraId="354BF3C8" w14:textId="77777777" w:rsidR="001E3FB4" w:rsidRPr="00D85635" w:rsidRDefault="001E3FB4" w:rsidP="001E3FB4">
                  <w:pPr>
                    <w:pStyle w:val="TableText"/>
                    <w:jc w:val="center"/>
                    <w:rPr>
                      <w:rFonts w:ascii="Arial" w:hAnsi="Arial" w:cs="Arial"/>
                    </w:rPr>
                  </w:pPr>
                  <w:r w:rsidRPr="00D85635">
                    <w:rPr>
                      <w:rFonts w:ascii="Arial" w:hAnsi="Arial" w:cs="Arial"/>
                    </w:rPr>
                    <w:t>280.40</w:t>
                  </w:r>
                </w:p>
              </w:tc>
              <w:tc>
                <w:tcPr>
                  <w:tcW w:w="0" w:type="pct"/>
                  <w:tcBorders>
                    <w:top w:val="single" w:sz="4" w:space="0" w:color="BFBFBF" w:themeColor="background1" w:themeShade="BF"/>
                    <w:bottom w:val="single" w:sz="4" w:space="0" w:color="BFBFBF" w:themeColor="background1" w:themeShade="BF"/>
                  </w:tcBorders>
                  <w:shd w:val="clear" w:color="auto" w:fill="auto"/>
                </w:tcPr>
                <w:p w14:paraId="3DD40F3B" w14:textId="77777777" w:rsidR="001E3FB4" w:rsidRPr="00D85635" w:rsidRDefault="001E3FB4" w:rsidP="001E3FB4">
                  <w:pPr>
                    <w:pStyle w:val="TableText"/>
                    <w:jc w:val="center"/>
                    <w:rPr>
                      <w:rFonts w:ascii="Arial" w:hAnsi="Arial" w:cs="Arial"/>
                    </w:rPr>
                  </w:pPr>
                  <w:r w:rsidRPr="00D85635">
                    <w:rPr>
                      <w:rFonts w:ascii="Arial" w:hAnsi="Arial" w:cs="Arial"/>
                    </w:rPr>
                    <w:t>33.38</w:t>
                  </w:r>
                </w:p>
              </w:tc>
              <w:tc>
                <w:tcPr>
                  <w:tcW w:w="0" w:type="pct"/>
                  <w:tcBorders>
                    <w:top w:val="single" w:sz="4" w:space="0" w:color="BFBFBF" w:themeColor="background1" w:themeShade="BF"/>
                    <w:bottom w:val="single" w:sz="4" w:space="0" w:color="BFBFBF" w:themeColor="background1" w:themeShade="BF"/>
                  </w:tcBorders>
                  <w:shd w:val="clear" w:color="auto" w:fill="auto"/>
                </w:tcPr>
                <w:p w14:paraId="0B592088" w14:textId="77777777" w:rsidR="001E3FB4" w:rsidRPr="00D85635" w:rsidRDefault="001E3FB4" w:rsidP="001E3FB4">
                  <w:pPr>
                    <w:pStyle w:val="TableText"/>
                    <w:jc w:val="center"/>
                    <w:rPr>
                      <w:rFonts w:ascii="Arial" w:hAnsi="Arial" w:cs="Arial"/>
                    </w:rPr>
                  </w:pPr>
                  <w:r w:rsidRPr="00D85635">
                    <w:rPr>
                      <w:rFonts w:ascii="Arial" w:hAnsi="Arial" w:cs="Arial"/>
                    </w:rPr>
                    <w:t>0.06</w:t>
                  </w:r>
                </w:p>
              </w:tc>
            </w:tr>
            <w:tr w:rsidR="001E3FB4" w:rsidRPr="00D85635" w14:paraId="044F2292" w14:textId="77777777" w:rsidTr="008D4567">
              <w:trPr>
                <w:cantSplit/>
              </w:trPr>
              <w:tc>
                <w:tcPr>
                  <w:tcW w:w="0" w:type="pct"/>
                  <w:tcBorders>
                    <w:top w:val="single" w:sz="4" w:space="0" w:color="BFBFBF" w:themeColor="background1" w:themeShade="BF"/>
                    <w:bottom w:val="single" w:sz="4" w:space="0" w:color="BFBFBF" w:themeColor="background1" w:themeShade="BF"/>
                  </w:tcBorders>
                  <w:shd w:val="clear" w:color="auto" w:fill="auto"/>
                </w:tcPr>
                <w:p w14:paraId="7313074C" w14:textId="77777777" w:rsidR="001E3FB4" w:rsidRPr="00D85635" w:rsidRDefault="001E3FB4" w:rsidP="001E3FB4">
                  <w:pPr>
                    <w:pStyle w:val="TableText"/>
                    <w:rPr>
                      <w:rFonts w:ascii="Arial" w:hAnsi="Arial" w:cs="Arial"/>
                    </w:rPr>
                  </w:pPr>
                  <w:r w:rsidRPr="00D85635">
                    <w:rPr>
                      <w:rFonts w:ascii="Arial" w:hAnsi="Arial" w:cs="Arial"/>
                    </w:rPr>
                    <w:t>WIM_0653</w:t>
                  </w:r>
                </w:p>
              </w:tc>
              <w:tc>
                <w:tcPr>
                  <w:tcW w:w="0" w:type="pct"/>
                  <w:tcBorders>
                    <w:top w:val="single" w:sz="4" w:space="0" w:color="BFBFBF" w:themeColor="background1" w:themeShade="BF"/>
                    <w:bottom w:val="single" w:sz="4" w:space="0" w:color="BFBFBF" w:themeColor="background1" w:themeShade="BF"/>
                  </w:tcBorders>
                  <w:shd w:val="clear" w:color="auto" w:fill="auto"/>
                </w:tcPr>
                <w:p w14:paraId="3C0BF6E8" w14:textId="77777777" w:rsidR="001E3FB4" w:rsidRPr="00D85635" w:rsidRDefault="001E3FB4" w:rsidP="001E3FB4">
                  <w:pPr>
                    <w:pStyle w:val="TableText"/>
                    <w:rPr>
                      <w:rFonts w:ascii="Arial" w:hAnsi="Arial" w:cs="Arial"/>
                    </w:rPr>
                  </w:pPr>
                  <w:r w:rsidRPr="00D85635">
                    <w:rPr>
                      <w:rFonts w:ascii="Arial" w:hAnsi="Arial" w:cs="Arial"/>
                    </w:rPr>
                    <w:t>Endangered</w:t>
                  </w:r>
                </w:p>
              </w:tc>
              <w:tc>
                <w:tcPr>
                  <w:tcW w:w="0" w:type="pct"/>
                  <w:tcBorders>
                    <w:top w:val="single" w:sz="4" w:space="0" w:color="BFBFBF" w:themeColor="background1" w:themeShade="BF"/>
                    <w:bottom w:val="single" w:sz="4" w:space="0" w:color="BFBFBF" w:themeColor="background1" w:themeShade="BF"/>
                  </w:tcBorders>
                  <w:shd w:val="clear" w:color="auto" w:fill="auto"/>
                </w:tcPr>
                <w:p w14:paraId="320BE558" w14:textId="77777777" w:rsidR="001E3FB4" w:rsidRPr="00D85635" w:rsidRDefault="001E3FB4" w:rsidP="001E3FB4">
                  <w:pPr>
                    <w:pStyle w:val="TableText"/>
                    <w:jc w:val="center"/>
                    <w:rPr>
                      <w:rFonts w:ascii="Arial" w:hAnsi="Arial" w:cs="Arial"/>
                    </w:rPr>
                  </w:pPr>
                  <w:r w:rsidRPr="00D85635">
                    <w:rPr>
                      <w:rFonts w:ascii="Arial" w:hAnsi="Arial" w:cs="Arial"/>
                    </w:rPr>
                    <w:t>23.40</w:t>
                  </w:r>
                </w:p>
              </w:tc>
              <w:tc>
                <w:tcPr>
                  <w:tcW w:w="0" w:type="pct"/>
                  <w:tcBorders>
                    <w:top w:val="single" w:sz="4" w:space="0" w:color="BFBFBF" w:themeColor="background1" w:themeShade="BF"/>
                    <w:bottom w:val="single" w:sz="4" w:space="0" w:color="BFBFBF" w:themeColor="background1" w:themeShade="BF"/>
                  </w:tcBorders>
                  <w:shd w:val="clear" w:color="auto" w:fill="auto"/>
                </w:tcPr>
                <w:p w14:paraId="0D6A2A41" w14:textId="77777777" w:rsidR="001E3FB4" w:rsidRPr="00D85635" w:rsidRDefault="001E3FB4" w:rsidP="001E3FB4">
                  <w:pPr>
                    <w:pStyle w:val="TableText"/>
                    <w:jc w:val="center"/>
                    <w:rPr>
                      <w:rFonts w:ascii="Arial" w:hAnsi="Arial" w:cs="Arial"/>
                    </w:rPr>
                  </w:pPr>
                  <w:r w:rsidRPr="00D85635">
                    <w:rPr>
                      <w:rFonts w:ascii="Arial" w:hAnsi="Arial" w:cs="Arial"/>
                    </w:rPr>
                    <w:t>0.00</w:t>
                  </w:r>
                </w:p>
              </w:tc>
              <w:tc>
                <w:tcPr>
                  <w:tcW w:w="0" w:type="pct"/>
                  <w:tcBorders>
                    <w:top w:val="single" w:sz="4" w:space="0" w:color="BFBFBF" w:themeColor="background1" w:themeShade="BF"/>
                    <w:bottom w:val="single" w:sz="4" w:space="0" w:color="BFBFBF" w:themeColor="background1" w:themeShade="BF"/>
                  </w:tcBorders>
                  <w:shd w:val="clear" w:color="auto" w:fill="auto"/>
                </w:tcPr>
                <w:p w14:paraId="3CE3A574" w14:textId="77777777" w:rsidR="001E3FB4" w:rsidRPr="00D85635" w:rsidRDefault="001E3FB4" w:rsidP="001E3FB4">
                  <w:pPr>
                    <w:pStyle w:val="TableText"/>
                    <w:jc w:val="center"/>
                    <w:rPr>
                      <w:rFonts w:ascii="Arial" w:hAnsi="Arial" w:cs="Arial"/>
                    </w:rPr>
                  </w:pPr>
                  <w:r w:rsidRPr="00D85635">
                    <w:rPr>
                      <w:rFonts w:ascii="Arial" w:hAnsi="Arial" w:cs="Arial"/>
                    </w:rPr>
                    <w:t>0.00</w:t>
                  </w:r>
                </w:p>
              </w:tc>
            </w:tr>
            <w:tr w:rsidR="001E3FB4" w:rsidRPr="00D85635" w14:paraId="00D5A7B3" w14:textId="77777777" w:rsidTr="008D4567">
              <w:trPr>
                <w:cantSplit/>
              </w:trPr>
              <w:tc>
                <w:tcPr>
                  <w:tcW w:w="0" w:type="pct"/>
                  <w:tcBorders>
                    <w:top w:val="single" w:sz="4" w:space="0" w:color="BFBFBF" w:themeColor="background1" w:themeShade="BF"/>
                    <w:bottom w:val="single" w:sz="4" w:space="0" w:color="000000"/>
                  </w:tcBorders>
                  <w:shd w:val="clear" w:color="auto" w:fill="auto"/>
                </w:tcPr>
                <w:p w14:paraId="6AEDDCD4" w14:textId="77777777" w:rsidR="001E3FB4" w:rsidRPr="00D85635" w:rsidRDefault="001E3FB4" w:rsidP="001E3FB4">
                  <w:pPr>
                    <w:pStyle w:val="TableText"/>
                    <w:rPr>
                      <w:rFonts w:ascii="Arial" w:hAnsi="Arial" w:cs="Arial"/>
                    </w:rPr>
                  </w:pPr>
                  <w:r w:rsidRPr="00D85635">
                    <w:rPr>
                      <w:rFonts w:ascii="Arial" w:hAnsi="Arial" w:cs="Arial"/>
                    </w:rPr>
                    <w:t>WIM_0803</w:t>
                  </w:r>
                </w:p>
              </w:tc>
              <w:tc>
                <w:tcPr>
                  <w:tcW w:w="0" w:type="pct"/>
                  <w:tcBorders>
                    <w:top w:val="single" w:sz="4" w:space="0" w:color="BFBFBF" w:themeColor="background1" w:themeShade="BF"/>
                    <w:bottom w:val="single" w:sz="4" w:space="0" w:color="000000"/>
                  </w:tcBorders>
                  <w:shd w:val="clear" w:color="auto" w:fill="auto"/>
                </w:tcPr>
                <w:p w14:paraId="423DAE25" w14:textId="77777777" w:rsidR="001E3FB4" w:rsidRPr="00D85635" w:rsidRDefault="001E3FB4" w:rsidP="001E3FB4">
                  <w:pPr>
                    <w:pStyle w:val="TableText"/>
                    <w:rPr>
                      <w:rFonts w:ascii="Arial" w:hAnsi="Arial" w:cs="Arial"/>
                    </w:rPr>
                  </w:pPr>
                  <w:r w:rsidRPr="00D85635">
                    <w:rPr>
                      <w:rFonts w:ascii="Arial" w:hAnsi="Arial" w:cs="Arial"/>
                    </w:rPr>
                    <w:t>Endangered</w:t>
                  </w:r>
                </w:p>
              </w:tc>
              <w:tc>
                <w:tcPr>
                  <w:tcW w:w="0" w:type="pct"/>
                  <w:tcBorders>
                    <w:top w:val="single" w:sz="4" w:space="0" w:color="BFBFBF" w:themeColor="background1" w:themeShade="BF"/>
                    <w:bottom w:val="single" w:sz="4" w:space="0" w:color="000000"/>
                  </w:tcBorders>
                  <w:shd w:val="clear" w:color="auto" w:fill="auto"/>
                </w:tcPr>
                <w:p w14:paraId="534EA878" w14:textId="77777777" w:rsidR="001E3FB4" w:rsidRPr="00D85635" w:rsidRDefault="001E3FB4" w:rsidP="001E3FB4">
                  <w:pPr>
                    <w:pStyle w:val="TableText"/>
                    <w:jc w:val="center"/>
                    <w:rPr>
                      <w:rFonts w:ascii="Arial" w:hAnsi="Arial" w:cs="Arial"/>
                    </w:rPr>
                  </w:pPr>
                  <w:r w:rsidRPr="00D85635">
                    <w:rPr>
                      <w:rFonts w:ascii="Arial" w:hAnsi="Arial" w:cs="Arial"/>
                    </w:rPr>
                    <w:t>88.00</w:t>
                  </w:r>
                </w:p>
              </w:tc>
              <w:tc>
                <w:tcPr>
                  <w:tcW w:w="0" w:type="pct"/>
                  <w:tcBorders>
                    <w:top w:val="single" w:sz="4" w:space="0" w:color="BFBFBF" w:themeColor="background1" w:themeShade="BF"/>
                    <w:bottom w:val="single" w:sz="4" w:space="0" w:color="000000"/>
                  </w:tcBorders>
                  <w:shd w:val="clear" w:color="auto" w:fill="auto"/>
                </w:tcPr>
                <w:p w14:paraId="0BA1D412" w14:textId="77777777" w:rsidR="001E3FB4" w:rsidRPr="00D85635" w:rsidRDefault="001E3FB4" w:rsidP="001E3FB4">
                  <w:pPr>
                    <w:pStyle w:val="TableText"/>
                    <w:jc w:val="center"/>
                    <w:rPr>
                      <w:rFonts w:ascii="Arial" w:hAnsi="Arial" w:cs="Arial"/>
                    </w:rPr>
                  </w:pPr>
                  <w:r w:rsidRPr="00D85635">
                    <w:rPr>
                      <w:rFonts w:ascii="Arial" w:hAnsi="Arial" w:cs="Arial"/>
                    </w:rPr>
                    <w:t>40.51</w:t>
                  </w:r>
                </w:p>
              </w:tc>
              <w:tc>
                <w:tcPr>
                  <w:tcW w:w="0" w:type="pct"/>
                  <w:tcBorders>
                    <w:top w:val="single" w:sz="4" w:space="0" w:color="BFBFBF" w:themeColor="background1" w:themeShade="BF"/>
                    <w:bottom w:val="single" w:sz="4" w:space="0" w:color="000000"/>
                  </w:tcBorders>
                  <w:shd w:val="clear" w:color="auto" w:fill="auto"/>
                </w:tcPr>
                <w:p w14:paraId="5A516D29" w14:textId="77777777" w:rsidR="001E3FB4" w:rsidRPr="00D85635" w:rsidRDefault="001E3FB4" w:rsidP="001E3FB4">
                  <w:pPr>
                    <w:pStyle w:val="TableText"/>
                    <w:jc w:val="center"/>
                    <w:rPr>
                      <w:rFonts w:ascii="Arial" w:hAnsi="Arial" w:cs="Arial"/>
                    </w:rPr>
                  </w:pPr>
                  <w:r w:rsidRPr="00D85635">
                    <w:rPr>
                      <w:rFonts w:ascii="Arial" w:hAnsi="Arial" w:cs="Arial"/>
                    </w:rPr>
                    <w:t>0.17</w:t>
                  </w:r>
                </w:p>
              </w:tc>
            </w:tr>
            <w:tr w:rsidR="001E3FB4" w:rsidRPr="00D85635" w14:paraId="4A4CC693" w14:textId="77777777" w:rsidTr="008D4567">
              <w:trPr>
                <w:cantSplit/>
              </w:trPr>
              <w:tc>
                <w:tcPr>
                  <w:tcW w:w="1000" w:type="pct"/>
                  <w:tcBorders>
                    <w:top w:val="single" w:sz="4" w:space="0" w:color="000000"/>
                    <w:bottom w:val="single" w:sz="2" w:space="0" w:color="000000" w:themeColor="text1"/>
                  </w:tcBorders>
                  <w:shd w:val="clear" w:color="auto" w:fill="auto"/>
                </w:tcPr>
                <w:p w14:paraId="1F8F1D6D" w14:textId="77777777" w:rsidR="001E3FB4" w:rsidRPr="00D85635" w:rsidRDefault="001E3FB4" w:rsidP="001E3FB4">
                  <w:pPr>
                    <w:pStyle w:val="TableText"/>
                    <w:rPr>
                      <w:rFonts w:ascii="Arial" w:hAnsi="Arial" w:cs="Arial"/>
                    </w:rPr>
                  </w:pPr>
                </w:p>
              </w:tc>
              <w:tc>
                <w:tcPr>
                  <w:tcW w:w="1000" w:type="pct"/>
                  <w:tcBorders>
                    <w:top w:val="single" w:sz="4" w:space="0" w:color="000000"/>
                    <w:bottom w:val="single" w:sz="2" w:space="0" w:color="000000" w:themeColor="text1"/>
                  </w:tcBorders>
                  <w:shd w:val="clear" w:color="auto" w:fill="auto"/>
                </w:tcPr>
                <w:p w14:paraId="50689632" w14:textId="77777777" w:rsidR="001E3FB4" w:rsidRPr="00D85635" w:rsidRDefault="001E3FB4" w:rsidP="001E3FB4">
                  <w:pPr>
                    <w:pStyle w:val="TableText"/>
                    <w:rPr>
                      <w:rFonts w:ascii="Arial" w:hAnsi="Arial" w:cs="Arial"/>
                    </w:rPr>
                  </w:pPr>
                  <w:r w:rsidRPr="00D85635">
                    <w:rPr>
                      <w:rFonts w:ascii="Arial" w:hAnsi="Arial" w:cs="Arial"/>
                      <w:b/>
                    </w:rPr>
                    <w:t>Total</w:t>
                  </w:r>
                </w:p>
              </w:tc>
              <w:tc>
                <w:tcPr>
                  <w:tcW w:w="1000" w:type="pct"/>
                  <w:tcBorders>
                    <w:top w:val="single" w:sz="4" w:space="0" w:color="000000"/>
                    <w:bottom w:val="single" w:sz="2" w:space="0" w:color="000000" w:themeColor="text1"/>
                  </w:tcBorders>
                  <w:shd w:val="clear" w:color="auto" w:fill="auto"/>
                </w:tcPr>
                <w:p w14:paraId="5756D8F6" w14:textId="77777777" w:rsidR="001E3FB4" w:rsidRPr="00D85635" w:rsidRDefault="001E3FB4" w:rsidP="001E3FB4">
                  <w:pPr>
                    <w:pStyle w:val="TableText"/>
                    <w:jc w:val="center"/>
                    <w:rPr>
                      <w:rFonts w:ascii="Arial" w:hAnsi="Arial" w:cs="Arial"/>
                    </w:rPr>
                  </w:pPr>
                  <w:r w:rsidRPr="00D85635">
                    <w:rPr>
                      <w:rFonts w:ascii="Arial" w:hAnsi="Arial" w:cs="Arial"/>
                      <w:b/>
                    </w:rPr>
                    <w:t>448.30</w:t>
                  </w:r>
                </w:p>
              </w:tc>
              <w:tc>
                <w:tcPr>
                  <w:tcW w:w="1000" w:type="pct"/>
                  <w:tcBorders>
                    <w:top w:val="single" w:sz="4" w:space="0" w:color="000000"/>
                    <w:bottom w:val="single" w:sz="2" w:space="0" w:color="000000" w:themeColor="text1"/>
                  </w:tcBorders>
                  <w:shd w:val="clear" w:color="auto" w:fill="auto"/>
                </w:tcPr>
                <w:p w14:paraId="39CE40F7" w14:textId="77777777" w:rsidR="001E3FB4" w:rsidRPr="00D85635" w:rsidRDefault="001E3FB4" w:rsidP="001E3FB4">
                  <w:pPr>
                    <w:pStyle w:val="TableText"/>
                    <w:jc w:val="center"/>
                    <w:rPr>
                      <w:rFonts w:ascii="Arial" w:hAnsi="Arial" w:cs="Arial"/>
                    </w:rPr>
                  </w:pPr>
                  <w:r w:rsidRPr="00D85635">
                    <w:rPr>
                      <w:rFonts w:ascii="Arial" w:hAnsi="Arial" w:cs="Arial"/>
                      <w:b/>
                    </w:rPr>
                    <w:t>93.26</w:t>
                  </w:r>
                </w:p>
              </w:tc>
              <w:tc>
                <w:tcPr>
                  <w:tcW w:w="1000" w:type="pct"/>
                  <w:tcBorders>
                    <w:top w:val="single" w:sz="4" w:space="0" w:color="000000"/>
                    <w:bottom w:val="single" w:sz="2" w:space="0" w:color="000000" w:themeColor="text1"/>
                  </w:tcBorders>
                  <w:shd w:val="clear" w:color="auto" w:fill="auto"/>
                </w:tcPr>
                <w:p w14:paraId="389F1747" w14:textId="77777777" w:rsidR="001E3FB4" w:rsidRPr="00D85635" w:rsidRDefault="001E3FB4" w:rsidP="001E3FB4">
                  <w:pPr>
                    <w:pStyle w:val="TableText"/>
                    <w:jc w:val="center"/>
                    <w:rPr>
                      <w:rFonts w:ascii="Arial" w:hAnsi="Arial" w:cs="Arial"/>
                    </w:rPr>
                  </w:pPr>
                  <w:r w:rsidRPr="00D85635">
                    <w:rPr>
                      <w:rFonts w:ascii="Arial" w:hAnsi="Arial" w:cs="Arial"/>
                      <w:b/>
                    </w:rPr>
                    <w:t>0.23</w:t>
                  </w:r>
                </w:p>
              </w:tc>
            </w:tr>
          </w:tbl>
          <w:p w14:paraId="7E6ACFB0" w14:textId="77777777" w:rsidR="001E3FB4" w:rsidRPr="00D85635" w:rsidRDefault="001E3FB4" w:rsidP="001E3FB4">
            <w:pPr>
              <w:autoSpaceDE w:val="0"/>
              <w:autoSpaceDN w:val="0"/>
              <w:adjustRightInd w:val="0"/>
              <w:spacing w:after="120"/>
              <w:rPr>
                <w:rFonts w:ascii="Arial" w:hAnsi="Arial" w:cs="Arial"/>
              </w:rPr>
            </w:pPr>
          </w:p>
          <w:p w14:paraId="32B5F1AE" w14:textId="77777777" w:rsidR="00515EEB" w:rsidRPr="00D85635" w:rsidRDefault="001E3FB4" w:rsidP="00F06B68">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lastRenderedPageBreak/>
              <w:t xml:space="preserve">Further advice was sought from Cardno (Appendix </w:t>
            </w:r>
            <w:r w:rsidR="00F06B68" w:rsidRPr="00D85635">
              <w:rPr>
                <w:rFonts w:ascii="Arial" w:hAnsi="Arial" w:cs="Arial"/>
                <w:b w:val="0"/>
                <w:bCs w:val="0"/>
                <w:sz w:val="20"/>
                <w:szCs w:val="20"/>
                <w:lang w:eastAsia="en-AU"/>
              </w:rPr>
              <w:t>K</w:t>
            </w:r>
            <w:r w:rsidRPr="00D85635">
              <w:rPr>
                <w:rFonts w:ascii="Arial" w:hAnsi="Arial" w:cs="Arial"/>
                <w:b w:val="0"/>
                <w:bCs w:val="0"/>
                <w:sz w:val="20"/>
                <w:szCs w:val="20"/>
                <w:lang w:eastAsia="en-AU"/>
              </w:rPr>
              <w:t xml:space="preserve">) to understand the ecological impacts and offset implications associated with the larger mine layout development envelope </w:t>
            </w:r>
            <w:r w:rsidR="00D0190B" w:rsidRPr="00D85635">
              <w:rPr>
                <w:rFonts w:ascii="Arial" w:hAnsi="Arial" w:cs="Arial"/>
                <w:b w:val="0"/>
                <w:bCs w:val="0"/>
                <w:sz w:val="20"/>
                <w:szCs w:val="20"/>
                <w:lang w:eastAsia="en-AU"/>
              </w:rPr>
              <w:t>(Figure 2)</w:t>
            </w:r>
            <w:r w:rsidRPr="00D85635">
              <w:rPr>
                <w:rFonts w:ascii="Arial" w:hAnsi="Arial" w:cs="Arial"/>
                <w:b w:val="0"/>
                <w:bCs w:val="0"/>
                <w:sz w:val="20"/>
                <w:szCs w:val="20"/>
                <w:lang w:eastAsia="en-AU"/>
              </w:rPr>
              <w:t xml:space="preserve">; this development envelope totals 2,580 ha and comprises the indicative mining extent, the plant development envelope, and additional area associated with haul roads, soil stockpiles, surface drainage and other supporting infrastructure. </w:t>
            </w:r>
          </w:p>
          <w:p w14:paraId="62AE8E6B" w14:textId="29FEE578" w:rsidR="001E3FB4" w:rsidRPr="00D85635" w:rsidRDefault="001E3FB4" w:rsidP="00F06B68">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The offset requirements within the mine layout development envelope were calculated by DELWP using the following information as Scenario 1:</w:t>
            </w:r>
          </w:p>
          <w:p w14:paraId="5D9A85E5" w14:textId="77777777" w:rsidR="001E3FB4" w:rsidRPr="00D85635" w:rsidRDefault="001E3FB4" w:rsidP="00C70314">
            <w:pPr>
              <w:pStyle w:val="BodyText"/>
              <w:numPr>
                <w:ilvl w:val="0"/>
                <w:numId w:val="49"/>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the extents of native vegetation patches as mapped by Cardno (2019a), and their associated habitat hectare condition scores as modelled by Cardno; and</w:t>
            </w:r>
          </w:p>
          <w:p w14:paraId="0C0F9908" w14:textId="77777777" w:rsidR="001E3FB4" w:rsidRPr="00D85635" w:rsidRDefault="001E3FB4" w:rsidP="00C70314">
            <w:pPr>
              <w:pStyle w:val="BodyText"/>
              <w:numPr>
                <w:ilvl w:val="0"/>
                <w:numId w:val="49"/>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current wetlands as mapped by DELWP (all assumed to comprise Red Gum Swamp EVC 292), and their associated condition scores as modelled by DELWP.</w:t>
            </w:r>
          </w:p>
          <w:p w14:paraId="4D6E7E87" w14:textId="1A24D46C" w:rsidR="001E3FB4" w:rsidRPr="00D85635" w:rsidRDefault="001E3FB4" w:rsidP="00F06B68">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While field verification of individual scattered trees has not yet been undertaken, it was estimated from aerial photography that </w:t>
            </w:r>
            <w:r w:rsidR="00515EEB" w:rsidRPr="00D85635">
              <w:rPr>
                <w:rFonts w:ascii="Arial" w:hAnsi="Arial" w:cs="Arial"/>
                <w:b w:val="0"/>
                <w:bCs w:val="0"/>
                <w:sz w:val="20"/>
                <w:szCs w:val="20"/>
                <w:lang w:eastAsia="en-AU"/>
              </w:rPr>
              <w:t xml:space="preserve">approximately </w:t>
            </w:r>
            <w:r w:rsidRPr="00D85635">
              <w:rPr>
                <w:rFonts w:ascii="Arial" w:hAnsi="Arial" w:cs="Arial"/>
                <w:b w:val="0"/>
                <w:bCs w:val="0"/>
                <w:sz w:val="20"/>
                <w:szCs w:val="20"/>
                <w:lang w:eastAsia="en-AU"/>
              </w:rPr>
              <w:t>836 large scattered trees are located within the mine layout development envelope and were included in the offset calculations as Scenario 2.</w:t>
            </w:r>
          </w:p>
          <w:p w14:paraId="235B51E0" w14:textId="77777777" w:rsidR="00515EEB" w:rsidRPr="00D85635" w:rsidRDefault="001E3FB4" w:rsidP="00F06B68">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The resulting offset requirements for Scenarios 1 and 2 were reported in Cardno’s letter dated 26/06/2019 regarding offset implications for the development footprint (Cardno 2019b) (Appendix </w:t>
            </w:r>
            <w:r w:rsidR="00F06B68" w:rsidRPr="00D85635">
              <w:rPr>
                <w:rFonts w:ascii="Arial" w:hAnsi="Arial" w:cs="Arial"/>
                <w:b w:val="0"/>
                <w:bCs w:val="0"/>
                <w:sz w:val="20"/>
                <w:szCs w:val="20"/>
                <w:lang w:eastAsia="en-AU"/>
              </w:rPr>
              <w:t>K</w:t>
            </w:r>
            <w:r w:rsidRPr="00D85635">
              <w:rPr>
                <w:rFonts w:ascii="Arial" w:hAnsi="Arial" w:cs="Arial"/>
                <w:b w:val="0"/>
                <w:bCs w:val="0"/>
                <w:sz w:val="20"/>
                <w:szCs w:val="20"/>
                <w:lang w:eastAsia="en-AU"/>
              </w:rPr>
              <w:t xml:space="preserve">) and the associated DELWP </w:t>
            </w:r>
            <w:proofErr w:type="spellStart"/>
            <w:r w:rsidRPr="00D85635">
              <w:rPr>
                <w:rFonts w:ascii="Arial" w:hAnsi="Arial" w:cs="Arial"/>
                <w:b w:val="0"/>
                <w:bCs w:val="0"/>
                <w:sz w:val="20"/>
                <w:szCs w:val="20"/>
                <w:lang w:eastAsia="en-AU"/>
              </w:rPr>
              <w:t>Ensym</w:t>
            </w:r>
            <w:proofErr w:type="spellEnd"/>
            <w:r w:rsidRPr="00D85635">
              <w:rPr>
                <w:rFonts w:ascii="Arial" w:hAnsi="Arial" w:cs="Arial"/>
                <w:b w:val="0"/>
                <w:bCs w:val="0"/>
                <w:sz w:val="20"/>
                <w:szCs w:val="20"/>
                <w:lang w:eastAsia="en-AU"/>
              </w:rPr>
              <w:t xml:space="preserve"> reports attached as </w:t>
            </w:r>
            <w:bookmarkStart w:id="111" w:name="_Hlk13159440"/>
            <w:r w:rsidRPr="00D85635">
              <w:rPr>
                <w:rFonts w:ascii="Arial" w:hAnsi="Arial" w:cs="Arial"/>
                <w:b w:val="0"/>
                <w:bCs w:val="0"/>
                <w:sz w:val="20"/>
                <w:szCs w:val="20"/>
                <w:lang w:eastAsia="en-AU"/>
              </w:rPr>
              <w:t xml:space="preserve">Appendices A and B </w:t>
            </w:r>
            <w:bookmarkEnd w:id="111"/>
            <w:r w:rsidRPr="00D85635">
              <w:rPr>
                <w:rFonts w:ascii="Arial" w:hAnsi="Arial" w:cs="Arial"/>
                <w:b w:val="0"/>
                <w:bCs w:val="0"/>
                <w:sz w:val="20"/>
                <w:szCs w:val="20"/>
                <w:lang w:eastAsia="en-AU"/>
              </w:rPr>
              <w:t xml:space="preserve">respectively of Appendix </w:t>
            </w:r>
            <w:r w:rsidR="00F06B68" w:rsidRPr="00D85635">
              <w:rPr>
                <w:rFonts w:ascii="Arial" w:hAnsi="Arial" w:cs="Arial"/>
                <w:b w:val="0"/>
                <w:bCs w:val="0"/>
                <w:sz w:val="20"/>
                <w:szCs w:val="20"/>
                <w:lang w:eastAsia="en-AU"/>
              </w:rPr>
              <w:t>K</w:t>
            </w:r>
            <w:r w:rsidRPr="00D85635">
              <w:rPr>
                <w:rFonts w:ascii="Arial" w:hAnsi="Arial" w:cs="Arial"/>
                <w:b w:val="0"/>
                <w:bCs w:val="0"/>
                <w:sz w:val="20"/>
                <w:szCs w:val="20"/>
                <w:lang w:eastAsia="en-AU"/>
              </w:rPr>
              <w:t xml:space="preserve">. </w:t>
            </w:r>
          </w:p>
          <w:p w14:paraId="22F8EAD8" w14:textId="0160C2F0" w:rsidR="001E3FB4" w:rsidRPr="00D85635" w:rsidRDefault="00D0190B" w:rsidP="00F06B68">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T</w:t>
            </w:r>
            <w:r w:rsidR="001E3FB4" w:rsidRPr="00D85635">
              <w:rPr>
                <w:rFonts w:ascii="Arial" w:hAnsi="Arial" w:cs="Arial"/>
                <w:b w:val="0"/>
                <w:bCs w:val="0"/>
                <w:sz w:val="20"/>
                <w:szCs w:val="20"/>
                <w:lang w:eastAsia="en-AU"/>
              </w:rPr>
              <w:t xml:space="preserve">he total area of each EVC located within the mine layout development envelope as determined in the DELWP </w:t>
            </w:r>
            <w:proofErr w:type="spellStart"/>
            <w:r w:rsidR="001E3FB4" w:rsidRPr="00D85635">
              <w:rPr>
                <w:rFonts w:ascii="Arial" w:hAnsi="Arial" w:cs="Arial"/>
                <w:b w:val="0"/>
                <w:bCs w:val="0"/>
                <w:sz w:val="20"/>
                <w:szCs w:val="20"/>
                <w:lang w:eastAsia="en-AU"/>
              </w:rPr>
              <w:t>Ensym</w:t>
            </w:r>
            <w:proofErr w:type="spellEnd"/>
            <w:r w:rsidR="001E3FB4" w:rsidRPr="00D85635">
              <w:rPr>
                <w:rFonts w:ascii="Arial" w:hAnsi="Arial" w:cs="Arial"/>
                <w:b w:val="0"/>
                <w:bCs w:val="0"/>
                <w:sz w:val="20"/>
                <w:szCs w:val="20"/>
                <w:lang w:eastAsia="en-AU"/>
              </w:rPr>
              <w:t xml:space="preserve"> report</w:t>
            </w:r>
            <w:r w:rsidRPr="00D85635">
              <w:rPr>
                <w:rFonts w:ascii="Arial" w:hAnsi="Arial" w:cs="Arial"/>
                <w:b w:val="0"/>
                <w:bCs w:val="0"/>
                <w:sz w:val="20"/>
                <w:szCs w:val="20"/>
                <w:lang w:eastAsia="en-AU"/>
              </w:rPr>
              <w:t xml:space="preserve"> is summarised in Table 12.4.</w:t>
            </w:r>
          </w:p>
          <w:tbl>
            <w:tblPr>
              <w:tblStyle w:val="EMMTable"/>
              <w:tblW w:w="5000" w:type="pct"/>
              <w:tblLayout w:type="fixed"/>
              <w:tblLook w:val="0620" w:firstRow="1" w:lastRow="0" w:firstColumn="0" w:lastColumn="0" w:noHBand="1" w:noVBand="1"/>
            </w:tblPr>
            <w:tblGrid>
              <w:gridCol w:w="3007"/>
              <w:gridCol w:w="3010"/>
              <w:gridCol w:w="3010"/>
            </w:tblGrid>
            <w:tr w:rsidR="001E3FB4" w:rsidRPr="00D85635" w14:paraId="7E055D07"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0" w:type="pct"/>
                  <w:gridSpan w:val="3"/>
                </w:tcPr>
                <w:p w14:paraId="4256263A" w14:textId="5C6109BC" w:rsidR="001E3FB4" w:rsidRPr="00D85635" w:rsidRDefault="001E3FB4" w:rsidP="001E3FB4">
                  <w:pPr>
                    <w:pStyle w:val="TableCaption"/>
                    <w:rPr>
                      <w:rFonts w:ascii="Arial" w:hAnsi="Arial" w:cs="Arial"/>
                      <w:sz w:val="18"/>
                    </w:rPr>
                  </w:pPr>
                  <w:bookmarkStart w:id="112" w:name="_Toc13470124"/>
                  <w:r w:rsidRPr="00D85635">
                    <w:rPr>
                      <w:rFonts w:ascii="Arial" w:hAnsi="Arial" w:cs="Arial"/>
                      <w:sz w:val="18"/>
                    </w:rPr>
                    <w:t xml:space="preserve">Table </w:t>
                  </w:r>
                  <w:r w:rsidR="00D0190B" w:rsidRPr="00D85635">
                    <w:rPr>
                      <w:rFonts w:ascii="Arial" w:hAnsi="Arial" w:cs="Arial"/>
                      <w:sz w:val="18"/>
                    </w:rPr>
                    <w:t>1</w:t>
                  </w:r>
                  <w:r w:rsidR="00524782" w:rsidRPr="00D85635">
                    <w:rPr>
                      <w:rFonts w:ascii="Arial" w:hAnsi="Arial" w:cs="Arial"/>
                      <w:sz w:val="18"/>
                    </w:rPr>
                    <w:fldChar w:fldCharType="begin"/>
                  </w:r>
                  <w:r w:rsidR="00524782" w:rsidRPr="00D85635">
                    <w:rPr>
                      <w:rFonts w:ascii="Arial" w:hAnsi="Arial" w:cs="Arial"/>
                      <w:sz w:val="18"/>
                    </w:rPr>
                    <w:instrText xml:space="preserve"> STYLEREF 1 \s </w:instrText>
                  </w:r>
                  <w:r w:rsidR="00524782" w:rsidRPr="00D85635">
                    <w:rPr>
                      <w:rFonts w:ascii="Arial" w:hAnsi="Arial" w:cs="Arial"/>
                      <w:sz w:val="18"/>
                    </w:rPr>
                    <w:fldChar w:fldCharType="separate"/>
                  </w:r>
                  <w:r w:rsidRPr="00D85635">
                    <w:rPr>
                      <w:rFonts w:ascii="Arial" w:hAnsi="Arial" w:cs="Arial"/>
                      <w:noProof/>
                      <w:sz w:val="18"/>
                    </w:rPr>
                    <w:t>2</w:t>
                  </w:r>
                  <w:r w:rsidR="00524782" w:rsidRPr="00D85635">
                    <w:rPr>
                      <w:rFonts w:ascii="Arial" w:hAnsi="Arial" w:cs="Arial"/>
                      <w:noProof/>
                      <w:sz w:val="18"/>
                    </w:rPr>
                    <w:fldChar w:fldCharType="end"/>
                  </w:r>
                  <w:r w:rsidRPr="00D85635">
                    <w:rPr>
                      <w:rFonts w:ascii="Arial" w:hAnsi="Arial" w:cs="Arial"/>
                      <w:sz w:val="18"/>
                    </w:rPr>
                    <w:t>.</w:t>
                  </w:r>
                  <w:r w:rsidR="00524782" w:rsidRPr="00D85635">
                    <w:rPr>
                      <w:rFonts w:ascii="Arial" w:hAnsi="Arial" w:cs="Arial"/>
                      <w:sz w:val="18"/>
                    </w:rPr>
                    <w:fldChar w:fldCharType="begin"/>
                  </w:r>
                  <w:r w:rsidR="00524782" w:rsidRPr="00D85635">
                    <w:rPr>
                      <w:rFonts w:ascii="Arial" w:hAnsi="Arial" w:cs="Arial"/>
                      <w:sz w:val="18"/>
                    </w:rPr>
                    <w:instrText xml:space="preserve"> SEQ Table \* ARABIC \s 1 </w:instrText>
                  </w:r>
                  <w:r w:rsidR="00524782" w:rsidRPr="00D85635">
                    <w:rPr>
                      <w:rFonts w:ascii="Arial" w:hAnsi="Arial" w:cs="Arial"/>
                      <w:sz w:val="18"/>
                    </w:rPr>
                    <w:fldChar w:fldCharType="separate"/>
                  </w:r>
                  <w:r w:rsidRPr="00D85635">
                    <w:rPr>
                      <w:rFonts w:ascii="Arial" w:hAnsi="Arial" w:cs="Arial"/>
                      <w:noProof/>
                      <w:sz w:val="18"/>
                    </w:rPr>
                    <w:t>4</w:t>
                  </w:r>
                  <w:r w:rsidR="00524782" w:rsidRPr="00D85635">
                    <w:rPr>
                      <w:rFonts w:ascii="Arial" w:hAnsi="Arial" w:cs="Arial"/>
                      <w:noProof/>
                      <w:sz w:val="18"/>
                    </w:rPr>
                    <w:fldChar w:fldCharType="end"/>
                  </w:r>
                  <w:r w:rsidRPr="00D85635">
                    <w:rPr>
                      <w:rFonts w:ascii="Arial" w:hAnsi="Arial" w:cs="Arial"/>
                      <w:sz w:val="18"/>
                    </w:rPr>
                    <w:tab/>
                    <w:t>Area of EVC potentially impacted within the mine layout development envelope</w:t>
                  </w:r>
                  <w:bookmarkEnd w:id="112"/>
                </w:p>
              </w:tc>
            </w:tr>
            <w:tr w:rsidR="001E3FB4" w:rsidRPr="00D85635" w14:paraId="6DEC531A"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0" w:type="pct"/>
                  <w:tcBorders>
                    <w:bottom w:val="single" w:sz="4" w:space="0" w:color="000000" w:themeColor="text1"/>
                  </w:tcBorders>
                  <w:shd w:val="clear" w:color="auto" w:fill="auto"/>
                </w:tcPr>
                <w:p w14:paraId="2ECECD34" w14:textId="77777777" w:rsidR="001E3FB4" w:rsidRPr="00D85635" w:rsidRDefault="001E3FB4" w:rsidP="001E3FB4">
                  <w:pPr>
                    <w:pStyle w:val="TableText"/>
                    <w:rPr>
                      <w:rFonts w:ascii="Arial" w:hAnsi="Arial" w:cs="Arial"/>
                      <w:b/>
                    </w:rPr>
                  </w:pPr>
                  <w:r w:rsidRPr="00D85635">
                    <w:rPr>
                      <w:rFonts w:ascii="Arial" w:hAnsi="Arial" w:cs="Arial"/>
                      <w:b/>
                    </w:rPr>
                    <w:t>Ecological vegetation classes</w:t>
                  </w:r>
                </w:p>
              </w:tc>
              <w:tc>
                <w:tcPr>
                  <w:tcW w:w="0" w:type="pct"/>
                  <w:tcBorders>
                    <w:bottom w:val="single" w:sz="4" w:space="0" w:color="000000" w:themeColor="text1"/>
                  </w:tcBorders>
                  <w:shd w:val="clear" w:color="auto" w:fill="auto"/>
                </w:tcPr>
                <w:p w14:paraId="4EA320E0" w14:textId="77777777" w:rsidR="001E3FB4" w:rsidRPr="00D85635" w:rsidRDefault="001E3FB4" w:rsidP="001E3FB4">
                  <w:pPr>
                    <w:pStyle w:val="TableText"/>
                    <w:rPr>
                      <w:rFonts w:ascii="Arial" w:hAnsi="Arial" w:cs="Arial"/>
                      <w:b/>
                    </w:rPr>
                  </w:pPr>
                  <w:r w:rsidRPr="00D85635">
                    <w:rPr>
                      <w:rFonts w:ascii="Arial" w:hAnsi="Arial" w:cs="Arial"/>
                      <w:b/>
                    </w:rPr>
                    <w:t>Bioregional conservation status</w:t>
                  </w:r>
                </w:p>
              </w:tc>
              <w:tc>
                <w:tcPr>
                  <w:tcW w:w="0" w:type="pct"/>
                  <w:tcBorders>
                    <w:bottom w:val="single" w:sz="4" w:space="0" w:color="000000" w:themeColor="text1"/>
                  </w:tcBorders>
                  <w:shd w:val="clear" w:color="auto" w:fill="auto"/>
                </w:tcPr>
                <w:p w14:paraId="63311B2C" w14:textId="77777777" w:rsidR="001E3FB4" w:rsidRPr="00D85635" w:rsidRDefault="001E3FB4" w:rsidP="001E3FB4">
                  <w:pPr>
                    <w:pStyle w:val="TableText"/>
                    <w:jc w:val="center"/>
                    <w:rPr>
                      <w:rFonts w:ascii="Arial" w:hAnsi="Arial" w:cs="Arial"/>
                      <w:b/>
                    </w:rPr>
                  </w:pPr>
                  <w:r w:rsidRPr="00D85635">
                    <w:rPr>
                      <w:rFonts w:ascii="Arial" w:hAnsi="Arial" w:cs="Arial"/>
                      <w:b/>
                    </w:rPr>
                    <w:t>Area of EVC (ha)</w:t>
                  </w:r>
                </w:p>
              </w:tc>
            </w:tr>
            <w:tr w:rsidR="001E3FB4" w:rsidRPr="00D85635" w14:paraId="660439C6" w14:textId="77777777" w:rsidTr="008D4567">
              <w:trPr>
                <w:cantSplit/>
              </w:trPr>
              <w:tc>
                <w:tcPr>
                  <w:tcW w:w="0" w:type="pct"/>
                  <w:tcBorders>
                    <w:top w:val="single" w:sz="4" w:space="0" w:color="000000" w:themeColor="text1"/>
                    <w:bottom w:val="single" w:sz="4" w:space="0" w:color="BFBFBF" w:themeColor="background1" w:themeShade="BF"/>
                  </w:tcBorders>
                  <w:shd w:val="clear" w:color="auto" w:fill="auto"/>
                </w:tcPr>
                <w:p w14:paraId="1E3D10C5" w14:textId="77777777" w:rsidR="001E3FB4" w:rsidRPr="00D85635" w:rsidRDefault="001E3FB4" w:rsidP="001E3FB4">
                  <w:pPr>
                    <w:pStyle w:val="TableText"/>
                    <w:rPr>
                      <w:rFonts w:ascii="Arial" w:hAnsi="Arial" w:cs="Arial"/>
                    </w:rPr>
                  </w:pPr>
                  <w:r w:rsidRPr="00D85635">
                    <w:rPr>
                      <w:rFonts w:ascii="Arial" w:hAnsi="Arial" w:cs="Arial"/>
                    </w:rPr>
                    <w:t>WIM_0125</w:t>
                  </w:r>
                </w:p>
              </w:tc>
              <w:tc>
                <w:tcPr>
                  <w:tcW w:w="0" w:type="pct"/>
                  <w:tcBorders>
                    <w:top w:val="single" w:sz="4" w:space="0" w:color="000000" w:themeColor="text1"/>
                    <w:bottom w:val="single" w:sz="4" w:space="0" w:color="BFBFBF" w:themeColor="background1" w:themeShade="BF"/>
                  </w:tcBorders>
                  <w:shd w:val="clear" w:color="auto" w:fill="auto"/>
                </w:tcPr>
                <w:p w14:paraId="27B92704" w14:textId="77777777" w:rsidR="001E3FB4" w:rsidRPr="00D85635" w:rsidRDefault="001E3FB4" w:rsidP="001E3FB4">
                  <w:pPr>
                    <w:pStyle w:val="TableText"/>
                    <w:rPr>
                      <w:rFonts w:ascii="Arial" w:hAnsi="Arial" w:cs="Arial"/>
                    </w:rPr>
                  </w:pPr>
                  <w:r w:rsidRPr="00D85635">
                    <w:rPr>
                      <w:rFonts w:ascii="Arial" w:hAnsi="Arial" w:cs="Arial"/>
                    </w:rPr>
                    <w:t>Endangered</w:t>
                  </w:r>
                </w:p>
              </w:tc>
              <w:tc>
                <w:tcPr>
                  <w:tcW w:w="0" w:type="pct"/>
                  <w:tcBorders>
                    <w:top w:val="single" w:sz="4" w:space="0" w:color="000000" w:themeColor="text1"/>
                    <w:bottom w:val="single" w:sz="4" w:space="0" w:color="BFBFBF" w:themeColor="background1" w:themeShade="BF"/>
                  </w:tcBorders>
                  <w:shd w:val="clear" w:color="auto" w:fill="auto"/>
                </w:tcPr>
                <w:p w14:paraId="051A88F1" w14:textId="77777777" w:rsidR="001E3FB4" w:rsidRPr="00D85635" w:rsidRDefault="001E3FB4" w:rsidP="001E3FB4">
                  <w:pPr>
                    <w:pStyle w:val="TableText"/>
                    <w:jc w:val="center"/>
                    <w:rPr>
                      <w:rFonts w:ascii="Arial" w:hAnsi="Arial" w:cs="Arial"/>
                    </w:rPr>
                  </w:pPr>
                  <w:r w:rsidRPr="00D85635">
                    <w:rPr>
                      <w:rFonts w:ascii="Arial" w:hAnsi="Arial" w:cs="Arial"/>
                    </w:rPr>
                    <w:t>0.00</w:t>
                  </w:r>
                </w:p>
              </w:tc>
            </w:tr>
            <w:tr w:rsidR="001E3FB4" w:rsidRPr="00D85635" w14:paraId="2B61181B" w14:textId="77777777" w:rsidTr="008D4567">
              <w:trPr>
                <w:cantSplit/>
              </w:trPr>
              <w:tc>
                <w:tcPr>
                  <w:tcW w:w="0" w:type="pct"/>
                  <w:tcBorders>
                    <w:top w:val="single" w:sz="4" w:space="0" w:color="BFBFBF" w:themeColor="background1" w:themeShade="BF"/>
                    <w:bottom w:val="single" w:sz="4" w:space="0" w:color="BFBFBF" w:themeColor="background1" w:themeShade="BF"/>
                  </w:tcBorders>
                  <w:shd w:val="clear" w:color="auto" w:fill="auto"/>
                </w:tcPr>
                <w:p w14:paraId="4B2951EC" w14:textId="77777777" w:rsidR="001E3FB4" w:rsidRPr="00D85635" w:rsidRDefault="001E3FB4" w:rsidP="001E3FB4">
                  <w:pPr>
                    <w:pStyle w:val="TableText"/>
                    <w:rPr>
                      <w:rFonts w:ascii="Arial" w:hAnsi="Arial" w:cs="Arial"/>
                    </w:rPr>
                  </w:pPr>
                  <w:r w:rsidRPr="00D85635">
                    <w:rPr>
                      <w:rFonts w:ascii="Arial" w:hAnsi="Arial" w:cs="Arial"/>
                    </w:rPr>
                    <w:t>WIM_0292</w:t>
                  </w:r>
                </w:p>
              </w:tc>
              <w:tc>
                <w:tcPr>
                  <w:tcW w:w="0" w:type="pct"/>
                  <w:tcBorders>
                    <w:top w:val="single" w:sz="4" w:space="0" w:color="BFBFBF" w:themeColor="background1" w:themeShade="BF"/>
                    <w:bottom w:val="single" w:sz="4" w:space="0" w:color="BFBFBF" w:themeColor="background1" w:themeShade="BF"/>
                  </w:tcBorders>
                  <w:shd w:val="clear" w:color="auto" w:fill="auto"/>
                </w:tcPr>
                <w:p w14:paraId="0B38A148" w14:textId="77777777" w:rsidR="001E3FB4" w:rsidRPr="00D85635" w:rsidRDefault="001E3FB4" w:rsidP="001E3FB4">
                  <w:pPr>
                    <w:pStyle w:val="TableText"/>
                    <w:rPr>
                      <w:rFonts w:ascii="Arial" w:hAnsi="Arial" w:cs="Arial"/>
                    </w:rPr>
                  </w:pPr>
                  <w:r w:rsidRPr="00D85635">
                    <w:rPr>
                      <w:rFonts w:ascii="Arial" w:hAnsi="Arial" w:cs="Arial"/>
                    </w:rPr>
                    <w:t>Vulnerable</w:t>
                  </w:r>
                </w:p>
              </w:tc>
              <w:tc>
                <w:tcPr>
                  <w:tcW w:w="0" w:type="pct"/>
                  <w:tcBorders>
                    <w:top w:val="single" w:sz="4" w:space="0" w:color="BFBFBF" w:themeColor="background1" w:themeShade="BF"/>
                    <w:bottom w:val="single" w:sz="4" w:space="0" w:color="BFBFBF" w:themeColor="background1" w:themeShade="BF"/>
                  </w:tcBorders>
                  <w:shd w:val="clear" w:color="auto" w:fill="auto"/>
                </w:tcPr>
                <w:p w14:paraId="168FF2C4" w14:textId="77777777" w:rsidR="001E3FB4" w:rsidRPr="00D85635" w:rsidRDefault="001E3FB4" w:rsidP="001E3FB4">
                  <w:pPr>
                    <w:pStyle w:val="TableText"/>
                    <w:jc w:val="center"/>
                    <w:rPr>
                      <w:rFonts w:ascii="Arial" w:hAnsi="Arial" w:cs="Arial"/>
                    </w:rPr>
                  </w:pPr>
                  <w:r w:rsidRPr="00D85635">
                    <w:rPr>
                      <w:rFonts w:ascii="Arial" w:hAnsi="Arial" w:cs="Arial"/>
                    </w:rPr>
                    <w:t>27.09</w:t>
                  </w:r>
                </w:p>
              </w:tc>
            </w:tr>
            <w:tr w:rsidR="001E3FB4" w:rsidRPr="00D85635" w14:paraId="46E083CE" w14:textId="77777777" w:rsidTr="008D4567">
              <w:trPr>
                <w:cantSplit/>
              </w:trPr>
              <w:tc>
                <w:tcPr>
                  <w:tcW w:w="0" w:type="pct"/>
                  <w:tcBorders>
                    <w:top w:val="single" w:sz="4" w:space="0" w:color="BFBFBF" w:themeColor="background1" w:themeShade="BF"/>
                    <w:bottom w:val="single" w:sz="4" w:space="0" w:color="BFBFBF" w:themeColor="background1" w:themeShade="BF"/>
                  </w:tcBorders>
                  <w:shd w:val="clear" w:color="auto" w:fill="auto"/>
                </w:tcPr>
                <w:p w14:paraId="46E6818D" w14:textId="77777777" w:rsidR="001E3FB4" w:rsidRPr="00D85635" w:rsidRDefault="001E3FB4" w:rsidP="001E3FB4">
                  <w:pPr>
                    <w:pStyle w:val="TableText"/>
                    <w:rPr>
                      <w:rFonts w:ascii="Arial" w:hAnsi="Arial" w:cs="Arial"/>
                    </w:rPr>
                  </w:pPr>
                  <w:r w:rsidRPr="00D85635">
                    <w:rPr>
                      <w:rFonts w:ascii="Arial" w:hAnsi="Arial" w:cs="Arial"/>
                    </w:rPr>
                    <w:t>WIM_0653</w:t>
                  </w:r>
                </w:p>
              </w:tc>
              <w:tc>
                <w:tcPr>
                  <w:tcW w:w="0" w:type="pct"/>
                  <w:tcBorders>
                    <w:top w:val="single" w:sz="4" w:space="0" w:color="BFBFBF" w:themeColor="background1" w:themeShade="BF"/>
                    <w:bottom w:val="single" w:sz="4" w:space="0" w:color="BFBFBF" w:themeColor="background1" w:themeShade="BF"/>
                  </w:tcBorders>
                  <w:shd w:val="clear" w:color="auto" w:fill="auto"/>
                </w:tcPr>
                <w:p w14:paraId="1404CB7A" w14:textId="77777777" w:rsidR="001E3FB4" w:rsidRPr="00D85635" w:rsidRDefault="001E3FB4" w:rsidP="001E3FB4">
                  <w:pPr>
                    <w:pStyle w:val="TableText"/>
                    <w:rPr>
                      <w:rFonts w:ascii="Arial" w:hAnsi="Arial" w:cs="Arial"/>
                    </w:rPr>
                  </w:pPr>
                  <w:r w:rsidRPr="00D85635">
                    <w:rPr>
                      <w:rFonts w:ascii="Arial" w:hAnsi="Arial" w:cs="Arial"/>
                    </w:rPr>
                    <w:t>Endangered</w:t>
                  </w:r>
                </w:p>
              </w:tc>
              <w:tc>
                <w:tcPr>
                  <w:tcW w:w="0" w:type="pct"/>
                  <w:tcBorders>
                    <w:top w:val="single" w:sz="4" w:space="0" w:color="BFBFBF" w:themeColor="background1" w:themeShade="BF"/>
                    <w:bottom w:val="single" w:sz="4" w:space="0" w:color="BFBFBF" w:themeColor="background1" w:themeShade="BF"/>
                  </w:tcBorders>
                  <w:shd w:val="clear" w:color="auto" w:fill="auto"/>
                </w:tcPr>
                <w:p w14:paraId="16FEC537" w14:textId="77777777" w:rsidR="001E3FB4" w:rsidRPr="00D85635" w:rsidRDefault="001E3FB4" w:rsidP="001E3FB4">
                  <w:pPr>
                    <w:pStyle w:val="TableText"/>
                    <w:jc w:val="center"/>
                    <w:rPr>
                      <w:rFonts w:ascii="Arial" w:hAnsi="Arial" w:cs="Arial"/>
                    </w:rPr>
                  </w:pPr>
                  <w:r w:rsidRPr="00D85635">
                    <w:rPr>
                      <w:rFonts w:ascii="Arial" w:hAnsi="Arial" w:cs="Arial"/>
                    </w:rPr>
                    <w:t>0.00</w:t>
                  </w:r>
                </w:p>
              </w:tc>
            </w:tr>
            <w:tr w:rsidR="001E3FB4" w:rsidRPr="00D85635" w14:paraId="4A8B07DC" w14:textId="77777777" w:rsidTr="008D4567">
              <w:trPr>
                <w:cantSplit/>
              </w:trPr>
              <w:tc>
                <w:tcPr>
                  <w:tcW w:w="0" w:type="pct"/>
                  <w:tcBorders>
                    <w:top w:val="single" w:sz="4" w:space="0" w:color="BFBFBF" w:themeColor="background1" w:themeShade="BF"/>
                    <w:bottom w:val="single" w:sz="4" w:space="0" w:color="000000"/>
                  </w:tcBorders>
                  <w:shd w:val="clear" w:color="auto" w:fill="auto"/>
                </w:tcPr>
                <w:p w14:paraId="2E2D51D9" w14:textId="77777777" w:rsidR="001E3FB4" w:rsidRPr="00D85635" w:rsidRDefault="001E3FB4" w:rsidP="001E3FB4">
                  <w:pPr>
                    <w:pStyle w:val="TableText"/>
                    <w:rPr>
                      <w:rFonts w:ascii="Arial" w:hAnsi="Arial" w:cs="Arial"/>
                    </w:rPr>
                  </w:pPr>
                  <w:r w:rsidRPr="00D85635">
                    <w:rPr>
                      <w:rFonts w:ascii="Arial" w:hAnsi="Arial" w:cs="Arial"/>
                    </w:rPr>
                    <w:t>WIM_0803</w:t>
                  </w:r>
                </w:p>
              </w:tc>
              <w:tc>
                <w:tcPr>
                  <w:tcW w:w="0" w:type="pct"/>
                  <w:tcBorders>
                    <w:top w:val="single" w:sz="4" w:space="0" w:color="BFBFBF" w:themeColor="background1" w:themeShade="BF"/>
                    <w:bottom w:val="single" w:sz="4" w:space="0" w:color="000000"/>
                  </w:tcBorders>
                  <w:shd w:val="clear" w:color="auto" w:fill="auto"/>
                </w:tcPr>
                <w:p w14:paraId="1BA9CDC6" w14:textId="77777777" w:rsidR="001E3FB4" w:rsidRPr="00D85635" w:rsidRDefault="001E3FB4" w:rsidP="001E3FB4">
                  <w:pPr>
                    <w:pStyle w:val="TableText"/>
                    <w:rPr>
                      <w:rFonts w:ascii="Arial" w:hAnsi="Arial" w:cs="Arial"/>
                    </w:rPr>
                  </w:pPr>
                  <w:r w:rsidRPr="00D85635">
                    <w:rPr>
                      <w:rFonts w:ascii="Arial" w:hAnsi="Arial" w:cs="Arial"/>
                    </w:rPr>
                    <w:t>Endangered</w:t>
                  </w:r>
                </w:p>
              </w:tc>
              <w:tc>
                <w:tcPr>
                  <w:tcW w:w="0" w:type="pct"/>
                  <w:tcBorders>
                    <w:top w:val="single" w:sz="4" w:space="0" w:color="BFBFBF" w:themeColor="background1" w:themeShade="BF"/>
                    <w:bottom w:val="single" w:sz="4" w:space="0" w:color="000000"/>
                  </w:tcBorders>
                  <w:shd w:val="clear" w:color="auto" w:fill="auto"/>
                </w:tcPr>
                <w:p w14:paraId="5C47D389" w14:textId="77777777" w:rsidR="001E3FB4" w:rsidRPr="00D85635" w:rsidRDefault="001E3FB4" w:rsidP="001E3FB4">
                  <w:pPr>
                    <w:pStyle w:val="TableText"/>
                    <w:jc w:val="center"/>
                    <w:rPr>
                      <w:rFonts w:ascii="Arial" w:hAnsi="Arial" w:cs="Arial"/>
                    </w:rPr>
                  </w:pPr>
                  <w:r w:rsidRPr="00D85635">
                    <w:rPr>
                      <w:rFonts w:ascii="Arial" w:hAnsi="Arial" w:cs="Arial"/>
                    </w:rPr>
                    <w:t>11.92</w:t>
                  </w:r>
                </w:p>
              </w:tc>
            </w:tr>
            <w:tr w:rsidR="001E3FB4" w:rsidRPr="00D85635" w14:paraId="2B84B05E" w14:textId="77777777" w:rsidTr="008D4567">
              <w:trPr>
                <w:cantSplit/>
              </w:trPr>
              <w:tc>
                <w:tcPr>
                  <w:tcW w:w="1666" w:type="pct"/>
                  <w:tcBorders>
                    <w:top w:val="single" w:sz="4" w:space="0" w:color="000000"/>
                    <w:bottom w:val="single" w:sz="2" w:space="0" w:color="000000" w:themeColor="text1"/>
                  </w:tcBorders>
                  <w:shd w:val="clear" w:color="auto" w:fill="auto"/>
                </w:tcPr>
                <w:p w14:paraId="52B95BA3" w14:textId="77777777" w:rsidR="001E3FB4" w:rsidRPr="00D85635" w:rsidRDefault="001E3FB4" w:rsidP="001E3FB4">
                  <w:pPr>
                    <w:pStyle w:val="TableText"/>
                    <w:rPr>
                      <w:rFonts w:ascii="Arial" w:hAnsi="Arial" w:cs="Arial"/>
                    </w:rPr>
                  </w:pPr>
                </w:p>
              </w:tc>
              <w:tc>
                <w:tcPr>
                  <w:tcW w:w="1667" w:type="pct"/>
                  <w:tcBorders>
                    <w:top w:val="single" w:sz="4" w:space="0" w:color="000000"/>
                    <w:bottom w:val="single" w:sz="2" w:space="0" w:color="000000" w:themeColor="text1"/>
                  </w:tcBorders>
                  <w:shd w:val="clear" w:color="auto" w:fill="auto"/>
                </w:tcPr>
                <w:p w14:paraId="2BFD5874" w14:textId="77777777" w:rsidR="001E3FB4" w:rsidRPr="00D85635" w:rsidRDefault="001E3FB4" w:rsidP="001E3FB4">
                  <w:pPr>
                    <w:pStyle w:val="TableText"/>
                    <w:rPr>
                      <w:rFonts w:ascii="Arial" w:hAnsi="Arial" w:cs="Arial"/>
                    </w:rPr>
                  </w:pPr>
                  <w:r w:rsidRPr="00D85635">
                    <w:rPr>
                      <w:rFonts w:ascii="Arial" w:hAnsi="Arial" w:cs="Arial"/>
                      <w:b/>
                    </w:rPr>
                    <w:t>Total</w:t>
                  </w:r>
                </w:p>
              </w:tc>
              <w:tc>
                <w:tcPr>
                  <w:tcW w:w="1667" w:type="pct"/>
                  <w:tcBorders>
                    <w:top w:val="single" w:sz="4" w:space="0" w:color="000000"/>
                    <w:bottom w:val="single" w:sz="2" w:space="0" w:color="000000" w:themeColor="text1"/>
                  </w:tcBorders>
                  <w:shd w:val="clear" w:color="auto" w:fill="auto"/>
                </w:tcPr>
                <w:p w14:paraId="3137249F" w14:textId="77777777" w:rsidR="001E3FB4" w:rsidRPr="00D85635" w:rsidRDefault="001E3FB4" w:rsidP="001E3FB4">
                  <w:pPr>
                    <w:pStyle w:val="TableText"/>
                    <w:jc w:val="center"/>
                    <w:rPr>
                      <w:rFonts w:ascii="Arial" w:hAnsi="Arial" w:cs="Arial"/>
                    </w:rPr>
                  </w:pPr>
                  <w:r w:rsidRPr="00D85635">
                    <w:rPr>
                      <w:rFonts w:ascii="Arial" w:hAnsi="Arial" w:cs="Arial"/>
                      <w:b/>
                    </w:rPr>
                    <w:t>39.01</w:t>
                  </w:r>
                </w:p>
              </w:tc>
            </w:tr>
          </w:tbl>
          <w:p w14:paraId="5153DC4C" w14:textId="77777777" w:rsidR="00F06B68" w:rsidRPr="00D85635" w:rsidRDefault="00F06B68" w:rsidP="00F06B68">
            <w:pPr>
              <w:pStyle w:val="BodyText"/>
              <w:spacing w:after="120"/>
              <w:jc w:val="both"/>
              <w:rPr>
                <w:rFonts w:ascii="Arial" w:hAnsi="Arial" w:cs="Arial"/>
                <w:b w:val="0"/>
                <w:bCs w:val="0"/>
                <w:sz w:val="20"/>
                <w:szCs w:val="20"/>
                <w:lang w:eastAsia="en-AU"/>
              </w:rPr>
            </w:pPr>
          </w:p>
          <w:p w14:paraId="1C6EE05D" w14:textId="738705D0" w:rsidR="001E3FB4" w:rsidRPr="00D85635" w:rsidRDefault="001E3FB4" w:rsidP="00F06B68">
            <w:pPr>
              <w:pStyle w:val="BodyText"/>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The resulting offset requirements as determined by the DELWP </w:t>
            </w:r>
            <w:proofErr w:type="spellStart"/>
            <w:r w:rsidRPr="00D85635">
              <w:rPr>
                <w:rFonts w:ascii="Arial" w:hAnsi="Arial" w:cs="Arial"/>
                <w:b w:val="0"/>
                <w:bCs w:val="0"/>
                <w:sz w:val="20"/>
                <w:szCs w:val="20"/>
                <w:lang w:eastAsia="en-AU"/>
              </w:rPr>
              <w:t>Ensym</w:t>
            </w:r>
            <w:proofErr w:type="spellEnd"/>
            <w:r w:rsidRPr="00D85635">
              <w:rPr>
                <w:rFonts w:ascii="Arial" w:hAnsi="Arial" w:cs="Arial"/>
                <w:b w:val="0"/>
                <w:bCs w:val="0"/>
                <w:sz w:val="20"/>
                <w:szCs w:val="20"/>
                <w:lang w:eastAsia="en-AU"/>
              </w:rPr>
              <w:t xml:space="preserve"> report are summarised in Table </w:t>
            </w:r>
            <w:r w:rsidR="00D0190B" w:rsidRPr="00D85635">
              <w:rPr>
                <w:rFonts w:ascii="Arial" w:hAnsi="Arial" w:cs="Arial"/>
                <w:b w:val="0"/>
                <w:bCs w:val="0"/>
                <w:sz w:val="20"/>
                <w:szCs w:val="20"/>
                <w:lang w:eastAsia="en-AU"/>
              </w:rPr>
              <w:t>1</w:t>
            </w:r>
            <w:r w:rsidRPr="00D85635">
              <w:rPr>
                <w:rFonts w:ascii="Arial" w:hAnsi="Arial" w:cs="Arial"/>
                <w:b w:val="0"/>
                <w:bCs w:val="0"/>
                <w:sz w:val="20"/>
                <w:szCs w:val="20"/>
                <w:lang w:eastAsia="en-AU"/>
              </w:rPr>
              <w:t>2.5.</w:t>
            </w:r>
          </w:p>
          <w:tbl>
            <w:tblPr>
              <w:tblStyle w:val="EMMTable"/>
              <w:tblW w:w="5000" w:type="pct"/>
              <w:tblLayout w:type="fixed"/>
              <w:tblLook w:val="0620" w:firstRow="1" w:lastRow="0" w:firstColumn="0" w:lastColumn="0" w:noHBand="1" w:noVBand="1"/>
            </w:tblPr>
            <w:tblGrid>
              <w:gridCol w:w="1596"/>
              <w:gridCol w:w="3679"/>
              <w:gridCol w:w="3752"/>
            </w:tblGrid>
            <w:tr w:rsidR="001E3FB4" w:rsidRPr="00D85635" w14:paraId="3A6344F9"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64A21DEF" w14:textId="11BF50AF" w:rsidR="001E3FB4" w:rsidRPr="00D85635" w:rsidRDefault="001E3FB4" w:rsidP="001E3FB4">
                  <w:pPr>
                    <w:pStyle w:val="TableCaption"/>
                    <w:rPr>
                      <w:rFonts w:ascii="Arial" w:hAnsi="Arial" w:cs="Arial"/>
                      <w:sz w:val="18"/>
                    </w:rPr>
                  </w:pPr>
                  <w:bookmarkStart w:id="113" w:name="_Toc13470125"/>
                  <w:r w:rsidRPr="00D85635">
                    <w:rPr>
                      <w:rFonts w:ascii="Arial" w:hAnsi="Arial" w:cs="Arial"/>
                      <w:sz w:val="18"/>
                    </w:rPr>
                    <w:t xml:space="preserve">Table </w:t>
                  </w:r>
                  <w:r w:rsidR="00D0190B" w:rsidRPr="00D85635">
                    <w:rPr>
                      <w:rFonts w:ascii="Arial" w:hAnsi="Arial" w:cs="Arial"/>
                      <w:sz w:val="18"/>
                    </w:rPr>
                    <w:t>1</w:t>
                  </w:r>
                  <w:r w:rsidR="00524782" w:rsidRPr="00D85635">
                    <w:rPr>
                      <w:rFonts w:ascii="Arial" w:hAnsi="Arial" w:cs="Arial"/>
                      <w:sz w:val="18"/>
                    </w:rPr>
                    <w:fldChar w:fldCharType="begin"/>
                  </w:r>
                  <w:r w:rsidR="00524782" w:rsidRPr="00D85635">
                    <w:rPr>
                      <w:rFonts w:ascii="Arial" w:hAnsi="Arial" w:cs="Arial"/>
                      <w:sz w:val="18"/>
                    </w:rPr>
                    <w:instrText xml:space="preserve"> STYLEREF 1 \s </w:instrText>
                  </w:r>
                  <w:r w:rsidR="00524782" w:rsidRPr="00D85635">
                    <w:rPr>
                      <w:rFonts w:ascii="Arial" w:hAnsi="Arial" w:cs="Arial"/>
                      <w:sz w:val="18"/>
                    </w:rPr>
                    <w:fldChar w:fldCharType="separate"/>
                  </w:r>
                  <w:r w:rsidRPr="00D85635">
                    <w:rPr>
                      <w:rFonts w:ascii="Arial" w:hAnsi="Arial" w:cs="Arial"/>
                      <w:noProof/>
                      <w:sz w:val="18"/>
                    </w:rPr>
                    <w:t>2</w:t>
                  </w:r>
                  <w:r w:rsidR="00524782" w:rsidRPr="00D85635">
                    <w:rPr>
                      <w:rFonts w:ascii="Arial" w:hAnsi="Arial" w:cs="Arial"/>
                      <w:noProof/>
                      <w:sz w:val="18"/>
                    </w:rPr>
                    <w:fldChar w:fldCharType="end"/>
                  </w:r>
                  <w:r w:rsidRPr="00D85635">
                    <w:rPr>
                      <w:rFonts w:ascii="Arial" w:hAnsi="Arial" w:cs="Arial"/>
                      <w:sz w:val="18"/>
                    </w:rPr>
                    <w:t>.5</w:t>
                  </w:r>
                  <w:r w:rsidRPr="00D85635">
                    <w:rPr>
                      <w:rFonts w:ascii="Arial" w:hAnsi="Arial" w:cs="Arial"/>
                      <w:sz w:val="18"/>
                    </w:rPr>
                    <w:tab/>
                    <w:t>Summary of offset requirements for removal of patches within the mine layout development envelope</w:t>
                  </w:r>
                  <w:bookmarkEnd w:id="113"/>
                </w:p>
              </w:tc>
            </w:tr>
            <w:tr w:rsidR="001E3FB4" w:rsidRPr="00D85635" w14:paraId="6A7D38B9" w14:textId="77777777" w:rsidTr="008D4567">
              <w:trPr>
                <w:cnfStyle w:val="100000000000" w:firstRow="1" w:lastRow="0" w:firstColumn="0" w:lastColumn="0" w:oddVBand="0" w:evenVBand="0" w:oddHBand="0" w:evenHBand="0" w:firstRowFirstColumn="0" w:firstRowLastColumn="0" w:lastRowFirstColumn="0" w:lastRowLastColumn="0"/>
                <w:tblHeader/>
              </w:trPr>
              <w:tc>
                <w:tcPr>
                  <w:tcW w:w="884" w:type="pct"/>
                  <w:tcBorders>
                    <w:bottom w:val="single" w:sz="4" w:space="0" w:color="000000" w:themeColor="text1"/>
                  </w:tcBorders>
                  <w:shd w:val="clear" w:color="auto" w:fill="auto"/>
                </w:tcPr>
                <w:p w14:paraId="0D59D48F" w14:textId="77777777" w:rsidR="001E3FB4" w:rsidRPr="00D85635" w:rsidRDefault="001E3FB4" w:rsidP="001E3FB4">
                  <w:pPr>
                    <w:pStyle w:val="TableHeading"/>
                    <w:rPr>
                      <w:rFonts w:ascii="Arial" w:hAnsi="Arial" w:cs="Arial"/>
                    </w:rPr>
                  </w:pPr>
                </w:p>
              </w:tc>
              <w:tc>
                <w:tcPr>
                  <w:tcW w:w="2038" w:type="pct"/>
                  <w:tcBorders>
                    <w:bottom w:val="single" w:sz="4" w:space="0" w:color="000000" w:themeColor="text1"/>
                  </w:tcBorders>
                  <w:shd w:val="clear" w:color="auto" w:fill="auto"/>
                </w:tcPr>
                <w:p w14:paraId="3D1CDC73" w14:textId="77777777" w:rsidR="00D0190B" w:rsidRPr="00D85635" w:rsidRDefault="001E3FB4" w:rsidP="001E3FB4">
                  <w:pPr>
                    <w:pStyle w:val="TableText"/>
                    <w:rPr>
                      <w:rFonts w:ascii="Arial" w:hAnsi="Arial" w:cs="Arial"/>
                      <w:b/>
                    </w:rPr>
                  </w:pPr>
                  <w:r w:rsidRPr="00D85635">
                    <w:rPr>
                      <w:rFonts w:ascii="Arial" w:hAnsi="Arial" w:cs="Arial"/>
                      <w:b/>
                    </w:rPr>
                    <w:t xml:space="preserve">Scenario 1 </w:t>
                  </w:r>
                </w:p>
                <w:p w14:paraId="4A3C2C18" w14:textId="27853A5D" w:rsidR="001E3FB4" w:rsidRPr="00D85635" w:rsidRDefault="001E3FB4" w:rsidP="001E3FB4">
                  <w:pPr>
                    <w:pStyle w:val="TableText"/>
                    <w:rPr>
                      <w:rFonts w:ascii="Arial" w:hAnsi="Arial" w:cs="Arial"/>
                      <w:b/>
                    </w:rPr>
                  </w:pPr>
                  <w:r w:rsidRPr="00D85635">
                    <w:rPr>
                      <w:rFonts w:ascii="Arial" w:hAnsi="Arial" w:cs="Arial"/>
                      <w:b/>
                    </w:rPr>
                    <w:t>(patches and current wetlands)</w:t>
                  </w:r>
                </w:p>
              </w:tc>
              <w:tc>
                <w:tcPr>
                  <w:tcW w:w="2078" w:type="pct"/>
                  <w:tcBorders>
                    <w:bottom w:val="single" w:sz="4" w:space="0" w:color="000000" w:themeColor="text1"/>
                  </w:tcBorders>
                  <w:shd w:val="clear" w:color="auto" w:fill="auto"/>
                </w:tcPr>
                <w:p w14:paraId="5908AA4B" w14:textId="77777777" w:rsidR="00D0190B" w:rsidRPr="00D85635" w:rsidRDefault="001E3FB4" w:rsidP="001E3FB4">
                  <w:pPr>
                    <w:pStyle w:val="TableText"/>
                    <w:rPr>
                      <w:rFonts w:ascii="Arial" w:hAnsi="Arial" w:cs="Arial"/>
                      <w:b/>
                    </w:rPr>
                  </w:pPr>
                  <w:r w:rsidRPr="00D85635">
                    <w:rPr>
                      <w:rFonts w:ascii="Arial" w:hAnsi="Arial" w:cs="Arial"/>
                      <w:b/>
                    </w:rPr>
                    <w:t xml:space="preserve">Scenario 2 </w:t>
                  </w:r>
                </w:p>
                <w:p w14:paraId="01746CC3" w14:textId="1741F961" w:rsidR="001E3FB4" w:rsidRPr="00D85635" w:rsidRDefault="001E3FB4" w:rsidP="001E3FB4">
                  <w:pPr>
                    <w:pStyle w:val="TableText"/>
                    <w:rPr>
                      <w:rFonts w:ascii="Arial" w:hAnsi="Arial" w:cs="Arial"/>
                      <w:b/>
                    </w:rPr>
                  </w:pPr>
                  <w:r w:rsidRPr="00D85635">
                    <w:rPr>
                      <w:rFonts w:ascii="Arial" w:hAnsi="Arial" w:cs="Arial"/>
                      <w:b/>
                    </w:rPr>
                    <w:t>(patches, current wetlands and scattered trees)</w:t>
                  </w:r>
                </w:p>
              </w:tc>
            </w:tr>
            <w:tr w:rsidR="001E3FB4" w:rsidRPr="00D85635" w14:paraId="4A0856E8" w14:textId="77777777" w:rsidTr="008D4567">
              <w:trPr>
                <w:cantSplit/>
              </w:trPr>
              <w:tc>
                <w:tcPr>
                  <w:tcW w:w="884" w:type="pct"/>
                  <w:tcBorders>
                    <w:top w:val="single" w:sz="4" w:space="0" w:color="000000" w:themeColor="text1"/>
                    <w:bottom w:val="single" w:sz="4" w:space="0" w:color="BFBFBF" w:themeColor="background1" w:themeShade="BF"/>
                  </w:tcBorders>
                  <w:shd w:val="clear" w:color="auto" w:fill="auto"/>
                </w:tcPr>
                <w:p w14:paraId="60F600C6" w14:textId="77777777" w:rsidR="001E3FB4" w:rsidRPr="00D85635" w:rsidRDefault="001E3FB4" w:rsidP="001E3FB4">
                  <w:pPr>
                    <w:pStyle w:val="TableText"/>
                    <w:rPr>
                      <w:rFonts w:ascii="Arial" w:hAnsi="Arial" w:cs="Arial"/>
                    </w:rPr>
                  </w:pPr>
                  <w:r w:rsidRPr="00D85635">
                    <w:rPr>
                      <w:rFonts w:ascii="Arial" w:hAnsi="Arial" w:cs="Arial"/>
                      <w:b/>
                    </w:rPr>
                    <w:t>General offset amount</w:t>
                  </w:r>
                </w:p>
              </w:tc>
              <w:tc>
                <w:tcPr>
                  <w:tcW w:w="2038" w:type="pct"/>
                  <w:tcBorders>
                    <w:top w:val="single" w:sz="4" w:space="0" w:color="000000" w:themeColor="text1"/>
                    <w:bottom w:val="single" w:sz="4" w:space="0" w:color="BFBFBF" w:themeColor="background1" w:themeShade="BF"/>
                  </w:tcBorders>
                  <w:shd w:val="clear" w:color="auto" w:fill="auto"/>
                </w:tcPr>
                <w:p w14:paraId="5888A2FD" w14:textId="77777777" w:rsidR="001E3FB4" w:rsidRPr="00D85635" w:rsidRDefault="001E3FB4" w:rsidP="001E3FB4">
                  <w:pPr>
                    <w:pStyle w:val="TableText"/>
                    <w:rPr>
                      <w:rFonts w:ascii="Arial" w:hAnsi="Arial" w:cs="Arial"/>
                    </w:rPr>
                  </w:pPr>
                  <w:r w:rsidRPr="00D85635">
                    <w:rPr>
                      <w:rFonts w:ascii="Arial" w:hAnsi="Arial" w:cs="Arial"/>
                      <w:bCs/>
                    </w:rPr>
                    <w:t>0.155 general habitat units</w:t>
                  </w:r>
                </w:p>
              </w:tc>
              <w:tc>
                <w:tcPr>
                  <w:tcW w:w="2078" w:type="pct"/>
                  <w:tcBorders>
                    <w:top w:val="single" w:sz="4" w:space="0" w:color="000000" w:themeColor="text1"/>
                    <w:bottom w:val="single" w:sz="4" w:space="0" w:color="BFBFBF" w:themeColor="background1" w:themeShade="BF"/>
                  </w:tcBorders>
                  <w:shd w:val="clear" w:color="auto" w:fill="auto"/>
                </w:tcPr>
                <w:p w14:paraId="0CE1B5CE" w14:textId="77777777" w:rsidR="001E3FB4" w:rsidRPr="00D85635" w:rsidRDefault="001E3FB4" w:rsidP="001E3FB4">
                  <w:pPr>
                    <w:pStyle w:val="TableText"/>
                    <w:rPr>
                      <w:rFonts w:ascii="Arial" w:hAnsi="Arial" w:cs="Arial"/>
                    </w:rPr>
                  </w:pPr>
                  <w:r w:rsidRPr="00D85635">
                    <w:rPr>
                      <w:rFonts w:ascii="Arial" w:hAnsi="Arial" w:cs="Arial"/>
                      <w:bCs/>
                    </w:rPr>
                    <w:t>1.003 general habitat units</w:t>
                  </w:r>
                </w:p>
              </w:tc>
            </w:tr>
            <w:tr w:rsidR="001E3FB4" w:rsidRPr="00D85635" w14:paraId="52AC65E5" w14:textId="77777777" w:rsidTr="008D4567">
              <w:trPr>
                <w:cantSplit/>
              </w:trPr>
              <w:tc>
                <w:tcPr>
                  <w:tcW w:w="884" w:type="pct"/>
                  <w:tcBorders>
                    <w:top w:val="single" w:sz="4" w:space="0" w:color="BFBFBF" w:themeColor="background1" w:themeShade="BF"/>
                    <w:bottom w:val="single" w:sz="4" w:space="0" w:color="BFBFBF" w:themeColor="background1" w:themeShade="BF"/>
                  </w:tcBorders>
                  <w:shd w:val="clear" w:color="auto" w:fill="auto"/>
                </w:tcPr>
                <w:p w14:paraId="3CFAEF87" w14:textId="77777777" w:rsidR="001E3FB4" w:rsidRPr="00D85635" w:rsidRDefault="001E3FB4" w:rsidP="001E3FB4">
                  <w:pPr>
                    <w:pStyle w:val="TableText"/>
                    <w:rPr>
                      <w:rFonts w:ascii="Arial" w:hAnsi="Arial" w:cs="Arial"/>
                    </w:rPr>
                  </w:pPr>
                  <w:r w:rsidRPr="00D85635">
                    <w:rPr>
                      <w:rFonts w:ascii="Arial" w:hAnsi="Arial" w:cs="Arial"/>
                    </w:rPr>
                    <w:t>Vicinity</w:t>
                  </w:r>
                </w:p>
              </w:tc>
              <w:tc>
                <w:tcPr>
                  <w:tcW w:w="4116" w:type="pct"/>
                  <w:gridSpan w:val="2"/>
                  <w:tcBorders>
                    <w:top w:val="single" w:sz="4" w:space="0" w:color="BFBFBF" w:themeColor="background1" w:themeShade="BF"/>
                    <w:bottom w:val="single" w:sz="4" w:space="0" w:color="BFBFBF" w:themeColor="background1" w:themeShade="BF"/>
                  </w:tcBorders>
                  <w:shd w:val="clear" w:color="auto" w:fill="auto"/>
                </w:tcPr>
                <w:p w14:paraId="01C3E171" w14:textId="77777777" w:rsidR="001E3FB4" w:rsidRPr="00D85635" w:rsidRDefault="001E3FB4" w:rsidP="001E3FB4">
                  <w:pPr>
                    <w:pStyle w:val="TableText"/>
                    <w:rPr>
                      <w:rFonts w:ascii="Arial" w:hAnsi="Arial" w:cs="Arial"/>
                    </w:rPr>
                  </w:pPr>
                  <w:r w:rsidRPr="00D85635">
                    <w:rPr>
                      <w:rFonts w:ascii="Arial" w:hAnsi="Arial" w:cs="Arial"/>
                    </w:rPr>
                    <w:t>Wimmera Catchment Management Authority (CMA) or Horsham Rural City Council</w:t>
                  </w:r>
                </w:p>
              </w:tc>
            </w:tr>
            <w:tr w:rsidR="001E3FB4" w:rsidRPr="00D85635" w14:paraId="47B61BB6" w14:textId="77777777" w:rsidTr="008D4567">
              <w:trPr>
                <w:cantSplit/>
              </w:trPr>
              <w:tc>
                <w:tcPr>
                  <w:tcW w:w="884" w:type="pct"/>
                  <w:tcBorders>
                    <w:top w:val="single" w:sz="4" w:space="0" w:color="BFBFBF" w:themeColor="background1" w:themeShade="BF"/>
                    <w:bottom w:val="single" w:sz="4" w:space="0" w:color="BFBFBF" w:themeColor="background1" w:themeShade="BF"/>
                  </w:tcBorders>
                  <w:shd w:val="clear" w:color="auto" w:fill="auto"/>
                </w:tcPr>
                <w:p w14:paraId="3ACDE4BA" w14:textId="77777777" w:rsidR="001E3FB4" w:rsidRPr="00D85635" w:rsidRDefault="001E3FB4" w:rsidP="001E3FB4">
                  <w:pPr>
                    <w:pStyle w:val="TableText"/>
                    <w:rPr>
                      <w:rFonts w:ascii="Arial" w:hAnsi="Arial" w:cs="Arial"/>
                    </w:rPr>
                  </w:pPr>
                  <w:r w:rsidRPr="00D85635">
                    <w:rPr>
                      <w:rFonts w:ascii="Arial" w:hAnsi="Arial" w:cs="Arial"/>
                    </w:rPr>
                    <w:t>Minimum strategic biodiversity value score</w:t>
                  </w:r>
                </w:p>
              </w:tc>
              <w:tc>
                <w:tcPr>
                  <w:tcW w:w="2038" w:type="pct"/>
                  <w:tcBorders>
                    <w:top w:val="single" w:sz="4" w:space="0" w:color="BFBFBF" w:themeColor="background1" w:themeShade="BF"/>
                    <w:bottom w:val="single" w:sz="4" w:space="0" w:color="BFBFBF" w:themeColor="background1" w:themeShade="BF"/>
                  </w:tcBorders>
                  <w:shd w:val="clear" w:color="auto" w:fill="auto"/>
                </w:tcPr>
                <w:p w14:paraId="07CC7895" w14:textId="5FDDF57F" w:rsidR="001E3FB4" w:rsidRPr="00D85635" w:rsidRDefault="001E3FB4" w:rsidP="001E3FB4">
                  <w:pPr>
                    <w:pStyle w:val="TableText"/>
                    <w:rPr>
                      <w:rFonts w:ascii="Arial" w:hAnsi="Arial" w:cs="Arial"/>
                    </w:rPr>
                  </w:pPr>
                  <w:r w:rsidRPr="00D85635">
                    <w:rPr>
                      <w:rFonts w:ascii="Arial" w:hAnsi="Arial" w:cs="Arial"/>
                    </w:rPr>
                    <w:t>0.094</w:t>
                  </w:r>
                </w:p>
              </w:tc>
              <w:tc>
                <w:tcPr>
                  <w:tcW w:w="2078" w:type="pct"/>
                  <w:tcBorders>
                    <w:top w:val="single" w:sz="4" w:space="0" w:color="BFBFBF" w:themeColor="background1" w:themeShade="BF"/>
                    <w:bottom w:val="single" w:sz="4" w:space="0" w:color="BFBFBF" w:themeColor="background1" w:themeShade="BF"/>
                  </w:tcBorders>
                  <w:shd w:val="clear" w:color="auto" w:fill="auto"/>
                </w:tcPr>
                <w:p w14:paraId="4A3AAAC5" w14:textId="77777777" w:rsidR="001E3FB4" w:rsidRPr="00D85635" w:rsidRDefault="001E3FB4" w:rsidP="001E3FB4">
                  <w:pPr>
                    <w:pStyle w:val="TableText"/>
                    <w:rPr>
                      <w:rFonts w:ascii="Arial" w:hAnsi="Arial" w:cs="Arial"/>
                    </w:rPr>
                  </w:pPr>
                  <w:r w:rsidRPr="00D85635">
                    <w:rPr>
                      <w:rFonts w:ascii="Arial" w:hAnsi="Arial" w:cs="Arial"/>
                    </w:rPr>
                    <w:t>0.124</w:t>
                  </w:r>
                </w:p>
              </w:tc>
            </w:tr>
            <w:tr w:rsidR="001E3FB4" w:rsidRPr="00D85635" w14:paraId="1CB67C90" w14:textId="77777777" w:rsidTr="008D4567">
              <w:trPr>
                <w:cantSplit/>
              </w:trPr>
              <w:tc>
                <w:tcPr>
                  <w:tcW w:w="884" w:type="pct"/>
                  <w:tcBorders>
                    <w:top w:val="single" w:sz="4" w:space="0" w:color="BFBFBF" w:themeColor="background1" w:themeShade="BF"/>
                    <w:bottom w:val="single" w:sz="4" w:space="0" w:color="BFBFBF" w:themeColor="background1" w:themeShade="BF"/>
                  </w:tcBorders>
                  <w:shd w:val="clear" w:color="auto" w:fill="auto"/>
                </w:tcPr>
                <w:p w14:paraId="3051EE48" w14:textId="77777777" w:rsidR="001E3FB4" w:rsidRPr="00D85635" w:rsidRDefault="001E3FB4" w:rsidP="001E3FB4">
                  <w:pPr>
                    <w:pStyle w:val="TableText"/>
                    <w:rPr>
                      <w:rFonts w:ascii="Arial" w:hAnsi="Arial" w:cs="Arial"/>
                    </w:rPr>
                  </w:pPr>
                  <w:r w:rsidRPr="00D85635">
                    <w:rPr>
                      <w:rFonts w:ascii="Arial" w:hAnsi="Arial" w:cs="Arial"/>
                    </w:rPr>
                    <w:t>Large trees</w:t>
                  </w:r>
                </w:p>
              </w:tc>
              <w:tc>
                <w:tcPr>
                  <w:tcW w:w="2038" w:type="pct"/>
                  <w:tcBorders>
                    <w:top w:val="single" w:sz="4" w:space="0" w:color="BFBFBF" w:themeColor="background1" w:themeShade="BF"/>
                    <w:bottom w:val="single" w:sz="4" w:space="0" w:color="BFBFBF" w:themeColor="background1" w:themeShade="BF"/>
                  </w:tcBorders>
                  <w:shd w:val="clear" w:color="auto" w:fill="auto"/>
                </w:tcPr>
                <w:p w14:paraId="522F1FD7" w14:textId="77777777" w:rsidR="001E3FB4" w:rsidRPr="00D85635" w:rsidRDefault="001E3FB4" w:rsidP="001E3FB4">
                  <w:pPr>
                    <w:pStyle w:val="TableText"/>
                    <w:rPr>
                      <w:rFonts w:ascii="Arial" w:hAnsi="Arial" w:cs="Arial"/>
                    </w:rPr>
                  </w:pPr>
                  <w:r w:rsidRPr="00D85635">
                    <w:rPr>
                      <w:rFonts w:ascii="Arial" w:hAnsi="Arial" w:cs="Arial"/>
                    </w:rPr>
                    <w:t>0 large trees</w:t>
                  </w:r>
                </w:p>
              </w:tc>
              <w:tc>
                <w:tcPr>
                  <w:tcW w:w="2078" w:type="pct"/>
                  <w:tcBorders>
                    <w:top w:val="single" w:sz="4" w:space="0" w:color="BFBFBF" w:themeColor="background1" w:themeShade="BF"/>
                    <w:bottom w:val="single" w:sz="4" w:space="0" w:color="BFBFBF" w:themeColor="background1" w:themeShade="BF"/>
                  </w:tcBorders>
                  <w:shd w:val="clear" w:color="auto" w:fill="auto"/>
                </w:tcPr>
                <w:p w14:paraId="74E55338" w14:textId="77777777" w:rsidR="001E3FB4" w:rsidRPr="00D85635" w:rsidRDefault="001E3FB4" w:rsidP="001E3FB4">
                  <w:pPr>
                    <w:pStyle w:val="TableText"/>
                    <w:rPr>
                      <w:rFonts w:ascii="Arial" w:hAnsi="Arial" w:cs="Arial"/>
                    </w:rPr>
                  </w:pPr>
                  <w:r w:rsidRPr="00D85635">
                    <w:rPr>
                      <w:rFonts w:ascii="Arial" w:hAnsi="Arial" w:cs="Arial"/>
                    </w:rPr>
                    <w:t>836 large trees</w:t>
                  </w:r>
                </w:p>
              </w:tc>
            </w:tr>
            <w:tr w:rsidR="001E3FB4" w:rsidRPr="00D85635" w14:paraId="12CF7B6D" w14:textId="77777777" w:rsidTr="008D4567">
              <w:trPr>
                <w:cantSplit/>
              </w:trPr>
              <w:tc>
                <w:tcPr>
                  <w:tcW w:w="884" w:type="pct"/>
                  <w:tcBorders>
                    <w:top w:val="single" w:sz="4" w:space="0" w:color="BFBFBF" w:themeColor="background1" w:themeShade="BF"/>
                    <w:bottom w:val="single" w:sz="2" w:space="0" w:color="000000" w:themeColor="text1"/>
                  </w:tcBorders>
                  <w:shd w:val="clear" w:color="auto" w:fill="auto"/>
                </w:tcPr>
                <w:p w14:paraId="1FD56579" w14:textId="77777777" w:rsidR="001E3FB4" w:rsidRPr="00D85635" w:rsidRDefault="001E3FB4" w:rsidP="001E3FB4">
                  <w:pPr>
                    <w:pStyle w:val="TableText"/>
                    <w:rPr>
                      <w:rFonts w:ascii="Arial" w:hAnsi="Arial" w:cs="Arial"/>
                    </w:rPr>
                  </w:pPr>
                  <w:r w:rsidRPr="00D85635">
                    <w:rPr>
                      <w:rFonts w:ascii="Arial" w:hAnsi="Arial" w:cs="Arial"/>
                    </w:rPr>
                    <w:lastRenderedPageBreak/>
                    <w:t>Species offset amount</w:t>
                  </w:r>
                </w:p>
              </w:tc>
              <w:tc>
                <w:tcPr>
                  <w:tcW w:w="2038" w:type="pct"/>
                  <w:tcBorders>
                    <w:top w:val="single" w:sz="4" w:space="0" w:color="BFBFBF" w:themeColor="background1" w:themeShade="BF"/>
                    <w:bottom w:val="single" w:sz="2" w:space="0" w:color="000000" w:themeColor="text1"/>
                  </w:tcBorders>
                  <w:shd w:val="clear" w:color="auto" w:fill="auto"/>
                </w:tcPr>
                <w:p w14:paraId="58A29F88" w14:textId="77777777" w:rsidR="001E3FB4" w:rsidRPr="00D85635" w:rsidRDefault="001E3FB4" w:rsidP="001E3FB4">
                  <w:pPr>
                    <w:spacing w:before="120" w:after="120"/>
                    <w:rPr>
                      <w:rFonts w:ascii="Arial" w:hAnsi="Arial" w:cs="Arial"/>
                      <w:i/>
                    </w:rPr>
                  </w:pPr>
                  <w:r w:rsidRPr="00D85635">
                    <w:rPr>
                      <w:rFonts w:ascii="Arial" w:hAnsi="Arial" w:cs="Arial"/>
                    </w:rPr>
                    <w:t xml:space="preserve">16.952 species units of habitat for Erect Peppercress, </w:t>
                  </w:r>
                  <w:r w:rsidRPr="00D85635">
                    <w:rPr>
                      <w:rFonts w:ascii="Arial" w:hAnsi="Arial" w:cs="Arial"/>
                      <w:i/>
                    </w:rPr>
                    <w:t xml:space="preserve">Lepidium </w:t>
                  </w:r>
                  <w:proofErr w:type="spellStart"/>
                  <w:r w:rsidRPr="00D85635">
                    <w:rPr>
                      <w:rFonts w:ascii="Arial" w:hAnsi="Arial" w:cs="Arial"/>
                      <w:i/>
                    </w:rPr>
                    <w:t>pseudopapillosum</w:t>
                  </w:r>
                  <w:proofErr w:type="spellEnd"/>
                </w:p>
                <w:p w14:paraId="71CF16AB" w14:textId="77777777" w:rsidR="001E3FB4" w:rsidRPr="00D85635" w:rsidRDefault="001E3FB4" w:rsidP="001E3FB4">
                  <w:pPr>
                    <w:pStyle w:val="TableText"/>
                    <w:rPr>
                      <w:rFonts w:ascii="Arial" w:hAnsi="Arial" w:cs="Arial"/>
                    </w:rPr>
                  </w:pPr>
                  <w:r w:rsidRPr="00D85635">
                    <w:rPr>
                      <w:rFonts w:ascii="Arial" w:hAnsi="Arial" w:cs="Arial"/>
                    </w:rPr>
                    <w:t xml:space="preserve">19.579 species units of habitat for Inland </w:t>
                  </w:r>
                  <w:proofErr w:type="spellStart"/>
                  <w:r w:rsidRPr="00D85635">
                    <w:rPr>
                      <w:rFonts w:ascii="Arial" w:hAnsi="Arial" w:cs="Arial"/>
                    </w:rPr>
                    <w:t>Pomaderris</w:t>
                  </w:r>
                  <w:proofErr w:type="spellEnd"/>
                  <w:r w:rsidRPr="00D85635">
                    <w:rPr>
                      <w:rFonts w:ascii="Arial" w:hAnsi="Arial" w:cs="Arial"/>
                    </w:rPr>
                    <w:t xml:space="preserve">, </w:t>
                  </w:r>
                  <w:proofErr w:type="spellStart"/>
                  <w:r w:rsidRPr="00D85635">
                    <w:rPr>
                      <w:rFonts w:ascii="Arial" w:hAnsi="Arial" w:cs="Arial"/>
                      <w:i/>
                    </w:rPr>
                    <w:t>Pomaderris</w:t>
                  </w:r>
                  <w:proofErr w:type="spellEnd"/>
                  <w:r w:rsidRPr="00D85635">
                    <w:rPr>
                      <w:rFonts w:ascii="Arial" w:hAnsi="Arial" w:cs="Arial"/>
                      <w:i/>
                    </w:rPr>
                    <w:t xml:space="preserve"> </w:t>
                  </w:r>
                  <w:proofErr w:type="spellStart"/>
                  <w:r w:rsidRPr="00D85635">
                    <w:rPr>
                      <w:rFonts w:ascii="Arial" w:hAnsi="Arial" w:cs="Arial"/>
                      <w:i/>
                    </w:rPr>
                    <w:t>paniculosa</w:t>
                  </w:r>
                  <w:proofErr w:type="spellEnd"/>
                  <w:r w:rsidRPr="00D85635">
                    <w:rPr>
                      <w:rFonts w:ascii="Arial" w:hAnsi="Arial" w:cs="Arial"/>
                    </w:rPr>
                    <w:t xml:space="preserve"> subsp. </w:t>
                  </w:r>
                  <w:proofErr w:type="spellStart"/>
                  <w:r w:rsidRPr="00D85635">
                    <w:rPr>
                      <w:rFonts w:ascii="Arial" w:hAnsi="Arial" w:cs="Arial"/>
                      <w:i/>
                    </w:rPr>
                    <w:t>paniculosa</w:t>
                  </w:r>
                  <w:proofErr w:type="spellEnd"/>
                </w:p>
              </w:tc>
              <w:tc>
                <w:tcPr>
                  <w:tcW w:w="2078" w:type="pct"/>
                  <w:tcBorders>
                    <w:top w:val="single" w:sz="4" w:space="0" w:color="BFBFBF" w:themeColor="background1" w:themeShade="BF"/>
                    <w:bottom w:val="single" w:sz="2" w:space="0" w:color="000000" w:themeColor="text1"/>
                  </w:tcBorders>
                  <w:shd w:val="clear" w:color="auto" w:fill="auto"/>
                </w:tcPr>
                <w:p w14:paraId="30A59E66" w14:textId="77777777" w:rsidR="001E3FB4" w:rsidRPr="00D85635" w:rsidRDefault="001E3FB4" w:rsidP="001E3FB4">
                  <w:pPr>
                    <w:spacing w:before="120" w:after="120"/>
                    <w:rPr>
                      <w:rFonts w:ascii="Arial" w:hAnsi="Arial" w:cs="Arial"/>
                    </w:rPr>
                  </w:pPr>
                  <w:r w:rsidRPr="00D85635">
                    <w:rPr>
                      <w:rFonts w:ascii="Arial" w:hAnsi="Arial" w:cs="Arial"/>
                    </w:rPr>
                    <w:t xml:space="preserve">30.030 species units of habitat for Hairy-pod Wattle </w:t>
                  </w:r>
                  <w:r w:rsidRPr="00D85635">
                    <w:rPr>
                      <w:rFonts w:ascii="Arial" w:hAnsi="Arial" w:cs="Arial"/>
                      <w:i/>
                    </w:rPr>
                    <w:t xml:space="preserve">Acacia </w:t>
                  </w:r>
                  <w:proofErr w:type="spellStart"/>
                  <w:r w:rsidRPr="00D85635">
                    <w:rPr>
                      <w:rFonts w:ascii="Arial" w:hAnsi="Arial" w:cs="Arial"/>
                      <w:i/>
                    </w:rPr>
                    <w:t>glandulicarpa</w:t>
                  </w:r>
                  <w:proofErr w:type="spellEnd"/>
                </w:p>
                <w:p w14:paraId="5CBA87B2" w14:textId="77777777" w:rsidR="001E3FB4" w:rsidRPr="00D85635" w:rsidRDefault="001E3FB4" w:rsidP="001E3FB4">
                  <w:pPr>
                    <w:spacing w:before="120" w:after="120"/>
                    <w:rPr>
                      <w:rFonts w:ascii="Arial" w:hAnsi="Arial" w:cs="Arial"/>
                      <w:i/>
                    </w:rPr>
                  </w:pPr>
                  <w:r w:rsidRPr="00D85635">
                    <w:rPr>
                      <w:rFonts w:ascii="Arial" w:hAnsi="Arial" w:cs="Arial"/>
                    </w:rPr>
                    <w:t xml:space="preserve">26.120 species units of habitat for Erect Peppercress, </w:t>
                  </w:r>
                  <w:r w:rsidRPr="00D85635">
                    <w:rPr>
                      <w:rFonts w:ascii="Arial" w:hAnsi="Arial" w:cs="Arial"/>
                      <w:i/>
                    </w:rPr>
                    <w:t xml:space="preserve">Lepidium </w:t>
                  </w:r>
                  <w:proofErr w:type="spellStart"/>
                  <w:r w:rsidRPr="00D85635">
                    <w:rPr>
                      <w:rFonts w:ascii="Arial" w:hAnsi="Arial" w:cs="Arial"/>
                      <w:i/>
                    </w:rPr>
                    <w:t>pseudopapillosum</w:t>
                  </w:r>
                  <w:proofErr w:type="spellEnd"/>
                </w:p>
                <w:p w14:paraId="7AF48CEE" w14:textId="77777777" w:rsidR="001E3FB4" w:rsidRPr="00D85635" w:rsidRDefault="001E3FB4" w:rsidP="001E3FB4">
                  <w:pPr>
                    <w:pStyle w:val="TableText"/>
                    <w:rPr>
                      <w:rFonts w:ascii="Arial" w:hAnsi="Arial" w:cs="Arial"/>
                    </w:rPr>
                  </w:pPr>
                  <w:r w:rsidRPr="00D85635">
                    <w:rPr>
                      <w:rFonts w:ascii="Arial" w:hAnsi="Arial" w:cs="Arial"/>
                    </w:rPr>
                    <w:t xml:space="preserve">29.919 species units of habitat for Inland </w:t>
                  </w:r>
                  <w:proofErr w:type="spellStart"/>
                  <w:r w:rsidRPr="00D85635">
                    <w:rPr>
                      <w:rFonts w:ascii="Arial" w:hAnsi="Arial" w:cs="Arial"/>
                    </w:rPr>
                    <w:t>Pomaderris</w:t>
                  </w:r>
                  <w:proofErr w:type="spellEnd"/>
                  <w:r w:rsidRPr="00D85635">
                    <w:rPr>
                      <w:rFonts w:ascii="Arial" w:hAnsi="Arial" w:cs="Arial"/>
                    </w:rPr>
                    <w:t xml:space="preserve">, </w:t>
                  </w:r>
                  <w:proofErr w:type="spellStart"/>
                  <w:r w:rsidRPr="00D85635">
                    <w:rPr>
                      <w:rFonts w:ascii="Arial" w:hAnsi="Arial" w:cs="Arial"/>
                      <w:i/>
                    </w:rPr>
                    <w:t>Pomaderris</w:t>
                  </w:r>
                  <w:proofErr w:type="spellEnd"/>
                  <w:r w:rsidRPr="00D85635">
                    <w:rPr>
                      <w:rFonts w:ascii="Arial" w:hAnsi="Arial" w:cs="Arial"/>
                      <w:i/>
                    </w:rPr>
                    <w:t xml:space="preserve"> </w:t>
                  </w:r>
                  <w:proofErr w:type="spellStart"/>
                  <w:r w:rsidRPr="00D85635">
                    <w:rPr>
                      <w:rFonts w:ascii="Arial" w:hAnsi="Arial" w:cs="Arial"/>
                      <w:i/>
                    </w:rPr>
                    <w:t>paniculosa</w:t>
                  </w:r>
                  <w:proofErr w:type="spellEnd"/>
                  <w:r w:rsidRPr="00D85635">
                    <w:rPr>
                      <w:rFonts w:ascii="Arial" w:hAnsi="Arial" w:cs="Arial"/>
                    </w:rPr>
                    <w:t xml:space="preserve"> subsp. </w:t>
                  </w:r>
                  <w:proofErr w:type="spellStart"/>
                  <w:r w:rsidRPr="00D85635">
                    <w:rPr>
                      <w:rFonts w:ascii="Arial" w:hAnsi="Arial" w:cs="Arial"/>
                      <w:i/>
                    </w:rPr>
                    <w:t>paniculosa</w:t>
                  </w:r>
                  <w:proofErr w:type="spellEnd"/>
                </w:p>
              </w:tc>
            </w:tr>
          </w:tbl>
          <w:p w14:paraId="1A98316F" w14:textId="77777777" w:rsidR="001E3FB4" w:rsidRPr="00D85635" w:rsidRDefault="001E3FB4" w:rsidP="00CD2CF9">
            <w:pPr>
              <w:pStyle w:val="BodyText"/>
              <w:jc w:val="both"/>
              <w:rPr>
                <w:rFonts w:ascii="Arial" w:hAnsi="Arial" w:cs="Arial"/>
                <w:b w:val="0"/>
                <w:bCs w:val="0"/>
                <w:sz w:val="20"/>
                <w:szCs w:val="20"/>
                <w:lang w:eastAsia="en-AU"/>
              </w:rPr>
            </w:pPr>
          </w:p>
          <w:p w14:paraId="4E5AC9C9" w14:textId="77777777" w:rsidR="001C34F3" w:rsidRPr="00D85635" w:rsidRDefault="001C34F3">
            <w:pPr>
              <w:rPr>
                <w:rFonts w:ascii="Arial" w:hAnsi="Arial" w:cs="Arial"/>
              </w:rPr>
            </w:pPr>
          </w:p>
        </w:tc>
      </w:tr>
      <w:tr w:rsidR="001C34F3" w14:paraId="79864F24" w14:textId="77777777" w:rsidTr="00FD555F">
        <w:tc>
          <w:tcPr>
            <w:tcW w:w="9243" w:type="dxa"/>
            <w:tcBorders>
              <w:bottom w:val="single" w:sz="4" w:space="0" w:color="auto"/>
            </w:tcBorders>
          </w:tcPr>
          <w:p w14:paraId="60BC21C3" w14:textId="77777777" w:rsidR="00CD2CF9" w:rsidRPr="00D85635" w:rsidRDefault="00CD2CF9" w:rsidP="00CD2CF9">
            <w:pPr>
              <w:pStyle w:val="Heading2"/>
              <w:ind w:left="0"/>
              <w:rPr>
                <w:rFonts w:cs="Arial"/>
              </w:rPr>
            </w:pPr>
            <w:r w:rsidRPr="00D85635">
              <w:rPr>
                <w:rFonts w:cs="Arial"/>
              </w:rPr>
              <w:lastRenderedPageBreak/>
              <w:t>12.1.4 How much of this clearing would be authorised under a Forest Management Plan or Fire Protection Plan?</w:t>
            </w:r>
          </w:p>
          <w:p w14:paraId="2C68293B" w14:textId="77777777" w:rsidR="00CD2CF9" w:rsidRPr="00D85635" w:rsidRDefault="00CD2CF9" w:rsidP="00CD2CF9">
            <w:pPr>
              <w:rPr>
                <w:rFonts w:ascii="Arial" w:hAnsi="Arial" w:cs="Arial"/>
              </w:rPr>
            </w:pPr>
          </w:p>
          <w:p w14:paraId="33028BC9" w14:textId="77777777" w:rsidR="00CD2CF9" w:rsidRPr="00D85635" w:rsidRDefault="00CD2CF9" w:rsidP="00CD2CF9">
            <w:pPr>
              <w:pStyle w:val="BodyText"/>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Not applicable.       </w:t>
            </w:r>
          </w:p>
          <w:p w14:paraId="03B95F36" w14:textId="77777777" w:rsidR="001C34F3" w:rsidRPr="00D85635" w:rsidRDefault="001C34F3">
            <w:pPr>
              <w:rPr>
                <w:rFonts w:ascii="Arial" w:hAnsi="Arial" w:cs="Arial"/>
              </w:rPr>
            </w:pPr>
          </w:p>
        </w:tc>
      </w:tr>
      <w:tr w:rsidR="001C34F3" w14:paraId="6FCF59CD" w14:textId="77777777" w:rsidTr="00FD555F">
        <w:tblPrEx>
          <w:tblBorders>
            <w:top w:val="none" w:sz="0" w:space="0" w:color="auto"/>
            <w:left w:val="none" w:sz="0" w:space="0" w:color="auto"/>
            <w:bottom w:val="none" w:sz="0" w:space="0" w:color="auto"/>
            <w:right w:val="none" w:sz="0" w:space="0" w:color="auto"/>
            <w:insideV w:val="none" w:sz="0" w:space="0" w:color="auto"/>
          </w:tblBorders>
        </w:tblPrEx>
        <w:tc>
          <w:tcPr>
            <w:tcW w:w="9243" w:type="dxa"/>
            <w:tcBorders>
              <w:top w:val="single" w:sz="4" w:space="0" w:color="auto"/>
              <w:left w:val="single" w:sz="4" w:space="0" w:color="auto"/>
              <w:bottom w:val="single" w:sz="4" w:space="0" w:color="auto"/>
              <w:right w:val="single" w:sz="4" w:space="0" w:color="auto"/>
            </w:tcBorders>
          </w:tcPr>
          <w:p w14:paraId="3096FE95" w14:textId="5F6A8C9C" w:rsidR="00CD2CF9" w:rsidRPr="00D85635" w:rsidRDefault="00763A7E" w:rsidP="00CD2CF9">
            <w:pPr>
              <w:pStyle w:val="Heading3"/>
              <w:keepLines/>
              <w:numPr>
                <w:ilvl w:val="2"/>
                <w:numId w:val="0"/>
              </w:numPr>
              <w:spacing w:before="240" w:after="240"/>
              <w:ind w:left="851" w:hanging="851"/>
              <w:jc w:val="both"/>
              <w:rPr>
                <w:rFonts w:cs="Arial"/>
                <w:sz w:val="20"/>
              </w:rPr>
            </w:pPr>
            <w:r w:rsidRPr="00D85635">
              <w:rPr>
                <w:rFonts w:cs="Arial"/>
                <w:sz w:val="20"/>
              </w:rPr>
              <w:t xml:space="preserve">12.1.5 </w:t>
            </w:r>
            <w:r w:rsidR="00CD2CF9" w:rsidRPr="00D85635">
              <w:rPr>
                <w:rFonts w:cs="Arial"/>
                <w:sz w:val="20"/>
              </w:rPr>
              <w:t>Which Ecological Vegetation Classes may be affected?</w:t>
            </w:r>
          </w:p>
          <w:p w14:paraId="498F7019" w14:textId="77777777" w:rsidR="006103F6" w:rsidRPr="006103F6" w:rsidRDefault="006103F6" w:rsidP="00763A7E">
            <w:pPr>
              <w:pStyle w:val="BodyText"/>
              <w:jc w:val="both"/>
              <w:rPr>
                <w:rFonts w:ascii="Arial" w:hAnsi="Arial" w:cs="Arial"/>
                <w:b w:val="0"/>
                <w:bCs w:val="0"/>
                <w:sz w:val="20"/>
                <w:szCs w:val="20"/>
                <w:lang w:eastAsia="en-AU"/>
              </w:rPr>
            </w:pPr>
            <w:r w:rsidRPr="00CF0F35">
              <w:rPr>
                <w:rFonts w:ascii="Arial" w:hAnsi="Arial" w:cs="Arial"/>
                <w:b w:val="0"/>
                <w:bCs w:val="0"/>
                <w:sz w:val="20"/>
                <w:szCs w:val="20"/>
                <w:lang w:eastAsia="en-AU"/>
              </w:rPr>
              <w:sym w:font="Webdings" w:char="F072"/>
            </w:r>
            <w:r w:rsidRPr="00CF0F35">
              <w:rPr>
                <w:rFonts w:ascii="Arial" w:hAnsi="Arial" w:cs="Arial"/>
                <w:b w:val="0"/>
                <w:bCs w:val="0"/>
                <w:sz w:val="20"/>
                <w:szCs w:val="20"/>
                <w:lang w:eastAsia="en-AU"/>
              </w:rPr>
              <w:t xml:space="preserve"> NYD   </w:t>
            </w:r>
            <w:r w:rsidRPr="00CF0F35">
              <w:rPr>
                <w:rFonts w:ascii="Arial" w:hAnsi="Arial" w:cs="Arial"/>
                <w:b w:val="0"/>
                <w:bCs w:val="0"/>
                <w:color w:val="D9D9D9" w:themeColor="background1" w:themeShade="D9"/>
                <w:sz w:val="20"/>
                <w:szCs w:val="20"/>
                <w:lang w:eastAsia="en-AU"/>
              </w:rPr>
              <w:sym w:font="Webdings" w:char="F072"/>
            </w:r>
            <w:r w:rsidRPr="00CF0F35">
              <w:rPr>
                <w:rFonts w:ascii="Arial" w:hAnsi="Arial" w:cs="Arial"/>
                <w:b w:val="0"/>
                <w:bCs w:val="0"/>
                <w:sz w:val="20"/>
                <w:szCs w:val="20"/>
                <w:lang w:eastAsia="en-AU"/>
              </w:rPr>
              <w:t xml:space="preserve">  Preliminary/detailed assessment completed.</w:t>
            </w:r>
            <w:r w:rsidRPr="006103F6">
              <w:rPr>
                <w:rFonts w:ascii="Arial" w:hAnsi="Arial" w:cs="Arial"/>
                <w:b w:val="0"/>
                <w:bCs w:val="0"/>
                <w:sz w:val="20"/>
                <w:szCs w:val="20"/>
                <w:lang w:eastAsia="en-AU"/>
              </w:rPr>
              <w:t xml:space="preserve">     </w:t>
            </w:r>
          </w:p>
          <w:p w14:paraId="200A80E8" w14:textId="77777777" w:rsidR="006103F6" w:rsidRDefault="006103F6" w:rsidP="00763A7E">
            <w:pPr>
              <w:pStyle w:val="BodyText"/>
              <w:jc w:val="both"/>
              <w:rPr>
                <w:rFonts w:ascii="Arial" w:hAnsi="Arial"/>
              </w:rPr>
            </w:pPr>
          </w:p>
          <w:p w14:paraId="2BB16030" w14:textId="1ECC55F6" w:rsidR="00CD2CF9" w:rsidRPr="00D85635" w:rsidRDefault="00CD2CF9" w:rsidP="00763A7E">
            <w:pPr>
              <w:pStyle w:val="BodyText"/>
              <w:jc w:val="both"/>
              <w:rPr>
                <w:rFonts w:ascii="Arial" w:hAnsi="Arial" w:cs="Arial"/>
                <w:b w:val="0"/>
                <w:bCs w:val="0"/>
                <w:sz w:val="20"/>
                <w:szCs w:val="20"/>
                <w:lang w:eastAsia="en-AU"/>
              </w:rPr>
            </w:pPr>
            <w:r w:rsidRPr="00D85635">
              <w:rPr>
                <w:rFonts w:ascii="Arial" w:hAnsi="Arial" w:cs="Arial"/>
                <w:b w:val="0"/>
                <w:bCs w:val="0"/>
                <w:sz w:val="20"/>
                <w:szCs w:val="20"/>
                <w:lang w:eastAsia="en-AU"/>
              </w:rPr>
              <w:t>The following Ecological Vegetation Classes (EVCs) may be affected by the Project (Figure 1</w:t>
            </w:r>
            <w:r w:rsidR="00735C35" w:rsidRPr="00D85635">
              <w:rPr>
                <w:rFonts w:ascii="Arial" w:hAnsi="Arial" w:cs="Arial"/>
                <w:b w:val="0"/>
                <w:bCs w:val="0"/>
                <w:sz w:val="20"/>
                <w:szCs w:val="20"/>
                <w:lang w:eastAsia="en-AU"/>
              </w:rPr>
              <w:t>9</w:t>
            </w:r>
            <w:r w:rsidRPr="00D85635">
              <w:rPr>
                <w:rFonts w:ascii="Arial" w:hAnsi="Arial" w:cs="Arial"/>
                <w:b w:val="0"/>
                <w:bCs w:val="0"/>
                <w:sz w:val="20"/>
                <w:szCs w:val="20"/>
                <w:lang w:eastAsia="en-AU"/>
              </w:rPr>
              <w:t>):</w:t>
            </w:r>
          </w:p>
          <w:p w14:paraId="4EC3E4E8" w14:textId="77777777" w:rsidR="00763A7E" w:rsidRPr="00D85635" w:rsidRDefault="00763A7E" w:rsidP="00763A7E">
            <w:pPr>
              <w:pStyle w:val="BodyText"/>
              <w:jc w:val="both"/>
              <w:rPr>
                <w:rFonts w:ascii="Arial" w:hAnsi="Arial" w:cs="Arial"/>
                <w:b w:val="0"/>
                <w:bCs w:val="0"/>
                <w:sz w:val="20"/>
                <w:szCs w:val="20"/>
                <w:lang w:eastAsia="en-AU"/>
              </w:rPr>
            </w:pPr>
          </w:p>
          <w:p w14:paraId="4C317F75" w14:textId="77777777" w:rsidR="00CD2CF9" w:rsidRPr="00D85635" w:rsidRDefault="00CD2CF9" w:rsidP="0017475D">
            <w:pPr>
              <w:pStyle w:val="BodyText"/>
              <w:numPr>
                <w:ilvl w:val="0"/>
                <w:numId w:val="57"/>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EVC 125 Plains Grassy Wetland;</w:t>
            </w:r>
          </w:p>
          <w:p w14:paraId="21F389EA" w14:textId="77777777" w:rsidR="00CD2CF9" w:rsidRPr="00D85635" w:rsidRDefault="00CD2CF9" w:rsidP="0017475D">
            <w:pPr>
              <w:pStyle w:val="BodyText"/>
              <w:numPr>
                <w:ilvl w:val="0"/>
                <w:numId w:val="57"/>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EVC 292 Red Gum Swamp;</w:t>
            </w:r>
          </w:p>
          <w:p w14:paraId="16FEAAC1" w14:textId="77777777" w:rsidR="00CD2CF9" w:rsidRPr="00D85635" w:rsidRDefault="00CD2CF9" w:rsidP="0017475D">
            <w:pPr>
              <w:pStyle w:val="BodyText"/>
              <w:numPr>
                <w:ilvl w:val="0"/>
                <w:numId w:val="57"/>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EVC 803 Plains Woodland;</w:t>
            </w:r>
          </w:p>
          <w:p w14:paraId="42E9724C" w14:textId="77777777" w:rsidR="00CD2CF9" w:rsidRPr="00D85635" w:rsidRDefault="00CD2CF9" w:rsidP="0017475D">
            <w:pPr>
              <w:pStyle w:val="BodyText"/>
              <w:numPr>
                <w:ilvl w:val="0"/>
                <w:numId w:val="57"/>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EVC 653 Aquatic </w:t>
            </w:r>
            <w:proofErr w:type="spellStart"/>
            <w:r w:rsidRPr="00D85635">
              <w:rPr>
                <w:rFonts w:ascii="Arial" w:hAnsi="Arial" w:cs="Arial"/>
                <w:b w:val="0"/>
                <w:bCs w:val="0"/>
                <w:sz w:val="20"/>
                <w:szCs w:val="20"/>
                <w:lang w:eastAsia="en-AU"/>
              </w:rPr>
              <w:t>Herbland</w:t>
            </w:r>
            <w:proofErr w:type="spellEnd"/>
            <w:r w:rsidRPr="00D85635">
              <w:rPr>
                <w:rFonts w:ascii="Arial" w:hAnsi="Arial" w:cs="Arial"/>
                <w:b w:val="0"/>
                <w:bCs w:val="0"/>
                <w:sz w:val="20"/>
                <w:szCs w:val="20"/>
                <w:lang w:eastAsia="en-AU"/>
              </w:rPr>
              <w:t>; and</w:t>
            </w:r>
          </w:p>
          <w:p w14:paraId="10D2B2B1" w14:textId="77777777" w:rsidR="00CD2CF9" w:rsidRPr="00D85635" w:rsidRDefault="00CD2CF9" w:rsidP="0017475D">
            <w:pPr>
              <w:pStyle w:val="BodyText"/>
              <w:numPr>
                <w:ilvl w:val="0"/>
                <w:numId w:val="57"/>
              </w:numPr>
              <w:spacing w:after="120"/>
              <w:jc w:val="both"/>
              <w:rPr>
                <w:rFonts w:ascii="Arial" w:hAnsi="Arial" w:cs="Arial"/>
                <w:b w:val="0"/>
                <w:bCs w:val="0"/>
                <w:sz w:val="20"/>
                <w:szCs w:val="20"/>
                <w:lang w:eastAsia="en-AU"/>
              </w:rPr>
            </w:pPr>
            <w:r w:rsidRPr="00D85635">
              <w:rPr>
                <w:rFonts w:ascii="Arial" w:hAnsi="Arial" w:cs="Arial"/>
                <w:b w:val="0"/>
                <w:bCs w:val="0"/>
                <w:sz w:val="20"/>
                <w:szCs w:val="20"/>
                <w:lang w:eastAsia="en-AU"/>
              </w:rPr>
              <w:t>EVC 682 Permanent Open Freshwater.</w:t>
            </w:r>
          </w:p>
          <w:p w14:paraId="7E1DE50C" w14:textId="77777777" w:rsidR="00763A7E" w:rsidRPr="00D85635" w:rsidRDefault="00763A7E" w:rsidP="00763A7E">
            <w:pPr>
              <w:pStyle w:val="BodyText"/>
              <w:ind w:left="720"/>
              <w:jc w:val="both"/>
              <w:rPr>
                <w:rFonts w:ascii="Arial" w:hAnsi="Arial" w:cs="Arial"/>
                <w:b w:val="0"/>
                <w:bCs w:val="0"/>
                <w:sz w:val="20"/>
                <w:szCs w:val="20"/>
                <w:lang w:eastAsia="en-AU"/>
              </w:rPr>
            </w:pPr>
          </w:p>
          <w:p w14:paraId="5BE8F8C4" w14:textId="77777777" w:rsidR="00CD2CF9" w:rsidRPr="00D85635" w:rsidRDefault="00CD2CF9" w:rsidP="00763A7E">
            <w:pPr>
              <w:pStyle w:val="BodyText"/>
              <w:jc w:val="both"/>
              <w:rPr>
                <w:rFonts w:ascii="Arial" w:hAnsi="Arial" w:cs="Arial"/>
                <w:b w:val="0"/>
                <w:bCs w:val="0"/>
                <w:sz w:val="20"/>
                <w:szCs w:val="20"/>
                <w:lang w:eastAsia="en-AU"/>
              </w:rPr>
            </w:pPr>
            <w:r w:rsidRPr="00D85635">
              <w:rPr>
                <w:rFonts w:ascii="Arial" w:hAnsi="Arial" w:cs="Arial"/>
                <w:b w:val="0"/>
                <w:bCs w:val="0"/>
                <w:sz w:val="20"/>
                <w:szCs w:val="20"/>
                <w:lang w:eastAsia="en-AU"/>
              </w:rPr>
              <w:t xml:space="preserve">Detailed surveys will be undertaken to accurately map the extent of these EVCs in the Project site. </w:t>
            </w:r>
          </w:p>
          <w:p w14:paraId="139C5757" w14:textId="77777777" w:rsidR="001C34F3" w:rsidRPr="00D85635" w:rsidRDefault="001C34F3">
            <w:pPr>
              <w:rPr>
                <w:rFonts w:ascii="Arial" w:hAnsi="Arial" w:cs="Arial"/>
              </w:rPr>
            </w:pPr>
          </w:p>
        </w:tc>
      </w:tr>
      <w:tr w:rsidR="001C34F3" w14:paraId="60E579AF" w14:textId="77777777" w:rsidTr="00FD555F">
        <w:tc>
          <w:tcPr>
            <w:tcW w:w="9243" w:type="dxa"/>
            <w:tcBorders>
              <w:top w:val="single" w:sz="4" w:space="0" w:color="auto"/>
              <w:bottom w:val="single" w:sz="4" w:space="0" w:color="auto"/>
            </w:tcBorders>
          </w:tcPr>
          <w:p w14:paraId="00B50C55" w14:textId="77777777" w:rsidR="00CE0C02" w:rsidRPr="00CE0C02" w:rsidRDefault="00CE0C02" w:rsidP="00CE0C02">
            <w:pPr>
              <w:pStyle w:val="Heading3"/>
              <w:keepLines/>
              <w:numPr>
                <w:ilvl w:val="2"/>
                <w:numId w:val="0"/>
              </w:numPr>
              <w:spacing w:before="240" w:after="240"/>
              <w:ind w:left="851" w:hanging="851"/>
              <w:jc w:val="both"/>
              <w:rPr>
                <w:sz w:val="20"/>
              </w:rPr>
            </w:pPr>
            <w:r>
              <w:rPr>
                <w:sz w:val="20"/>
              </w:rPr>
              <w:t xml:space="preserve">12.1.6 </w:t>
            </w:r>
            <w:r w:rsidRPr="00CE0C02">
              <w:rPr>
                <w:sz w:val="20"/>
              </w:rPr>
              <w:t>Have potential vegetation offsets been identified as yet?</w:t>
            </w:r>
          </w:p>
          <w:p w14:paraId="3CA6B9EC" w14:textId="77777777" w:rsidR="00CE0C02" w:rsidRPr="00CE0C02" w:rsidRDefault="00CE0C02" w:rsidP="00CE0C02">
            <w:pPr>
              <w:pStyle w:val="BodyText"/>
              <w:jc w:val="both"/>
              <w:rPr>
                <w:rFonts w:ascii="Arial" w:hAnsi="Arial"/>
                <w:b w:val="0"/>
                <w:bCs w:val="0"/>
                <w:sz w:val="20"/>
                <w:szCs w:val="20"/>
                <w:lang w:eastAsia="en-AU"/>
              </w:rPr>
            </w:pPr>
            <w:r w:rsidRPr="00CE0C02">
              <w:rPr>
                <w:rFonts w:ascii="Arial" w:hAnsi="Arial"/>
                <w:b w:val="0"/>
                <w:bCs w:val="0"/>
                <w:sz w:val="20"/>
                <w:szCs w:val="20"/>
                <w:lang w:eastAsia="en-AU"/>
              </w:rPr>
              <w:t>No.</w:t>
            </w:r>
          </w:p>
          <w:p w14:paraId="6337708B" w14:textId="77777777" w:rsidR="001C34F3" w:rsidRDefault="001C34F3" w:rsidP="00CE0C02">
            <w:pPr>
              <w:jc w:val="both"/>
              <w:rPr>
                <w:rFonts w:ascii="Arial" w:hAnsi="Arial"/>
              </w:rPr>
            </w:pPr>
          </w:p>
        </w:tc>
      </w:tr>
      <w:tr w:rsidR="001C34F3" w14:paraId="7D9DFE97" w14:textId="77777777" w:rsidTr="00FD555F">
        <w:tc>
          <w:tcPr>
            <w:tcW w:w="9243" w:type="dxa"/>
            <w:tcBorders>
              <w:top w:val="single" w:sz="4" w:space="0" w:color="auto"/>
              <w:bottom w:val="single" w:sz="4" w:space="0" w:color="auto"/>
            </w:tcBorders>
          </w:tcPr>
          <w:p w14:paraId="5E7A0BB5" w14:textId="77777777" w:rsidR="00CE0C02" w:rsidRPr="00CE0C02" w:rsidRDefault="00CE0C02" w:rsidP="00CE0C02">
            <w:pPr>
              <w:pStyle w:val="Heading3"/>
              <w:keepLines/>
              <w:numPr>
                <w:ilvl w:val="2"/>
                <w:numId w:val="0"/>
              </w:numPr>
              <w:spacing w:before="240" w:after="240"/>
              <w:ind w:left="851" w:hanging="851"/>
              <w:jc w:val="both"/>
              <w:rPr>
                <w:sz w:val="20"/>
              </w:rPr>
            </w:pPr>
            <w:r>
              <w:rPr>
                <w:sz w:val="20"/>
              </w:rPr>
              <w:t xml:space="preserve">12.1.7 </w:t>
            </w:r>
            <w:r w:rsidRPr="00CE0C02">
              <w:rPr>
                <w:sz w:val="20"/>
              </w:rPr>
              <w:t>Other information/comments?</w:t>
            </w:r>
          </w:p>
          <w:p w14:paraId="690B9D4A" w14:textId="42540988" w:rsidR="001C34F3" w:rsidRPr="00FD555F" w:rsidRDefault="00020AA8" w:rsidP="0090696F">
            <w:pPr>
              <w:pStyle w:val="BodyText"/>
              <w:jc w:val="both"/>
              <w:rPr>
                <w:rFonts w:ascii="Arial" w:hAnsi="Arial"/>
                <w:b w:val="0"/>
                <w:bCs w:val="0"/>
                <w:sz w:val="20"/>
                <w:szCs w:val="20"/>
                <w:lang w:eastAsia="en-AU"/>
              </w:rPr>
            </w:pPr>
            <w:r>
              <w:rPr>
                <w:rFonts w:ascii="Arial" w:hAnsi="Arial"/>
                <w:b w:val="0"/>
                <w:bCs w:val="0"/>
                <w:sz w:val="20"/>
                <w:szCs w:val="20"/>
                <w:lang w:eastAsia="en-AU"/>
              </w:rPr>
              <w:t>D</w:t>
            </w:r>
            <w:r w:rsidR="00CE0C02" w:rsidRPr="00CE0C02">
              <w:rPr>
                <w:rFonts w:ascii="Arial" w:hAnsi="Arial"/>
                <w:b w:val="0"/>
                <w:bCs w:val="0"/>
                <w:sz w:val="20"/>
                <w:szCs w:val="20"/>
                <w:lang w:eastAsia="en-AU"/>
              </w:rPr>
              <w:t>ata collected during the baseline study is preliminary</w:t>
            </w:r>
            <w:r w:rsidR="0090696F">
              <w:rPr>
                <w:rFonts w:ascii="Arial" w:hAnsi="Arial"/>
                <w:b w:val="0"/>
                <w:bCs w:val="0"/>
                <w:sz w:val="20"/>
                <w:szCs w:val="20"/>
                <w:lang w:eastAsia="en-AU"/>
              </w:rPr>
              <w:t xml:space="preserve"> </w:t>
            </w:r>
            <w:r w:rsidR="00CE0C02" w:rsidRPr="00CE0C02">
              <w:rPr>
                <w:rFonts w:ascii="Arial" w:hAnsi="Arial"/>
                <w:b w:val="0"/>
                <w:bCs w:val="0"/>
                <w:sz w:val="20"/>
                <w:szCs w:val="20"/>
                <w:lang w:eastAsia="en-AU"/>
              </w:rPr>
              <w:t>and relates</w:t>
            </w:r>
            <w:r w:rsidR="0090696F">
              <w:rPr>
                <w:rFonts w:ascii="Arial" w:hAnsi="Arial"/>
                <w:b w:val="0"/>
                <w:bCs w:val="0"/>
                <w:sz w:val="20"/>
                <w:szCs w:val="20"/>
                <w:lang w:eastAsia="en-AU"/>
              </w:rPr>
              <w:t xml:space="preserve"> only</w:t>
            </w:r>
            <w:r w:rsidR="00CE0C02" w:rsidRPr="00CE0C02">
              <w:rPr>
                <w:rFonts w:ascii="Arial" w:hAnsi="Arial"/>
                <w:b w:val="0"/>
                <w:bCs w:val="0"/>
                <w:sz w:val="20"/>
                <w:szCs w:val="20"/>
                <w:lang w:eastAsia="en-AU"/>
              </w:rPr>
              <w:t xml:space="preserve"> to terrestrial ecology</w:t>
            </w:r>
            <w:r w:rsidR="0090696F">
              <w:rPr>
                <w:rFonts w:ascii="Arial" w:hAnsi="Arial"/>
                <w:b w:val="0"/>
                <w:bCs w:val="0"/>
                <w:sz w:val="20"/>
                <w:szCs w:val="20"/>
                <w:lang w:eastAsia="en-AU"/>
              </w:rPr>
              <w:t xml:space="preserve">. </w:t>
            </w:r>
            <w:r w:rsidR="00CE0C02" w:rsidRPr="00CE0C02">
              <w:rPr>
                <w:rFonts w:ascii="Arial" w:hAnsi="Arial"/>
                <w:b w:val="0"/>
                <w:bCs w:val="0"/>
                <w:sz w:val="20"/>
                <w:szCs w:val="20"/>
                <w:lang w:eastAsia="en-AU"/>
              </w:rPr>
              <w:t>Detailed and targeted terrestrial and aquatic field survey and assessment is planned for Spring 2019.</w:t>
            </w:r>
            <w:r w:rsidR="0090696F">
              <w:rPr>
                <w:rFonts w:ascii="Arial" w:hAnsi="Arial"/>
                <w:b w:val="0"/>
                <w:bCs w:val="0"/>
                <w:sz w:val="20"/>
                <w:szCs w:val="20"/>
                <w:lang w:eastAsia="en-AU"/>
              </w:rPr>
              <w:t xml:space="preserve"> Ecological impact assessments </w:t>
            </w:r>
            <w:r>
              <w:rPr>
                <w:rFonts w:ascii="Arial" w:hAnsi="Arial"/>
                <w:b w:val="0"/>
                <w:bCs w:val="0"/>
                <w:sz w:val="20"/>
                <w:szCs w:val="20"/>
                <w:lang w:eastAsia="en-AU"/>
              </w:rPr>
              <w:t xml:space="preserve">will also </w:t>
            </w:r>
            <w:r w:rsidR="0090696F">
              <w:rPr>
                <w:rFonts w:ascii="Arial" w:hAnsi="Arial"/>
                <w:b w:val="0"/>
                <w:bCs w:val="0"/>
                <w:sz w:val="20"/>
                <w:szCs w:val="20"/>
                <w:lang w:eastAsia="en-AU"/>
              </w:rPr>
              <w:t xml:space="preserve">be undertaken. </w:t>
            </w:r>
          </w:p>
        </w:tc>
      </w:tr>
      <w:tr w:rsidR="001C34F3" w14:paraId="3B295CB9" w14:textId="77777777" w:rsidTr="00FD555F">
        <w:tblPrEx>
          <w:tblBorders>
            <w:top w:val="none" w:sz="0" w:space="0" w:color="auto"/>
            <w:left w:val="none" w:sz="0" w:space="0" w:color="auto"/>
            <w:bottom w:val="none" w:sz="0" w:space="0" w:color="auto"/>
            <w:right w:val="none" w:sz="0" w:space="0" w:color="auto"/>
            <w:insideV w:val="none" w:sz="0" w:space="0" w:color="auto"/>
          </w:tblBorders>
        </w:tblPrEx>
        <w:tc>
          <w:tcPr>
            <w:tcW w:w="9243" w:type="dxa"/>
            <w:tcBorders>
              <w:top w:val="single" w:sz="4" w:space="0" w:color="auto"/>
              <w:left w:val="single" w:sz="4" w:space="0" w:color="auto"/>
              <w:bottom w:val="single" w:sz="4" w:space="0" w:color="auto"/>
              <w:right w:val="single" w:sz="4" w:space="0" w:color="auto"/>
            </w:tcBorders>
          </w:tcPr>
          <w:p w14:paraId="2DBC5747" w14:textId="2D6D02E7" w:rsidR="00FD555F" w:rsidRPr="00FD555F" w:rsidRDefault="00FD555F" w:rsidP="00CE0C02">
            <w:pPr>
              <w:pStyle w:val="Heading3"/>
              <w:keepLines/>
              <w:numPr>
                <w:ilvl w:val="2"/>
                <w:numId w:val="0"/>
              </w:numPr>
              <w:spacing w:before="240" w:after="240"/>
              <w:ind w:left="851" w:hanging="851"/>
              <w:jc w:val="both"/>
              <w:rPr>
                <w:bCs/>
                <w:sz w:val="20"/>
              </w:rPr>
            </w:pPr>
            <w:r w:rsidRPr="00FD555F">
              <w:rPr>
                <w:bCs/>
                <w:sz w:val="20"/>
              </w:rPr>
              <w:t>12.2 Flora and fauna</w:t>
            </w:r>
          </w:p>
          <w:p w14:paraId="0B39E144" w14:textId="70DB7249" w:rsidR="00CE0C02" w:rsidRPr="00CE0C02" w:rsidRDefault="00CE0C02" w:rsidP="00CE0C02">
            <w:pPr>
              <w:pStyle w:val="Heading3"/>
              <w:keepLines/>
              <w:numPr>
                <w:ilvl w:val="2"/>
                <w:numId w:val="0"/>
              </w:numPr>
              <w:spacing w:before="240" w:after="240"/>
              <w:ind w:left="851" w:hanging="851"/>
              <w:jc w:val="both"/>
              <w:rPr>
                <w:sz w:val="20"/>
              </w:rPr>
            </w:pPr>
            <w:r>
              <w:rPr>
                <w:sz w:val="20"/>
              </w:rPr>
              <w:t xml:space="preserve">12.2.1 </w:t>
            </w:r>
            <w:r w:rsidRPr="00CE0C02">
              <w:rPr>
                <w:sz w:val="20"/>
              </w:rPr>
              <w:t xml:space="preserve">What investigations of flora and fauna in the Project area have been done? </w:t>
            </w:r>
          </w:p>
          <w:p w14:paraId="4683B69C" w14:textId="77777777" w:rsidR="00CE0C02" w:rsidRPr="00CE0C02" w:rsidRDefault="00CE0C02" w:rsidP="00CE0C02">
            <w:pPr>
              <w:pStyle w:val="BodyText"/>
              <w:jc w:val="both"/>
              <w:rPr>
                <w:rFonts w:ascii="Arial" w:hAnsi="Arial"/>
                <w:b w:val="0"/>
                <w:bCs w:val="0"/>
                <w:sz w:val="20"/>
                <w:szCs w:val="20"/>
                <w:lang w:eastAsia="en-AU"/>
              </w:rPr>
            </w:pPr>
            <w:r w:rsidRPr="00CE0C02">
              <w:rPr>
                <w:rFonts w:ascii="Arial" w:hAnsi="Arial"/>
                <w:b w:val="0"/>
                <w:bCs w:val="0"/>
                <w:sz w:val="20"/>
                <w:szCs w:val="20"/>
                <w:lang w:eastAsia="en-AU"/>
              </w:rPr>
              <w:t>See Section 12.1.2.</w:t>
            </w:r>
          </w:p>
          <w:p w14:paraId="46014E65" w14:textId="77777777" w:rsidR="001C34F3" w:rsidRPr="00CE0C02" w:rsidRDefault="001C34F3">
            <w:pPr>
              <w:rPr>
                <w:rFonts w:ascii="Arial" w:hAnsi="Arial"/>
                <w:b/>
              </w:rPr>
            </w:pPr>
          </w:p>
        </w:tc>
      </w:tr>
      <w:tr w:rsidR="001C34F3" w14:paraId="26697ECD" w14:textId="77777777" w:rsidTr="00FD555F">
        <w:tc>
          <w:tcPr>
            <w:tcW w:w="9243" w:type="dxa"/>
            <w:tcBorders>
              <w:top w:val="single" w:sz="4" w:space="0" w:color="auto"/>
              <w:bottom w:val="single" w:sz="4" w:space="0" w:color="auto"/>
            </w:tcBorders>
          </w:tcPr>
          <w:p w14:paraId="3CD6EB7E" w14:textId="77777777" w:rsidR="007E3F19" w:rsidRPr="007E3F19" w:rsidRDefault="007E3F19" w:rsidP="002467D8">
            <w:pPr>
              <w:pStyle w:val="Heading3"/>
              <w:keepLines/>
              <w:numPr>
                <w:ilvl w:val="2"/>
                <w:numId w:val="0"/>
              </w:numPr>
              <w:spacing w:before="240" w:after="240"/>
              <w:ind w:left="851" w:hanging="851"/>
              <w:rPr>
                <w:sz w:val="20"/>
              </w:rPr>
            </w:pPr>
            <w:r>
              <w:rPr>
                <w:sz w:val="20"/>
              </w:rPr>
              <w:lastRenderedPageBreak/>
              <w:t>12.2.2</w:t>
            </w:r>
            <w:r w:rsidR="002467D8">
              <w:rPr>
                <w:sz w:val="20"/>
              </w:rPr>
              <w:t xml:space="preserve"> </w:t>
            </w:r>
            <w:r w:rsidRPr="007E3F19">
              <w:rPr>
                <w:sz w:val="20"/>
              </w:rPr>
              <w:t xml:space="preserve">Have any threatened or migratory species or listed communities been recorded from the local area?  </w:t>
            </w:r>
          </w:p>
          <w:p w14:paraId="02967DF5" w14:textId="77777777" w:rsidR="00EC6C73" w:rsidRPr="00EC6C73" w:rsidRDefault="00EC6C73" w:rsidP="007E3F19">
            <w:pPr>
              <w:pStyle w:val="BodyText"/>
              <w:jc w:val="both"/>
              <w:rPr>
                <w:rFonts w:ascii="Arial" w:hAnsi="Arial"/>
                <w:b w:val="0"/>
                <w:bCs w:val="0"/>
                <w:sz w:val="20"/>
                <w:szCs w:val="20"/>
                <w:lang w:eastAsia="en-AU"/>
              </w:rPr>
            </w:pP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No    </w:t>
            </w:r>
            <w:r w:rsidRPr="00EC6C73">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37A482D5" w14:textId="77777777" w:rsidR="00EC6C73" w:rsidRDefault="00EC6C73" w:rsidP="007E3F19">
            <w:pPr>
              <w:pStyle w:val="BodyText"/>
              <w:jc w:val="both"/>
              <w:rPr>
                <w:rFonts w:ascii="Arial" w:hAnsi="Arial"/>
                <w:b w:val="0"/>
              </w:rPr>
            </w:pPr>
          </w:p>
          <w:p w14:paraId="1C1502CA" w14:textId="626AD61A" w:rsidR="007E3F19" w:rsidRDefault="007E3F19" w:rsidP="007E3F19">
            <w:pPr>
              <w:pStyle w:val="BodyText"/>
              <w:jc w:val="both"/>
              <w:rPr>
                <w:rFonts w:ascii="Arial" w:hAnsi="Arial"/>
                <w:b w:val="0"/>
                <w:bCs w:val="0"/>
                <w:sz w:val="20"/>
                <w:szCs w:val="20"/>
                <w:lang w:eastAsia="en-AU"/>
              </w:rPr>
            </w:pPr>
            <w:r w:rsidRPr="007E3F19">
              <w:rPr>
                <w:rFonts w:ascii="Arial" w:hAnsi="Arial"/>
                <w:b w:val="0"/>
                <w:bCs w:val="0"/>
                <w:sz w:val="20"/>
                <w:szCs w:val="20"/>
                <w:lang w:eastAsia="en-AU"/>
              </w:rPr>
              <w:t xml:space="preserve">Yes, baseline surveys confirmed the presence of one ecological community listed under the Victorian </w:t>
            </w:r>
            <w:r w:rsidRPr="002467D8">
              <w:rPr>
                <w:rFonts w:ascii="Arial" w:hAnsi="Arial"/>
                <w:b w:val="0"/>
                <w:bCs w:val="0"/>
                <w:i/>
                <w:sz w:val="20"/>
                <w:szCs w:val="20"/>
                <w:lang w:eastAsia="en-AU"/>
              </w:rPr>
              <w:t>Flora and Fauna Guarantee Act 1988</w:t>
            </w:r>
            <w:r w:rsidRPr="007E3F19">
              <w:rPr>
                <w:rFonts w:ascii="Arial" w:hAnsi="Arial"/>
                <w:b w:val="0"/>
                <w:bCs w:val="0"/>
                <w:sz w:val="20"/>
                <w:szCs w:val="20"/>
                <w:lang w:eastAsia="en-AU"/>
              </w:rPr>
              <w:t xml:space="preserve"> (FFG Act), namely Victorian Temperate Woodland Bird Community and likely presence of two further ecological communities, namely Semi-arid Northwest Plains </w:t>
            </w:r>
            <w:proofErr w:type="spellStart"/>
            <w:r w:rsidRPr="007E3F19">
              <w:rPr>
                <w:rFonts w:ascii="Arial" w:hAnsi="Arial"/>
                <w:b w:val="0"/>
                <w:bCs w:val="0"/>
                <w:sz w:val="20"/>
                <w:szCs w:val="20"/>
                <w:lang w:eastAsia="en-AU"/>
              </w:rPr>
              <w:t>Buloke</w:t>
            </w:r>
            <w:proofErr w:type="spellEnd"/>
            <w:r w:rsidRPr="007E3F19">
              <w:rPr>
                <w:rFonts w:ascii="Arial" w:hAnsi="Arial"/>
                <w:b w:val="0"/>
                <w:bCs w:val="0"/>
                <w:sz w:val="20"/>
                <w:szCs w:val="20"/>
                <w:lang w:eastAsia="en-AU"/>
              </w:rPr>
              <w:t xml:space="preserve"> Grassy Woodland Community and Red Gum Swamp Community No. 1 (in the </w:t>
            </w:r>
            <w:r w:rsidR="00774F21" w:rsidRPr="00774F21">
              <w:rPr>
                <w:rFonts w:ascii="Arial" w:hAnsi="Arial"/>
                <w:b w:val="0"/>
                <w:bCs w:val="0"/>
                <w:sz w:val="20"/>
                <w:szCs w:val="20"/>
                <w:lang w:eastAsia="en-AU"/>
              </w:rPr>
              <w:t>biodiversity study area</w:t>
            </w:r>
            <w:r w:rsidR="00774F21">
              <w:rPr>
                <w:rFonts w:ascii="Arial" w:hAnsi="Arial"/>
                <w:b w:val="0"/>
                <w:bCs w:val="0"/>
                <w:sz w:val="20"/>
                <w:szCs w:val="20"/>
                <w:lang w:eastAsia="en-AU"/>
              </w:rPr>
              <w:t>).</w:t>
            </w:r>
            <w:r w:rsidRPr="007E3F19">
              <w:rPr>
                <w:rFonts w:ascii="Arial" w:hAnsi="Arial"/>
                <w:b w:val="0"/>
                <w:bCs w:val="0"/>
                <w:sz w:val="20"/>
                <w:szCs w:val="20"/>
                <w:lang w:eastAsia="en-AU"/>
              </w:rPr>
              <w:t xml:space="preserve"> Five species listed under the FFG Act were recorded:</w:t>
            </w:r>
          </w:p>
          <w:p w14:paraId="6D18B3D5" w14:textId="77777777" w:rsidR="007E3F19" w:rsidRPr="007E3F19" w:rsidRDefault="007E3F19" w:rsidP="007E3F19">
            <w:pPr>
              <w:pStyle w:val="BodyText"/>
              <w:jc w:val="both"/>
              <w:rPr>
                <w:rFonts w:ascii="Arial" w:hAnsi="Arial"/>
                <w:b w:val="0"/>
                <w:bCs w:val="0"/>
                <w:sz w:val="20"/>
                <w:szCs w:val="20"/>
                <w:lang w:eastAsia="en-AU"/>
              </w:rPr>
            </w:pPr>
          </w:p>
          <w:p w14:paraId="67B7D1E9" w14:textId="77777777" w:rsidR="007E3F19" w:rsidRPr="0017475D" w:rsidRDefault="007E3F19" w:rsidP="00C70314">
            <w:pPr>
              <w:pStyle w:val="ListBullet"/>
              <w:numPr>
                <w:ilvl w:val="0"/>
                <w:numId w:val="25"/>
              </w:numPr>
              <w:rPr>
                <w:b w:val="0"/>
                <w:bCs w:val="0"/>
              </w:rPr>
            </w:pPr>
            <w:proofErr w:type="spellStart"/>
            <w:r w:rsidRPr="0017475D">
              <w:rPr>
                <w:b w:val="0"/>
                <w:bCs w:val="0"/>
              </w:rPr>
              <w:t>Buloke</w:t>
            </w:r>
            <w:proofErr w:type="spellEnd"/>
            <w:r w:rsidRPr="0017475D">
              <w:rPr>
                <w:b w:val="0"/>
                <w:bCs w:val="0"/>
              </w:rPr>
              <w:t xml:space="preserve"> (</w:t>
            </w:r>
            <w:proofErr w:type="spellStart"/>
            <w:r w:rsidRPr="0017475D">
              <w:rPr>
                <w:b w:val="0"/>
                <w:bCs w:val="0"/>
              </w:rPr>
              <w:t>Allocasuarina</w:t>
            </w:r>
            <w:proofErr w:type="spellEnd"/>
            <w:r w:rsidRPr="0017475D">
              <w:rPr>
                <w:b w:val="0"/>
                <w:bCs w:val="0"/>
              </w:rPr>
              <w:t xml:space="preserve"> </w:t>
            </w:r>
            <w:proofErr w:type="spellStart"/>
            <w:r w:rsidRPr="0017475D">
              <w:rPr>
                <w:b w:val="0"/>
                <w:bCs w:val="0"/>
              </w:rPr>
              <w:t>luehmannii</w:t>
            </w:r>
            <w:proofErr w:type="spellEnd"/>
            <w:r w:rsidRPr="0017475D">
              <w:rPr>
                <w:b w:val="0"/>
                <w:bCs w:val="0"/>
              </w:rPr>
              <w:t xml:space="preserve">); </w:t>
            </w:r>
          </w:p>
          <w:p w14:paraId="11FCC844" w14:textId="77777777" w:rsidR="007E3F19" w:rsidRPr="0017475D" w:rsidRDefault="007E3F19" w:rsidP="00C70314">
            <w:pPr>
              <w:pStyle w:val="ListBullet"/>
              <w:numPr>
                <w:ilvl w:val="0"/>
                <w:numId w:val="25"/>
              </w:numPr>
              <w:rPr>
                <w:b w:val="0"/>
                <w:bCs w:val="0"/>
              </w:rPr>
            </w:pPr>
            <w:r w:rsidRPr="0017475D">
              <w:rPr>
                <w:b w:val="0"/>
                <w:bCs w:val="0"/>
              </w:rPr>
              <w:t>Magpie Goose (</w:t>
            </w:r>
            <w:proofErr w:type="spellStart"/>
            <w:r w:rsidRPr="0017475D">
              <w:rPr>
                <w:b w:val="0"/>
                <w:bCs w:val="0"/>
              </w:rPr>
              <w:t>Anseranus</w:t>
            </w:r>
            <w:proofErr w:type="spellEnd"/>
            <w:r w:rsidRPr="0017475D">
              <w:rPr>
                <w:b w:val="0"/>
                <w:bCs w:val="0"/>
              </w:rPr>
              <w:t xml:space="preserve"> </w:t>
            </w:r>
            <w:proofErr w:type="spellStart"/>
            <w:r w:rsidRPr="0017475D">
              <w:rPr>
                <w:b w:val="0"/>
                <w:bCs w:val="0"/>
              </w:rPr>
              <w:t>semipalmata</w:t>
            </w:r>
            <w:proofErr w:type="spellEnd"/>
            <w:r w:rsidRPr="0017475D">
              <w:rPr>
                <w:b w:val="0"/>
                <w:bCs w:val="0"/>
              </w:rPr>
              <w:t xml:space="preserve">); </w:t>
            </w:r>
          </w:p>
          <w:p w14:paraId="299B8C68" w14:textId="77777777" w:rsidR="007E3F19" w:rsidRPr="0017475D" w:rsidRDefault="007E3F19" w:rsidP="00C70314">
            <w:pPr>
              <w:pStyle w:val="ListBullet"/>
              <w:numPr>
                <w:ilvl w:val="0"/>
                <w:numId w:val="25"/>
              </w:numPr>
              <w:rPr>
                <w:b w:val="0"/>
                <w:bCs w:val="0"/>
              </w:rPr>
            </w:pPr>
            <w:r w:rsidRPr="0017475D">
              <w:rPr>
                <w:b w:val="0"/>
                <w:bCs w:val="0"/>
              </w:rPr>
              <w:t>Diamond Firetail (</w:t>
            </w:r>
            <w:proofErr w:type="spellStart"/>
            <w:r w:rsidRPr="0017475D">
              <w:rPr>
                <w:b w:val="0"/>
                <w:bCs w:val="0"/>
                <w:i/>
              </w:rPr>
              <w:t>Stagnopleura</w:t>
            </w:r>
            <w:proofErr w:type="spellEnd"/>
            <w:r w:rsidRPr="0017475D">
              <w:rPr>
                <w:b w:val="0"/>
                <w:bCs w:val="0"/>
                <w:i/>
              </w:rPr>
              <w:t xml:space="preserve"> </w:t>
            </w:r>
            <w:proofErr w:type="spellStart"/>
            <w:r w:rsidRPr="0017475D">
              <w:rPr>
                <w:b w:val="0"/>
                <w:bCs w:val="0"/>
                <w:i/>
              </w:rPr>
              <w:t>guttata</w:t>
            </w:r>
            <w:proofErr w:type="spellEnd"/>
            <w:r w:rsidRPr="0017475D">
              <w:rPr>
                <w:b w:val="0"/>
                <w:bCs w:val="0"/>
              </w:rPr>
              <w:t xml:space="preserve">); </w:t>
            </w:r>
          </w:p>
          <w:p w14:paraId="4F6631FF" w14:textId="77777777" w:rsidR="007E3F19" w:rsidRPr="0017475D" w:rsidRDefault="007E3F19" w:rsidP="00C70314">
            <w:pPr>
              <w:pStyle w:val="ListBullet"/>
              <w:numPr>
                <w:ilvl w:val="0"/>
                <w:numId w:val="25"/>
              </w:numPr>
              <w:rPr>
                <w:b w:val="0"/>
                <w:bCs w:val="0"/>
              </w:rPr>
            </w:pPr>
            <w:r w:rsidRPr="0017475D">
              <w:rPr>
                <w:b w:val="0"/>
                <w:bCs w:val="0"/>
              </w:rPr>
              <w:t>Whiskered Tern (</w:t>
            </w:r>
            <w:proofErr w:type="spellStart"/>
            <w:r w:rsidRPr="0017475D">
              <w:rPr>
                <w:b w:val="0"/>
                <w:bCs w:val="0"/>
                <w:i/>
              </w:rPr>
              <w:t>Chlidonyas</w:t>
            </w:r>
            <w:proofErr w:type="spellEnd"/>
            <w:r w:rsidRPr="0017475D">
              <w:rPr>
                <w:b w:val="0"/>
                <w:bCs w:val="0"/>
                <w:i/>
              </w:rPr>
              <w:t xml:space="preserve"> </w:t>
            </w:r>
            <w:proofErr w:type="spellStart"/>
            <w:r w:rsidRPr="0017475D">
              <w:rPr>
                <w:b w:val="0"/>
                <w:bCs w:val="0"/>
                <w:i/>
              </w:rPr>
              <w:t>hybrida</w:t>
            </w:r>
            <w:proofErr w:type="spellEnd"/>
            <w:r w:rsidRPr="0017475D">
              <w:rPr>
                <w:b w:val="0"/>
                <w:bCs w:val="0"/>
              </w:rPr>
              <w:t xml:space="preserve">); and </w:t>
            </w:r>
          </w:p>
          <w:p w14:paraId="1E98D0AA" w14:textId="77777777" w:rsidR="007E3F19" w:rsidRPr="0017475D" w:rsidRDefault="007E3F19" w:rsidP="00C70314">
            <w:pPr>
              <w:pStyle w:val="ListBullet"/>
              <w:numPr>
                <w:ilvl w:val="0"/>
                <w:numId w:val="25"/>
              </w:numPr>
              <w:rPr>
                <w:b w:val="0"/>
                <w:bCs w:val="0"/>
              </w:rPr>
            </w:pPr>
            <w:r w:rsidRPr="0017475D">
              <w:rPr>
                <w:b w:val="0"/>
                <w:bCs w:val="0"/>
              </w:rPr>
              <w:t xml:space="preserve">Brown </w:t>
            </w:r>
            <w:proofErr w:type="spellStart"/>
            <w:r w:rsidRPr="0017475D">
              <w:rPr>
                <w:b w:val="0"/>
                <w:bCs w:val="0"/>
              </w:rPr>
              <w:t>Toadlet</w:t>
            </w:r>
            <w:proofErr w:type="spellEnd"/>
            <w:r w:rsidRPr="0017475D">
              <w:rPr>
                <w:b w:val="0"/>
                <w:bCs w:val="0"/>
              </w:rPr>
              <w:t xml:space="preserve"> (</w:t>
            </w:r>
            <w:proofErr w:type="spellStart"/>
            <w:r w:rsidRPr="0017475D">
              <w:rPr>
                <w:b w:val="0"/>
                <w:bCs w:val="0"/>
              </w:rPr>
              <w:t>Pseudophryne</w:t>
            </w:r>
            <w:proofErr w:type="spellEnd"/>
            <w:r w:rsidRPr="0017475D">
              <w:rPr>
                <w:b w:val="0"/>
                <w:bCs w:val="0"/>
              </w:rPr>
              <w:t xml:space="preserve"> </w:t>
            </w:r>
            <w:proofErr w:type="spellStart"/>
            <w:r w:rsidRPr="0017475D">
              <w:rPr>
                <w:b w:val="0"/>
                <w:bCs w:val="0"/>
              </w:rPr>
              <w:t>bibronii</w:t>
            </w:r>
            <w:proofErr w:type="spellEnd"/>
            <w:r w:rsidRPr="0017475D">
              <w:rPr>
                <w:b w:val="0"/>
                <w:bCs w:val="0"/>
              </w:rPr>
              <w:t xml:space="preserve">). </w:t>
            </w:r>
          </w:p>
          <w:p w14:paraId="6789D91B" w14:textId="6479A494" w:rsidR="00890ED2" w:rsidRPr="006960F4" w:rsidRDefault="007E3F19" w:rsidP="002D68CC">
            <w:pPr>
              <w:pStyle w:val="BodyText"/>
              <w:spacing w:before="120"/>
              <w:jc w:val="left"/>
              <w:rPr>
                <w:rFonts w:ascii="Arial" w:hAnsi="Arial"/>
                <w:b w:val="0"/>
                <w:sz w:val="20"/>
                <w:szCs w:val="20"/>
                <w:lang w:eastAsia="en-AU"/>
              </w:rPr>
            </w:pPr>
            <w:r w:rsidRPr="006960F4">
              <w:rPr>
                <w:rFonts w:ascii="Arial" w:hAnsi="Arial"/>
                <w:b w:val="0"/>
                <w:sz w:val="20"/>
                <w:szCs w:val="20"/>
                <w:lang w:eastAsia="en-AU"/>
              </w:rPr>
              <w:t xml:space="preserve">Migratory species were not recorded during baseline surveys. Species that may occur in the </w:t>
            </w:r>
            <w:r w:rsidR="00774F21" w:rsidRPr="006960F4">
              <w:rPr>
                <w:rFonts w:ascii="Arial" w:hAnsi="Arial"/>
                <w:b w:val="0"/>
                <w:sz w:val="20"/>
                <w:szCs w:val="20"/>
                <w:lang w:eastAsia="en-AU"/>
              </w:rPr>
              <w:t xml:space="preserve">biodiversity study area </w:t>
            </w:r>
            <w:r w:rsidRPr="006960F4">
              <w:rPr>
                <w:rFonts w:ascii="Arial" w:hAnsi="Arial"/>
                <w:b w:val="0"/>
                <w:sz w:val="20"/>
                <w:szCs w:val="20"/>
                <w:lang w:eastAsia="en-AU"/>
              </w:rPr>
              <w:t xml:space="preserve">on an occasional basis </w:t>
            </w:r>
            <w:r w:rsidR="009C3EA8" w:rsidRPr="006960F4">
              <w:rPr>
                <w:rFonts w:ascii="Arial" w:hAnsi="Arial"/>
                <w:b w:val="0"/>
                <w:sz w:val="20"/>
                <w:szCs w:val="20"/>
                <w:lang w:eastAsia="en-AU"/>
              </w:rPr>
              <w:t>are</w:t>
            </w:r>
            <w:r w:rsidR="00890ED2" w:rsidRPr="006960F4">
              <w:rPr>
                <w:rFonts w:ascii="Arial" w:hAnsi="Arial"/>
                <w:b w:val="0"/>
                <w:sz w:val="20"/>
                <w:szCs w:val="20"/>
                <w:lang w:eastAsia="en-AU"/>
              </w:rPr>
              <w:t>:</w:t>
            </w:r>
          </w:p>
          <w:p w14:paraId="2E5AC85C" w14:textId="77777777" w:rsidR="00890ED2" w:rsidRPr="006960F4" w:rsidRDefault="00890ED2" w:rsidP="002D68CC">
            <w:pPr>
              <w:pStyle w:val="BodyText"/>
              <w:jc w:val="left"/>
              <w:rPr>
                <w:rFonts w:ascii="Arial" w:hAnsi="Arial"/>
                <w:b w:val="0"/>
                <w:sz w:val="20"/>
                <w:szCs w:val="20"/>
                <w:lang w:eastAsia="en-AU"/>
              </w:rPr>
            </w:pPr>
          </w:p>
          <w:p w14:paraId="6BC54C4F" w14:textId="77777777" w:rsidR="00890ED2" w:rsidRPr="0017475D" w:rsidRDefault="007E3F19">
            <w:pPr>
              <w:pStyle w:val="ListBullet"/>
              <w:rPr>
                <w:b w:val="0"/>
                <w:bCs w:val="0"/>
              </w:rPr>
            </w:pPr>
            <w:r w:rsidRPr="0017475D">
              <w:rPr>
                <w:b w:val="0"/>
                <w:bCs w:val="0"/>
              </w:rPr>
              <w:t>Common Sandpiper (</w:t>
            </w:r>
            <w:proofErr w:type="spellStart"/>
            <w:r w:rsidRPr="0017475D">
              <w:rPr>
                <w:b w:val="0"/>
                <w:bCs w:val="0"/>
                <w:i/>
              </w:rPr>
              <w:t>Actitus</w:t>
            </w:r>
            <w:proofErr w:type="spellEnd"/>
            <w:r w:rsidRPr="0017475D">
              <w:rPr>
                <w:b w:val="0"/>
                <w:bCs w:val="0"/>
                <w:i/>
              </w:rPr>
              <w:t xml:space="preserve"> </w:t>
            </w:r>
            <w:proofErr w:type="spellStart"/>
            <w:r w:rsidRPr="0017475D">
              <w:rPr>
                <w:b w:val="0"/>
                <w:bCs w:val="0"/>
                <w:i/>
              </w:rPr>
              <w:t>hypoleucos</w:t>
            </w:r>
            <w:proofErr w:type="spellEnd"/>
            <w:r w:rsidRPr="0017475D">
              <w:rPr>
                <w:b w:val="0"/>
                <w:bCs w:val="0"/>
              </w:rPr>
              <w:t>)</w:t>
            </w:r>
            <w:r w:rsidR="00890ED2" w:rsidRPr="0017475D">
              <w:rPr>
                <w:b w:val="0"/>
                <w:bCs w:val="0"/>
              </w:rPr>
              <w:t>;</w:t>
            </w:r>
          </w:p>
          <w:p w14:paraId="0B0D5934" w14:textId="77777777" w:rsidR="00890ED2" w:rsidRPr="0017475D" w:rsidRDefault="007E3F19">
            <w:pPr>
              <w:pStyle w:val="ListBullet"/>
              <w:rPr>
                <w:b w:val="0"/>
                <w:bCs w:val="0"/>
              </w:rPr>
            </w:pPr>
            <w:r w:rsidRPr="0017475D">
              <w:rPr>
                <w:b w:val="0"/>
                <w:bCs w:val="0"/>
              </w:rPr>
              <w:t>Sharp-tailed Sandpiper (</w:t>
            </w:r>
            <w:proofErr w:type="spellStart"/>
            <w:r w:rsidRPr="0017475D">
              <w:rPr>
                <w:b w:val="0"/>
                <w:bCs w:val="0"/>
                <w:i/>
              </w:rPr>
              <w:t>Calidris</w:t>
            </w:r>
            <w:proofErr w:type="spellEnd"/>
            <w:r w:rsidRPr="0017475D">
              <w:rPr>
                <w:b w:val="0"/>
                <w:bCs w:val="0"/>
                <w:i/>
              </w:rPr>
              <w:t xml:space="preserve"> </w:t>
            </w:r>
            <w:proofErr w:type="spellStart"/>
            <w:r w:rsidRPr="0017475D">
              <w:rPr>
                <w:b w:val="0"/>
                <w:bCs w:val="0"/>
                <w:i/>
              </w:rPr>
              <w:t>acuminata</w:t>
            </w:r>
            <w:proofErr w:type="spellEnd"/>
            <w:r w:rsidRPr="0017475D">
              <w:rPr>
                <w:b w:val="0"/>
                <w:bCs w:val="0"/>
              </w:rPr>
              <w:t>)</w:t>
            </w:r>
            <w:r w:rsidR="00890ED2" w:rsidRPr="0017475D">
              <w:rPr>
                <w:b w:val="0"/>
                <w:bCs w:val="0"/>
              </w:rPr>
              <w:t>;</w:t>
            </w:r>
          </w:p>
          <w:p w14:paraId="1A23E5F4" w14:textId="77777777" w:rsidR="00890ED2" w:rsidRPr="0017475D" w:rsidRDefault="007E3F19">
            <w:pPr>
              <w:pStyle w:val="ListBullet"/>
              <w:rPr>
                <w:b w:val="0"/>
                <w:bCs w:val="0"/>
              </w:rPr>
            </w:pPr>
            <w:r w:rsidRPr="0017475D">
              <w:rPr>
                <w:b w:val="0"/>
                <w:bCs w:val="0"/>
              </w:rPr>
              <w:t>Pectoral Sandpiper (</w:t>
            </w:r>
            <w:proofErr w:type="spellStart"/>
            <w:r w:rsidRPr="0017475D">
              <w:rPr>
                <w:b w:val="0"/>
                <w:bCs w:val="0"/>
                <w:i/>
              </w:rPr>
              <w:t>Calidris</w:t>
            </w:r>
            <w:proofErr w:type="spellEnd"/>
            <w:r w:rsidRPr="0017475D">
              <w:rPr>
                <w:b w:val="0"/>
                <w:bCs w:val="0"/>
                <w:i/>
              </w:rPr>
              <w:t xml:space="preserve"> </w:t>
            </w:r>
            <w:proofErr w:type="spellStart"/>
            <w:r w:rsidRPr="0017475D">
              <w:rPr>
                <w:b w:val="0"/>
                <w:bCs w:val="0"/>
                <w:i/>
              </w:rPr>
              <w:t>melanotos</w:t>
            </w:r>
            <w:proofErr w:type="spellEnd"/>
            <w:r w:rsidRPr="0017475D">
              <w:rPr>
                <w:b w:val="0"/>
                <w:bCs w:val="0"/>
              </w:rPr>
              <w:t>)</w:t>
            </w:r>
            <w:r w:rsidR="00890ED2" w:rsidRPr="0017475D">
              <w:rPr>
                <w:b w:val="0"/>
                <w:bCs w:val="0"/>
              </w:rPr>
              <w:t>;</w:t>
            </w:r>
          </w:p>
          <w:p w14:paraId="6E396EBF" w14:textId="77777777" w:rsidR="00890ED2" w:rsidRPr="0017475D" w:rsidRDefault="007E3F19">
            <w:pPr>
              <w:pStyle w:val="ListBullet"/>
              <w:rPr>
                <w:b w:val="0"/>
                <w:bCs w:val="0"/>
              </w:rPr>
            </w:pPr>
            <w:r w:rsidRPr="0017475D">
              <w:rPr>
                <w:b w:val="0"/>
                <w:bCs w:val="0"/>
              </w:rPr>
              <w:t>Latham’s Snipe (</w:t>
            </w:r>
            <w:proofErr w:type="spellStart"/>
            <w:r w:rsidRPr="0017475D">
              <w:rPr>
                <w:b w:val="0"/>
                <w:bCs w:val="0"/>
                <w:i/>
              </w:rPr>
              <w:t>Gallinago</w:t>
            </w:r>
            <w:proofErr w:type="spellEnd"/>
            <w:r w:rsidRPr="0017475D">
              <w:rPr>
                <w:b w:val="0"/>
                <w:bCs w:val="0"/>
                <w:i/>
              </w:rPr>
              <w:t xml:space="preserve"> </w:t>
            </w:r>
            <w:proofErr w:type="spellStart"/>
            <w:r w:rsidRPr="0017475D">
              <w:rPr>
                <w:b w:val="0"/>
                <w:bCs w:val="0"/>
                <w:i/>
              </w:rPr>
              <w:t>hardwickii</w:t>
            </w:r>
            <w:proofErr w:type="spellEnd"/>
            <w:r w:rsidRPr="0017475D">
              <w:rPr>
                <w:b w:val="0"/>
                <w:bCs w:val="0"/>
              </w:rPr>
              <w:t>)</w:t>
            </w:r>
            <w:r w:rsidR="00890ED2" w:rsidRPr="0017475D">
              <w:rPr>
                <w:b w:val="0"/>
                <w:bCs w:val="0"/>
              </w:rPr>
              <w:t>;</w:t>
            </w:r>
            <w:r w:rsidRPr="0017475D">
              <w:rPr>
                <w:b w:val="0"/>
                <w:bCs w:val="0"/>
              </w:rPr>
              <w:t xml:space="preserve"> and </w:t>
            </w:r>
          </w:p>
          <w:p w14:paraId="168346B0" w14:textId="77777777" w:rsidR="001C34F3" w:rsidRDefault="007E3F19">
            <w:pPr>
              <w:pStyle w:val="ListBullet"/>
            </w:pPr>
            <w:r w:rsidRPr="0017475D">
              <w:rPr>
                <w:b w:val="0"/>
                <w:bCs w:val="0"/>
              </w:rPr>
              <w:t>Common Greenshank (</w:t>
            </w:r>
            <w:proofErr w:type="spellStart"/>
            <w:r w:rsidRPr="0017475D">
              <w:rPr>
                <w:b w:val="0"/>
                <w:bCs w:val="0"/>
                <w:i/>
              </w:rPr>
              <w:t>Tringa</w:t>
            </w:r>
            <w:proofErr w:type="spellEnd"/>
            <w:r w:rsidRPr="0017475D">
              <w:rPr>
                <w:b w:val="0"/>
                <w:bCs w:val="0"/>
                <w:i/>
              </w:rPr>
              <w:t xml:space="preserve"> </w:t>
            </w:r>
            <w:proofErr w:type="spellStart"/>
            <w:r w:rsidRPr="0017475D">
              <w:rPr>
                <w:b w:val="0"/>
                <w:bCs w:val="0"/>
                <w:i/>
              </w:rPr>
              <w:t>nebularia</w:t>
            </w:r>
            <w:proofErr w:type="spellEnd"/>
            <w:r w:rsidRPr="0017475D">
              <w:rPr>
                <w:b w:val="0"/>
                <w:bCs w:val="0"/>
              </w:rPr>
              <w:t>).</w:t>
            </w:r>
            <w:r w:rsidR="002D68CC">
              <w:br/>
            </w:r>
          </w:p>
          <w:p w14:paraId="2C5A7C91" w14:textId="54659734" w:rsidR="002D68CC" w:rsidRPr="00712704" w:rsidRDefault="002D68CC" w:rsidP="00AD07F1">
            <w:pPr>
              <w:pStyle w:val="BodyText"/>
              <w:spacing w:before="120"/>
              <w:jc w:val="left"/>
            </w:pPr>
            <w:r w:rsidRPr="00AD07F1">
              <w:rPr>
                <w:rFonts w:ascii="Arial" w:hAnsi="Arial"/>
                <w:b w:val="0"/>
                <w:sz w:val="20"/>
                <w:szCs w:val="20"/>
                <w:lang w:eastAsia="en-AU"/>
              </w:rPr>
              <w:t>As detailed in Section 8.1.1 the PMST reports for the offsite infrastructure indicated that 11 migratory species and 3 listed ecological communities may occur in or relate to these corridors and footprints (Appendix J).</w:t>
            </w:r>
          </w:p>
        </w:tc>
      </w:tr>
      <w:tr w:rsidR="00CE0C02" w14:paraId="199A7886" w14:textId="77777777" w:rsidTr="00FD555F">
        <w:tc>
          <w:tcPr>
            <w:tcW w:w="9243" w:type="dxa"/>
            <w:tcBorders>
              <w:top w:val="single" w:sz="4" w:space="0" w:color="auto"/>
              <w:bottom w:val="single" w:sz="4" w:space="0" w:color="auto"/>
            </w:tcBorders>
          </w:tcPr>
          <w:p w14:paraId="383233D3" w14:textId="77777777" w:rsidR="007E3F19" w:rsidRPr="007E3F19" w:rsidRDefault="007E3F19" w:rsidP="007E3F19">
            <w:pPr>
              <w:pStyle w:val="Heading3"/>
              <w:keepLines/>
              <w:numPr>
                <w:ilvl w:val="2"/>
                <w:numId w:val="0"/>
              </w:numPr>
              <w:spacing w:before="240" w:after="240"/>
              <w:ind w:left="851" w:hanging="851"/>
              <w:jc w:val="both"/>
              <w:rPr>
                <w:sz w:val="20"/>
              </w:rPr>
            </w:pPr>
            <w:r>
              <w:rPr>
                <w:sz w:val="20"/>
              </w:rPr>
              <w:t xml:space="preserve">12.2.3 </w:t>
            </w:r>
            <w:r w:rsidRPr="007E3F19">
              <w:rPr>
                <w:sz w:val="20"/>
              </w:rPr>
              <w:t>If known, what threatening processes affecting these species or communities may be exacerbated by the Project?</w:t>
            </w:r>
          </w:p>
          <w:p w14:paraId="78FAE5B6" w14:textId="77777777" w:rsidR="007E3F19" w:rsidRDefault="007E3F19" w:rsidP="007E3F19">
            <w:pPr>
              <w:pStyle w:val="BodyText"/>
              <w:jc w:val="both"/>
              <w:rPr>
                <w:rFonts w:ascii="Arial" w:hAnsi="Arial"/>
                <w:b w:val="0"/>
                <w:bCs w:val="0"/>
                <w:sz w:val="20"/>
                <w:szCs w:val="20"/>
                <w:lang w:eastAsia="en-AU"/>
              </w:rPr>
            </w:pPr>
            <w:r w:rsidRPr="007E3F19">
              <w:rPr>
                <w:rFonts w:ascii="Arial" w:hAnsi="Arial"/>
                <w:b w:val="0"/>
                <w:bCs w:val="0"/>
                <w:sz w:val="20"/>
                <w:szCs w:val="20"/>
                <w:lang w:eastAsia="en-AU"/>
              </w:rPr>
              <w:t>The following threatening processes have potential to be exacerbated by the Project:</w:t>
            </w:r>
          </w:p>
          <w:p w14:paraId="4C4B82EF" w14:textId="77777777" w:rsidR="007E3F19" w:rsidRPr="007E3F19" w:rsidRDefault="007E3F19" w:rsidP="007E3F19">
            <w:pPr>
              <w:pStyle w:val="BodyText"/>
              <w:jc w:val="both"/>
              <w:rPr>
                <w:rFonts w:ascii="Arial" w:hAnsi="Arial"/>
                <w:b w:val="0"/>
                <w:bCs w:val="0"/>
                <w:sz w:val="20"/>
                <w:szCs w:val="20"/>
                <w:lang w:eastAsia="en-AU"/>
              </w:rPr>
            </w:pPr>
          </w:p>
          <w:p w14:paraId="07EAE292"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alteration to the natural flow regimes of rivers and streams;</w:t>
            </w:r>
          </w:p>
          <w:p w14:paraId="5902A30D"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habitat fragmentation as a threatening process for fauna in Victoria;</w:t>
            </w:r>
          </w:p>
          <w:p w14:paraId="55360369"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increase in sediment input into Victorian rivers and streams due to human activities; and</w:t>
            </w:r>
          </w:p>
          <w:p w14:paraId="142DBD3F"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wetland loss and degradation as a result of change in water regime, dredging, draining, filling and grazing.</w:t>
            </w:r>
          </w:p>
          <w:p w14:paraId="39C1D528"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The potential for the Project to result in these processes will be assessed in the biodiversity impact assessment and strategies will be developed to avoid, minimise and/or mitigate these threatening processes, as applicable. </w:t>
            </w:r>
          </w:p>
          <w:p w14:paraId="5C1B2D01" w14:textId="77777777" w:rsidR="00CE0C02" w:rsidRDefault="00CE0C02">
            <w:pPr>
              <w:rPr>
                <w:rFonts w:ascii="Arial" w:hAnsi="Arial"/>
              </w:rPr>
            </w:pPr>
          </w:p>
        </w:tc>
      </w:tr>
      <w:tr w:rsidR="00CE0C02" w14:paraId="145AB665" w14:textId="77777777" w:rsidTr="00FD555F">
        <w:tc>
          <w:tcPr>
            <w:tcW w:w="9243" w:type="dxa"/>
            <w:tcBorders>
              <w:top w:val="single" w:sz="4" w:space="0" w:color="auto"/>
              <w:bottom w:val="single" w:sz="4" w:space="0" w:color="auto"/>
            </w:tcBorders>
          </w:tcPr>
          <w:p w14:paraId="560E7B81" w14:textId="77777777" w:rsidR="007E3F19" w:rsidRPr="007E3F19" w:rsidRDefault="007E3F19" w:rsidP="007E3F19">
            <w:pPr>
              <w:pStyle w:val="Heading3"/>
              <w:rPr>
                <w:sz w:val="20"/>
              </w:rPr>
            </w:pPr>
            <w:r>
              <w:rPr>
                <w:sz w:val="20"/>
              </w:rPr>
              <w:lastRenderedPageBreak/>
              <w:t xml:space="preserve">12.2.4 </w:t>
            </w:r>
            <w:r w:rsidRPr="007E3F19">
              <w:rPr>
                <w:sz w:val="20"/>
              </w:rPr>
              <w:t xml:space="preserve">Are any threatened or migratory species, other species of conservation significance or listed communities potentially affected by the Project? </w:t>
            </w:r>
          </w:p>
          <w:p w14:paraId="04A4E101" w14:textId="77777777" w:rsidR="007E3F19" w:rsidRPr="007E3F19" w:rsidRDefault="007E3F19" w:rsidP="007E3F19"/>
          <w:p w14:paraId="22CEF07C" w14:textId="77777777" w:rsidR="000406BF" w:rsidRPr="00EC6C73" w:rsidRDefault="000406BF" w:rsidP="000406BF">
            <w:pPr>
              <w:pStyle w:val="BodyText"/>
              <w:jc w:val="both"/>
              <w:rPr>
                <w:rFonts w:ascii="Arial" w:hAnsi="Arial"/>
                <w:b w:val="0"/>
                <w:bCs w:val="0"/>
                <w:sz w:val="20"/>
                <w:szCs w:val="20"/>
                <w:lang w:eastAsia="en-AU"/>
              </w:rPr>
            </w:pPr>
            <w:r w:rsidRPr="000406BF">
              <w:rPr>
                <w:rFonts w:ascii="Arial" w:hAnsi="Arial"/>
                <w:b w:val="0"/>
                <w:bCs w:val="0"/>
                <w:sz w:val="20"/>
                <w:szCs w:val="20"/>
                <w:lang w:eastAsia="en-AU"/>
              </w:rPr>
              <w:sym w:font="Webdings" w:char="F072"/>
            </w:r>
            <w:r w:rsidRPr="00EC6C73">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No    </w:t>
            </w:r>
            <w:r w:rsidRPr="000406BF">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Yes   </w:t>
            </w:r>
          </w:p>
          <w:p w14:paraId="45B8F6C7" w14:textId="77777777" w:rsidR="000406BF" w:rsidRDefault="000406BF" w:rsidP="00905792">
            <w:pPr>
              <w:jc w:val="both"/>
              <w:rPr>
                <w:rFonts w:ascii="Arial" w:hAnsi="Arial"/>
              </w:rPr>
            </w:pPr>
          </w:p>
          <w:p w14:paraId="066A4D4A" w14:textId="77EC77B3" w:rsidR="00CE0C02" w:rsidRDefault="007E3F19" w:rsidP="00905792">
            <w:pPr>
              <w:jc w:val="both"/>
              <w:rPr>
                <w:rFonts w:ascii="Arial" w:hAnsi="Arial"/>
              </w:rPr>
            </w:pPr>
            <w:r w:rsidRPr="007E3F19">
              <w:rPr>
                <w:rFonts w:ascii="Arial" w:hAnsi="Arial"/>
              </w:rPr>
              <w:t xml:space="preserve">The species, communities and migratory species listed in Section </w:t>
            </w:r>
            <w:r w:rsidRPr="00EB0590">
              <w:rPr>
                <w:rFonts w:ascii="Arial" w:hAnsi="Arial"/>
              </w:rPr>
              <w:t>1</w:t>
            </w:r>
            <w:r w:rsidR="00EB0590" w:rsidRPr="00EB0590">
              <w:rPr>
                <w:rFonts w:ascii="Arial" w:hAnsi="Arial"/>
              </w:rPr>
              <w:t>1</w:t>
            </w:r>
            <w:r w:rsidRPr="00EB0590">
              <w:rPr>
                <w:rFonts w:ascii="Arial" w:hAnsi="Arial"/>
              </w:rPr>
              <w:t xml:space="preserve"> may</w:t>
            </w:r>
            <w:r w:rsidRPr="007E3F19">
              <w:rPr>
                <w:rFonts w:ascii="Arial" w:hAnsi="Arial"/>
              </w:rPr>
              <w:t xml:space="preserve"> be impacted by the Project if they are confirmed to be present during detailed and targeted surveys. </w:t>
            </w:r>
            <w:r w:rsidR="00EB0590">
              <w:rPr>
                <w:rFonts w:ascii="Arial" w:hAnsi="Arial"/>
              </w:rPr>
              <w:t>However, a</w:t>
            </w:r>
            <w:r w:rsidRPr="007E3F19">
              <w:rPr>
                <w:rFonts w:ascii="Arial" w:hAnsi="Arial"/>
              </w:rPr>
              <w:t xml:space="preserve">s the Project design has not been completed and the presence of the species and communities has not been </w:t>
            </w:r>
            <w:r w:rsidR="00EB0590">
              <w:rPr>
                <w:rFonts w:ascii="Arial" w:hAnsi="Arial"/>
              </w:rPr>
              <w:t>confirmed,</w:t>
            </w:r>
            <w:r w:rsidRPr="007E3F19">
              <w:rPr>
                <w:rFonts w:ascii="Arial" w:hAnsi="Arial"/>
              </w:rPr>
              <w:t xml:space="preserve"> the extent of impacts is </w:t>
            </w:r>
            <w:r w:rsidR="00EB0590">
              <w:rPr>
                <w:rFonts w:ascii="Arial" w:hAnsi="Arial"/>
              </w:rPr>
              <w:t xml:space="preserve">currently </w:t>
            </w:r>
            <w:r w:rsidRPr="007E3F19">
              <w:rPr>
                <w:rFonts w:ascii="Arial" w:hAnsi="Arial"/>
              </w:rPr>
              <w:t>unknown. The results of the detailed and targeted surveys will inform the Project design such that impacts on listed species and communities are avoided and/or minimised.</w:t>
            </w:r>
          </w:p>
          <w:p w14:paraId="44588E5F" w14:textId="23261116" w:rsidR="006960F4" w:rsidRDefault="006960F4" w:rsidP="00905792">
            <w:pPr>
              <w:jc w:val="both"/>
              <w:rPr>
                <w:rFonts w:ascii="Arial" w:hAnsi="Arial"/>
              </w:rPr>
            </w:pPr>
          </w:p>
        </w:tc>
      </w:tr>
      <w:tr w:rsidR="00CE0C02" w14:paraId="3D3BC2F7" w14:textId="77777777" w:rsidTr="00FD555F">
        <w:tc>
          <w:tcPr>
            <w:tcW w:w="9243" w:type="dxa"/>
            <w:tcBorders>
              <w:top w:val="single" w:sz="4" w:space="0" w:color="auto"/>
              <w:bottom w:val="single" w:sz="4" w:space="0" w:color="auto"/>
            </w:tcBorders>
          </w:tcPr>
          <w:p w14:paraId="7713F909" w14:textId="77777777" w:rsidR="007E3F19" w:rsidRPr="007E3F19" w:rsidRDefault="007E3F19" w:rsidP="007E3F19">
            <w:pPr>
              <w:pStyle w:val="Heading3"/>
              <w:keepLines/>
              <w:numPr>
                <w:ilvl w:val="2"/>
                <w:numId w:val="0"/>
              </w:numPr>
              <w:spacing w:before="240" w:after="240"/>
              <w:ind w:left="851" w:hanging="851"/>
              <w:jc w:val="both"/>
              <w:rPr>
                <w:sz w:val="20"/>
              </w:rPr>
            </w:pPr>
            <w:r w:rsidRPr="007E3F19">
              <w:rPr>
                <w:sz w:val="20"/>
              </w:rPr>
              <w:t>12.2.5 Is mitigation of potential effects on indigenous flora and fauna proposed?</w:t>
            </w:r>
          </w:p>
          <w:p w14:paraId="4F81A265" w14:textId="77777777" w:rsidR="000406BF" w:rsidRPr="00EC6C73" w:rsidRDefault="000406BF" w:rsidP="000406BF">
            <w:pPr>
              <w:pStyle w:val="BodyText"/>
              <w:jc w:val="both"/>
              <w:rPr>
                <w:rFonts w:ascii="Arial" w:hAnsi="Arial"/>
                <w:b w:val="0"/>
                <w:bCs w:val="0"/>
                <w:sz w:val="20"/>
                <w:szCs w:val="20"/>
                <w:lang w:eastAsia="en-AU"/>
              </w:rPr>
            </w:pPr>
            <w:r w:rsidRPr="000406BF">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No    </w:t>
            </w:r>
            <w:r w:rsidRPr="000406BF">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7F7556A5" w14:textId="5389F179" w:rsidR="000406BF" w:rsidRDefault="000406BF" w:rsidP="007E3F19">
            <w:pPr>
              <w:pStyle w:val="BodyText"/>
              <w:jc w:val="both"/>
              <w:rPr>
                <w:rFonts w:ascii="Arial" w:hAnsi="Arial"/>
                <w:b w:val="0"/>
                <w:bCs w:val="0"/>
                <w:sz w:val="20"/>
                <w:szCs w:val="20"/>
                <w:lang w:eastAsia="en-AU"/>
              </w:rPr>
            </w:pPr>
          </w:p>
          <w:p w14:paraId="6E01A0C5" w14:textId="77777777" w:rsidR="000406BF" w:rsidRDefault="000406BF" w:rsidP="007E3F19">
            <w:pPr>
              <w:pStyle w:val="BodyText"/>
              <w:jc w:val="both"/>
              <w:rPr>
                <w:rFonts w:ascii="Arial" w:hAnsi="Arial"/>
                <w:b w:val="0"/>
                <w:bCs w:val="0"/>
                <w:sz w:val="20"/>
                <w:szCs w:val="20"/>
                <w:lang w:eastAsia="en-AU"/>
              </w:rPr>
            </w:pPr>
          </w:p>
          <w:p w14:paraId="5A26D57D" w14:textId="52B91B1B" w:rsidR="007E3F19" w:rsidRDefault="007E3F19" w:rsidP="007E3F19">
            <w:pPr>
              <w:pStyle w:val="BodyText"/>
              <w:jc w:val="both"/>
              <w:rPr>
                <w:rFonts w:ascii="Arial" w:hAnsi="Arial"/>
                <w:b w:val="0"/>
                <w:bCs w:val="0"/>
                <w:sz w:val="20"/>
                <w:szCs w:val="20"/>
                <w:lang w:eastAsia="en-AU"/>
              </w:rPr>
            </w:pPr>
            <w:r w:rsidRPr="007E3F19">
              <w:rPr>
                <w:rFonts w:ascii="Arial" w:hAnsi="Arial"/>
                <w:b w:val="0"/>
                <w:bCs w:val="0"/>
                <w:sz w:val="20"/>
                <w:szCs w:val="20"/>
                <w:lang w:eastAsia="en-AU"/>
              </w:rPr>
              <w:t xml:space="preserve">In addition to the field surveys undertaken in 2018, field surveys and data analysis will be undertaken in Spring 2019 to further define the extent of listed ecological communities in the Project site and </w:t>
            </w:r>
            <w:r w:rsidR="00D6349E">
              <w:rPr>
                <w:rFonts w:ascii="Arial" w:hAnsi="Arial"/>
                <w:b w:val="0"/>
                <w:bCs w:val="0"/>
                <w:sz w:val="20"/>
                <w:szCs w:val="20"/>
                <w:lang w:eastAsia="en-AU"/>
              </w:rPr>
              <w:t>b</w:t>
            </w:r>
            <w:r w:rsidRPr="007E3F19">
              <w:rPr>
                <w:rFonts w:ascii="Arial" w:hAnsi="Arial"/>
                <w:b w:val="0"/>
                <w:bCs w:val="0"/>
                <w:sz w:val="20"/>
                <w:szCs w:val="20"/>
                <w:lang w:eastAsia="en-AU"/>
              </w:rPr>
              <w:t xml:space="preserve">iodiversity study area </w:t>
            </w:r>
            <w:r w:rsidR="00D6349E">
              <w:rPr>
                <w:rFonts w:ascii="Arial" w:hAnsi="Arial"/>
                <w:b w:val="0"/>
                <w:bCs w:val="0"/>
                <w:sz w:val="20"/>
                <w:szCs w:val="20"/>
                <w:lang w:eastAsia="en-AU"/>
              </w:rPr>
              <w:t>to</w:t>
            </w:r>
            <w:r w:rsidR="00D6349E" w:rsidRPr="007E3F19">
              <w:rPr>
                <w:rFonts w:ascii="Arial" w:hAnsi="Arial"/>
                <w:b w:val="0"/>
                <w:bCs w:val="0"/>
                <w:sz w:val="20"/>
                <w:szCs w:val="20"/>
                <w:lang w:eastAsia="en-AU"/>
              </w:rPr>
              <w:t xml:space="preserve"> </w:t>
            </w:r>
            <w:r w:rsidRPr="007E3F19">
              <w:rPr>
                <w:rFonts w:ascii="Arial" w:hAnsi="Arial"/>
                <w:b w:val="0"/>
                <w:bCs w:val="0"/>
                <w:sz w:val="20"/>
                <w:szCs w:val="20"/>
                <w:lang w:eastAsia="en-AU"/>
              </w:rPr>
              <w:t xml:space="preserve">confirm the presence (or otherwise) of listed species and their habitats. The results of these detailed surveys will inform the Project design. </w:t>
            </w:r>
          </w:p>
          <w:p w14:paraId="1ED90BAE" w14:textId="77777777" w:rsidR="00384AAF" w:rsidRPr="007E3F19" w:rsidRDefault="00384AAF" w:rsidP="007E3F19">
            <w:pPr>
              <w:pStyle w:val="BodyText"/>
              <w:jc w:val="both"/>
              <w:rPr>
                <w:rFonts w:ascii="Arial" w:hAnsi="Arial"/>
                <w:b w:val="0"/>
                <w:bCs w:val="0"/>
                <w:sz w:val="20"/>
                <w:szCs w:val="20"/>
                <w:lang w:eastAsia="en-AU"/>
              </w:rPr>
            </w:pPr>
          </w:p>
          <w:p w14:paraId="07A1E1F0" w14:textId="151FC314" w:rsidR="007E3F19" w:rsidRDefault="007E3F19" w:rsidP="007E3F19">
            <w:pPr>
              <w:jc w:val="both"/>
              <w:rPr>
                <w:rFonts w:ascii="Arial" w:hAnsi="Arial"/>
              </w:rPr>
            </w:pPr>
            <w:r w:rsidRPr="007E3F19">
              <w:rPr>
                <w:rFonts w:ascii="Arial" w:hAnsi="Arial"/>
              </w:rPr>
              <w:t xml:space="preserve">Iluka </w:t>
            </w:r>
            <w:r w:rsidR="00D6349E">
              <w:rPr>
                <w:rFonts w:ascii="Arial" w:hAnsi="Arial"/>
              </w:rPr>
              <w:t>will</w:t>
            </w:r>
            <w:r w:rsidR="00D6349E" w:rsidRPr="007E3F19">
              <w:rPr>
                <w:rFonts w:ascii="Arial" w:hAnsi="Arial"/>
              </w:rPr>
              <w:t xml:space="preserve"> </w:t>
            </w:r>
            <w:r w:rsidRPr="007E3F19">
              <w:rPr>
                <w:rFonts w:ascii="Arial" w:hAnsi="Arial"/>
              </w:rPr>
              <w:t xml:space="preserve">implement the following measures to minimise the potential for unacceptable </w:t>
            </w:r>
            <w:r w:rsidR="00F06B68">
              <w:rPr>
                <w:rFonts w:ascii="Arial" w:hAnsi="Arial"/>
              </w:rPr>
              <w:t>mine development</w:t>
            </w:r>
            <w:r w:rsidRPr="007E3F19">
              <w:rPr>
                <w:rFonts w:ascii="Arial" w:hAnsi="Arial"/>
              </w:rPr>
              <w:t>-related impacts on biodiversity:</w:t>
            </w:r>
          </w:p>
          <w:p w14:paraId="686571DA" w14:textId="77777777" w:rsidR="00384AAF" w:rsidRPr="006960F4" w:rsidRDefault="00384AAF" w:rsidP="007E3F19">
            <w:pPr>
              <w:jc w:val="both"/>
              <w:rPr>
                <w:rFonts w:ascii="Arial" w:hAnsi="Arial"/>
                <w:bCs/>
              </w:rPr>
            </w:pPr>
          </w:p>
          <w:p w14:paraId="16CDA4D8"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as far as practicable, avoid impacts on native vegetation, prioritising retention of the largest patches, listed communities and species habitats;</w:t>
            </w:r>
          </w:p>
          <w:p w14:paraId="6A39B47A"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as far as practicable, avoid impacts on wetlands;</w:t>
            </w:r>
          </w:p>
          <w:p w14:paraId="42CDAD7F"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consider the connectivity of native vegetation and waterways during mine planning, to reduce impacts related to altered hydrological regimes and impacts beyond the </w:t>
            </w:r>
            <w:r w:rsidR="00774F21" w:rsidRPr="0017475D">
              <w:rPr>
                <w:rFonts w:ascii="Arial" w:hAnsi="Arial"/>
                <w:b w:val="0"/>
                <w:bCs w:val="0"/>
                <w:sz w:val="20"/>
                <w:szCs w:val="20"/>
                <w:lang w:eastAsia="en-AU"/>
              </w:rPr>
              <w:t>biodiversity study area</w:t>
            </w:r>
            <w:r w:rsidRPr="0017475D">
              <w:rPr>
                <w:rFonts w:ascii="Arial" w:hAnsi="Arial"/>
                <w:b w:val="0"/>
                <w:bCs w:val="0"/>
                <w:sz w:val="20"/>
                <w:szCs w:val="20"/>
                <w:lang w:eastAsia="en-AU"/>
              </w:rPr>
              <w:t>;</w:t>
            </w:r>
          </w:p>
          <w:p w14:paraId="6785C0AB"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undertake hydrological studies to determine potential impacts on surface flow to wetlands and groundwater dependent ecosystems and design appropriate mitigation strategies</w:t>
            </w:r>
            <w:r w:rsidR="00D6349E" w:rsidRPr="0017475D">
              <w:rPr>
                <w:rFonts w:ascii="Arial" w:hAnsi="Arial"/>
                <w:b w:val="0"/>
                <w:bCs w:val="0"/>
                <w:sz w:val="20"/>
                <w:szCs w:val="20"/>
                <w:lang w:eastAsia="en-AU"/>
              </w:rPr>
              <w:t>;</w:t>
            </w:r>
          </w:p>
          <w:p w14:paraId="113D50AB"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develop detailed environmental safeguards for listed species and communities once their extent and presence has been better defined (</w:t>
            </w:r>
            <w:proofErr w:type="spellStart"/>
            <w:r w:rsidRPr="0017475D">
              <w:rPr>
                <w:rFonts w:ascii="Arial" w:hAnsi="Arial"/>
                <w:b w:val="0"/>
                <w:bCs w:val="0"/>
                <w:sz w:val="20"/>
                <w:szCs w:val="20"/>
                <w:lang w:eastAsia="en-AU"/>
              </w:rPr>
              <w:t>ie</w:t>
            </w:r>
            <w:proofErr w:type="spellEnd"/>
            <w:r w:rsidRPr="0017475D">
              <w:rPr>
                <w:rFonts w:ascii="Arial" w:hAnsi="Arial"/>
                <w:b w:val="0"/>
                <w:bCs w:val="0"/>
                <w:sz w:val="20"/>
                <w:szCs w:val="20"/>
                <w:lang w:eastAsia="en-AU"/>
              </w:rPr>
              <w:t xml:space="preserve"> following detailed surveys)</w:t>
            </w:r>
            <w:r w:rsidR="00D6349E" w:rsidRPr="0017475D">
              <w:rPr>
                <w:rFonts w:ascii="Arial" w:hAnsi="Arial"/>
                <w:b w:val="0"/>
                <w:bCs w:val="0"/>
                <w:sz w:val="20"/>
                <w:szCs w:val="20"/>
                <w:lang w:eastAsia="en-AU"/>
              </w:rPr>
              <w:t>;</w:t>
            </w:r>
            <w:r w:rsidRPr="0017475D">
              <w:rPr>
                <w:rFonts w:ascii="Arial" w:hAnsi="Arial"/>
                <w:b w:val="0"/>
                <w:bCs w:val="0"/>
                <w:sz w:val="20"/>
                <w:szCs w:val="20"/>
                <w:lang w:eastAsia="en-AU"/>
              </w:rPr>
              <w:t xml:space="preserve"> </w:t>
            </w:r>
          </w:p>
          <w:p w14:paraId="784C5CDA"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clearly identify the limit of approved disturbance areas on the ground using markers and ensure that all ground disturbing activities are only undertaken within approved areas;</w:t>
            </w:r>
          </w:p>
          <w:p w14:paraId="249301E5"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ensure that vegetation is removed in such a way to avoid damage to surrounding vegetation;</w:t>
            </w:r>
          </w:p>
          <w:p w14:paraId="36BC7AD8"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undertake a pre-clearing inspection to identify and, where practicable, remove nesting or roosting fauna;</w:t>
            </w:r>
          </w:p>
          <w:p w14:paraId="77C18356"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stockpile vegetation onsite where practicable for use during rehabilitation operations. Larger vegetation may be retained whole for use in rehabilitation operations on site or for regional biodiversity enhancement programs such as re-snagging of rivers;</w:t>
            </w:r>
          </w:p>
          <w:p w14:paraId="55D87666"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undertake weed management and pest control programs in consultation with surrounding landholders; and</w:t>
            </w:r>
          </w:p>
          <w:p w14:paraId="6C430024" w14:textId="77777777" w:rsidR="007E3F19" w:rsidRPr="0017475D" w:rsidRDefault="007E3F19"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undertake progressive rehabilitation.</w:t>
            </w:r>
          </w:p>
          <w:p w14:paraId="61696428" w14:textId="1EC41FB5" w:rsidR="007E3F19" w:rsidRDefault="007E3F19" w:rsidP="007E3F19">
            <w:pPr>
              <w:pStyle w:val="BodyText"/>
              <w:jc w:val="both"/>
              <w:rPr>
                <w:rFonts w:ascii="Arial" w:hAnsi="Arial"/>
                <w:b w:val="0"/>
                <w:bCs w:val="0"/>
                <w:sz w:val="20"/>
                <w:szCs w:val="20"/>
                <w:lang w:eastAsia="en-AU"/>
              </w:rPr>
            </w:pPr>
            <w:r w:rsidRPr="007E3F19">
              <w:rPr>
                <w:rFonts w:ascii="Arial" w:hAnsi="Arial"/>
                <w:b w:val="0"/>
                <w:bCs w:val="0"/>
                <w:sz w:val="20"/>
                <w:szCs w:val="20"/>
                <w:lang w:eastAsia="en-AU"/>
              </w:rPr>
              <w:t>Biodiversity offsets will be provided to compensate for vegetation clearance that cannot be avoided</w:t>
            </w:r>
            <w:r w:rsidR="00F06B68">
              <w:rPr>
                <w:rFonts w:ascii="Arial" w:hAnsi="Arial"/>
                <w:b w:val="0"/>
                <w:bCs w:val="0"/>
                <w:sz w:val="20"/>
                <w:szCs w:val="20"/>
                <w:lang w:eastAsia="en-AU"/>
              </w:rPr>
              <w:t xml:space="preserve">. Iluka will also implement </w:t>
            </w:r>
            <w:r w:rsidRPr="007E3F19">
              <w:rPr>
                <w:rFonts w:ascii="Arial" w:hAnsi="Arial"/>
                <w:b w:val="0"/>
                <w:bCs w:val="0"/>
                <w:sz w:val="20"/>
                <w:szCs w:val="20"/>
                <w:lang w:eastAsia="en-AU"/>
              </w:rPr>
              <w:t>appropriate mitigation strategies for indirect biodiversity impacts.</w:t>
            </w:r>
          </w:p>
          <w:p w14:paraId="23342EC5" w14:textId="77777777" w:rsidR="00384AAF" w:rsidRPr="007E3F19" w:rsidRDefault="00384AAF" w:rsidP="007E3F19">
            <w:pPr>
              <w:pStyle w:val="BodyText"/>
              <w:jc w:val="both"/>
              <w:rPr>
                <w:rFonts w:ascii="Arial" w:hAnsi="Arial"/>
                <w:b w:val="0"/>
                <w:bCs w:val="0"/>
                <w:sz w:val="20"/>
                <w:szCs w:val="20"/>
                <w:lang w:eastAsia="en-AU"/>
              </w:rPr>
            </w:pPr>
          </w:p>
          <w:p w14:paraId="23F3060C" w14:textId="77777777" w:rsidR="00CE0C02" w:rsidRDefault="007E3F19" w:rsidP="00484AD9">
            <w:pPr>
              <w:pStyle w:val="BodyText"/>
              <w:jc w:val="both"/>
              <w:rPr>
                <w:rFonts w:ascii="Arial" w:hAnsi="Arial"/>
              </w:rPr>
            </w:pPr>
            <w:r w:rsidRPr="007E3F19">
              <w:rPr>
                <w:rFonts w:ascii="Arial" w:hAnsi="Arial"/>
                <w:b w:val="0"/>
                <w:bCs w:val="0"/>
                <w:sz w:val="20"/>
                <w:szCs w:val="20"/>
                <w:lang w:eastAsia="en-AU"/>
              </w:rPr>
              <w:t>In addition, Iluka will implement a biodiversity offset strategy to compensate for any potential unavoidable biodiversity impacts.</w:t>
            </w:r>
          </w:p>
        </w:tc>
      </w:tr>
      <w:tr w:rsidR="00CE0C02" w14:paraId="23EB9278" w14:textId="77777777" w:rsidTr="00FD555F">
        <w:tc>
          <w:tcPr>
            <w:tcW w:w="9243" w:type="dxa"/>
            <w:tcBorders>
              <w:top w:val="single" w:sz="4" w:space="0" w:color="auto"/>
              <w:bottom w:val="single" w:sz="4" w:space="0" w:color="auto"/>
            </w:tcBorders>
          </w:tcPr>
          <w:p w14:paraId="38B357F2" w14:textId="77777777" w:rsidR="00C87FAB" w:rsidRPr="00C87FAB" w:rsidRDefault="00C87FAB" w:rsidP="00C87FAB">
            <w:pPr>
              <w:pStyle w:val="Heading3"/>
              <w:keepLines/>
              <w:numPr>
                <w:ilvl w:val="2"/>
                <w:numId w:val="0"/>
              </w:numPr>
              <w:spacing w:before="240" w:after="240"/>
              <w:ind w:left="851" w:hanging="851"/>
              <w:jc w:val="both"/>
              <w:rPr>
                <w:sz w:val="20"/>
              </w:rPr>
            </w:pPr>
            <w:r>
              <w:rPr>
                <w:sz w:val="20"/>
              </w:rPr>
              <w:lastRenderedPageBreak/>
              <w:t xml:space="preserve">12.2.6 </w:t>
            </w:r>
            <w:r w:rsidRPr="00C87FAB">
              <w:rPr>
                <w:sz w:val="20"/>
              </w:rPr>
              <w:t xml:space="preserve">Other information/comments? </w:t>
            </w:r>
          </w:p>
          <w:p w14:paraId="5341AD10" w14:textId="77777777" w:rsidR="00C87FAB" w:rsidRPr="00C87FAB" w:rsidRDefault="00C87FAB" w:rsidP="00C87FAB">
            <w:pPr>
              <w:pStyle w:val="BodyText"/>
              <w:jc w:val="both"/>
              <w:rPr>
                <w:rFonts w:ascii="Arial" w:hAnsi="Arial"/>
                <w:b w:val="0"/>
                <w:bCs w:val="0"/>
                <w:sz w:val="20"/>
                <w:szCs w:val="20"/>
                <w:lang w:eastAsia="en-AU"/>
              </w:rPr>
            </w:pPr>
            <w:r w:rsidRPr="00C87FAB">
              <w:rPr>
                <w:rFonts w:ascii="Arial" w:hAnsi="Arial"/>
                <w:b w:val="0"/>
                <w:bCs w:val="0"/>
                <w:sz w:val="20"/>
                <w:szCs w:val="20"/>
                <w:lang w:eastAsia="en-AU"/>
              </w:rPr>
              <w:t>Since only limited biodiversity baseline studies have been undertaken to date, and targeted surveys are yet to be completed, there are information gaps regarding the presence of various species.</w:t>
            </w:r>
          </w:p>
          <w:p w14:paraId="199929F6" w14:textId="77777777" w:rsidR="00CE0C02" w:rsidRDefault="00CE0C02">
            <w:pPr>
              <w:rPr>
                <w:rFonts w:ascii="Arial" w:hAnsi="Arial"/>
              </w:rPr>
            </w:pPr>
          </w:p>
        </w:tc>
      </w:tr>
      <w:tr w:rsidR="00CE0C02" w14:paraId="44B1BC0B" w14:textId="77777777" w:rsidTr="00FD555F">
        <w:tc>
          <w:tcPr>
            <w:tcW w:w="9243" w:type="dxa"/>
            <w:tcBorders>
              <w:top w:val="single" w:sz="4" w:space="0" w:color="auto"/>
              <w:bottom w:val="single" w:sz="4" w:space="0" w:color="auto"/>
            </w:tcBorders>
          </w:tcPr>
          <w:p w14:paraId="3ECED1BA" w14:textId="6E53A734" w:rsidR="00FD555F" w:rsidRPr="00FD555F" w:rsidRDefault="00204A4C" w:rsidP="00C87FAB">
            <w:pPr>
              <w:pStyle w:val="Heading3"/>
              <w:keepLines/>
              <w:numPr>
                <w:ilvl w:val="2"/>
                <w:numId w:val="0"/>
              </w:numPr>
              <w:spacing w:before="240" w:after="240"/>
              <w:ind w:left="851" w:hanging="851"/>
              <w:jc w:val="both"/>
              <w:rPr>
                <w:sz w:val="20"/>
              </w:rPr>
            </w:pPr>
            <w:r>
              <w:rPr>
                <w:sz w:val="20"/>
              </w:rPr>
              <w:t>13</w:t>
            </w:r>
            <w:r w:rsidR="00FD555F" w:rsidRPr="00FD555F">
              <w:rPr>
                <w:sz w:val="20"/>
              </w:rPr>
              <w:t xml:space="preserve"> Water environments</w:t>
            </w:r>
          </w:p>
          <w:p w14:paraId="2ABEF647" w14:textId="7F0D52AD" w:rsidR="00C87FAB" w:rsidRPr="00C87FAB" w:rsidRDefault="00C87FAB" w:rsidP="00C87FAB">
            <w:pPr>
              <w:pStyle w:val="Heading3"/>
              <w:keepLines/>
              <w:numPr>
                <w:ilvl w:val="2"/>
                <w:numId w:val="0"/>
              </w:numPr>
              <w:spacing w:before="240" w:after="240"/>
              <w:ind w:left="851" w:hanging="851"/>
              <w:jc w:val="both"/>
              <w:rPr>
                <w:sz w:val="20"/>
              </w:rPr>
            </w:pPr>
            <w:r>
              <w:rPr>
                <w:sz w:val="20"/>
              </w:rPr>
              <w:t xml:space="preserve">13.1 </w:t>
            </w:r>
            <w:r w:rsidRPr="00C87FAB">
              <w:rPr>
                <w:sz w:val="20"/>
              </w:rPr>
              <w:t>Will the Project require significant volumes of fresh water (</w:t>
            </w:r>
            <w:proofErr w:type="spellStart"/>
            <w:r w:rsidRPr="00C87FAB">
              <w:rPr>
                <w:sz w:val="20"/>
              </w:rPr>
              <w:t>eg.</w:t>
            </w:r>
            <w:proofErr w:type="spellEnd"/>
            <w:r w:rsidRPr="00C87FAB">
              <w:rPr>
                <w:sz w:val="20"/>
              </w:rPr>
              <w:t xml:space="preserve"> &gt; 1 </w:t>
            </w:r>
            <w:proofErr w:type="spellStart"/>
            <w:r w:rsidRPr="00C87FAB">
              <w:rPr>
                <w:sz w:val="20"/>
              </w:rPr>
              <w:t>Gl</w:t>
            </w:r>
            <w:proofErr w:type="spellEnd"/>
            <w:r w:rsidRPr="00C87FAB">
              <w:rPr>
                <w:sz w:val="20"/>
              </w:rPr>
              <w:t>/</w:t>
            </w:r>
            <w:proofErr w:type="spellStart"/>
            <w:r w:rsidRPr="00C87FAB">
              <w:rPr>
                <w:sz w:val="20"/>
              </w:rPr>
              <w:t>yr</w:t>
            </w:r>
            <w:proofErr w:type="spellEnd"/>
            <w:r w:rsidRPr="00C87FAB">
              <w:rPr>
                <w:sz w:val="20"/>
              </w:rPr>
              <w:t>)?</w:t>
            </w:r>
          </w:p>
          <w:p w14:paraId="125A7A9F" w14:textId="77777777" w:rsidR="00287734" w:rsidRPr="00EC6C73" w:rsidRDefault="00287734" w:rsidP="00287734">
            <w:pPr>
              <w:pStyle w:val="BodyText"/>
              <w:jc w:val="both"/>
              <w:rPr>
                <w:rFonts w:ascii="Arial" w:hAnsi="Arial"/>
                <w:b w:val="0"/>
                <w:bCs w:val="0"/>
                <w:sz w:val="20"/>
                <w:szCs w:val="20"/>
                <w:lang w:eastAsia="en-AU"/>
              </w:rPr>
            </w:pPr>
            <w:r w:rsidRPr="000406BF">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No    </w:t>
            </w:r>
            <w:r w:rsidRPr="000406BF">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1E896A72" w14:textId="77777777" w:rsidR="00287734" w:rsidRDefault="00287734" w:rsidP="00C87FAB">
            <w:pPr>
              <w:pStyle w:val="BodyText"/>
              <w:jc w:val="both"/>
              <w:rPr>
                <w:rFonts w:ascii="Arial" w:hAnsi="Arial"/>
                <w:b w:val="0"/>
                <w:bCs w:val="0"/>
                <w:sz w:val="20"/>
                <w:szCs w:val="20"/>
                <w:lang w:eastAsia="en-AU"/>
              </w:rPr>
            </w:pPr>
          </w:p>
          <w:p w14:paraId="7AFACAFF" w14:textId="6F088D2E" w:rsidR="00C87FAB" w:rsidRDefault="00287734" w:rsidP="00C87FAB">
            <w:pPr>
              <w:pStyle w:val="BodyText"/>
              <w:jc w:val="both"/>
              <w:rPr>
                <w:rFonts w:ascii="Arial" w:hAnsi="Arial"/>
                <w:b w:val="0"/>
                <w:bCs w:val="0"/>
                <w:sz w:val="20"/>
                <w:szCs w:val="20"/>
                <w:lang w:eastAsia="en-AU"/>
              </w:rPr>
            </w:pPr>
            <w:r>
              <w:rPr>
                <w:rFonts w:ascii="Arial" w:hAnsi="Arial"/>
                <w:b w:val="0"/>
                <w:bCs w:val="0"/>
                <w:sz w:val="20"/>
                <w:szCs w:val="20"/>
                <w:lang w:eastAsia="en-AU"/>
              </w:rPr>
              <w:t>A</w:t>
            </w:r>
            <w:r w:rsidR="00C87FAB" w:rsidRPr="00C87FAB">
              <w:rPr>
                <w:rFonts w:ascii="Arial" w:hAnsi="Arial"/>
                <w:b w:val="0"/>
                <w:bCs w:val="0"/>
                <w:sz w:val="20"/>
                <w:szCs w:val="20"/>
                <w:lang w:eastAsia="en-AU"/>
              </w:rPr>
              <w:t xml:space="preserve">s discussed in Section </w:t>
            </w:r>
            <w:r w:rsidR="00A0162D">
              <w:rPr>
                <w:rFonts w:ascii="Arial" w:hAnsi="Arial"/>
                <w:b w:val="0"/>
                <w:bCs w:val="0"/>
                <w:sz w:val="20"/>
                <w:szCs w:val="20"/>
                <w:lang w:eastAsia="en-AU"/>
              </w:rPr>
              <w:t>3.6.9,</w:t>
            </w:r>
            <w:r w:rsidR="00C87FAB" w:rsidRPr="00C87FAB">
              <w:rPr>
                <w:rFonts w:ascii="Arial" w:hAnsi="Arial"/>
                <w:b w:val="0"/>
                <w:bCs w:val="0"/>
                <w:sz w:val="20"/>
                <w:szCs w:val="20"/>
                <w:lang w:eastAsia="en-AU"/>
              </w:rPr>
              <w:t xml:space="preserve"> the overall process and site water balance is currently under development however, it is anticipated that the mine will require approximately 5.5 GL/year of water, primarily for mineral processing, tailing disposal, dust suppression and rehabilitation</w:t>
            </w:r>
            <w:r w:rsidR="00A0162D">
              <w:rPr>
                <w:rFonts w:ascii="Arial" w:hAnsi="Arial"/>
                <w:b w:val="0"/>
                <w:bCs w:val="0"/>
                <w:sz w:val="20"/>
                <w:szCs w:val="20"/>
                <w:lang w:eastAsia="en-AU"/>
              </w:rPr>
              <w:t xml:space="preserve"> with the bulk being required for processing</w:t>
            </w:r>
            <w:r w:rsidR="00C87FAB" w:rsidRPr="00C87FAB">
              <w:rPr>
                <w:rFonts w:ascii="Arial" w:hAnsi="Arial"/>
                <w:b w:val="0"/>
                <w:bCs w:val="0"/>
                <w:sz w:val="20"/>
                <w:szCs w:val="20"/>
                <w:lang w:eastAsia="en-AU"/>
              </w:rPr>
              <w:t>. Potential sources of water include:</w:t>
            </w:r>
          </w:p>
          <w:p w14:paraId="024A843D" w14:textId="77777777" w:rsidR="00C87FAB" w:rsidRPr="00C87FAB" w:rsidRDefault="00C87FAB" w:rsidP="00C87FAB">
            <w:pPr>
              <w:pStyle w:val="BodyText"/>
              <w:jc w:val="both"/>
              <w:rPr>
                <w:rFonts w:ascii="Arial" w:hAnsi="Arial"/>
                <w:b w:val="0"/>
                <w:bCs w:val="0"/>
                <w:sz w:val="20"/>
                <w:szCs w:val="20"/>
                <w:lang w:eastAsia="en-AU"/>
              </w:rPr>
            </w:pPr>
          </w:p>
          <w:p w14:paraId="7FBFC557" w14:textId="77777777" w:rsidR="00C87FAB" w:rsidRPr="0017475D" w:rsidRDefault="00C87FAB"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the Rocklands Reservoir (using the existing Douglas mine allocation of 5 GL/year - subject to an approved transfer);</w:t>
            </w:r>
          </w:p>
          <w:p w14:paraId="7B0288C0" w14:textId="77777777" w:rsidR="00C87FAB" w:rsidRPr="0017475D" w:rsidRDefault="00C87FAB"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the </w:t>
            </w:r>
            <w:proofErr w:type="spellStart"/>
            <w:r w:rsidRPr="0017475D">
              <w:rPr>
                <w:rFonts w:ascii="Arial" w:hAnsi="Arial"/>
                <w:b w:val="0"/>
                <w:bCs w:val="0"/>
                <w:sz w:val="20"/>
                <w:szCs w:val="20"/>
                <w:lang w:eastAsia="en-AU"/>
              </w:rPr>
              <w:t>Strathlynn</w:t>
            </w:r>
            <w:proofErr w:type="spellEnd"/>
            <w:r w:rsidRPr="0017475D">
              <w:rPr>
                <w:rFonts w:ascii="Arial" w:hAnsi="Arial"/>
                <w:b w:val="0"/>
                <w:bCs w:val="0"/>
                <w:sz w:val="20"/>
                <w:szCs w:val="20"/>
                <w:lang w:eastAsia="en-AU"/>
              </w:rPr>
              <w:t xml:space="preserve"> </w:t>
            </w:r>
            <w:proofErr w:type="spellStart"/>
            <w:r w:rsidRPr="0017475D">
              <w:rPr>
                <w:rFonts w:ascii="Arial" w:hAnsi="Arial"/>
                <w:b w:val="0"/>
                <w:bCs w:val="0"/>
                <w:sz w:val="20"/>
                <w:szCs w:val="20"/>
                <w:lang w:eastAsia="en-AU"/>
              </w:rPr>
              <w:t>Borefield</w:t>
            </w:r>
            <w:proofErr w:type="spellEnd"/>
            <w:r w:rsidRPr="0017475D">
              <w:rPr>
                <w:rFonts w:ascii="Arial" w:hAnsi="Arial"/>
                <w:b w:val="0"/>
                <w:bCs w:val="0"/>
                <w:sz w:val="20"/>
                <w:szCs w:val="20"/>
                <w:lang w:eastAsia="en-AU"/>
              </w:rPr>
              <w:t xml:space="preserve"> (using the existing Douglas mine allocation of 3 GL/year - subject to an approved transfer); and</w:t>
            </w:r>
          </w:p>
          <w:p w14:paraId="2B451F1E" w14:textId="77777777" w:rsidR="00C87FAB" w:rsidRPr="0017475D" w:rsidRDefault="00C87FAB"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a new </w:t>
            </w:r>
            <w:proofErr w:type="spellStart"/>
            <w:r w:rsidRPr="0017475D">
              <w:rPr>
                <w:rFonts w:ascii="Arial" w:hAnsi="Arial"/>
                <w:b w:val="0"/>
                <w:bCs w:val="0"/>
                <w:sz w:val="20"/>
                <w:szCs w:val="20"/>
                <w:lang w:eastAsia="en-AU"/>
              </w:rPr>
              <w:t>borefield</w:t>
            </w:r>
            <w:proofErr w:type="spellEnd"/>
            <w:r w:rsidRPr="0017475D">
              <w:rPr>
                <w:rFonts w:ascii="Arial" w:hAnsi="Arial"/>
                <w:b w:val="0"/>
                <w:bCs w:val="0"/>
                <w:sz w:val="20"/>
                <w:szCs w:val="20"/>
                <w:lang w:eastAsia="en-AU"/>
              </w:rPr>
              <w:t xml:space="preserve"> closer to the mine site.</w:t>
            </w:r>
          </w:p>
          <w:p w14:paraId="15C794FF" w14:textId="74073B33" w:rsidR="00C87FAB" w:rsidRDefault="00C87FAB" w:rsidP="00643373">
            <w:pPr>
              <w:pStyle w:val="BodyText"/>
              <w:spacing w:after="120"/>
              <w:jc w:val="both"/>
              <w:rPr>
                <w:rFonts w:ascii="Arial" w:hAnsi="Arial"/>
                <w:b w:val="0"/>
                <w:bCs w:val="0"/>
                <w:sz w:val="20"/>
                <w:szCs w:val="20"/>
                <w:lang w:eastAsia="en-AU"/>
              </w:rPr>
            </w:pPr>
            <w:r w:rsidRPr="00C87FAB">
              <w:rPr>
                <w:rFonts w:ascii="Arial" w:hAnsi="Arial"/>
                <w:b w:val="0"/>
                <w:bCs w:val="0"/>
                <w:sz w:val="20"/>
                <w:szCs w:val="20"/>
                <w:lang w:eastAsia="en-AU"/>
              </w:rPr>
              <w:t>Discussions with GWM</w:t>
            </w:r>
            <w:r w:rsidR="006960F4">
              <w:rPr>
                <w:rFonts w:ascii="Arial" w:hAnsi="Arial"/>
                <w:b w:val="0"/>
                <w:bCs w:val="0"/>
                <w:sz w:val="20"/>
                <w:szCs w:val="20"/>
                <w:lang w:eastAsia="en-AU"/>
              </w:rPr>
              <w:t xml:space="preserve"> </w:t>
            </w:r>
            <w:r w:rsidRPr="00C87FAB">
              <w:rPr>
                <w:rFonts w:ascii="Arial" w:hAnsi="Arial"/>
                <w:b w:val="0"/>
                <w:bCs w:val="0"/>
                <w:sz w:val="20"/>
                <w:szCs w:val="20"/>
                <w:lang w:eastAsia="en-AU"/>
              </w:rPr>
              <w:t xml:space="preserve">Water have commenced regarding the infrastructure required to deliver water to the Project site. </w:t>
            </w:r>
            <w:r w:rsidR="00D6349E" w:rsidRPr="00434ECE">
              <w:rPr>
                <w:rFonts w:ascii="Arial" w:hAnsi="Arial"/>
                <w:b w:val="0"/>
                <w:bCs w:val="0"/>
                <w:sz w:val="20"/>
                <w:szCs w:val="20"/>
                <w:lang w:eastAsia="en-AU"/>
              </w:rPr>
              <w:t>The preferred option includes a new pipeline connected into the existing Rocklands-Douglas pipeline close to the Douglas mine</w:t>
            </w:r>
            <w:r w:rsidR="00434ECE">
              <w:rPr>
                <w:rFonts w:ascii="Arial" w:hAnsi="Arial"/>
                <w:b w:val="0"/>
                <w:bCs w:val="0"/>
                <w:sz w:val="20"/>
                <w:szCs w:val="20"/>
                <w:lang w:eastAsia="en-AU"/>
              </w:rPr>
              <w:t xml:space="preserve"> to utilise the existing Rocklands Reservoir and </w:t>
            </w:r>
            <w:proofErr w:type="spellStart"/>
            <w:r w:rsidR="00434ECE">
              <w:rPr>
                <w:rFonts w:ascii="Arial" w:hAnsi="Arial"/>
                <w:b w:val="0"/>
                <w:bCs w:val="0"/>
                <w:sz w:val="20"/>
                <w:szCs w:val="20"/>
                <w:lang w:eastAsia="en-AU"/>
              </w:rPr>
              <w:t>Strathlynn</w:t>
            </w:r>
            <w:proofErr w:type="spellEnd"/>
            <w:r w:rsidR="00434ECE">
              <w:rPr>
                <w:rFonts w:ascii="Arial" w:hAnsi="Arial"/>
                <w:b w:val="0"/>
                <w:bCs w:val="0"/>
                <w:sz w:val="20"/>
                <w:szCs w:val="20"/>
                <w:lang w:eastAsia="en-AU"/>
              </w:rPr>
              <w:t xml:space="preserve"> </w:t>
            </w:r>
            <w:proofErr w:type="spellStart"/>
            <w:r w:rsidR="00434ECE">
              <w:rPr>
                <w:rFonts w:ascii="Arial" w:hAnsi="Arial"/>
                <w:b w:val="0"/>
                <w:bCs w:val="0"/>
                <w:sz w:val="20"/>
                <w:szCs w:val="20"/>
                <w:lang w:eastAsia="en-AU"/>
              </w:rPr>
              <w:t>Borefield</w:t>
            </w:r>
            <w:proofErr w:type="spellEnd"/>
            <w:r w:rsidR="00434ECE">
              <w:rPr>
                <w:rFonts w:ascii="Arial" w:hAnsi="Arial"/>
                <w:b w:val="0"/>
                <w:bCs w:val="0"/>
                <w:sz w:val="20"/>
                <w:szCs w:val="20"/>
                <w:lang w:eastAsia="en-AU"/>
              </w:rPr>
              <w:t xml:space="preserve"> allocations</w:t>
            </w:r>
            <w:r w:rsidR="00434ECE" w:rsidRPr="00D73243">
              <w:rPr>
                <w:rFonts w:ascii="Arial" w:hAnsi="Arial"/>
                <w:b w:val="0"/>
                <w:bCs w:val="0"/>
                <w:sz w:val="20"/>
                <w:szCs w:val="20"/>
                <w:lang w:eastAsia="en-AU"/>
              </w:rPr>
              <w:t xml:space="preserve">. </w:t>
            </w:r>
            <w:r w:rsidR="00434ECE">
              <w:rPr>
                <w:rFonts w:ascii="Arial" w:hAnsi="Arial"/>
                <w:b w:val="0"/>
                <w:bCs w:val="0"/>
                <w:sz w:val="20"/>
                <w:szCs w:val="20"/>
                <w:lang w:eastAsia="en-AU"/>
              </w:rPr>
              <w:t>GWM</w:t>
            </w:r>
            <w:r w:rsidR="006960F4">
              <w:rPr>
                <w:rFonts w:ascii="Arial" w:hAnsi="Arial"/>
                <w:b w:val="0"/>
                <w:bCs w:val="0"/>
                <w:sz w:val="20"/>
                <w:szCs w:val="20"/>
                <w:lang w:eastAsia="en-AU"/>
              </w:rPr>
              <w:t xml:space="preserve"> </w:t>
            </w:r>
            <w:r w:rsidR="00434ECE">
              <w:rPr>
                <w:rFonts w:ascii="Arial" w:hAnsi="Arial"/>
                <w:b w:val="0"/>
                <w:bCs w:val="0"/>
                <w:sz w:val="20"/>
                <w:szCs w:val="20"/>
                <w:lang w:eastAsia="en-AU"/>
              </w:rPr>
              <w:t xml:space="preserve">Water are currently undertaking a reliability study to determine the required size of allocation to guarantee the water supply for the </w:t>
            </w:r>
            <w:r w:rsidR="00D02516">
              <w:rPr>
                <w:rFonts w:ascii="Arial" w:hAnsi="Arial"/>
                <w:b w:val="0"/>
                <w:bCs w:val="0"/>
                <w:sz w:val="20"/>
                <w:szCs w:val="20"/>
                <w:lang w:eastAsia="en-AU"/>
              </w:rPr>
              <w:t>Project</w:t>
            </w:r>
            <w:r w:rsidR="00D6349E" w:rsidRPr="00434ECE">
              <w:rPr>
                <w:rFonts w:ascii="Arial" w:hAnsi="Arial"/>
                <w:b w:val="0"/>
                <w:bCs w:val="0"/>
                <w:sz w:val="20"/>
                <w:szCs w:val="20"/>
                <w:lang w:eastAsia="en-AU"/>
              </w:rPr>
              <w:t>.</w:t>
            </w:r>
            <w:r w:rsidRPr="00C87FAB">
              <w:rPr>
                <w:rFonts w:ascii="Arial" w:hAnsi="Arial"/>
                <w:b w:val="0"/>
                <w:bCs w:val="0"/>
                <w:sz w:val="20"/>
                <w:szCs w:val="20"/>
                <w:lang w:eastAsia="en-AU"/>
              </w:rPr>
              <w:t xml:space="preserve"> </w:t>
            </w:r>
          </w:p>
          <w:p w14:paraId="0F2E8D90" w14:textId="77777777" w:rsidR="005C32FF" w:rsidRPr="005C32FF" w:rsidRDefault="005C32FF" w:rsidP="005C32FF">
            <w:pPr>
              <w:pStyle w:val="BodyText"/>
              <w:spacing w:after="120"/>
              <w:jc w:val="both"/>
              <w:rPr>
                <w:rFonts w:ascii="Arial" w:hAnsi="Arial"/>
                <w:b w:val="0"/>
                <w:bCs w:val="0"/>
                <w:sz w:val="20"/>
                <w:szCs w:val="20"/>
                <w:lang w:eastAsia="en-AU"/>
              </w:rPr>
            </w:pPr>
            <w:r w:rsidRPr="005C32FF">
              <w:rPr>
                <w:rFonts w:ascii="Arial" w:hAnsi="Arial"/>
                <w:b w:val="0"/>
                <w:bCs w:val="0"/>
                <w:sz w:val="20"/>
                <w:szCs w:val="20"/>
                <w:lang w:eastAsia="en-AU"/>
              </w:rPr>
              <w:t>Dewatering of the mine pits will be required to allow mining of ore below the groundwater table. Any excess groundwater not utilised for processing or dust suppression will be returned to the aquifer via infiltration or, if the need is determined, via re-injection, and will offset total water demand.</w:t>
            </w:r>
          </w:p>
          <w:p w14:paraId="6BCA231B" w14:textId="390A2E36" w:rsidR="00CE0C02" w:rsidRDefault="00C87FAB" w:rsidP="00E95F9A">
            <w:pPr>
              <w:pStyle w:val="BodyText"/>
              <w:spacing w:after="120"/>
              <w:jc w:val="both"/>
              <w:rPr>
                <w:rFonts w:ascii="Arial" w:hAnsi="Arial"/>
              </w:rPr>
            </w:pPr>
            <w:r w:rsidRPr="00C87FAB">
              <w:rPr>
                <w:rFonts w:ascii="Arial" w:hAnsi="Arial"/>
                <w:b w:val="0"/>
                <w:bCs w:val="0"/>
                <w:sz w:val="20"/>
                <w:szCs w:val="20"/>
                <w:lang w:eastAsia="en-AU"/>
              </w:rPr>
              <w:t>Water will be stored in a series of dams across the Project site</w:t>
            </w:r>
            <w:r w:rsidR="003273D9">
              <w:rPr>
                <w:rFonts w:ascii="Arial" w:hAnsi="Arial"/>
                <w:b w:val="0"/>
                <w:bCs w:val="0"/>
                <w:sz w:val="20"/>
                <w:szCs w:val="20"/>
                <w:lang w:eastAsia="en-AU"/>
              </w:rPr>
              <w:t xml:space="preserve"> </w:t>
            </w:r>
            <w:r w:rsidR="003273D9" w:rsidRPr="00D73243">
              <w:rPr>
                <w:rFonts w:ascii="Arial" w:hAnsi="Arial"/>
                <w:b w:val="0"/>
                <w:bCs w:val="0"/>
                <w:sz w:val="20"/>
                <w:szCs w:val="20"/>
                <w:lang w:eastAsia="en-AU"/>
              </w:rPr>
              <w:t>that will segregate water of varying quality</w:t>
            </w:r>
            <w:r w:rsidRPr="00C87FAB">
              <w:rPr>
                <w:rFonts w:ascii="Arial" w:hAnsi="Arial"/>
                <w:b w:val="0"/>
                <w:bCs w:val="0"/>
                <w:sz w:val="20"/>
                <w:szCs w:val="20"/>
                <w:lang w:eastAsia="en-AU"/>
              </w:rPr>
              <w:t>.</w:t>
            </w:r>
          </w:p>
        </w:tc>
      </w:tr>
      <w:tr w:rsidR="00CE0C02" w14:paraId="32250C2F" w14:textId="77777777" w:rsidTr="00E71774">
        <w:tc>
          <w:tcPr>
            <w:tcW w:w="9243" w:type="dxa"/>
            <w:tcBorders>
              <w:top w:val="single" w:sz="4" w:space="0" w:color="auto"/>
              <w:bottom w:val="single" w:sz="4" w:space="0" w:color="auto"/>
            </w:tcBorders>
          </w:tcPr>
          <w:p w14:paraId="7187C7F0" w14:textId="0509D7EB" w:rsidR="00775BB1" w:rsidRPr="0093699E" w:rsidRDefault="0093699E" w:rsidP="00775BB1">
            <w:pPr>
              <w:pStyle w:val="Heading3"/>
              <w:keepLines/>
              <w:numPr>
                <w:ilvl w:val="2"/>
                <w:numId w:val="0"/>
              </w:numPr>
              <w:spacing w:before="240" w:after="240"/>
              <w:ind w:left="851" w:hanging="851"/>
              <w:jc w:val="both"/>
              <w:rPr>
                <w:sz w:val="20"/>
              </w:rPr>
            </w:pPr>
            <w:r>
              <w:rPr>
                <w:sz w:val="20"/>
              </w:rPr>
              <w:lastRenderedPageBreak/>
              <w:t xml:space="preserve">13.2 </w:t>
            </w:r>
            <w:r w:rsidR="00775BB1" w:rsidRPr="0093699E">
              <w:rPr>
                <w:sz w:val="20"/>
              </w:rPr>
              <w:t>Will the Project discharge wastewater or runoff to water environments?</w:t>
            </w:r>
          </w:p>
          <w:p w14:paraId="52DEA36A" w14:textId="063EFEF3" w:rsidR="008064B0" w:rsidRPr="00EC6C73" w:rsidRDefault="008064B0" w:rsidP="008064B0">
            <w:pPr>
              <w:pStyle w:val="BodyText"/>
              <w:jc w:val="both"/>
              <w:rPr>
                <w:rFonts w:ascii="Arial" w:hAnsi="Arial"/>
                <w:b w:val="0"/>
                <w:bCs w:val="0"/>
                <w:sz w:val="20"/>
                <w:szCs w:val="20"/>
                <w:lang w:eastAsia="en-AU"/>
              </w:rPr>
            </w:pPr>
            <w:r w:rsidRPr="000406BF">
              <w:rPr>
                <w:rFonts w:ascii="Arial" w:hAnsi="Arial"/>
                <w:b w:val="0"/>
                <w:bCs w:val="0"/>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No    </w:t>
            </w:r>
            <w:r w:rsidRPr="008064B0">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Yes   </w:t>
            </w:r>
          </w:p>
          <w:p w14:paraId="288A0B42" w14:textId="77777777" w:rsidR="008064B0" w:rsidRDefault="008064B0" w:rsidP="00EC6789">
            <w:pPr>
              <w:pStyle w:val="BodyText"/>
              <w:spacing w:after="120"/>
              <w:jc w:val="both"/>
              <w:rPr>
                <w:rFonts w:ascii="Arial" w:hAnsi="Arial"/>
                <w:b w:val="0"/>
                <w:bCs w:val="0"/>
                <w:sz w:val="20"/>
                <w:szCs w:val="20"/>
                <w:lang w:eastAsia="en-AU"/>
              </w:rPr>
            </w:pPr>
          </w:p>
          <w:p w14:paraId="010E2925" w14:textId="04D633B3" w:rsidR="00775BB1" w:rsidRDefault="00D00BD4" w:rsidP="00EC6789">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The Project has the potential to discharge </w:t>
            </w:r>
            <w:r w:rsidR="00D20F9F">
              <w:rPr>
                <w:rFonts w:ascii="Arial" w:hAnsi="Arial"/>
                <w:b w:val="0"/>
                <w:bCs w:val="0"/>
                <w:sz w:val="20"/>
                <w:szCs w:val="20"/>
                <w:lang w:eastAsia="en-AU"/>
              </w:rPr>
              <w:t xml:space="preserve">water to surface water and groundwater environments, however the likelihood and potential impact has not yet been </w:t>
            </w:r>
            <w:r w:rsidR="00775BB1" w:rsidRPr="0093699E">
              <w:rPr>
                <w:rFonts w:ascii="Arial" w:hAnsi="Arial"/>
                <w:b w:val="0"/>
                <w:bCs w:val="0"/>
                <w:sz w:val="20"/>
                <w:szCs w:val="20"/>
                <w:lang w:eastAsia="en-AU"/>
              </w:rPr>
              <w:t xml:space="preserve">determined. </w:t>
            </w:r>
          </w:p>
          <w:p w14:paraId="174D13BC" w14:textId="77777777" w:rsidR="00EF07E1" w:rsidRDefault="00775BB1" w:rsidP="00EC6789">
            <w:pPr>
              <w:pStyle w:val="BodyText"/>
              <w:spacing w:after="120"/>
              <w:jc w:val="both"/>
              <w:rPr>
                <w:rFonts w:ascii="Arial" w:hAnsi="Arial"/>
                <w:b w:val="0"/>
                <w:bCs w:val="0"/>
                <w:sz w:val="20"/>
                <w:szCs w:val="20"/>
                <w:lang w:eastAsia="en-AU"/>
              </w:rPr>
            </w:pPr>
            <w:r w:rsidRPr="0093699E">
              <w:rPr>
                <w:rFonts w:ascii="Arial" w:hAnsi="Arial"/>
                <w:b w:val="0"/>
                <w:bCs w:val="0"/>
                <w:sz w:val="20"/>
                <w:szCs w:val="20"/>
                <w:lang w:eastAsia="en-AU"/>
              </w:rPr>
              <w:t xml:space="preserve">Additional site-based hydrological investigations will be undertaken to </w:t>
            </w:r>
            <w:r w:rsidR="00347190">
              <w:rPr>
                <w:rFonts w:ascii="Arial" w:hAnsi="Arial"/>
                <w:b w:val="0"/>
                <w:bCs w:val="0"/>
                <w:sz w:val="20"/>
                <w:szCs w:val="20"/>
                <w:lang w:eastAsia="en-AU"/>
              </w:rPr>
              <w:t>assess likely surface water volumes, quality, flow paths (including run-off to downstream environments) and flood risks. The studies will also assess the potential impacts on ecological receptors as a result of changes in hydrological regime.</w:t>
            </w:r>
          </w:p>
          <w:p w14:paraId="02FADBFC" w14:textId="17F99769" w:rsidR="00CE0C02" w:rsidRDefault="00A07FA8" w:rsidP="00EC6789">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Mine affected surface water runoff will be captured within a system of drains, sumps, pumps, pipes and dams, and stored </w:t>
            </w:r>
            <w:r w:rsidR="00D02516">
              <w:rPr>
                <w:rFonts w:ascii="Arial" w:hAnsi="Arial"/>
                <w:b w:val="0"/>
                <w:bCs w:val="0"/>
                <w:sz w:val="20"/>
                <w:szCs w:val="20"/>
                <w:lang w:eastAsia="en-AU"/>
              </w:rPr>
              <w:t>onsite</w:t>
            </w:r>
            <w:r>
              <w:rPr>
                <w:rFonts w:ascii="Arial" w:hAnsi="Arial"/>
                <w:b w:val="0"/>
                <w:bCs w:val="0"/>
                <w:sz w:val="20"/>
                <w:szCs w:val="20"/>
                <w:lang w:eastAsia="en-AU"/>
              </w:rPr>
              <w:t xml:space="preserve"> to </w:t>
            </w:r>
            <w:r w:rsidR="008D39F7">
              <w:rPr>
                <w:rFonts w:ascii="Arial" w:hAnsi="Arial"/>
                <w:b w:val="0"/>
                <w:bCs w:val="0"/>
                <w:sz w:val="20"/>
                <w:szCs w:val="20"/>
                <w:lang w:eastAsia="en-AU"/>
              </w:rPr>
              <w:t xml:space="preserve">prevent </w:t>
            </w:r>
            <w:r w:rsidR="00D02516">
              <w:rPr>
                <w:rFonts w:ascii="Arial" w:hAnsi="Arial"/>
                <w:b w:val="0"/>
                <w:bCs w:val="0"/>
                <w:sz w:val="20"/>
                <w:szCs w:val="20"/>
                <w:lang w:eastAsia="en-AU"/>
              </w:rPr>
              <w:t>offsite</w:t>
            </w:r>
            <w:r w:rsidR="008D39F7">
              <w:rPr>
                <w:rFonts w:ascii="Arial" w:hAnsi="Arial"/>
                <w:b w:val="0"/>
                <w:bCs w:val="0"/>
                <w:sz w:val="20"/>
                <w:szCs w:val="20"/>
                <w:lang w:eastAsia="en-AU"/>
              </w:rPr>
              <w:t xml:space="preserve"> discharge of surface water having water quality indicators that exceed the objectives determined in accordance with the </w:t>
            </w:r>
            <w:r w:rsidR="008D39F7" w:rsidRPr="00643373">
              <w:rPr>
                <w:rFonts w:ascii="Arial" w:hAnsi="Arial"/>
                <w:b w:val="0"/>
                <w:bCs w:val="0"/>
                <w:i/>
                <w:sz w:val="20"/>
                <w:szCs w:val="20"/>
                <w:lang w:eastAsia="en-AU"/>
              </w:rPr>
              <w:t>State Environment Protection Policy (Waters)</w:t>
            </w:r>
            <w:r w:rsidR="008D39F7">
              <w:rPr>
                <w:rFonts w:ascii="Arial" w:hAnsi="Arial"/>
                <w:b w:val="0"/>
                <w:bCs w:val="0"/>
                <w:sz w:val="20"/>
                <w:szCs w:val="20"/>
                <w:lang w:eastAsia="en-AU"/>
              </w:rPr>
              <w:t>, or SEPP (Waters)</w:t>
            </w:r>
            <w:r>
              <w:rPr>
                <w:rFonts w:ascii="Arial" w:hAnsi="Arial"/>
                <w:b w:val="0"/>
                <w:bCs w:val="0"/>
                <w:sz w:val="20"/>
                <w:szCs w:val="20"/>
                <w:lang w:eastAsia="en-AU"/>
              </w:rPr>
              <w:t>.</w:t>
            </w:r>
          </w:p>
          <w:p w14:paraId="6CD5F280" w14:textId="23BFAB02" w:rsidR="00712704" w:rsidRDefault="00712704" w:rsidP="00EC6789">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To minimise water demand, </w:t>
            </w:r>
            <w:r w:rsidR="0066761E">
              <w:rPr>
                <w:rFonts w:ascii="Arial" w:hAnsi="Arial"/>
                <w:b w:val="0"/>
                <w:bCs w:val="0"/>
                <w:sz w:val="20"/>
                <w:szCs w:val="20"/>
                <w:lang w:eastAsia="en-AU"/>
              </w:rPr>
              <w:t xml:space="preserve">process water within the Mineral Separation Plan </w:t>
            </w:r>
            <w:r w:rsidR="00A0162D">
              <w:rPr>
                <w:rFonts w:ascii="Arial" w:hAnsi="Arial"/>
                <w:b w:val="0"/>
                <w:bCs w:val="0"/>
                <w:sz w:val="20"/>
                <w:szCs w:val="20"/>
                <w:lang w:eastAsia="en-AU"/>
              </w:rPr>
              <w:t xml:space="preserve">(MSP) </w:t>
            </w:r>
            <w:r w:rsidR="0066761E">
              <w:rPr>
                <w:rFonts w:ascii="Arial" w:hAnsi="Arial"/>
                <w:b w:val="0"/>
                <w:bCs w:val="0"/>
                <w:sz w:val="20"/>
                <w:szCs w:val="20"/>
                <w:lang w:eastAsia="en-AU"/>
              </w:rPr>
              <w:t>and refinery circuits</w:t>
            </w:r>
            <w:r>
              <w:rPr>
                <w:rFonts w:ascii="Arial" w:hAnsi="Arial"/>
                <w:b w:val="0"/>
                <w:bCs w:val="0"/>
                <w:sz w:val="20"/>
                <w:szCs w:val="20"/>
                <w:lang w:eastAsia="en-AU"/>
              </w:rPr>
              <w:t xml:space="preserve"> will be treated and recirculated</w:t>
            </w:r>
            <w:r w:rsidR="0066761E">
              <w:rPr>
                <w:rFonts w:ascii="Arial" w:hAnsi="Arial"/>
                <w:b w:val="0"/>
                <w:bCs w:val="0"/>
                <w:sz w:val="20"/>
                <w:szCs w:val="20"/>
                <w:lang w:eastAsia="en-AU"/>
              </w:rPr>
              <w:t xml:space="preserve">. Any waste process water from the MSP circuits will be disposed </w:t>
            </w:r>
            <w:r w:rsidR="00EC6789">
              <w:rPr>
                <w:rFonts w:ascii="Arial" w:hAnsi="Arial"/>
                <w:b w:val="0"/>
                <w:bCs w:val="0"/>
                <w:sz w:val="20"/>
                <w:szCs w:val="20"/>
                <w:lang w:eastAsia="en-AU"/>
              </w:rPr>
              <w:t xml:space="preserve">as part of the tailings stream </w:t>
            </w:r>
            <w:r w:rsidR="0066761E">
              <w:rPr>
                <w:rFonts w:ascii="Arial" w:hAnsi="Arial"/>
                <w:b w:val="0"/>
                <w:bCs w:val="0"/>
                <w:sz w:val="20"/>
                <w:szCs w:val="20"/>
                <w:lang w:eastAsia="en-AU"/>
              </w:rPr>
              <w:t xml:space="preserve">into </w:t>
            </w:r>
            <w:r w:rsidR="00EC6789">
              <w:rPr>
                <w:rFonts w:ascii="Arial" w:hAnsi="Arial"/>
                <w:b w:val="0"/>
                <w:bCs w:val="0"/>
                <w:sz w:val="20"/>
                <w:szCs w:val="20"/>
                <w:lang w:eastAsia="en-AU"/>
              </w:rPr>
              <w:t xml:space="preserve">the starter TSF or in-pit tailings cells. </w:t>
            </w:r>
            <w:r w:rsidR="0066761E">
              <w:rPr>
                <w:rFonts w:ascii="Arial" w:hAnsi="Arial"/>
                <w:b w:val="0"/>
                <w:bCs w:val="0"/>
                <w:sz w:val="20"/>
                <w:szCs w:val="20"/>
                <w:lang w:eastAsia="en-AU"/>
              </w:rPr>
              <w:t>Disposal of waste process water from the refinery circuits will occur</w:t>
            </w:r>
            <w:r w:rsidR="00EF07E1">
              <w:rPr>
                <w:rFonts w:ascii="Arial" w:hAnsi="Arial"/>
                <w:b w:val="0"/>
                <w:bCs w:val="0"/>
                <w:sz w:val="20"/>
                <w:szCs w:val="20"/>
                <w:lang w:eastAsia="en-AU"/>
              </w:rPr>
              <w:t xml:space="preserve"> </w:t>
            </w:r>
            <w:r>
              <w:rPr>
                <w:rFonts w:ascii="Arial" w:hAnsi="Arial"/>
                <w:b w:val="0"/>
                <w:bCs w:val="0"/>
                <w:sz w:val="20"/>
                <w:szCs w:val="20"/>
                <w:lang w:eastAsia="en-AU"/>
              </w:rPr>
              <w:t>as part of the saline brine by-product</w:t>
            </w:r>
            <w:r w:rsidR="00EC6789">
              <w:rPr>
                <w:rFonts w:ascii="Arial" w:hAnsi="Arial"/>
                <w:b w:val="0"/>
                <w:bCs w:val="0"/>
                <w:sz w:val="20"/>
                <w:szCs w:val="20"/>
                <w:lang w:eastAsia="en-AU"/>
              </w:rPr>
              <w:t xml:space="preserve">, with the </w:t>
            </w:r>
            <w:r w:rsidR="00EF07E1">
              <w:rPr>
                <w:rFonts w:ascii="Arial" w:hAnsi="Arial"/>
                <w:b w:val="0"/>
                <w:bCs w:val="0"/>
                <w:sz w:val="20"/>
                <w:szCs w:val="20"/>
                <w:lang w:eastAsia="en-AU"/>
              </w:rPr>
              <w:t xml:space="preserve">disposal methodology </w:t>
            </w:r>
            <w:r w:rsidR="00EC6789">
              <w:rPr>
                <w:rFonts w:ascii="Arial" w:hAnsi="Arial"/>
                <w:b w:val="0"/>
                <w:bCs w:val="0"/>
                <w:sz w:val="20"/>
                <w:szCs w:val="20"/>
                <w:lang w:eastAsia="en-AU"/>
              </w:rPr>
              <w:t xml:space="preserve">to </w:t>
            </w:r>
            <w:r w:rsidR="00EF07E1">
              <w:rPr>
                <w:rFonts w:ascii="Arial" w:hAnsi="Arial"/>
                <w:b w:val="0"/>
                <w:bCs w:val="0"/>
                <w:sz w:val="20"/>
                <w:szCs w:val="20"/>
                <w:lang w:eastAsia="en-AU"/>
              </w:rPr>
              <w:t>be informed by impact assessments undertaken during the second half of 2019.</w:t>
            </w:r>
          </w:p>
          <w:p w14:paraId="66C5178B" w14:textId="23BB5BA6" w:rsidR="00347190" w:rsidRPr="00347190" w:rsidRDefault="005C32FF" w:rsidP="00EC6789">
            <w:pPr>
              <w:pStyle w:val="BodyText"/>
              <w:spacing w:after="120"/>
              <w:jc w:val="both"/>
              <w:rPr>
                <w:rFonts w:ascii="Arial" w:hAnsi="Arial"/>
                <w:b w:val="0"/>
                <w:bCs w:val="0"/>
                <w:sz w:val="20"/>
                <w:szCs w:val="20"/>
                <w:lang w:eastAsia="en-AU"/>
              </w:rPr>
            </w:pPr>
            <w:r w:rsidRPr="005C32FF">
              <w:rPr>
                <w:rFonts w:ascii="Arial" w:hAnsi="Arial"/>
                <w:b w:val="0"/>
                <w:bCs w:val="0"/>
                <w:sz w:val="20"/>
                <w:szCs w:val="20"/>
                <w:lang w:eastAsia="en-AU"/>
              </w:rPr>
              <w:t>Dewatering of the mine pits will be required to allow mining of ore below the groundwater table. Any excess groundwater not utilised for processing or dust suppression will be returned to the aquifer via infiltration or, if the need is determined, via re-injection, and will offset total water demand.</w:t>
            </w:r>
          </w:p>
        </w:tc>
      </w:tr>
      <w:tr w:rsidR="00CE0C02" w14:paraId="4FCC3762" w14:textId="77777777" w:rsidTr="00E71774">
        <w:tc>
          <w:tcPr>
            <w:tcW w:w="9243" w:type="dxa"/>
            <w:tcBorders>
              <w:top w:val="single" w:sz="4" w:space="0" w:color="auto"/>
              <w:bottom w:val="single" w:sz="4" w:space="0" w:color="auto"/>
            </w:tcBorders>
          </w:tcPr>
          <w:p w14:paraId="52513500" w14:textId="39DA4699" w:rsidR="0093699E" w:rsidRPr="0093699E" w:rsidRDefault="0093699E" w:rsidP="0093699E">
            <w:pPr>
              <w:pStyle w:val="Heading3"/>
              <w:keepLines/>
              <w:numPr>
                <w:ilvl w:val="2"/>
                <w:numId w:val="0"/>
              </w:numPr>
              <w:spacing w:before="240" w:after="240"/>
              <w:ind w:left="851" w:hanging="851"/>
              <w:jc w:val="both"/>
              <w:rPr>
                <w:sz w:val="20"/>
              </w:rPr>
            </w:pPr>
            <w:r w:rsidRPr="0093699E">
              <w:rPr>
                <w:sz w:val="20"/>
              </w:rPr>
              <w:t xml:space="preserve">13.3 Are any waterways, wetlands, estuaries or marine environments likely to be affected?  </w:t>
            </w:r>
          </w:p>
          <w:p w14:paraId="1539EF8F" w14:textId="77777777" w:rsidR="009D10B5" w:rsidRPr="00EC6C73" w:rsidRDefault="009D10B5" w:rsidP="009D10B5">
            <w:pPr>
              <w:pStyle w:val="BodyText"/>
              <w:jc w:val="both"/>
              <w:rPr>
                <w:rFonts w:ascii="Arial" w:hAnsi="Arial"/>
                <w:b w:val="0"/>
                <w:bCs w:val="0"/>
                <w:sz w:val="20"/>
                <w:szCs w:val="20"/>
                <w:lang w:eastAsia="en-AU"/>
              </w:rPr>
            </w:pPr>
            <w:r w:rsidRPr="00896B54">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No    </w:t>
            </w:r>
            <w:r w:rsidRPr="00896B54">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485BAB24" w14:textId="77777777" w:rsidR="009D10B5" w:rsidRDefault="009D10B5" w:rsidP="008D39F7">
            <w:pPr>
              <w:pStyle w:val="BodyText"/>
              <w:spacing w:after="120"/>
              <w:jc w:val="both"/>
              <w:rPr>
                <w:rFonts w:ascii="Arial" w:hAnsi="Arial"/>
                <w:b w:val="0"/>
                <w:bCs w:val="0"/>
                <w:sz w:val="20"/>
                <w:szCs w:val="20"/>
                <w:lang w:eastAsia="en-AU"/>
              </w:rPr>
            </w:pPr>
          </w:p>
          <w:p w14:paraId="776781FB" w14:textId="06A1CF99" w:rsidR="00D20F9F" w:rsidRDefault="00712704" w:rsidP="008D39F7">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The Project will </w:t>
            </w:r>
            <w:r w:rsidR="00B82461">
              <w:rPr>
                <w:rFonts w:ascii="Arial" w:hAnsi="Arial"/>
                <w:b w:val="0"/>
                <w:bCs w:val="0"/>
                <w:sz w:val="20"/>
                <w:szCs w:val="20"/>
                <w:lang w:eastAsia="en-AU"/>
              </w:rPr>
              <w:t>impact the flow of surface water across the site and has the potential to impact the hydrological regime of downstream waterbodies and receptors</w:t>
            </w:r>
            <w:r>
              <w:rPr>
                <w:rFonts w:ascii="Arial" w:hAnsi="Arial"/>
                <w:b w:val="0"/>
                <w:bCs w:val="0"/>
                <w:sz w:val="20"/>
                <w:szCs w:val="20"/>
                <w:lang w:eastAsia="en-AU"/>
              </w:rPr>
              <w:t xml:space="preserve">. </w:t>
            </w:r>
            <w:r w:rsidR="00D20F9F">
              <w:rPr>
                <w:rFonts w:ascii="Arial" w:hAnsi="Arial"/>
                <w:b w:val="0"/>
                <w:bCs w:val="0"/>
                <w:sz w:val="20"/>
                <w:szCs w:val="20"/>
                <w:lang w:eastAsia="en-AU"/>
              </w:rPr>
              <w:t xml:space="preserve">The likelihood and extent of impact has not yet </w:t>
            </w:r>
            <w:r w:rsidR="009901A3">
              <w:rPr>
                <w:rFonts w:ascii="Arial" w:hAnsi="Arial"/>
                <w:b w:val="0"/>
                <w:bCs w:val="0"/>
                <w:sz w:val="20"/>
                <w:szCs w:val="20"/>
                <w:lang w:eastAsia="en-AU"/>
              </w:rPr>
              <w:t>been</w:t>
            </w:r>
            <w:r w:rsidR="00D20F9F">
              <w:rPr>
                <w:rFonts w:ascii="Arial" w:hAnsi="Arial"/>
                <w:b w:val="0"/>
                <w:bCs w:val="0"/>
                <w:sz w:val="20"/>
                <w:szCs w:val="20"/>
                <w:lang w:eastAsia="en-AU"/>
              </w:rPr>
              <w:t xml:space="preserve"> determined.</w:t>
            </w:r>
          </w:p>
          <w:p w14:paraId="58F27FEE" w14:textId="5FAB3397" w:rsidR="00347190" w:rsidRDefault="00B82461" w:rsidP="008D39F7">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A surface water impact assessment</w:t>
            </w:r>
            <w:r w:rsidR="00347190" w:rsidRPr="0093699E">
              <w:rPr>
                <w:rFonts w:ascii="Arial" w:hAnsi="Arial"/>
                <w:b w:val="0"/>
                <w:bCs w:val="0"/>
                <w:sz w:val="20"/>
                <w:szCs w:val="20"/>
                <w:lang w:eastAsia="en-AU"/>
              </w:rPr>
              <w:t xml:space="preserve"> will be undertaken to </w:t>
            </w:r>
            <w:r w:rsidR="00347190">
              <w:rPr>
                <w:rFonts w:ascii="Arial" w:hAnsi="Arial"/>
                <w:b w:val="0"/>
                <w:bCs w:val="0"/>
                <w:sz w:val="20"/>
                <w:szCs w:val="20"/>
                <w:lang w:eastAsia="en-AU"/>
              </w:rPr>
              <w:t xml:space="preserve">assess </w:t>
            </w:r>
            <w:r>
              <w:rPr>
                <w:rFonts w:ascii="Arial" w:hAnsi="Arial"/>
                <w:b w:val="0"/>
                <w:bCs w:val="0"/>
                <w:sz w:val="20"/>
                <w:szCs w:val="20"/>
                <w:lang w:eastAsia="en-AU"/>
              </w:rPr>
              <w:t xml:space="preserve">impact to </w:t>
            </w:r>
            <w:r w:rsidR="00347190">
              <w:rPr>
                <w:rFonts w:ascii="Arial" w:hAnsi="Arial"/>
                <w:b w:val="0"/>
                <w:bCs w:val="0"/>
                <w:sz w:val="20"/>
                <w:szCs w:val="20"/>
                <w:lang w:eastAsia="en-AU"/>
              </w:rPr>
              <w:t>surface water volumes, quality, flow paths (including run-off to downstream environments) and flood risks</w:t>
            </w:r>
            <w:r>
              <w:rPr>
                <w:rFonts w:ascii="Arial" w:hAnsi="Arial"/>
                <w:b w:val="0"/>
                <w:bCs w:val="0"/>
                <w:sz w:val="20"/>
                <w:szCs w:val="20"/>
                <w:lang w:eastAsia="en-AU"/>
              </w:rPr>
              <w:t xml:space="preserve"> arising from the Project, and</w:t>
            </w:r>
            <w:r w:rsidR="00347190">
              <w:rPr>
                <w:rFonts w:ascii="Arial" w:hAnsi="Arial"/>
                <w:b w:val="0"/>
                <w:bCs w:val="0"/>
                <w:sz w:val="20"/>
                <w:szCs w:val="20"/>
                <w:lang w:eastAsia="en-AU"/>
              </w:rPr>
              <w:t xml:space="preserve"> potential impacts </w:t>
            </w:r>
            <w:r>
              <w:rPr>
                <w:rFonts w:ascii="Arial" w:hAnsi="Arial"/>
                <w:b w:val="0"/>
                <w:bCs w:val="0"/>
                <w:sz w:val="20"/>
                <w:szCs w:val="20"/>
                <w:lang w:eastAsia="en-AU"/>
              </w:rPr>
              <w:t xml:space="preserve">to </w:t>
            </w:r>
            <w:r w:rsidR="00347190">
              <w:rPr>
                <w:rFonts w:ascii="Arial" w:hAnsi="Arial"/>
                <w:b w:val="0"/>
                <w:bCs w:val="0"/>
                <w:sz w:val="20"/>
                <w:szCs w:val="20"/>
                <w:lang w:eastAsia="en-AU"/>
              </w:rPr>
              <w:t xml:space="preserve">ecological receptors </w:t>
            </w:r>
            <w:r>
              <w:rPr>
                <w:rFonts w:ascii="Arial" w:hAnsi="Arial"/>
                <w:b w:val="0"/>
                <w:bCs w:val="0"/>
                <w:sz w:val="20"/>
                <w:szCs w:val="20"/>
                <w:lang w:eastAsia="en-AU"/>
              </w:rPr>
              <w:t>resulting from</w:t>
            </w:r>
            <w:r w:rsidR="00347190">
              <w:rPr>
                <w:rFonts w:ascii="Arial" w:hAnsi="Arial"/>
                <w:b w:val="0"/>
                <w:bCs w:val="0"/>
                <w:sz w:val="20"/>
                <w:szCs w:val="20"/>
                <w:lang w:eastAsia="en-AU"/>
              </w:rPr>
              <w:t xml:space="preserve"> changes in </w:t>
            </w:r>
            <w:r>
              <w:rPr>
                <w:rFonts w:ascii="Arial" w:hAnsi="Arial"/>
                <w:b w:val="0"/>
                <w:bCs w:val="0"/>
                <w:sz w:val="20"/>
                <w:szCs w:val="20"/>
                <w:lang w:eastAsia="en-AU"/>
              </w:rPr>
              <w:t xml:space="preserve">the </w:t>
            </w:r>
            <w:r w:rsidR="00347190">
              <w:rPr>
                <w:rFonts w:ascii="Arial" w:hAnsi="Arial"/>
                <w:b w:val="0"/>
                <w:bCs w:val="0"/>
                <w:sz w:val="20"/>
                <w:szCs w:val="20"/>
                <w:lang w:eastAsia="en-AU"/>
              </w:rPr>
              <w:t xml:space="preserve">hydrological regime. </w:t>
            </w:r>
          </w:p>
          <w:p w14:paraId="6A22B024" w14:textId="77777777" w:rsidR="00CE0C02" w:rsidRDefault="00712704" w:rsidP="008D39F7">
            <w:pPr>
              <w:pStyle w:val="BodyText"/>
              <w:spacing w:after="120"/>
              <w:jc w:val="both"/>
              <w:rPr>
                <w:rFonts w:ascii="Arial" w:hAnsi="Arial"/>
              </w:rPr>
            </w:pPr>
            <w:r>
              <w:rPr>
                <w:rFonts w:ascii="Arial" w:hAnsi="Arial"/>
                <w:b w:val="0"/>
                <w:bCs w:val="0"/>
                <w:sz w:val="20"/>
                <w:szCs w:val="20"/>
                <w:lang w:eastAsia="en-AU"/>
              </w:rPr>
              <w:t>No estuarine or marine ecosystems will be affected.</w:t>
            </w:r>
          </w:p>
        </w:tc>
      </w:tr>
      <w:tr w:rsidR="00CE0C02" w14:paraId="0E32251B" w14:textId="77777777" w:rsidTr="00FD555F">
        <w:tc>
          <w:tcPr>
            <w:tcW w:w="9243" w:type="dxa"/>
            <w:tcBorders>
              <w:top w:val="single" w:sz="4" w:space="0" w:color="auto"/>
              <w:bottom w:val="single" w:sz="4" w:space="0" w:color="auto"/>
            </w:tcBorders>
          </w:tcPr>
          <w:p w14:paraId="6875906D" w14:textId="14111243" w:rsidR="0093699E" w:rsidRPr="0093699E" w:rsidRDefault="0093699E" w:rsidP="0093699E">
            <w:pPr>
              <w:pStyle w:val="Heading3"/>
              <w:keepLines/>
              <w:numPr>
                <w:ilvl w:val="2"/>
                <w:numId w:val="0"/>
              </w:numPr>
              <w:spacing w:before="240" w:after="240"/>
              <w:ind w:left="851" w:hanging="851"/>
              <w:jc w:val="both"/>
              <w:rPr>
                <w:sz w:val="20"/>
              </w:rPr>
            </w:pPr>
            <w:r>
              <w:rPr>
                <w:sz w:val="20"/>
              </w:rPr>
              <w:t xml:space="preserve">13.4 </w:t>
            </w:r>
            <w:r w:rsidRPr="0093699E">
              <w:rPr>
                <w:sz w:val="20"/>
              </w:rPr>
              <w:t xml:space="preserve">Are any of these water environments likely to support threatened or migratory species? </w:t>
            </w:r>
          </w:p>
          <w:p w14:paraId="136A70CA" w14:textId="52C1F8FB" w:rsidR="00D45B1B" w:rsidRPr="00EC6C73" w:rsidRDefault="00D45B1B" w:rsidP="00D45B1B">
            <w:pPr>
              <w:pStyle w:val="BodyText"/>
              <w:jc w:val="both"/>
              <w:rPr>
                <w:rFonts w:ascii="Arial" w:hAnsi="Arial"/>
                <w:b w:val="0"/>
                <w:bCs w:val="0"/>
                <w:sz w:val="20"/>
                <w:szCs w:val="20"/>
                <w:lang w:eastAsia="en-AU"/>
              </w:rPr>
            </w:pPr>
            <w:r w:rsidRPr="00896B54">
              <w:rPr>
                <w:rFonts w:ascii="Arial" w:hAnsi="Arial"/>
                <w:b w:val="0"/>
                <w:bCs w:val="0"/>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C6C73">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No    </w:t>
            </w:r>
            <w:r w:rsidRPr="00D45B1B">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Yes   </w:t>
            </w:r>
          </w:p>
          <w:p w14:paraId="40DE2EEF" w14:textId="77777777" w:rsidR="00D45B1B" w:rsidRDefault="00D45B1B" w:rsidP="00B82461">
            <w:pPr>
              <w:pStyle w:val="BodyText"/>
              <w:spacing w:after="120"/>
              <w:jc w:val="both"/>
              <w:rPr>
                <w:rFonts w:ascii="Arial" w:hAnsi="Arial"/>
                <w:b w:val="0"/>
                <w:bCs w:val="0"/>
                <w:sz w:val="20"/>
                <w:szCs w:val="20"/>
                <w:lang w:eastAsia="en-AU"/>
              </w:rPr>
            </w:pPr>
          </w:p>
          <w:p w14:paraId="0132A009" w14:textId="7575BCF0" w:rsidR="00CE0C02" w:rsidRDefault="00D20F9F" w:rsidP="00B82461">
            <w:pPr>
              <w:pStyle w:val="BodyText"/>
              <w:spacing w:after="120"/>
              <w:jc w:val="both"/>
              <w:rPr>
                <w:rFonts w:ascii="Arial" w:hAnsi="Arial"/>
              </w:rPr>
            </w:pPr>
            <w:r>
              <w:rPr>
                <w:rFonts w:ascii="Arial" w:hAnsi="Arial"/>
                <w:b w:val="0"/>
                <w:bCs w:val="0"/>
                <w:sz w:val="20"/>
                <w:szCs w:val="20"/>
                <w:lang w:eastAsia="en-AU"/>
              </w:rPr>
              <w:t xml:space="preserve">Waterways and wetlands in the vicinity of the Project have the potential to support threatened and migratory species. </w:t>
            </w:r>
            <w:r w:rsidR="0093699E" w:rsidRPr="0093699E">
              <w:rPr>
                <w:rFonts w:ascii="Arial" w:hAnsi="Arial"/>
                <w:b w:val="0"/>
                <w:bCs w:val="0"/>
                <w:sz w:val="20"/>
                <w:szCs w:val="20"/>
                <w:lang w:eastAsia="en-AU"/>
              </w:rPr>
              <w:t xml:space="preserve"> </w:t>
            </w:r>
            <w:r w:rsidR="00347190" w:rsidRPr="0093699E">
              <w:rPr>
                <w:rFonts w:ascii="Arial" w:hAnsi="Arial"/>
                <w:b w:val="0"/>
                <w:bCs w:val="0"/>
                <w:sz w:val="20"/>
                <w:szCs w:val="20"/>
                <w:lang w:eastAsia="en-AU"/>
              </w:rPr>
              <w:t xml:space="preserve">Further </w:t>
            </w:r>
            <w:r w:rsidR="00741FEE">
              <w:rPr>
                <w:rFonts w:ascii="Arial" w:hAnsi="Arial"/>
                <w:b w:val="0"/>
                <w:bCs w:val="0"/>
                <w:sz w:val="20"/>
                <w:szCs w:val="20"/>
                <w:lang w:eastAsia="en-AU"/>
              </w:rPr>
              <w:t>ecology surveys will be undertaken to determine the existing condition of nearby wetlands</w:t>
            </w:r>
            <w:r>
              <w:rPr>
                <w:rFonts w:ascii="Arial" w:hAnsi="Arial"/>
                <w:b w:val="0"/>
                <w:bCs w:val="0"/>
                <w:sz w:val="20"/>
                <w:szCs w:val="20"/>
                <w:lang w:eastAsia="en-AU"/>
              </w:rPr>
              <w:t xml:space="preserve">, and to assess </w:t>
            </w:r>
            <w:r w:rsidR="00C251D2">
              <w:rPr>
                <w:rFonts w:ascii="Arial" w:hAnsi="Arial"/>
                <w:b w:val="0"/>
                <w:bCs w:val="0"/>
                <w:sz w:val="20"/>
                <w:szCs w:val="20"/>
                <w:lang w:eastAsia="en-AU"/>
              </w:rPr>
              <w:t xml:space="preserve">for </w:t>
            </w:r>
            <w:r>
              <w:rPr>
                <w:rFonts w:ascii="Arial" w:hAnsi="Arial"/>
                <w:b w:val="0"/>
                <w:bCs w:val="0"/>
                <w:sz w:val="20"/>
                <w:szCs w:val="20"/>
                <w:lang w:eastAsia="en-AU"/>
              </w:rPr>
              <w:t>the presence</w:t>
            </w:r>
            <w:r w:rsidR="00C251D2">
              <w:rPr>
                <w:rFonts w:ascii="Arial" w:hAnsi="Arial"/>
                <w:b w:val="0"/>
                <w:bCs w:val="0"/>
                <w:sz w:val="20"/>
                <w:szCs w:val="20"/>
                <w:lang w:eastAsia="en-AU"/>
              </w:rPr>
              <w:t xml:space="preserve"> of threatened or migratory species</w:t>
            </w:r>
            <w:r w:rsidR="00741FEE">
              <w:rPr>
                <w:rFonts w:ascii="Arial" w:hAnsi="Arial"/>
                <w:b w:val="0"/>
                <w:bCs w:val="0"/>
                <w:sz w:val="20"/>
                <w:szCs w:val="20"/>
                <w:lang w:eastAsia="en-AU"/>
              </w:rPr>
              <w:t xml:space="preserve"> to determine the potential for Project-related impacts. </w:t>
            </w:r>
          </w:p>
        </w:tc>
      </w:tr>
      <w:tr w:rsidR="00CE0C02" w14:paraId="25011489" w14:textId="77777777" w:rsidTr="00FD555F">
        <w:tc>
          <w:tcPr>
            <w:tcW w:w="9243" w:type="dxa"/>
            <w:tcBorders>
              <w:top w:val="single" w:sz="4" w:space="0" w:color="auto"/>
              <w:bottom w:val="single" w:sz="4" w:space="0" w:color="auto"/>
            </w:tcBorders>
          </w:tcPr>
          <w:p w14:paraId="34C63A41" w14:textId="1C1F8F3F" w:rsidR="0093699E" w:rsidRPr="0093699E" w:rsidRDefault="0093699E" w:rsidP="0093699E">
            <w:pPr>
              <w:pStyle w:val="Heading3"/>
              <w:keepLines/>
              <w:numPr>
                <w:ilvl w:val="2"/>
                <w:numId w:val="0"/>
              </w:numPr>
              <w:spacing w:before="240" w:after="240"/>
              <w:ind w:left="851" w:hanging="851"/>
              <w:jc w:val="both"/>
              <w:rPr>
                <w:sz w:val="20"/>
              </w:rPr>
            </w:pPr>
            <w:r>
              <w:rPr>
                <w:sz w:val="20"/>
              </w:rPr>
              <w:lastRenderedPageBreak/>
              <w:t xml:space="preserve">13.5 </w:t>
            </w:r>
            <w:r w:rsidRPr="0093699E">
              <w:rPr>
                <w:sz w:val="20"/>
              </w:rPr>
              <w:t xml:space="preserve">Are any potentially affected wetlands listed under the Ramsar Convention or in 'A Directory of Important Wetlands in Australia'? </w:t>
            </w:r>
          </w:p>
          <w:p w14:paraId="3188E367" w14:textId="77777777" w:rsidR="00D45B1B" w:rsidRPr="00EC6C73" w:rsidRDefault="00D45B1B" w:rsidP="00D45B1B">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D45B1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No    </w:t>
            </w:r>
            <w:r w:rsidRPr="00D45B1B">
              <w:rPr>
                <w:rFonts w:ascii="Arial" w:hAnsi="Arial"/>
                <w:b w:val="0"/>
                <w:bCs w:val="0"/>
                <w:color w:val="D9D9D9" w:themeColor="background1" w:themeShade="D9"/>
                <w:sz w:val="20"/>
                <w:szCs w:val="20"/>
                <w:lang w:eastAsia="en-AU"/>
              </w:rPr>
              <w:sym w:font="Webdings" w:char="F072"/>
            </w:r>
            <w:r w:rsidRPr="00EC6C73">
              <w:rPr>
                <w:rFonts w:ascii="Arial" w:hAnsi="Arial"/>
                <w:b w:val="0"/>
                <w:bCs w:val="0"/>
                <w:sz w:val="20"/>
                <w:szCs w:val="20"/>
                <w:lang w:eastAsia="en-AU"/>
              </w:rPr>
              <w:t xml:space="preserve">  Yes   </w:t>
            </w:r>
          </w:p>
          <w:p w14:paraId="3F1B2420" w14:textId="77777777" w:rsidR="00D45B1B" w:rsidRDefault="00D45B1B" w:rsidP="007913C4">
            <w:pPr>
              <w:pStyle w:val="BodyText"/>
              <w:jc w:val="both"/>
              <w:rPr>
                <w:rFonts w:ascii="Arial" w:hAnsi="Arial"/>
                <w:b w:val="0"/>
                <w:bCs w:val="0"/>
                <w:sz w:val="20"/>
                <w:szCs w:val="20"/>
                <w:lang w:eastAsia="en-AU"/>
              </w:rPr>
            </w:pPr>
          </w:p>
          <w:p w14:paraId="43D1445D" w14:textId="662F4947" w:rsidR="007913C4" w:rsidRPr="007913C4" w:rsidRDefault="007913C4" w:rsidP="007913C4">
            <w:pPr>
              <w:pStyle w:val="BodyText"/>
              <w:jc w:val="both"/>
              <w:rPr>
                <w:rFonts w:ascii="Arial" w:hAnsi="Arial"/>
                <w:b w:val="0"/>
                <w:bCs w:val="0"/>
                <w:sz w:val="20"/>
                <w:szCs w:val="20"/>
                <w:lang w:eastAsia="en-AU"/>
              </w:rPr>
            </w:pPr>
            <w:r w:rsidRPr="007913C4">
              <w:rPr>
                <w:rFonts w:ascii="Arial" w:hAnsi="Arial"/>
                <w:b w:val="0"/>
                <w:bCs w:val="0"/>
                <w:sz w:val="20"/>
                <w:szCs w:val="20"/>
                <w:lang w:eastAsia="en-AU"/>
              </w:rPr>
              <w:t xml:space="preserve">The nearest Ramsar wetland, Lake </w:t>
            </w:r>
            <w:proofErr w:type="spellStart"/>
            <w:r w:rsidRPr="007913C4">
              <w:rPr>
                <w:rFonts w:ascii="Arial" w:hAnsi="Arial"/>
                <w:b w:val="0"/>
                <w:bCs w:val="0"/>
                <w:sz w:val="20"/>
                <w:szCs w:val="20"/>
                <w:lang w:eastAsia="en-AU"/>
              </w:rPr>
              <w:t>Albacutya</w:t>
            </w:r>
            <w:proofErr w:type="spellEnd"/>
            <w:r w:rsidRPr="007913C4">
              <w:rPr>
                <w:rFonts w:ascii="Arial" w:hAnsi="Arial"/>
                <w:b w:val="0"/>
                <w:bCs w:val="0"/>
                <w:sz w:val="20"/>
                <w:szCs w:val="20"/>
                <w:lang w:eastAsia="en-AU"/>
              </w:rPr>
              <w:t xml:space="preserve"> is 100–150 km downstream (north) of the Project</w:t>
            </w:r>
            <w:r w:rsidR="002D68CC">
              <w:rPr>
                <w:rFonts w:ascii="Arial" w:hAnsi="Arial"/>
                <w:b w:val="0"/>
                <w:bCs w:val="0"/>
                <w:sz w:val="20"/>
                <w:szCs w:val="20"/>
                <w:lang w:eastAsia="en-AU"/>
              </w:rPr>
              <w:t xml:space="preserve"> site</w:t>
            </w:r>
            <w:r w:rsidRPr="007913C4">
              <w:rPr>
                <w:rFonts w:ascii="Arial" w:hAnsi="Arial"/>
                <w:b w:val="0"/>
                <w:bCs w:val="0"/>
                <w:sz w:val="20"/>
                <w:szCs w:val="20"/>
                <w:lang w:eastAsia="en-AU"/>
              </w:rPr>
              <w:t xml:space="preserve">. </w:t>
            </w:r>
          </w:p>
          <w:p w14:paraId="4BA32579" w14:textId="77777777" w:rsidR="007913C4" w:rsidRDefault="007913C4" w:rsidP="007913C4">
            <w:pPr>
              <w:pStyle w:val="BodyText"/>
              <w:jc w:val="both"/>
              <w:rPr>
                <w:rFonts w:ascii="Arial" w:hAnsi="Arial"/>
                <w:b w:val="0"/>
                <w:bCs w:val="0"/>
                <w:sz w:val="20"/>
                <w:szCs w:val="20"/>
                <w:lang w:eastAsia="en-AU"/>
              </w:rPr>
            </w:pPr>
          </w:p>
          <w:p w14:paraId="30447CF2" w14:textId="28FDAF28" w:rsidR="007913C4" w:rsidRPr="007913C4" w:rsidRDefault="007913C4" w:rsidP="007913C4">
            <w:pPr>
              <w:pStyle w:val="BodyText"/>
              <w:jc w:val="both"/>
              <w:rPr>
                <w:rFonts w:ascii="Arial" w:hAnsi="Arial"/>
                <w:b w:val="0"/>
                <w:bCs w:val="0"/>
                <w:sz w:val="20"/>
                <w:szCs w:val="20"/>
                <w:lang w:eastAsia="en-AU"/>
              </w:rPr>
            </w:pPr>
            <w:r>
              <w:rPr>
                <w:rFonts w:ascii="Arial" w:hAnsi="Arial"/>
                <w:b w:val="0"/>
                <w:bCs w:val="0"/>
                <w:sz w:val="20"/>
                <w:szCs w:val="20"/>
                <w:lang w:eastAsia="en-AU"/>
              </w:rPr>
              <w:t>As detailed in Section 8.1.1, t</w:t>
            </w:r>
            <w:r w:rsidRPr="007913C4">
              <w:rPr>
                <w:rFonts w:ascii="Arial" w:hAnsi="Arial"/>
                <w:b w:val="0"/>
                <w:bCs w:val="0"/>
                <w:sz w:val="20"/>
                <w:szCs w:val="20"/>
                <w:lang w:eastAsia="en-AU"/>
              </w:rPr>
              <w:t>he PMST reports for the offsite infrastructure (pipelines, power line extension and construction accommodation village) indicate that up to two Wetlands of International Importance may occur in or relate to the nominated corridors and footprints, being:</w:t>
            </w:r>
          </w:p>
          <w:p w14:paraId="0FA9B651" w14:textId="77777777" w:rsidR="007913C4" w:rsidRDefault="007913C4" w:rsidP="007913C4">
            <w:pPr>
              <w:pStyle w:val="BodyText"/>
              <w:jc w:val="both"/>
              <w:rPr>
                <w:rFonts w:ascii="Arial" w:hAnsi="Arial"/>
                <w:b w:val="0"/>
                <w:bCs w:val="0"/>
                <w:sz w:val="20"/>
                <w:szCs w:val="20"/>
                <w:lang w:eastAsia="en-AU"/>
              </w:rPr>
            </w:pPr>
          </w:p>
          <w:p w14:paraId="4E7A0CD5" w14:textId="463F90FB" w:rsidR="007913C4" w:rsidRPr="007913C4" w:rsidRDefault="007913C4" w:rsidP="0017475D">
            <w:pPr>
              <w:pStyle w:val="BodyText"/>
              <w:numPr>
                <w:ilvl w:val="0"/>
                <w:numId w:val="57"/>
              </w:numPr>
              <w:spacing w:after="120"/>
              <w:jc w:val="both"/>
              <w:rPr>
                <w:rFonts w:ascii="Arial" w:hAnsi="Arial"/>
                <w:b w:val="0"/>
                <w:bCs w:val="0"/>
                <w:sz w:val="20"/>
                <w:szCs w:val="20"/>
                <w:lang w:eastAsia="en-AU"/>
              </w:rPr>
            </w:pPr>
            <w:r w:rsidRPr="007913C4">
              <w:rPr>
                <w:rFonts w:ascii="Arial" w:hAnsi="Arial"/>
                <w:b w:val="0"/>
                <w:bCs w:val="0"/>
                <w:sz w:val="20"/>
                <w:szCs w:val="20"/>
                <w:lang w:eastAsia="en-AU"/>
              </w:rPr>
              <w:t>the Glenelg River estuary and Discovery Bay wetlands (for the potential water pipeline); and</w:t>
            </w:r>
          </w:p>
          <w:p w14:paraId="3B4B14B5" w14:textId="77777777" w:rsidR="007913C4" w:rsidRPr="007913C4" w:rsidRDefault="007913C4" w:rsidP="0017475D">
            <w:pPr>
              <w:pStyle w:val="BodyText"/>
              <w:numPr>
                <w:ilvl w:val="0"/>
                <w:numId w:val="57"/>
              </w:numPr>
              <w:spacing w:after="120"/>
              <w:jc w:val="both"/>
              <w:rPr>
                <w:rFonts w:ascii="Arial" w:hAnsi="Arial"/>
                <w:b w:val="0"/>
                <w:bCs w:val="0"/>
                <w:sz w:val="20"/>
                <w:szCs w:val="20"/>
                <w:lang w:eastAsia="en-AU"/>
              </w:rPr>
            </w:pPr>
            <w:r w:rsidRPr="007913C4">
              <w:rPr>
                <w:rFonts w:ascii="Arial" w:hAnsi="Arial"/>
                <w:b w:val="0"/>
                <w:bCs w:val="0"/>
                <w:sz w:val="20"/>
                <w:szCs w:val="20"/>
                <w:lang w:eastAsia="en-AU"/>
              </w:rPr>
              <w:t xml:space="preserve">Lake </w:t>
            </w:r>
            <w:proofErr w:type="spellStart"/>
            <w:r w:rsidRPr="007913C4">
              <w:rPr>
                <w:rFonts w:ascii="Arial" w:hAnsi="Arial"/>
                <w:b w:val="0"/>
                <w:bCs w:val="0"/>
                <w:sz w:val="20"/>
                <w:szCs w:val="20"/>
                <w:lang w:eastAsia="en-AU"/>
              </w:rPr>
              <w:t>Albacutya</w:t>
            </w:r>
            <w:proofErr w:type="spellEnd"/>
            <w:r w:rsidRPr="007913C4">
              <w:rPr>
                <w:rFonts w:ascii="Arial" w:hAnsi="Arial"/>
                <w:b w:val="0"/>
                <w:bCs w:val="0"/>
                <w:sz w:val="20"/>
                <w:szCs w:val="20"/>
                <w:lang w:eastAsia="en-AU"/>
              </w:rPr>
              <w:t>.</w:t>
            </w:r>
          </w:p>
          <w:p w14:paraId="199A0F09" w14:textId="77777777" w:rsidR="007913C4" w:rsidRDefault="007913C4" w:rsidP="007913C4">
            <w:pPr>
              <w:pStyle w:val="BodyText"/>
              <w:jc w:val="both"/>
              <w:rPr>
                <w:rFonts w:ascii="Arial" w:hAnsi="Arial"/>
                <w:b w:val="0"/>
                <w:bCs w:val="0"/>
                <w:sz w:val="20"/>
                <w:szCs w:val="20"/>
                <w:lang w:eastAsia="en-AU"/>
              </w:rPr>
            </w:pPr>
          </w:p>
          <w:p w14:paraId="4A66289D" w14:textId="7BB81386" w:rsidR="007913C4" w:rsidRDefault="007913C4" w:rsidP="007913C4">
            <w:pPr>
              <w:pStyle w:val="BodyText"/>
              <w:jc w:val="both"/>
              <w:rPr>
                <w:rFonts w:ascii="Arial" w:hAnsi="Arial"/>
                <w:b w:val="0"/>
                <w:bCs w:val="0"/>
                <w:sz w:val="20"/>
                <w:szCs w:val="20"/>
                <w:lang w:eastAsia="en-AU"/>
              </w:rPr>
            </w:pPr>
            <w:r w:rsidRPr="007913C4">
              <w:rPr>
                <w:rFonts w:ascii="Arial" w:hAnsi="Arial"/>
                <w:b w:val="0"/>
                <w:bCs w:val="0"/>
                <w:sz w:val="20"/>
                <w:szCs w:val="20"/>
                <w:lang w:eastAsia="en-AU"/>
              </w:rPr>
              <w:t>In both cases the PMST reports note that these wetland complexes are located more than 100 km away from the offsite infrastructure corridors or footprints.</w:t>
            </w:r>
          </w:p>
          <w:p w14:paraId="5FD205C5" w14:textId="17344DC8" w:rsidR="007913C4" w:rsidRDefault="007913C4" w:rsidP="007913C4">
            <w:pPr>
              <w:pStyle w:val="BodyText"/>
              <w:jc w:val="both"/>
              <w:rPr>
                <w:rFonts w:ascii="Arial" w:hAnsi="Arial"/>
                <w:b w:val="0"/>
                <w:bCs w:val="0"/>
                <w:sz w:val="20"/>
                <w:szCs w:val="20"/>
                <w:lang w:eastAsia="en-AU"/>
              </w:rPr>
            </w:pPr>
          </w:p>
          <w:p w14:paraId="16F57BAC" w14:textId="77777777" w:rsidR="007913C4" w:rsidRDefault="007913C4" w:rsidP="007913C4">
            <w:pPr>
              <w:pStyle w:val="BodyText"/>
              <w:jc w:val="both"/>
              <w:rPr>
                <w:rFonts w:ascii="Arial" w:hAnsi="Arial"/>
                <w:b w:val="0"/>
                <w:bCs w:val="0"/>
                <w:sz w:val="20"/>
                <w:szCs w:val="20"/>
                <w:lang w:eastAsia="en-AU"/>
              </w:rPr>
            </w:pPr>
            <w:r w:rsidRPr="0093699E">
              <w:rPr>
                <w:rFonts w:ascii="Arial" w:hAnsi="Arial"/>
                <w:b w:val="0"/>
                <w:bCs w:val="0"/>
                <w:sz w:val="20"/>
                <w:szCs w:val="20"/>
                <w:lang w:eastAsia="en-AU"/>
              </w:rPr>
              <w:t xml:space="preserve">The nearest wetlands listed in the ‘Directory of Important Wetlands in Australia’ are White Lake and </w:t>
            </w:r>
            <w:proofErr w:type="spellStart"/>
            <w:r w:rsidRPr="0093699E">
              <w:rPr>
                <w:rFonts w:ascii="Arial" w:hAnsi="Arial"/>
                <w:b w:val="0"/>
                <w:bCs w:val="0"/>
                <w:sz w:val="20"/>
                <w:szCs w:val="20"/>
                <w:lang w:eastAsia="en-AU"/>
              </w:rPr>
              <w:t>Heards</w:t>
            </w:r>
            <w:proofErr w:type="spellEnd"/>
            <w:r w:rsidRPr="0093699E">
              <w:rPr>
                <w:rFonts w:ascii="Arial" w:hAnsi="Arial"/>
                <w:b w:val="0"/>
                <w:bCs w:val="0"/>
                <w:sz w:val="20"/>
                <w:szCs w:val="20"/>
                <w:lang w:eastAsia="en-AU"/>
              </w:rPr>
              <w:t xml:space="preserve"> Lake, approximately 20 km south and 10 km north-west of the Project</w:t>
            </w:r>
            <w:r>
              <w:rPr>
                <w:rFonts w:ascii="Arial" w:hAnsi="Arial"/>
                <w:b w:val="0"/>
                <w:bCs w:val="0"/>
                <w:sz w:val="20"/>
                <w:szCs w:val="20"/>
                <w:lang w:eastAsia="en-AU"/>
              </w:rPr>
              <w:t xml:space="preserve"> site</w:t>
            </w:r>
            <w:r w:rsidRPr="0093699E">
              <w:rPr>
                <w:rFonts w:ascii="Arial" w:hAnsi="Arial"/>
                <w:b w:val="0"/>
                <w:bCs w:val="0"/>
                <w:sz w:val="20"/>
                <w:szCs w:val="20"/>
                <w:lang w:eastAsia="en-AU"/>
              </w:rPr>
              <w:t xml:space="preserve">, respectively. </w:t>
            </w:r>
            <w:r>
              <w:rPr>
                <w:rFonts w:ascii="Arial" w:hAnsi="Arial"/>
                <w:b w:val="0"/>
                <w:bCs w:val="0"/>
                <w:sz w:val="20"/>
                <w:szCs w:val="20"/>
                <w:lang w:eastAsia="en-AU"/>
              </w:rPr>
              <w:t>The north-south trending ridge located on the western side of the Project area physically separates the Project site from the catchments for these two lakes, and therefore impact to these lakes due to the Project will not arise</w:t>
            </w:r>
            <w:r w:rsidRPr="0093699E">
              <w:rPr>
                <w:rFonts w:ascii="Arial" w:hAnsi="Arial"/>
                <w:b w:val="0"/>
                <w:bCs w:val="0"/>
                <w:sz w:val="20"/>
                <w:szCs w:val="20"/>
                <w:lang w:eastAsia="en-AU"/>
              </w:rPr>
              <w:t>.</w:t>
            </w:r>
          </w:p>
          <w:p w14:paraId="4D0A4DFC" w14:textId="1F5E9C75" w:rsidR="007913C4" w:rsidRDefault="007913C4" w:rsidP="007913C4">
            <w:pPr>
              <w:pStyle w:val="BodyText"/>
              <w:jc w:val="both"/>
              <w:rPr>
                <w:rFonts w:ascii="Arial" w:hAnsi="Arial"/>
                <w:b w:val="0"/>
                <w:bCs w:val="0"/>
                <w:sz w:val="20"/>
                <w:szCs w:val="20"/>
                <w:lang w:eastAsia="en-AU"/>
              </w:rPr>
            </w:pPr>
          </w:p>
          <w:p w14:paraId="0BA4FB2A" w14:textId="4D771590" w:rsidR="007913C4" w:rsidRPr="007913C4" w:rsidRDefault="007913C4" w:rsidP="007913C4">
            <w:pPr>
              <w:pStyle w:val="BodyText"/>
              <w:jc w:val="both"/>
              <w:rPr>
                <w:rFonts w:ascii="Arial" w:hAnsi="Arial"/>
                <w:b w:val="0"/>
                <w:bCs w:val="0"/>
                <w:sz w:val="20"/>
                <w:szCs w:val="20"/>
                <w:lang w:eastAsia="en-AU"/>
              </w:rPr>
            </w:pPr>
            <w:r>
              <w:rPr>
                <w:rFonts w:ascii="Arial" w:hAnsi="Arial"/>
                <w:b w:val="0"/>
                <w:bCs w:val="0"/>
                <w:sz w:val="20"/>
                <w:szCs w:val="20"/>
                <w:lang w:eastAsia="en-AU"/>
              </w:rPr>
              <w:t xml:space="preserve">The </w:t>
            </w:r>
            <w:r w:rsidRPr="007913C4">
              <w:rPr>
                <w:rFonts w:ascii="Arial" w:hAnsi="Arial"/>
                <w:b w:val="0"/>
                <w:bCs w:val="0"/>
                <w:sz w:val="20"/>
                <w:szCs w:val="20"/>
                <w:lang w:eastAsia="en-AU"/>
              </w:rPr>
              <w:t>PMST report</w:t>
            </w:r>
            <w:r>
              <w:rPr>
                <w:rFonts w:ascii="Arial" w:hAnsi="Arial"/>
                <w:b w:val="0"/>
                <w:bCs w:val="0"/>
                <w:sz w:val="20"/>
                <w:szCs w:val="20"/>
                <w:lang w:eastAsia="en-AU"/>
              </w:rPr>
              <w:t xml:space="preserve">s are </w:t>
            </w:r>
            <w:r w:rsidRPr="007913C4">
              <w:rPr>
                <w:rFonts w:ascii="Arial" w:hAnsi="Arial"/>
                <w:b w:val="0"/>
                <w:bCs w:val="0"/>
                <w:sz w:val="20"/>
                <w:szCs w:val="20"/>
                <w:lang w:eastAsia="en-AU"/>
              </w:rPr>
              <w:t xml:space="preserve">attached is as Appendix </w:t>
            </w:r>
            <w:r>
              <w:rPr>
                <w:rFonts w:ascii="Arial" w:hAnsi="Arial"/>
                <w:b w:val="0"/>
                <w:bCs w:val="0"/>
                <w:sz w:val="20"/>
                <w:szCs w:val="20"/>
                <w:lang w:eastAsia="en-AU"/>
              </w:rPr>
              <w:t>J.</w:t>
            </w:r>
          </w:p>
          <w:p w14:paraId="41CE5E36" w14:textId="7ACCF8CE" w:rsidR="007913C4" w:rsidRDefault="007913C4" w:rsidP="0026285F">
            <w:pPr>
              <w:pStyle w:val="BodyText"/>
              <w:jc w:val="both"/>
            </w:pPr>
          </w:p>
        </w:tc>
      </w:tr>
      <w:tr w:rsidR="00CE0C02" w14:paraId="3A54E0FA" w14:textId="77777777" w:rsidTr="00FD555F">
        <w:tc>
          <w:tcPr>
            <w:tcW w:w="9243" w:type="dxa"/>
            <w:tcBorders>
              <w:top w:val="single" w:sz="4" w:space="0" w:color="auto"/>
              <w:bottom w:val="single" w:sz="4" w:space="0" w:color="auto"/>
            </w:tcBorders>
          </w:tcPr>
          <w:p w14:paraId="357D9A38" w14:textId="50E0398A" w:rsidR="0093699E" w:rsidRPr="0093699E" w:rsidRDefault="0093699E" w:rsidP="0093699E">
            <w:pPr>
              <w:pStyle w:val="Heading3"/>
              <w:keepLines/>
              <w:numPr>
                <w:ilvl w:val="2"/>
                <w:numId w:val="0"/>
              </w:numPr>
              <w:spacing w:before="240" w:after="240"/>
              <w:ind w:left="851" w:hanging="851"/>
              <w:jc w:val="both"/>
              <w:rPr>
                <w:sz w:val="20"/>
              </w:rPr>
            </w:pPr>
            <w:r>
              <w:rPr>
                <w:sz w:val="20"/>
              </w:rPr>
              <w:t xml:space="preserve">13.6 </w:t>
            </w:r>
            <w:r w:rsidRPr="0093699E">
              <w:rPr>
                <w:sz w:val="20"/>
              </w:rPr>
              <w:t xml:space="preserve">Could the Project affect </w:t>
            </w:r>
            <w:proofErr w:type="spellStart"/>
            <w:r w:rsidRPr="0093699E">
              <w:rPr>
                <w:sz w:val="20"/>
              </w:rPr>
              <w:t>streamflows</w:t>
            </w:r>
            <w:proofErr w:type="spellEnd"/>
            <w:r w:rsidRPr="0093699E">
              <w:rPr>
                <w:sz w:val="20"/>
              </w:rPr>
              <w:t>?</w:t>
            </w:r>
          </w:p>
          <w:p w14:paraId="5577141D" w14:textId="77777777" w:rsidR="00EF39CB" w:rsidRPr="00EC6C73" w:rsidRDefault="00EF39CB" w:rsidP="00EF39CB">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6FD21DFB" w14:textId="77777777" w:rsidR="00EF39CB" w:rsidRDefault="00EF39CB" w:rsidP="0026285F">
            <w:pPr>
              <w:pStyle w:val="BodyText"/>
              <w:jc w:val="both"/>
              <w:rPr>
                <w:rFonts w:ascii="Arial" w:hAnsi="Arial"/>
                <w:b w:val="0"/>
                <w:bCs w:val="0"/>
                <w:sz w:val="20"/>
                <w:szCs w:val="20"/>
                <w:lang w:eastAsia="en-AU"/>
              </w:rPr>
            </w:pPr>
          </w:p>
          <w:p w14:paraId="3CB8778C" w14:textId="4DED0058" w:rsidR="00CE0C02" w:rsidRDefault="00EF39CB" w:rsidP="0026285F">
            <w:pPr>
              <w:pStyle w:val="BodyText"/>
              <w:jc w:val="both"/>
              <w:rPr>
                <w:rFonts w:ascii="Arial" w:hAnsi="Arial"/>
                <w:b w:val="0"/>
                <w:bCs w:val="0"/>
                <w:sz w:val="20"/>
                <w:szCs w:val="20"/>
                <w:lang w:eastAsia="en-AU"/>
              </w:rPr>
            </w:pPr>
            <w:r>
              <w:rPr>
                <w:rFonts w:ascii="Arial" w:hAnsi="Arial"/>
                <w:b w:val="0"/>
                <w:bCs w:val="0"/>
                <w:sz w:val="20"/>
                <w:szCs w:val="20"/>
                <w:lang w:eastAsia="en-AU"/>
              </w:rPr>
              <w:t>It</w:t>
            </w:r>
            <w:r w:rsidR="0093699E" w:rsidRPr="0093699E">
              <w:rPr>
                <w:rFonts w:ascii="Arial" w:hAnsi="Arial"/>
                <w:b w:val="0"/>
                <w:bCs w:val="0"/>
                <w:sz w:val="20"/>
                <w:szCs w:val="20"/>
                <w:lang w:eastAsia="en-AU"/>
              </w:rPr>
              <w:t xml:space="preserve"> is likely that the Project will affect </w:t>
            </w:r>
            <w:proofErr w:type="spellStart"/>
            <w:r w:rsidR="0093699E" w:rsidRPr="0093699E">
              <w:rPr>
                <w:rFonts w:ascii="Arial" w:hAnsi="Arial"/>
                <w:b w:val="0"/>
                <w:bCs w:val="0"/>
                <w:sz w:val="20"/>
                <w:szCs w:val="20"/>
                <w:lang w:eastAsia="en-AU"/>
              </w:rPr>
              <w:t>streamflows</w:t>
            </w:r>
            <w:proofErr w:type="spellEnd"/>
            <w:r w:rsidR="00B06E90">
              <w:rPr>
                <w:rFonts w:ascii="Arial" w:hAnsi="Arial"/>
                <w:b w:val="0"/>
                <w:bCs w:val="0"/>
                <w:sz w:val="20"/>
                <w:szCs w:val="20"/>
                <w:lang w:eastAsia="en-AU"/>
              </w:rPr>
              <w:t xml:space="preserve"> in downstream catchments</w:t>
            </w:r>
            <w:r w:rsidR="00741FEE">
              <w:rPr>
                <w:rFonts w:ascii="Arial" w:hAnsi="Arial"/>
                <w:b w:val="0"/>
                <w:bCs w:val="0"/>
                <w:sz w:val="20"/>
                <w:szCs w:val="20"/>
                <w:lang w:eastAsia="en-AU"/>
              </w:rPr>
              <w:t xml:space="preserve">. </w:t>
            </w:r>
            <w:r w:rsidR="0024228D">
              <w:rPr>
                <w:rFonts w:ascii="Arial" w:hAnsi="Arial"/>
                <w:b w:val="0"/>
                <w:bCs w:val="0"/>
                <w:sz w:val="20"/>
                <w:szCs w:val="20"/>
                <w:lang w:eastAsia="en-AU"/>
              </w:rPr>
              <w:t>The surface water impact assessment</w:t>
            </w:r>
            <w:r w:rsidR="0093699E" w:rsidRPr="0093699E">
              <w:rPr>
                <w:rFonts w:ascii="Arial" w:hAnsi="Arial"/>
                <w:b w:val="0"/>
                <w:bCs w:val="0"/>
                <w:sz w:val="20"/>
                <w:szCs w:val="20"/>
                <w:lang w:eastAsia="en-AU"/>
              </w:rPr>
              <w:t xml:space="preserve"> will </w:t>
            </w:r>
            <w:r w:rsidR="00741FEE">
              <w:rPr>
                <w:rFonts w:ascii="Arial" w:hAnsi="Arial"/>
                <w:b w:val="0"/>
                <w:bCs w:val="0"/>
                <w:sz w:val="20"/>
                <w:szCs w:val="20"/>
                <w:lang w:eastAsia="en-AU"/>
              </w:rPr>
              <w:t xml:space="preserve">assess potential impacts on </w:t>
            </w:r>
            <w:proofErr w:type="spellStart"/>
            <w:r w:rsidR="00741FEE">
              <w:rPr>
                <w:rFonts w:ascii="Arial" w:hAnsi="Arial"/>
                <w:b w:val="0"/>
                <w:bCs w:val="0"/>
                <w:sz w:val="20"/>
                <w:szCs w:val="20"/>
                <w:lang w:eastAsia="en-AU"/>
              </w:rPr>
              <w:t>streamflows</w:t>
            </w:r>
            <w:proofErr w:type="spellEnd"/>
            <w:r w:rsidR="00741FEE">
              <w:rPr>
                <w:rFonts w:ascii="Arial" w:hAnsi="Arial"/>
                <w:b w:val="0"/>
                <w:bCs w:val="0"/>
                <w:sz w:val="20"/>
                <w:szCs w:val="20"/>
                <w:lang w:eastAsia="en-AU"/>
              </w:rPr>
              <w:t xml:space="preserve">. </w:t>
            </w:r>
          </w:p>
          <w:p w14:paraId="2E923701" w14:textId="56DB78DC" w:rsidR="006960F4" w:rsidRDefault="006960F4" w:rsidP="0026285F">
            <w:pPr>
              <w:pStyle w:val="BodyText"/>
              <w:jc w:val="both"/>
              <w:rPr>
                <w:rFonts w:ascii="Arial" w:hAnsi="Arial"/>
              </w:rPr>
            </w:pPr>
          </w:p>
        </w:tc>
      </w:tr>
      <w:tr w:rsidR="00CE0C02" w14:paraId="238272E4" w14:textId="77777777" w:rsidTr="00FD555F">
        <w:tc>
          <w:tcPr>
            <w:tcW w:w="9243" w:type="dxa"/>
            <w:tcBorders>
              <w:top w:val="single" w:sz="4" w:space="0" w:color="auto"/>
              <w:bottom w:val="single" w:sz="4" w:space="0" w:color="auto"/>
            </w:tcBorders>
          </w:tcPr>
          <w:p w14:paraId="6547B8D3" w14:textId="0175062C" w:rsidR="0093699E" w:rsidRPr="0093699E" w:rsidRDefault="0093699E" w:rsidP="0093699E">
            <w:pPr>
              <w:pStyle w:val="Heading3"/>
              <w:keepLines/>
              <w:numPr>
                <w:ilvl w:val="2"/>
                <w:numId w:val="0"/>
              </w:numPr>
              <w:spacing w:before="240" w:after="240"/>
              <w:ind w:left="851" w:hanging="851"/>
              <w:jc w:val="both"/>
              <w:rPr>
                <w:sz w:val="20"/>
              </w:rPr>
            </w:pPr>
            <w:r>
              <w:rPr>
                <w:sz w:val="20"/>
              </w:rPr>
              <w:t xml:space="preserve">13.7 </w:t>
            </w:r>
            <w:r w:rsidRPr="0093699E">
              <w:rPr>
                <w:sz w:val="20"/>
              </w:rPr>
              <w:t>Could regional groundwater resources be affected by the Project?</w:t>
            </w:r>
          </w:p>
          <w:p w14:paraId="171220B1" w14:textId="77777777" w:rsidR="00EF39CB" w:rsidRPr="00EC6C73" w:rsidRDefault="00EF39CB" w:rsidP="00EF39CB">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2B5C4637" w14:textId="77777777" w:rsidR="00EF39CB" w:rsidRDefault="00EF39CB" w:rsidP="0024228D">
            <w:pPr>
              <w:pStyle w:val="BodyText"/>
              <w:spacing w:after="120"/>
              <w:jc w:val="both"/>
              <w:rPr>
                <w:rFonts w:ascii="Arial" w:hAnsi="Arial"/>
                <w:b w:val="0"/>
                <w:bCs w:val="0"/>
                <w:sz w:val="20"/>
                <w:szCs w:val="20"/>
                <w:lang w:eastAsia="en-AU"/>
              </w:rPr>
            </w:pPr>
          </w:p>
          <w:p w14:paraId="579D1CA5" w14:textId="7D1CCB55" w:rsidR="0093699E" w:rsidRPr="0093699E" w:rsidRDefault="00EF39CB" w:rsidP="0024228D">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T</w:t>
            </w:r>
            <w:r w:rsidR="0024228D">
              <w:rPr>
                <w:rFonts w:ascii="Arial" w:hAnsi="Arial"/>
                <w:b w:val="0"/>
                <w:bCs w:val="0"/>
                <w:sz w:val="20"/>
                <w:szCs w:val="20"/>
                <w:lang w:eastAsia="en-AU"/>
              </w:rPr>
              <w:t xml:space="preserve">he </w:t>
            </w:r>
            <w:r w:rsidR="00D02516">
              <w:rPr>
                <w:rFonts w:ascii="Arial" w:hAnsi="Arial"/>
                <w:b w:val="0"/>
                <w:bCs w:val="0"/>
                <w:sz w:val="20"/>
                <w:szCs w:val="20"/>
                <w:lang w:eastAsia="en-AU"/>
              </w:rPr>
              <w:t>Project</w:t>
            </w:r>
            <w:r w:rsidR="0024228D">
              <w:rPr>
                <w:rFonts w:ascii="Arial" w:hAnsi="Arial"/>
                <w:b w:val="0"/>
                <w:bCs w:val="0"/>
                <w:sz w:val="20"/>
                <w:szCs w:val="20"/>
                <w:lang w:eastAsia="en-AU"/>
              </w:rPr>
              <w:t xml:space="preserve"> could affect regional groundwater resources.</w:t>
            </w:r>
          </w:p>
          <w:p w14:paraId="4160DD01" w14:textId="1552A473" w:rsidR="000164AA" w:rsidRDefault="001769C3" w:rsidP="0024228D">
            <w:pPr>
              <w:spacing w:after="120"/>
              <w:jc w:val="both"/>
              <w:rPr>
                <w:rFonts w:ascii="Arial" w:hAnsi="Arial"/>
              </w:rPr>
            </w:pPr>
            <w:r w:rsidRPr="00F062D8">
              <w:rPr>
                <w:rFonts w:ascii="Arial" w:hAnsi="Arial"/>
              </w:rPr>
              <w:t xml:space="preserve">Initial groundwater modelling for the </w:t>
            </w:r>
            <w:r w:rsidR="00BA30ED">
              <w:rPr>
                <w:rFonts w:ascii="Arial" w:hAnsi="Arial"/>
              </w:rPr>
              <w:t>26</w:t>
            </w:r>
            <w:r w:rsidR="00A0162D">
              <w:rPr>
                <w:rFonts w:ascii="Arial" w:hAnsi="Arial"/>
              </w:rPr>
              <w:t>-</w:t>
            </w:r>
            <w:r w:rsidR="00BA30ED">
              <w:rPr>
                <w:rFonts w:ascii="Arial" w:hAnsi="Arial"/>
              </w:rPr>
              <w:t xml:space="preserve">m deep </w:t>
            </w:r>
            <w:r w:rsidRPr="00F062D8">
              <w:rPr>
                <w:rFonts w:ascii="Arial" w:hAnsi="Arial"/>
              </w:rPr>
              <w:t xml:space="preserve">test pit </w:t>
            </w:r>
            <w:r>
              <w:rPr>
                <w:rFonts w:ascii="Arial" w:hAnsi="Arial"/>
              </w:rPr>
              <w:t xml:space="preserve">(based on regional data) </w:t>
            </w:r>
            <w:r w:rsidRPr="00F062D8">
              <w:rPr>
                <w:rFonts w:ascii="Arial" w:hAnsi="Arial"/>
              </w:rPr>
              <w:t>predicted that the maximum groundwater inflow rates to the test pit was likely to range between 0.2 and 11 L/s, resulting in a maximum drawdown distance of approximately 550 m (Jacobs 2018b). However slug tests performed on monitoring wells constructed at the test pit site, and site observations during the test pit excavation, suggested that the maximum groundwater inflow rate to the test pit was at the lower end of the predicted range, with a corresponding drawdown</w:t>
            </w:r>
            <w:r w:rsidR="00A0162D">
              <w:rPr>
                <w:rFonts w:ascii="Arial" w:hAnsi="Arial"/>
              </w:rPr>
              <w:t xml:space="preserve"> extending </w:t>
            </w:r>
            <w:r w:rsidRPr="00F062D8">
              <w:rPr>
                <w:rFonts w:ascii="Arial" w:hAnsi="Arial"/>
              </w:rPr>
              <w:t>approximately 180 m</w:t>
            </w:r>
            <w:r w:rsidR="00A0162D">
              <w:rPr>
                <w:rFonts w:ascii="Arial" w:hAnsi="Arial"/>
              </w:rPr>
              <w:t xml:space="preserve"> horizontally from the test pit. </w:t>
            </w:r>
          </w:p>
          <w:p w14:paraId="3C0B3AE4" w14:textId="16B2E9BC" w:rsidR="000164AA" w:rsidRDefault="000164AA" w:rsidP="0024228D">
            <w:pPr>
              <w:spacing w:after="120"/>
              <w:jc w:val="both"/>
              <w:rPr>
                <w:rFonts w:ascii="Arial" w:hAnsi="Arial"/>
              </w:rPr>
            </w:pPr>
            <w:r>
              <w:rPr>
                <w:rFonts w:ascii="Arial" w:hAnsi="Arial"/>
              </w:rPr>
              <w:t>Test pumping</w:t>
            </w:r>
            <w:r w:rsidR="001769C3" w:rsidRPr="00F062D8">
              <w:rPr>
                <w:rFonts w:ascii="Arial" w:hAnsi="Arial"/>
              </w:rPr>
              <w:t xml:space="preserve"> of the production well </w:t>
            </w:r>
            <w:r w:rsidR="0010213F">
              <w:rPr>
                <w:rFonts w:ascii="Arial" w:hAnsi="Arial"/>
              </w:rPr>
              <w:t xml:space="preserve">that was </w:t>
            </w:r>
            <w:r w:rsidR="001769C3" w:rsidRPr="00F062D8">
              <w:rPr>
                <w:rFonts w:ascii="Arial" w:hAnsi="Arial"/>
              </w:rPr>
              <w:t xml:space="preserve">constructed at the test pit site in late 2018 is proposed during 2019 to obtain </w:t>
            </w:r>
            <w:r>
              <w:rPr>
                <w:rFonts w:ascii="Arial" w:hAnsi="Arial"/>
              </w:rPr>
              <w:t>additional</w:t>
            </w:r>
            <w:r w:rsidRPr="00F062D8">
              <w:rPr>
                <w:rFonts w:ascii="Arial" w:hAnsi="Arial"/>
              </w:rPr>
              <w:t xml:space="preserve"> </w:t>
            </w:r>
            <w:r w:rsidR="001769C3" w:rsidRPr="00F062D8">
              <w:rPr>
                <w:rFonts w:ascii="Arial" w:hAnsi="Arial"/>
              </w:rPr>
              <w:t>aquifer hydrogeological data at the site.</w:t>
            </w:r>
          </w:p>
          <w:p w14:paraId="15DF1A44" w14:textId="1E7B81AF" w:rsidR="001769C3" w:rsidRPr="00BA30ED" w:rsidRDefault="000164AA" w:rsidP="0024228D">
            <w:pPr>
              <w:spacing w:after="120"/>
              <w:jc w:val="both"/>
              <w:rPr>
                <w:rFonts w:ascii="Arial" w:hAnsi="Arial" w:cs="Arial"/>
              </w:rPr>
            </w:pPr>
            <w:r w:rsidRPr="00BA30ED">
              <w:rPr>
                <w:rFonts w:ascii="Arial" w:hAnsi="Arial" w:cs="Arial"/>
              </w:rPr>
              <w:t xml:space="preserve">A number of additional groundwater wells are also proposed for installation </w:t>
            </w:r>
            <w:r>
              <w:rPr>
                <w:rFonts w:ascii="Arial" w:hAnsi="Arial" w:cs="Arial"/>
              </w:rPr>
              <w:t>during 2019 to improve the understanding of spatial variations in groundwater level and quality over the local region. Where possible</w:t>
            </w:r>
            <w:r w:rsidR="00A0162D">
              <w:rPr>
                <w:rFonts w:ascii="Arial" w:hAnsi="Arial" w:cs="Arial"/>
              </w:rPr>
              <w:t>,</w:t>
            </w:r>
            <w:r>
              <w:rPr>
                <w:rFonts w:ascii="Arial" w:hAnsi="Arial" w:cs="Arial"/>
              </w:rPr>
              <w:t xml:space="preserve"> test pumping of these wells is also proposed.</w:t>
            </w:r>
          </w:p>
          <w:p w14:paraId="2AFF6996" w14:textId="67A052D9" w:rsidR="00CE0C02" w:rsidRDefault="000164AA" w:rsidP="0024228D">
            <w:pPr>
              <w:pStyle w:val="BodyText"/>
              <w:spacing w:after="120"/>
              <w:jc w:val="both"/>
              <w:rPr>
                <w:rFonts w:ascii="Arial" w:hAnsi="Arial"/>
              </w:rPr>
            </w:pPr>
            <w:r>
              <w:rPr>
                <w:rFonts w:ascii="Arial" w:hAnsi="Arial"/>
                <w:b w:val="0"/>
                <w:bCs w:val="0"/>
                <w:sz w:val="20"/>
                <w:szCs w:val="20"/>
                <w:lang w:eastAsia="en-AU"/>
              </w:rPr>
              <w:t>Detailed</w:t>
            </w:r>
            <w:r w:rsidR="0093699E" w:rsidRPr="0093699E">
              <w:rPr>
                <w:rFonts w:ascii="Arial" w:hAnsi="Arial"/>
                <w:b w:val="0"/>
                <w:bCs w:val="0"/>
                <w:sz w:val="20"/>
                <w:szCs w:val="20"/>
                <w:lang w:eastAsia="en-AU"/>
              </w:rPr>
              <w:t xml:space="preserve"> hydrogeological investigation will be undertaken to </w:t>
            </w:r>
            <w:r>
              <w:rPr>
                <w:rFonts w:ascii="Arial" w:hAnsi="Arial"/>
                <w:b w:val="0"/>
                <w:bCs w:val="0"/>
                <w:sz w:val="20"/>
                <w:szCs w:val="20"/>
                <w:lang w:eastAsia="en-AU"/>
              </w:rPr>
              <w:t xml:space="preserve">develop and calibrate a hydrogeological model for the </w:t>
            </w:r>
            <w:r w:rsidR="00BA30ED">
              <w:rPr>
                <w:rFonts w:ascii="Arial" w:hAnsi="Arial"/>
                <w:b w:val="0"/>
                <w:bCs w:val="0"/>
                <w:sz w:val="20"/>
                <w:szCs w:val="20"/>
                <w:lang w:eastAsia="en-AU"/>
              </w:rPr>
              <w:t>region local to the Project site, with the calibrated model then used to</w:t>
            </w:r>
            <w:r w:rsidR="0093699E" w:rsidRPr="0093699E">
              <w:rPr>
                <w:rFonts w:ascii="Arial" w:hAnsi="Arial"/>
                <w:b w:val="0"/>
                <w:bCs w:val="0"/>
                <w:sz w:val="20"/>
                <w:szCs w:val="20"/>
                <w:lang w:eastAsia="en-AU"/>
              </w:rPr>
              <w:t xml:space="preserve"> assess potential impacts on regional groundwater resources. </w:t>
            </w:r>
          </w:p>
        </w:tc>
      </w:tr>
      <w:tr w:rsidR="00CE0C02" w14:paraId="146E5A4C" w14:textId="77777777" w:rsidTr="00FD555F">
        <w:tc>
          <w:tcPr>
            <w:tcW w:w="9243" w:type="dxa"/>
            <w:tcBorders>
              <w:top w:val="single" w:sz="4" w:space="0" w:color="auto"/>
              <w:bottom w:val="single" w:sz="4" w:space="0" w:color="auto"/>
            </w:tcBorders>
          </w:tcPr>
          <w:p w14:paraId="5E7E4EAC" w14:textId="50566F46" w:rsidR="0093699E" w:rsidRPr="0093699E" w:rsidRDefault="0093699E" w:rsidP="0093699E">
            <w:pPr>
              <w:pStyle w:val="Heading3"/>
              <w:keepLines/>
              <w:numPr>
                <w:ilvl w:val="2"/>
                <w:numId w:val="0"/>
              </w:numPr>
              <w:spacing w:before="240" w:after="240"/>
              <w:ind w:left="851" w:hanging="851"/>
              <w:jc w:val="both"/>
              <w:rPr>
                <w:sz w:val="20"/>
              </w:rPr>
            </w:pPr>
            <w:r>
              <w:rPr>
                <w:sz w:val="20"/>
              </w:rPr>
              <w:lastRenderedPageBreak/>
              <w:t xml:space="preserve">13.8 </w:t>
            </w:r>
            <w:r w:rsidRPr="0093699E">
              <w:rPr>
                <w:sz w:val="20"/>
              </w:rPr>
              <w:t xml:space="preserve">Could environmental values (beneficial uses) of water environments be affected? </w:t>
            </w:r>
          </w:p>
          <w:p w14:paraId="38F13C12" w14:textId="77777777" w:rsidR="004E21D2" w:rsidRPr="00EC6C73" w:rsidRDefault="004E21D2" w:rsidP="004E21D2">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50F29646" w14:textId="77777777" w:rsidR="004E21D2" w:rsidRDefault="004E21D2" w:rsidP="00BA30ED">
            <w:pPr>
              <w:pStyle w:val="BodyText"/>
              <w:spacing w:after="120"/>
              <w:jc w:val="both"/>
              <w:rPr>
                <w:rFonts w:ascii="Arial" w:hAnsi="Arial"/>
                <w:b w:val="0"/>
                <w:bCs w:val="0"/>
                <w:sz w:val="20"/>
                <w:szCs w:val="20"/>
                <w:lang w:eastAsia="en-AU"/>
              </w:rPr>
            </w:pPr>
          </w:p>
          <w:p w14:paraId="2E9CFF04" w14:textId="199A566F" w:rsidR="001769C3" w:rsidRDefault="001769C3" w:rsidP="00BA30ED">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The Project </w:t>
            </w:r>
            <w:r w:rsidR="00057E2D">
              <w:rPr>
                <w:rFonts w:ascii="Arial" w:hAnsi="Arial"/>
                <w:b w:val="0"/>
                <w:bCs w:val="0"/>
                <w:sz w:val="20"/>
                <w:szCs w:val="20"/>
                <w:lang w:eastAsia="en-AU"/>
              </w:rPr>
              <w:t xml:space="preserve">has the potential to </w:t>
            </w:r>
            <w:r>
              <w:rPr>
                <w:rFonts w:ascii="Arial" w:hAnsi="Arial"/>
                <w:b w:val="0"/>
                <w:bCs w:val="0"/>
                <w:sz w:val="20"/>
                <w:szCs w:val="20"/>
                <w:lang w:eastAsia="en-AU"/>
              </w:rPr>
              <w:t xml:space="preserve">affect environmental values </w:t>
            </w:r>
            <w:r w:rsidR="00057E2D">
              <w:rPr>
                <w:rFonts w:ascii="Arial" w:hAnsi="Arial"/>
                <w:b w:val="0"/>
                <w:bCs w:val="0"/>
                <w:sz w:val="20"/>
                <w:szCs w:val="20"/>
                <w:lang w:eastAsia="en-AU"/>
              </w:rPr>
              <w:t xml:space="preserve">(beneficial uses) </w:t>
            </w:r>
            <w:r>
              <w:rPr>
                <w:rFonts w:ascii="Arial" w:hAnsi="Arial"/>
                <w:b w:val="0"/>
                <w:bCs w:val="0"/>
                <w:sz w:val="20"/>
                <w:szCs w:val="20"/>
                <w:lang w:eastAsia="en-AU"/>
              </w:rPr>
              <w:t xml:space="preserve">of the local water environment. </w:t>
            </w:r>
          </w:p>
          <w:p w14:paraId="57F010D2" w14:textId="77777777" w:rsidR="00783F76" w:rsidRDefault="00783F76" w:rsidP="00BA30ED">
            <w:pPr>
              <w:spacing w:after="120"/>
              <w:jc w:val="both"/>
              <w:rPr>
                <w:rFonts w:ascii="Arial" w:hAnsi="Arial"/>
              </w:rPr>
            </w:pPr>
            <w:r>
              <w:rPr>
                <w:rFonts w:ascii="Arial" w:hAnsi="Arial"/>
              </w:rPr>
              <w:t xml:space="preserve">Investigation and assessment of the regional groundwater resource has been undertaken as part of the </w:t>
            </w:r>
            <w:r w:rsidRPr="00783F76">
              <w:rPr>
                <w:rFonts w:ascii="Arial" w:hAnsi="Arial"/>
                <w:i/>
              </w:rPr>
              <w:t>WIM100 East Baseline Groundwater Assessment</w:t>
            </w:r>
            <w:r>
              <w:rPr>
                <w:rFonts w:ascii="Arial" w:hAnsi="Arial"/>
              </w:rPr>
              <w:t xml:space="preserve"> (Jacobs 2018a), and </w:t>
            </w:r>
            <w:r w:rsidRPr="00783F76">
              <w:rPr>
                <w:rFonts w:ascii="Arial" w:hAnsi="Arial"/>
                <w:i/>
              </w:rPr>
              <w:t>WIM100 Test Pit Phase 2 Dewatering Assessment</w:t>
            </w:r>
            <w:r>
              <w:rPr>
                <w:rFonts w:ascii="Arial" w:hAnsi="Arial"/>
              </w:rPr>
              <w:t xml:space="preserve"> (Jacobs 2018b).</w:t>
            </w:r>
          </w:p>
          <w:p w14:paraId="2FC2365C" w14:textId="749D1A81" w:rsidR="001769C3" w:rsidRPr="00F062D8" w:rsidRDefault="001769C3" w:rsidP="00BA30ED">
            <w:pPr>
              <w:spacing w:after="120"/>
              <w:jc w:val="both"/>
              <w:rPr>
                <w:rFonts w:ascii="Arial" w:hAnsi="Arial"/>
              </w:rPr>
            </w:pPr>
            <w:r w:rsidRPr="00F062D8">
              <w:rPr>
                <w:rFonts w:ascii="Arial" w:hAnsi="Arial"/>
              </w:rPr>
              <w:t>Regional groundwater salinity mapping of the area (DELWP 2014a) indicates groundwater salinity ranges between 3,500 mg/L and 13,000 mg/L total dissolved solids (TDS). However, site-specific results obtained during exploration drilling activities indicate TDS ranges between 2,300 and 3,400 mg/L at the site. As such, groundwater at the Project site is likely to require management under segments B and C of the State Environment Protection Policy (Waters</w:t>
            </w:r>
            <w:r w:rsidR="00057E2D">
              <w:rPr>
                <w:rFonts w:ascii="Arial" w:hAnsi="Arial"/>
              </w:rPr>
              <w:t>)</w:t>
            </w:r>
            <w:r w:rsidRPr="00F062D8">
              <w:rPr>
                <w:rFonts w:ascii="Arial" w:hAnsi="Arial"/>
              </w:rPr>
              <w:t xml:space="preserve"> (EPA 2018) and would need to be protected against the beneficial uses listed under those segments, as outlined in Table 8.1. </w:t>
            </w:r>
          </w:p>
          <w:p w14:paraId="48AC3ABE" w14:textId="1B6DE835" w:rsidR="001769C3" w:rsidRDefault="00783F76" w:rsidP="00BA30ED">
            <w:pPr>
              <w:spacing w:after="120"/>
              <w:jc w:val="both"/>
              <w:rPr>
                <w:rFonts w:ascii="Arial" w:hAnsi="Arial"/>
              </w:rPr>
            </w:pPr>
            <w:r>
              <w:rPr>
                <w:rFonts w:ascii="Arial" w:hAnsi="Arial"/>
              </w:rPr>
              <w:t>As part of the test pit dewatering assessment</w:t>
            </w:r>
            <w:r w:rsidR="001769C3" w:rsidRPr="001A5DEE">
              <w:rPr>
                <w:rFonts w:ascii="Arial" w:hAnsi="Arial"/>
              </w:rPr>
              <w:t xml:space="preserve"> no active groundwater users </w:t>
            </w:r>
            <w:r>
              <w:rPr>
                <w:rFonts w:ascii="Arial" w:hAnsi="Arial"/>
              </w:rPr>
              <w:t>were</w:t>
            </w:r>
            <w:r w:rsidR="001769C3" w:rsidRPr="001A5DEE">
              <w:rPr>
                <w:rFonts w:ascii="Arial" w:hAnsi="Arial"/>
              </w:rPr>
              <w:t xml:space="preserve"> identified within a 5 km radius of the test pit site (the test pit location is shown in Figure 2). </w:t>
            </w:r>
          </w:p>
          <w:p w14:paraId="12566444" w14:textId="77777777" w:rsidR="001769C3" w:rsidRDefault="001769C3" w:rsidP="00BA30ED">
            <w:pPr>
              <w:spacing w:after="120"/>
              <w:jc w:val="both"/>
              <w:rPr>
                <w:rFonts w:ascii="Arial" w:hAnsi="Arial"/>
              </w:rPr>
            </w:pPr>
            <w:r w:rsidRPr="001A5DEE">
              <w:rPr>
                <w:rFonts w:ascii="Arial" w:hAnsi="Arial"/>
              </w:rPr>
              <w:t xml:space="preserve">The Victorian Aquifer Framework identifies the Murray Group Limestone or equivalent units in the general site area. The aquifer within the Murray Group Limestone is used for irrigation in the western Murray Basin. However, bore logs in the vicinity of the ore body and observations during construction of the test pit do not show a distinct limestone unit. Further investigation will be undertaken to determine the degree of connection between the units in the vicinity of the ore and the regional limestone resource (Jacobs 2018a). </w:t>
            </w:r>
          </w:p>
          <w:p w14:paraId="175144FF" w14:textId="77777777" w:rsidR="001769C3" w:rsidRPr="001A5DEE" w:rsidRDefault="001769C3" w:rsidP="00BA30ED">
            <w:pPr>
              <w:spacing w:after="120"/>
              <w:jc w:val="both"/>
              <w:rPr>
                <w:rFonts w:ascii="Arial" w:hAnsi="Arial"/>
              </w:rPr>
            </w:pPr>
            <w:r w:rsidRPr="001A5DEE">
              <w:rPr>
                <w:rFonts w:ascii="Arial" w:hAnsi="Arial"/>
              </w:rPr>
              <w:t xml:space="preserve">Bureau of Meteorology mapping suggests there are a number of terrestrial and aquatic ecosystems in the Project site with potential to be groundwater dependant ecosystems (Jacobs 2018a and 2018b). However, while these ecosystems have a potential to be groundwater dependant, the regional water table is expected to be greater than 15 </w:t>
            </w:r>
            <w:proofErr w:type="spellStart"/>
            <w:r w:rsidRPr="001A5DEE">
              <w:rPr>
                <w:rFonts w:ascii="Arial" w:hAnsi="Arial"/>
              </w:rPr>
              <w:t>mBGL</w:t>
            </w:r>
            <w:proofErr w:type="spellEnd"/>
            <w:r w:rsidRPr="001A5DEE">
              <w:rPr>
                <w:rFonts w:ascii="Arial" w:hAnsi="Arial"/>
              </w:rPr>
              <w:t xml:space="preserve"> </w:t>
            </w:r>
            <w:proofErr w:type="spellStart"/>
            <w:r w:rsidRPr="001A5DEE">
              <w:rPr>
                <w:rFonts w:ascii="Arial" w:hAnsi="Arial"/>
              </w:rPr>
              <w:t>ie</w:t>
            </w:r>
            <w:proofErr w:type="spellEnd"/>
            <w:r w:rsidRPr="001A5DEE">
              <w:rPr>
                <w:rFonts w:ascii="Arial" w:hAnsi="Arial"/>
              </w:rPr>
              <w:t xml:space="preserve"> below the root depth of vegetation. Therefore, these ecosystems are unlikely to be reliant on the regional groundwater and are not expected to be affected by any local changes in groundwater levels. </w:t>
            </w:r>
          </w:p>
          <w:p w14:paraId="23D09845" w14:textId="36C0E7DD" w:rsidR="001769C3" w:rsidRDefault="001769C3" w:rsidP="00783F76">
            <w:pPr>
              <w:spacing w:after="120"/>
              <w:jc w:val="both"/>
            </w:pPr>
            <w:r w:rsidRPr="001A5DEE">
              <w:rPr>
                <w:rFonts w:ascii="Arial" w:hAnsi="Arial"/>
              </w:rPr>
              <w:t xml:space="preserve">Further detailed hydrogeological investigations will be undertaken to confirm site </w:t>
            </w:r>
            <w:proofErr w:type="spellStart"/>
            <w:r w:rsidRPr="001A5DEE">
              <w:rPr>
                <w:rFonts w:ascii="Arial" w:hAnsi="Arial"/>
              </w:rPr>
              <w:t>hydrostratigraphy</w:t>
            </w:r>
            <w:proofErr w:type="spellEnd"/>
            <w:r w:rsidRPr="001A5DEE">
              <w:rPr>
                <w:rFonts w:ascii="Arial" w:hAnsi="Arial"/>
              </w:rPr>
              <w:t>, aquifer properties, groundwater levels, flow, quality</w:t>
            </w:r>
            <w:r w:rsidR="00783F76">
              <w:rPr>
                <w:rFonts w:ascii="Arial" w:hAnsi="Arial"/>
              </w:rPr>
              <w:t xml:space="preserve">, </w:t>
            </w:r>
            <w:r w:rsidRPr="001A5DEE">
              <w:rPr>
                <w:rFonts w:ascii="Arial" w:hAnsi="Arial"/>
              </w:rPr>
              <w:t>receptors</w:t>
            </w:r>
            <w:r w:rsidR="00783F76">
              <w:rPr>
                <w:rFonts w:ascii="Arial" w:hAnsi="Arial"/>
              </w:rPr>
              <w:t xml:space="preserve"> and beneficial uses</w:t>
            </w:r>
            <w:r w:rsidRPr="001A5DEE">
              <w:rPr>
                <w:rFonts w:ascii="Arial" w:hAnsi="Arial"/>
              </w:rPr>
              <w:t>.</w:t>
            </w:r>
          </w:p>
        </w:tc>
      </w:tr>
      <w:tr w:rsidR="00CE0C02" w14:paraId="6C687D07" w14:textId="77777777" w:rsidTr="00FD555F">
        <w:tc>
          <w:tcPr>
            <w:tcW w:w="9243" w:type="dxa"/>
            <w:tcBorders>
              <w:top w:val="single" w:sz="4" w:space="0" w:color="auto"/>
              <w:bottom w:val="single" w:sz="4" w:space="0" w:color="auto"/>
            </w:tcBorders>
          </w:tcPr>
          <w:p w14:paraId="688AD72B" w14:textId="221E97BD" w:rsidR="0093699E" w:rsidRPr="0093699E" w:rsidRDefault="0093699E" w:rsidP="0093699E">
            <w:pPr>
              <w:pStyle w:val="Heading3"/>
              <w:keepLines/>
              <w:numPr>
                <w:ilvl w:val="2"/>
                <w:numId w:val="0"/>
              </w:numPr>
              <w:spacing w:before="240" w:after="240"/>
              <w:ind w:left="851" w:hanging="851"/>
              <w:jc w:val="both"/>
              <w:rPr>
                <w:sz w:val="20"/>
              </w:rPr>
            </w:pPr>
            <w:r>
              <w:rPr>
                <w:sz w:val="20"/>
              </w:rPr>
              <w:t xml:space="preserve">13.9 </w:t>
            </w:r>
            <w:r w:rsidRPr="0093699E">
              <w:rPr>
                <w:sz w:val="20"/>
              </w:rPr>
              <w:t>Could aquatic, estuarine or marine ecosystems be affected by the Project?</w:t>
            </w:r>
          </w:p>
          <w:p w14:paraId="7D4AA774" w14:textId="77777777" w:rsidR="009B27D8" w:rsidRPr="00EC6C73" w:rsidRDefault="009B27D8" w:rsidP="009B27D8">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0EB16E0B" w14:textId="77777777" w:rsidR="009B27D8" w:rsidRDefault="009B27D8" w:rsidP="002B47FD">
            <w:pPr>
              <w:pStyle w:val="BodyText"/>
              <w:spacing w:after="120"/>
              <w:jc w:val="both"/>
              <w:rPr>
                <w:rFonts w:ascii="Arial" w:hAnsi="Arial"/>
                <w:b w:val="0"/>
                <w:bCs w:val="0"/>
                <w:sz w:val="20"/>
                <w:szCs w:val="20"/>
                <w:lang w:eastAsia="en-AU"/>
              </w:rPr>
            </w:pPr>
          </w:p>
          <w:p w14:paraId="52617097" w14:textId="47D76820" w:rsidR="0010213F" w:rsidRDefault="003B6B90" w:rsidP="002B47FD">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The Project will impact surface water flows across the Project site and has the potential to impact hydrological regimes downstream of the site.</w:t>
            </w:r>
            <w:r w:rsidR="00594D32">
              <w:rPr>
                <w:rFonts w:ascii="Arial" w:hAnsi="Arial"/>
                <w:b w:val="0"/>
                <w:bCs w:val="0"/>
                <w:sz w:val="20"/>
                <w:szCs w:val="20"/>
                <w:lang w:eastAsia="en-AU"/>
              </w:rPr>
              <w:t xml:space="preserve"> The level and location of impact will be dependent on the final site design and layout. </w:t>
            </w:r>
            <w:r>
              <w:rPr>
                <w:rFonts w:ascii="Arial" w:hAnsi="Arial"/>
                <w:b w:val="0"/>
                <w:bCs w:val="0"/>
                <w:sz w:val="20"/>
                <w:szCs w:val="20"/>
                <w:lang w:eastAsia="en-AU"/>
              </w:rPr>
              <w:t>The Project therefore has the potential to affect</w:t>
            </w:r>
            <w:r w:rsidRPr="0093699E" w:rsidDel="003B6B90">
              <w:rPr>
                <w:rFonts w:ascii="Arial" w:hAnsi="Arial"/>
                <w:b w:val="0"/>
                <w:bCs w:val="0"/>
                <w:sz w:val="20"/>
                <w:szCs w:val="20"/>
                <w:lang w:eastAsia="en-AU"/>
              </w:rPr>
              <w:t xml:space="preserve"> </w:t>
            </w:r>
            <w:r>
              <w:rPr>
                <w:rFonts w:ascii="Arial" w:hAnsi="Arial"/>
                <w:b w:val="0"/>
                <w:bCs w:val="0"/>
                <w:sz w:val="20"/>
                <w:szCs w:val="20"/>
                <w:lang w:eastAsia="en-AU"/>
              </w:rPr>
              <w:t>aquatic ecosystems</w:t>
            </w:r>
            <w:r w:rsidR="002B47FD">
              <w:rPr>
                <w:rFonts w:ascii="Arial" w:hAnsi="Arial"/>
                <w:b w:val="0"/>
                <w:bCs w:val="0"/>
                <w:sz w:val="20"/>
                <w:szCs w:val="20"/>
                <w:lang w:eastAsia="en-AU"/>
              </w:rPr>
              <w:t xml:space="preserve">. Assessment of impacts to surface water hydrology from the Project, and the resulting potential to affect aquatic ecosystems, is proposed </w:t>
            </w:r>
            <w:r w:rsidR="00594D32">
              <w:rPr>
                <w:rFonts w:ascii="Arial" w:hAnsi="Arial"/>
                <w:b w:val="0"/>
                <w:bCs w:val="0"/>
                <w:sz w:val="20"/>
                <w:szCs w:val="20"/>
                <w:lang w:eastAsia="en-AU"/>
              </w:rPr>
              <w:t>during the second half of 2019 following the development of the site layout plan</w:t>
            </w:r>
            <w:r w:rsidR="00934113">
              <w:rPr>
                <w:rFonts w:ascii="Arial" w:hAnsi="Arial"/>
                <w:b w:val="0"/>
                <w:bCs w:val="0"/>
                <w:sz w:val="20"/>
                <w:szCs w:val="20"/>
                <w:lang w:eastAsia="en-AU"/>
              </w:rPr>
              <w:t xml:space="preserve">. </w:t>
            </w:r>
          </w:p>
          <w:p w14:paraId="7F293F25" w14:textId="77777777" w:rsidR="002540A3" w:rsidRDefault="00934113" w:rsidP="003B6B90">
            <w:pPr>
              <w:pStyle w:val="BodyText"/>
              <w:spacing w:after="120"/>
              <w:jc w:val="both"/>
              <w:rPr>
                <w:rFonts w:ascii="Arial" w:hAnsi="Arial"/>
              </w:rPr>
            </w:pPr>
            <w:r>
              <w:rPr>
                <w:rFonts w:ascii="Arial" w:hAnsi="Arial"/>
                <w:b w:val="0"/>
                <w:bCs w:val="0"/>
                <w:sz w:val="20"/>
                <w:szCs w:val="20"/>
                <w:lang w:eastAsia="en-AU"/>
              </w:rPr>
              <w:t xml:space="preserve">No </w:t>
            </w:r>
            <w:r w:rsidR="002540A3">
              <w:rPr>
                <w:rFonts w:ascii="Arial" w:hAnsi="Arial"/>
                <w:b w:val="0"/>
                <w:bCs w:val="0"/>
                <w:sz w:val="20"/>
                <w:szCs w:val="20"/>
                <w:lang w:eastAsia="en-AU"/>
              </w:rPr>
              <w:t>estuarine or marine ecosystems will be affected.</w:t>
            </w:r>
          </w:p>
        </w:tc>
      </w:tr>
      <w:tr w:rsidR="0093699E" w14:paraId="35886E7E" w14:textId="77777777" w:rsidTr="00E71774">
        <w:tc>
          <w:tcPr>
            <w:tcW w:w="9243" w:type="dxa"/>
            <w:tcBorders>
              <w:top w:val="single" w:sz="4" w:space="0" w:color="auto"/>
              <w:bottom w:val="single" w:sz="4" w:space="0" w:color="auto"/>
            </w:tcBorders>
          </w:tcPr>
          <w:p w14:paraId="7F9168DB" w14:textId="1C9B5C81" w:rsidR="0093699E" w:rsidRPr="0093699E" w:rsidRDefault="0093699E" w:rsidP="0093699E">
            <w:pPr>
              <w:pStyle w:val="Heading3"/>
              <w:keepLines/>
              <w:numPr>
                <w:ilvl w:val="2"/>
                <w:numId w:val="0"/>
              </w:numPr>
              <w:spacing w:before="240" w:after="240"/>
              <w:ind w:left="851" w:hanging="851"/>
              <w:jc w:val="both"/>
              <w:rPr>
                <w:sz w:val="20"/>
              </w:rPr>
            </w:pPr>
            <w:r>
              <w:rPr>
                <w:sz w:val="20"/>
              </w:rPr>
              <w:t xml:space="preserve">13.10 </w:t>
            </w:r>
            <w:r w:rsidRPr="0093699E">
              <w:rPr>
                <w:sz w:val="20"/>
              </w:rPr>
              <w:t xml:space="preserve">Is there a potential for extensive or major effects on the health or biodiversity of aquatic, estuarine or marine ecosystems over the long-term?   </w:t>
            </w:r>
          </w:p>
          <w:p w14:paraId="2DC25C15" w14:textId="77777777" w:rsidR="009B27D8" w:rsidRPr="00EC6C73" w:rsidRDefault="009B27D8" w:rsidP="009B27D8">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5D4663AC" w14:textId="77777777" w:rsidR="009B27D8" w:rsidRDefault="009B27D8" w:rsidP="00594D32">
            <w:pPr>
              <w:pStyle w:val="BodyText"/>
              <w:spacing w:after="120"/>
              <w:jc w:val="both"/>
              <w:rPr>
                <w:rFonts w:ascii="Arial" w:hAnsi="Arial"/>
                <w:b w:val="0"/>
                <w:bCs w:val="0"/>
                <w:sz w:val="20"/>
                <w:szCs w:val="20"/>
                <w:lang w:eastAsia="en-AU"/>
              </w:rPr>
            </w:pPr>
          </w:p>
          <w:p w14:paraId="2F722738" w14:textId="14535DE9" w:rsidR="0010213F" w:rsidRDefault="002B47FD" w:rsidP="00594D32">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As noted above the Project has potential to impact hydrological regimes and aquatic </w:t>
            </w:r>
            <w:r w:rsidR="00594D32">
              <w:rPr>
                <w:rFonts w:ascii="Arial" w:hAnsi="Arial"/>
                <w:b w:val="0"/>
                <w:bCs w:val="0"/>
                <w:sz w:val="20"/>
                <w:szCs w:val="20"/>
                <w:lang w:eastAsia="en-AU"/>
              </w:rPr>
              <w:t>ecosystems</w:t>
            </w:r>
            <w:r>
              <w:rPr>
                <w:rFonts w:ascii="Arial" w:hAnsi="Arial"/>
                <w:b w:val="0"/>
                <w:bCs w:val="0"/>
                <w:sz w:val="20"/>
                <w:szCs w:val="20"/>
                <w:lang w:eastAsia="en-AU"/>
              </w:rPr>
              <w:t xml:space="preserve"> downstream of the site, and assessment is proposed during the second half of 2019</w:t>
            </w:r>
            <w:r w:rsidR="00594D32">
              <w:rPr>
                <w:rFonts w:ascii="Arial" w:hAnsi="Arial"/>
                <w:b w:val="0"/>
                <w:bCs w:val="0"/>
                <w:sz w:val="20"/>
                <w:szCs w:val="20"/>
                <w:lang w:eastAsia="en-AU"/>
              </w:rPr>
              <w:t xml:space="preserve"> following the development of the site layout plan</w:t>
            </w:r>
            <w:r w:rsidR="00934113">
              <w:rPr>
                <w:rFonts w:ascii="Arial" w:hAnsi="Arial"/>
                <w:b w:val="0"/>
                <w:bCs w:val="0"/>
                <w:sz w:val="20"/>
                <w:szCs w:val="20"/>
                <w:lang w:eastAsia="en-AU"/>
              </w:rPr>
              <w:t>.</w:t>
            </w:r>
          </w:p>
          <w:p w14:paraId="49574F42" w14:textId="7545FBA0" w:rsidR="0093699E" w:rsidRPr="00F12BB8" w:rsidRDefault="00934113" w:rsidP="00594D32">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No estuarine or marine ecosystems will be affected.</w:t>
            </w:r>
          </w:p>
        </w:tc>
      </w:tr>
      <w:tr w:rsidR="0093699E" w14:paraId="1A34A844" w14:textId="77777777" w:rsidTr="00E71774">
        <w:tc>
          <w:tcPr>
            <w:tcW w:w="9243" w:type="dxa"/>
            <w:tcBorders>
              <w:top w:val="single" w:sz="4" w:space="0" w:color="auto"/>
              <w:bottom w:val="single" w:sz="4" w:space="0" w:color="auto"/>
            </w:tcBorders>
          </w:tcPr>
          <w:p w14:paraId="4E03B79B" w14:textId="060765EF" w:rsidR="0093699E" w:rsidRPr="0093699E" w:rsidRDefault="0093699E" w:rsidP="0093699E">
            <w:pPr>
              <w:pStyle w:val="Heading3"/>
              <w:keepLines/>
              <w:numPr>
                <w:ilvl w:val="2"/>
                <w:numId w:val="0"/>
              </w:numPr>
              <w:spacing w:before="240" w:after="240"/>
              <w:ind w:left="851" w:hanging="851"/>
              <w:jc w:val="both"/>
              <w:rPr>
                <w:sz w:val="20"/>
              </w:rPr>
            </w:pPr>
            <w:r>
              <w:rPr>
                <w:sz w:val="20"/>
              </w:rPr>
              <w:lastRenderedPageBreak/>
              <w:t xml:space="preserve">13.11 </w:t>
            </w:r>
            <w:r w:rsidRPr="0093699E">
              <w:rPr>
                <w:sz w:val="20"/>
              </w:rPr>
              <w:t>Is mitigation of potential effects on water environments proposed?</w:t>
            </w:r>
          </w:p>
          <w:p w14:paraId="706AA7E1" w14:textId="77777777" w:rsidR="009B27D8" w:rsidRPr="00EC6C73" w:rsidRDefault="009B27D8" w:rsidP="009B27D8">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03F40DF5" w14:textId="77777777" w:rsidR="009B27D8" w:rsidRDefault="009B27D8" w:rsidP="00594D32">
            <w:pPr>
              <w:pStyle w:val="BodyText"/>
              <w:spacing w:after="120"/>
              <w:jc w:val="both"/>
              <w:rPr>
                <w:rFonts w:ascii="Arial" w:hAnsi="Arial"/>
                <w:b w:val="0"/>
                <w:bCs w:val="0"/>
                <w:sz w:val="20"/>
                <w:szCs w:val="20"/>
                <w:lang w:eastAsia="en-AU"/>
              </w:rPr>
            </w:pPr>
          </w:p>
          <w:p w14:paraId="7FA79B5B" w14:textId="1938B728" w:rsidR="0093699E" w:rsidRDefault="009B27D8" w:rsidP="00594D32">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Al</w:t>
            </w:r>
            <w:r w:rsidR="0093699E" w:rsidRPr="0093699E">
              <w:rPr>
                <w:rFonts w:ascii="Arial" w:hAnsi="Arial"/>
                <w:b w:val="0"/>
                <w:bCs w:val="0"/>
                <w:sz w:val="20"/>
                <w:szCs w:val="20"/>
                <w:lang w:eastAsia="en-AU"/>
              </w:rPr>
              <w:t>l Iluka sites operate under an environmental management plan (EMP), which is a key component of a</w:t>
            </w:r>
            <w:r w:rsidR="0010213F">
              <w:rPr>
                <w:rFonts w:ascii="Arial" w:hAnsi="Arial"/>
                <w:b w:val="0"/>
                <w:bCs w:val="0"/>
                <w:sz w:val="20"/>
                <w:szCs w:val="20"/>
                <w:lang w:eastAsia="en-AU"/>
              </w:rPr>
              <w:t>n approved</w:t>
            </w:r>
            <w:r w:rsidR="0093699E" w:rsidRPr="0093699E">
              <w:rPr>
                <w:rFonts w:ascii="Arial" w:hAnsi="Arial"/>
                <w:b w:val="0"/>
                <w:bCs w:val="0"/>
                <w:sz w:val="20"/>
                <w:szCs w:val="20"/>
                <w:lang w:eastAsia="en-AU"/>
              </w:rPr>
              <w:t xml:space="preserve"> Mine Work Plan </w:t>
            </w:r>
            <w:r w:rsidR="0010213F">
              <w:rPr>
                <w:rFonts w:ascii="Arial" w:hAnsi="Arial"/>
                <w:b w:val="0"/>
                <w:bCs w:val="0"/>
                <w:sz w:val="20"/>
                <w:szCs w:val="20"/>
                <w:lang w:eastAsia="en-AU"/>
              </w:rPr>
              <w:t xml:space="preserve">required </w:t>
            </w:r>
            <w:r w:rsidR="0093699E" w:rsidRPr="0093699E">
              <w:rPr>
                <w:rFonts w:ascii="Arial" w:hAnsi="Arial"/>
                <w:b w:val="0"/>
                <w:bCs w:val="0"/>
                <w:sz w:val="20"/>
                <w:szCs w:val="20"/>
                <w:lang w:eastAsia="en-AU"/>
              </w:rPr>
              <w:t xml:space="preserve">under the </w:t>
            </w:r>
            <w:r w:rsidR="0093699E" w:rsidRPr="00384AAF">
              <w:rPr>
                <w:rFonts w:ascii="Arial" w:hAnsi="Arial"/>
                <w:b w:val="0"/>
                <w:bCs w:val="0"/>
                <w:i/>
                <w:sz w:val="20"/>
                <w:szCs w:val="20"/>
                <w:lang w:eastAsia="en-AU"/>
              </w:rPr>
              <w:t>Mineral Resources (Sustainable Development) Act 1990</w:t>
            </w:r>
            <w:r w:rsidR="0093699E" w:rsidRPr="0093699E">
              <w:rPr>
                <w:rFonts w:ascii="Arial" w:hAnsi="Arial"/>
                <w:b w:val="0"/>
                <w:bCs w:val="0"/>
                <w:sz w:val="20"/>
                <w:szCs w:val="20"/>
                <w:lang w:eastAsia="en-AU"/>
              </w:rPr>
              <w:t xml:space="preserve">. </w:t>
            </w:r>
          </w:p>
          <w:p w14:paraId="5C000165" w14:textId="4B436902" w:rsidR="0093699E" w:rsidRDefault="0093699E" w:rsidP="00594D32">
            <w:pPr>
              <w:pStyle w:val="BodyText"/>
              <w:spacing w:after="120"/>
              <w:jc w:val="both"/>
              <w:rPr>
                <w:rFonts w:ascii="Arial" w:hAnsi="Arial"/>
                <w:b w:val="0"/>
                <w:bCs w:val="0"/>
                <w:sz w:val="20"/>
                <w:szCs w:val="20"/>
                <w:lang w:eastAsia="en-AU"/>
              </w:rPr>
            </w:pPr>
            <w:r w:rsidRPr="0093699E">
              <w:rPr>
                <w:rFonts w:ascii="Arial" w:hAnsi="Arial"/>
                <w:b w:val="0"/>
                <w:bCs w:val="0"/>
                <w:sz w:val="20"/>
                <w:szCs w:val="20"/>
                <w:lang w:eastAsia="en-AU"/>
              </w:rPr>
              <w:t xml:space="preserve">A site-specific EMP will be prepared for the Wimmera Project covering the construction, operational, closure, rehabilitation and post-closure phases. The EMP will outline </w:t>
            </w:r>
            <w:r w:rsidR="004B6DD0" w:rsidRPr="0093699E">
              <w:rPr>
                <w:rFonts w:ascii="Arial" w:hAnsi="Arial"/>
                <w:b w:val="0"/>
                <w:bCs w:val="0"/>
                <w:sz w:val="20"/>
                <w:szCs w:val="20"/>
                <w:lang w:eastAsia="en-AU"/>
              </w:rPr>
              <w:t xml:space="preserve">mitigation measures </w:t>
            </w:r>
            <w:r w:rsidR="004B6DD0">
              <w:rPr>
                <w:rFonts w:ascii="Arial" w:hAnsi="Arial"/>
                <w:b w:val="0"/>
                <w:bCs w:val="0"/>
                <w:sz w:val="20"/>
                <w:szCs w:val="20"/>
                <w:lang w:eastAsia="en-AU"/>
              </w:rPr>
              <w:t xml:space="preserve">and </w:t>
            </w:r>
            <w:r w:rsidRPr="0093699E">
              <w:rPr>
                <w:rFonts w:ascii="Arial" w:hAnsi="Arial"/>
                <w:b w:val="0"/>
                <w:bCs w:val="0"/>
                <w:sz w:val="20"/>
                <w:szCs w:val="20"/>
                <w:lang w:eastAsia="en-AU"/>
              </w:rPr>
              <w:t xml:space="preserve">environmental performance criteria (where relevant) for biodiversity, groundwater and surface water. </w:t>
            </w:r>
          </w:p>
          <w:p w14:paraId="07426BF7" w14:textId="77FE5E61" w:rsidR="0093699E" w:rsidRDefault="00A0162D" w:rsidP="00A0162D">
            <w:pPr>
              <w:pStyle w:val="BodyText"/>
              <w:spacing w:after="120"/>
              <w:jc w:val="both"/>
              <w:rPr>
                <w:rFonts w:ascii="Arial" w:hAnsi="Arial"/>
              </w:rPr>
            </w:pPr>
            <w:r>
              <w:rPr>
                <w:rFonts w:ascii="Arial" w:hAnsi="Arial"/>
                <w:b w:val="0"/>
                <w:bCs w:val="0"/>
                <w:sz w:val="20"/>
                <w:szCs w:val="20"/>
                <w:lang w:eastAsia="en-AU"/>
              </w:rPr>
              <w:t>The Project will be designed (</w:t>
            </w:r>
            <w:proofErr w:type="spellStart"/>
            <w:r>
              <w:rPr>
                <w:rFonts w:ascii="Arial" w:hAnsi="Arial"/>
                <w:b w:val="0"/>
                <w:bCs w:val="0"/>
                <w:sz w:val="20"/>
                <w:szCs w:val="20"/>
                <w:lang w:eastAsia="en-AU"/>
              </w:rPr>
              <w:t>eg</w:t>
            </w:r>
            <w:proofErr w:type="spellEnd"/>
            <w:r>
              <w:rPr>
                <w:rFonts w:ascii="Arial" w:hAnsi="Arial"/>
                <w:b w:val="0"/>
                <w:bCs w:val="0"/>
                <w:sz w:val="20"/>
                <w:szCs w:val="20"/>
                <w:lang w:eastAsia="en-AU"/>
              </w:rPr>
              <w:t xml:space="preserve"> stockpile locations etc) to minimise potential effects on water environments. </w:t>
            </w:r>
          </w:p>
        </w:tc>
      </w:tr>
      <w:tr w:rsidR="0093699E" w14:paraId="0D41FE38" w14:textId="77777777" w:rsidTr="00FD555F">
        <w:trPr>
          <w:trHeight w:val="459"/>
        </w:trPr>
        <w:tc>
          <w:tcPr>
            <w:tcW w:w="9243" w:type="dxa"/>
            <w:tcBorders>
              <w:top w:val="single" w:sz="4" w:space="0" w:color="auto"/>
              <w:bottom w:val="single" w:sz="4" w:space="0" w:color="auto"/>
            </w:tcBorders>
          </w:tcPr>
          <w:p w14:paraId="712801C1" w14:textId="3B4DE10B" w:rsidR="0093699E" w:rsidRPr="0093699E" w:rsidRDefault="0093699E" w:rsidP="0093699E">
            <w:pPr>
              <w:pStyle w:val="Heading3"/>
              <w:keepLines/>
              <w:numPr>
                <w:ilvl w:val="2"/>
                <w:numId w:val="0"/>
              </w:numPr>
              <w:spacing w:before="240" w:after="240"/>
              <w:ind w:left="851" w:hanging="851"/>
              <w:jc w:val="both"/>
              <w:rPr>
                <w:sz w:val="20"/>
              </w:rPr>
            </w:pPr>
            <w:r>
              <w:rPr>
                <w:sz w:val="20"/>
              </w:rPr>
              <w:t xml:space="preserve">13.12 </w:t>
            </w:r>
            <w:r w:rsidRPr="0093699E">
              <w:rPr>
                <w:sz w:val="20"/>
              </w:rPr>
              <w:t xml:space="preserve">Other information/comments? </w:t>
            </w:r>
          </w:p>
          <w:p w14:paraId="26D84D24" w14:textId="75AA09BC" w:rsidR="0093699E" w:rsidRDefault="009E549F" w:rsidP="0010213F">
            <w:pPr>
              <w:pStyle w:val="BodyText"/>
              <w:jc w:val="both"/>
              <w:rPr>
                <w:rFonts w:ascii="Arial" w:hAnsi="Arial"/>
                <w:b w:val="0"/>
                <w:bCs w:val="0"/>
                <w:sz w:val="20"/>
                <w:szCs w:val="20"/>
                <w:lang w:eastAsia="en-AU"/>
              </w:rPr>
            </w:pPr>
            <w:r>
              <w:rPr>
                <w:rFonts w:ascii="Arial" w:hAnsi="Arial"/>
                <w:b w:val="0"/>
                <w:bCs w:val="0"/>
                <w:sz w:val="20"/>
                <w:szCs w:val="20"/>
                <w:lang w:eastAsia="en-AU"/>
              </w:rPr>
              <w:t>O</w:t>
            </w:r>
            <w:r w:rsidR="0093699E" w:rsidRPr="0093699E">
              <w:rPr>
                <w:rFonts w:ascii="Arial" w:hAnsi="Arial"/>
                <w:b w:val="0"/>
                <w:bCs w:val="0"/>
                <w:sz w:val="20"/>
                <w:szCs w:val="20"/>
                <w:lang w:eastAsia="en-AU"/>
              </w:rPr>
              <w:t>nly baseline groundwater studies have been undertaken to date</w:t>
            </w:r>
            <w:r>
              <w:rPr>
                <w:rFonts w:ascii="Arial" w:hAnsi="Arial"/>
                <w:b w:val="0"/>
                <w:bCs w:val="0"/>
                <w:sz w:val="20"/>
                <w:szCs w:val="20"/>
                <w:lang w:eastAsia="en-AU"/>
              </w:rPr>
              <w:t xml:space="preserve">. Assessment of </w:t>
            </w:r>
            <w:r w:rsidR="0093699E" w:rsidRPr="0093699E">
              <w:rPr>
                <w:rFonts w:ascii="Arial" w:hAnsi="Arial"/>
                <w:b w:val="0"/>
                <w:bCs w:val="0"/>
                <w:sz w:val="20"/>
                <w:szCs w:val="20"/>
                <w:lang w:eastAsia="en-AU"/>
              </w:rPr>
              <w:t>hydrochemistry, groundwater dependent ecosystems (GDEs), groundwater levels, flowrates, presence of the Murray Group Limestone near the ore and the presence of beneficial users</w:t>
            </w:r>
            <w:r>
              <w:rPr>
                <w:rFonts w:ascii="Arial" w:hAnsi="Arial"/>
                <w:b w:val="0"/>
                <w:bCs w:val="0"/>
                <w:sz w:val="20"/>
                <w:szCs w:val="20"/>
                <w:lang w:eastAsia="en-AU"/>
              </w:rPr>
              <w:t xml:space="preserve"> are underway</w:t>
            </w:r>
            <w:r w:rsidR="0093699E" w:rsidRPr="0093699E">
              <w:rPr>
                <w:rFonts w:ascii="Arial" w:hAnsi="Arial"/>
                <w:b w:val="0"/>
                <w:bCs w:val="0"/>
                <w:sz w:val="20"/>
                <w:szCs w:val="20"/>
                <w:lang w:eastAsia="en-AU"/>
              </w:rPr>
              <w:t>.</w:t>
            </w:r>
          </w:p>
          <w:p w14:paraId="531413A7" w14:textId="77777777" w:rsidR="0093699E" w:rsidRPr="0093699E" w:rsidRDefault="0093699E" w:rsidP="00760D5F">
            <w:pPr>
              <w:pStyle w:val="BodyText"/>
              <w:jc w:val="both"/>
              <w:rPr>
                <w:rFonts w:ascii="Arial" w:hAnsi="Arial"/>
                <w:b w:val="0"/>
                <w:bCs w:val="0"/>
                <w:sz w:val="20"/>
                <w:szCs w:val="20"/>
                <w:lang w:eastAsia="en-AU"/>
              </w:rPr>
            </w:pPr>
          </w:p>
          <w:p w14:paraId="4442C2A3" w14:textId="063A6D74" w:rsidR="0093699E" w:rsidRDefault="009E549F" w:rsidP="00760D5F">
            <w:pPr>
              <w:pStyle w:val="BodyText"/>
              <w:jc w:val="both"/>
              <w:rPr>
                <w:rFonts w:ascii="Arial" w:hAnsi="Arial"/>
                <w:b w:val="0"/>
                <w:bCs w:val="0"/>
                <w:sz w:val="20"/>
                <w:szCs w:val="20"/>
                <w:lang w:eastAsia="en-AU"/>
              </w:rPr>
            </w:pPr>
            <w:r>
              <w:rPr>
                <w:rFonts w:ascii="Arial" w:hAnsi="Arial"/>
                <w:b w:val="0"/>
                <w:bCs w:val="0"/>
                <w:sz w:val="20"/>
                <w:szCs w:val="20"/>
                <w:lang w:eastAsia="en-AU"/>
              </w:rPr>
              <w:t xml:space="preserve">Only </w:t>
            </w:r>
            <w:r w:rsidR="0093699E" w:rsidRPr="0093699E">
              <w:rPr>
                <w:rFonts w:ascii="Arial" w:hAnsi="Arial"/>
                <w:b w:val="0"/>
                <w:bCs w:val="0"/>
                <w:sz w:val="20"/>
                <w:szCs w:val="20"/>
                <w:lang w:eastAsia="en-AU"/>
              </w:rPr>
              <w:t>baseline surface water studies have been undertaken to date</w:t>
            </w:r>
            <w:r>
              <w:rPr>
                <w:rFonts w:ascii="Arial" w:hAnsi="Arial"/>
                <w:b w:val="0"/>
                <w:bCs w:val="0"/>
                <w:sz w:val="20"/>
                <w:szCs w:val="20"/>
                <w:lang w:eastAsia="en-AU"/>
              </w:rPr>
              <w:t xml:space="preserve">. Assessment of </w:t>
            </w:r>
            <w:r w:rsidR="0093699E" w:rsidRPr="0093699E">
              <w:rPr>
                <w:rFonts w:ascii="Arial" w:hAnsi="Arial"/>
                <w:b w:val="0"/>
                <w:bCs w:val="0"/>
                <w:sz w:val="20"/>
                <w:szCs w:val="20"/>
                <w:lang w:eastAsia="en-AU"/>
              </w:rPr>
              <w:t xml:space="preserve">seasonal flow patterns, surface water users and receptors, water quality, location and extent of hydrological features, surface water catchments and flow pathways across the Project site </w:t>
            </w:r>
            <w:r>
              <w:rPr>
                <w:rFonts w:ascii="Arial" w:hAnsi="Arial"/>
                <w:b w:val="0"/>
                <w:bCs w:val="0"/>
                <w:sz w:val="20"/>
                <w:szCs w:val="20"/>
                <w:lang w:eastAsia="en-AU"/>
              </w:rPr>
              <w:t>are</w:t>
            </w:r>
            <w:r w:rsidR="0093699E" w:rsidRPr="0093699E">
              <w:rPr>
                <w:rFonts w:ascii="Arial" w:hAnsi="Arial"/>
                <w:b w:val="0"/>
                <w:bCs w:val="0"/>
                <w:sz w:val="20"/>
                <w:szCs w:val="20"/>
                <w:lang w:eastAsia="en-AU"/>
              </w:rPr>
              <w:t xml:space="preserve"> </w:t>
            </w:r>
            <w:r>
              <w:rPr>
                <w:rFonts w:ascii="Arial" w:hAnsi="Arial"/>
                <w:b w:val="0"/>
                <w:bCs w:val="0"/>
                <w:sz w:val="20"/>
                <w:szCs w:val="20"/>
                <w:lang w:eastAsia="en-AU"/>
              </w:rPr>
              <w:t>underway</w:t>
            </w:r>
            <w:r w:rsidR="0093699E" w:rsidRPr="0093699E">
              <w:rPr>
                <w:rFonts w:ascii="Arial" w:hAnsi="Arial"/>
                <w:b w:val="0"/>
                <w:bCs w:val="0"/>
                <w:sz w:val="20"/>
                <w:szCs w:val="20"/>
                <w:lang w:eastAsia="en-AU"/>
              </w:rPr>
              <w:t>.</w:t>
            </w:r>
          </w:p>
          <w:p w14:paraId="5031C04E" w14:textId="77777777" w:rsidR="00B95A8A" w:rsidRDefault="00B95A8A">
            <w:pPr>
              <w:pStyle w:val="BodyText"/>
              <w:jc w:val="both"/>
              <w:rPr>
                <w:rFonts w:ascii="Arial" w:hAnsi="Arial"/>
                <w:b w:val="0"/>
                <w:bCs w:val="0"/>
                <w:sz w:val="20"/>
                <w:szCs w:val="20"/>
                <w:lang w:eastAsia="en-AU"/>
              </w:rPr>
            </w:pPr>
          </w:p>
          <w:p w14:paraId="60C9D632" w14:textId="77777777" w:rsidR="009E549F" w:rsidRPr="0093699E" w:rsidRDefault="009E549F" w:rsidP="009E549F">
            <w:pPr>
              <w:pStyle w:val="BodyText"/>
              <w:jc w:val="both"/>
              <w:rPr>
                <w:rFonts w:ascii="Arial" w:hAnsi="Arial"/>
                <w:b w:val="0"/>
                <w:bCs w:val="0"/>
                <w:sz w:val="20"/>
                <w:szCs w:val="20"/>
                <w:lang w:eastAsia="en-AU"/>
              </w:rPr>
            </w:pPr>
            <w:r>
              <w:rPr>
                <w:rFonts w:ascii="Arial" w:hAnsi="Arial"/>
                <w:b w:val="0"/>
                <w:bCs w:val="0"/>
                <w:sz w:val="20"/>
                <w:szCs w:val="20"/>
                <w:lang w:eastAsia="en-AU"/>
              </w:rPr>
              <w:t xml:space="preserve">Aquatic ecosystem baseline studies are planned. </w:t>
            </w:r>
          </w:p>
          <w:p w14:paraId="2450BB02" w14:textId="77777777" w:rsidR="009E549F" w:rsidRDefault="009E549F">
            <w:pPr>
              <w:pStyle w:val="BodyText"/>
              <w:jc w:val="both"/>
              <w:rPr>
                <w:rFonts w:ascii="Arial" w:hAnsi="Arial"/>
                <w:b w:val="0"/>
                <w:bCs w:val="0"/>
                <w:sz w:val="20"/>
                <w:szCs w:val="20"/>
                <w:lang w:eastAsia="en-AU"/>
              </w:rPr>
            </w:pPr>
          </w:p>
          <w:p w14:paraId="1FAB490E" w14:textId="3A2B25AA" w:rsidR="00B95A8A" w:rsidRDefault="00B95A8A">
            <w:pPr>
              <w:pStyle w:val="BodyText"/>
              <w:jc w:val="both"/>
              <w:rPr>
                <w:rFonts w:ascii="Arial" w:hAnsi="Arial"/>
                <w:b w:val="0"/>
                <w:bCs w:val="0"/>
                <w:sz w:val="20"/>
                <w:szCs w:val="20"/>
                <w:lang w:eastAsia="en-AU"/>
              </w:rPr>
            </w:pPr>
            <w:r>
              <w:rPr>
                <w:rFonts w:ascii="Arial" w:hAnsi="Arial"/>
                <w:b w:val="0"/>
                <w:bCs w:val="0"/>
                <w:sz w:val="20"/>
                <w:szCs w:val="20"/>
                <w:lang w:eastAsia="en-AU"/>
              </w:rPr>
              <w:t xml:space="preserve">The Project </w:t>
            </w:r>
            <w:r w:rsidR="004B6DD0">
              <w:rPr>
                <w:rFonts w:ascii="Arial" w:hAnsi="Arial"/>
                <w:b w:val="0"/>
                <w:bCs w:val="0"/>
                <w:sz w:val="20"/>
                <w:szCs w:val="20"/>
                <w:lang w:eastAsia="en-AU"/>
              </w:rPr>
              <w:t xml:space="preserve">layout </w:t>
            </w:r>
            <w:r>
              <w:rPr>
                <w:rFonts w:ascii="Arial" w:hAnsi="Arial"/>
                <w:b w:val="0"/>
                <w:bCs w:val="0"/>
                <w:sz w:val="20"/>
                <w:szCs w:val="20"/>
                <w:lang w:eastAsia="en-AU"/>
              </w:rPr>
              <w:t>design is not yet finalised</w:t>
            </w:r>
            <w:r w:rsidR="00A11870">
              <w:rPr>
                <w:rFonts w:ascii="Arial" w:hAnsi="Arial"/>
                <w:b w:val="0"/>
                <w:bCs w:val="0"/>
                <w:sz w:val="20"/>
                <w:szCs w:val="20"/>
                <w:lang w:eastAsia="en-AU"/>
              </w:rPr>
              <w:t xml:space="preserve"> (onsite and offsite infrastructure)</w:t>
            </w:r>
            <w:r>
              <w:rPr>
                <w:rFonts w:ascii="Arial" w:hAnsi="Arial"/>
                <w:b w:val="0"/>
                <w:bCs w:val="0"/>
                <w:sz w:val="20"/>
                <w:szCs w:val="20"/>
                <w:lang w:eastAsia="en-AU"/>
              </w:rPr>
              <w:t xml:space="preserve">. </w:t>
            </w:r>
          </w:p>
          <w:p w14:paraId="091E53F7" w14:textId="77777777" w:rsidR="00B95A8A" w:rsidRDefault="00B95A8A">
            <w:pPr>
              <w:pStyle w:val="BodyText"/>
              <w:jc w:val="both"/>
              <w:rPr>
                <w:rFonts w:ascii="Arial" w:hAnsi="Arial"/>
                <w:b w:val="0"/>
                <w:bCs w:val="0"/>
                <w:sz w:val="20"/>
                <w:szCs w:val="20"/>
                <w:lang w:eastAsia="en-AU"/>
              </w:rPr>
            </w:pPr>
          </w:p>
          <w:p w14:paraId="54172370" w14:textId="4D4F1E6C" w:rsidR="00B95A8A" w:rsidRDefault="009E549F">
            <w:pPr>
              <w:pStyle w:val="BodyText"/>
              <w:jc w:val="both"/>
              <w:rPr>
                <w:rFonts w:ascii="Arial" w:hAnsi="Arial"/>
                <w:b w:val="0"/>
                <w:bCs w:val="0"/>
                <w:sz w:val="20"/>
                <w:szCs w:val="20"/>
                <w:lang w:eastAsia="en-AU"/>
              </w:rPr>
            </w:pPr>
            <w:r>
              <w:rPr>
                <w:rFonts w:ascii="Arial" w:hAnsi="Arial"/>
                <w:b w:val="0"/>
                <w:bCs w:val="0"/>
                <w:sz w:val="20"/>
                <w:szCs w:val="20"/>
                <w:lang w:eastAsia="en-AU"/>
              </w:rPr>
              <w:t>I</w:t>
            </w:r>
            <w:r w:rsidR="00B95A8A">
              <w:rPr>
                <w:rFonts w:ascii="Arial" w:hAnsi="Arial"/>
                <w:b w:val="0"/>
                <w:bCs w:val="0"/>
                <w:sz w:val="20"/>
                <w:szCs w:val="20"/>
                <w:lang w:eastAsia="en-AU"/>
              </w:rPr>
              <w:t xml:space="preserve">mpact assessments </w:t>
            </w:r>
            <w:r>
              <w:rPr>
                <w:rFonts w:ascii="Arial" w:hAnsi="Arial"/>
                <w:b w:val="0"/>
                <w:bCs w:val="0"/>
                <w:sz w:val="20"/>
                <w:szCs w:val="20"/>
                <w:lang w:eastAsia="en-AU"/>
              </w:rPr>
              <w:t>will be u</w:t>
            </w:r>
            <w:r w:rsidR="00B95A8A">
              <w:rPr>
                <w:rFonts w:ascii="Arial" w:hAnsi="Arial"/>
                <w:b w:val="0"/>
                <w:bCs w:val="0"/>
                <w:sz w:val="20"/>
                <w:szCs w:val="20"/>
                <w:lang w:eastAsia="en-AU"/>
              </w:rPr>
              <w:t>ndertaken</w:t>
            </w:r>
            <w:r>
              <w:rPr>
                <w:rFonts w:ascii="Arial" w:hAnsi="Arial"/>
                <w:b w:val="0"/>
                <w:bCs w:val="0"/>
                <w:sz w:val="20"/>
                <w:szCs w:val="20"/>
                <w:lang w:eastAsia="en-AU"/>
              </w:rPr>
              <w:t xml:space="preserve"> based on the completed characterisation of the existing environment and on the Project design. </w:t>
            </w:r>
            <w:r w:rsidR="00B95A8A">
              <w:rPr>
                <w:rFonts w:ascii="Arial" w:hAnsi="Arial"/>
                <w:b w:val="0"/>
                <w:bCs w:val="0"/>
                <w:sz w:val="20"/>
                <w:szCs w:val="20"/>
                <w:lang w:eastAsia="en-AU"/>
              </w:rPr>
              <w:t xml:space="preserve"> </w:t>
            </w:r>
          </w:p>
          <w:p w14:paraId="1303A0F1" w14:textId="77777777" w:rsidR="0093699E" w:rsidRDefault="0093699E" w:rsidP="009E549F">
            <w:pPr>
              <w:pStyle w:val="BodyText"/>
              <w:jc w:val="both"/>
              <w:rPr>
                <w:rFonts w:ascii="Arial" w:hAnsi="Arial"/>
              </w:rPr>
            </w:pPr>
          </w:p>
        </w:tc>
      </w:tr>
      <w:tr w:rsidR="0093699E" w14:paraId="5E008C6C" w14:textId="77777777" w:rsidTr="00FD555F">
        <w:trPr>
          <w:trHeight w:val="459"/>
        </w:trPr>
        <w:tc>
          <w:tcPr>
            <w:tcW w:w="9243" w:type="dxa"/>
            <w:tcBorders>
              <w:top w:val="single" w:sz="4" w:space="0" w:color="auto"/>
            </w:tcBorders>
          </w:tcPr>
          <w:p w14:paraId="37C25474" w14:textId="027CC737" w:rsidR="009873EA" w:rsidRPr="009873EA" w:rsidRDefault="009873EA" w:rsidP="009873EA">
            <w:pPr>
              <w:pStyle w:val="Heading1"/>
              <w:ind w:left="0"/>
              <w:jc w:val="both"/>
              <w:rPr>
                <w:sz w:val="22"/>
                <w:szCs w:val="22"/>
              </w:rPr>
            </w:pPr>
            <w:bookmarkStart w:id="114" w:name="_Toc5611091"/>
            <w:bookmarkStart w:id="115" w:name="_Toc7770282"/>
            <w:bookmarkStart w:id="116" w:name="_Toc7787927"/>
            <w:bookmarkStart w:id="117" w:name="_Toc8384824"/>
            <w:r w:rsidRPr="009873EA">
              <w:rPr>
                <w:sz w:val="22"/>
                <w:szCs w:val="22"/>
              </w:rPr>
              <w:t>1</w:t>
            </w:r>
            <w:r w:rsidR="00204A4C">
              <w:rPr>
                <w:sz w:val="22"/>
                <w:szCs w:val="22"/>
              </w:rPr>
              <w:t>4</w:t>
            </w:r>
            <w:r w:rsidRPr="009873EA">
              <w:rPr>
                <w:sz w:val="22"/>
                <w:szCs w:val="22"/>
              </w:rPr>
              <w:t xml:space="preserve"> Landscape</w:t>
            </w:r>
            <w:bookmarkEnd w:id="114"/>
            <w:bookmarkEnd w:id="115"/>
            <w:bookmarkEnd w:id="116"/>
            <w:r w:rsidRPr="009873EA">
              <w:rPr>
                <w:sz w:val="22"/>
                <w:szCs w:val="22"/>
              </w:rPr>
              <w:t xml:space="preserve"> and soils</w:t>
            </w:r>
            <w:bookmarkEnd w:id="117"/>
          </w:p>
          <w:p w14:paraId="352EC321" w14:textId="77777777" w:rsidR="0093699E" w:rsidRPr="009873EA" w:rsidRDefault="0093699E">
            <w:pPr>
              <w:rPr>
                <w:rFonts w:ascii="Arial" w:hAnsi="Arial"/>
                <w:b/>
              </w:rPr>
            </w:pPr>
          </w:p>
        </w:tc>
      </w:tr>
      <w:tr w:rsidR="0093699E" w14:paraId="76005D1C" w14:textId="77777777" w:rsidTr="00FD555F">
        <w:tc>
          <w:tcPr>
            <w:tcW w:w="9243" w:type="dxa"/>
            <w:tcBorders>
              <w:bottom w:val="nil"/>
            </w:tcBorders>
          </w:tcPr>
          <w:p w14:paraId="5617F75B" w14:textId="17F8F67A" w:rsidR="009873EA" w:rsidRDefault="009873EA" w:rsidP="009873EA">
            <w:pPr>
              <w:pStyle w:val="Heading2"/>
              <w:ind w:left="0"/>
            </w:pPr>
            <w:r>
              <w:t>1</w:t>
            </w:r>
            <w:r w:rsidR="00204A4C">
              <w:t>4</w:t>
            </w:r>
            <w:r>
              <w:t>.1 Landscape</w:t>
            </w:r>
          </w:p>
          <w:p w14:paraId="70793C04" w14:textId="77777777" w:rsidR="0093699E" w:rsidRDefault="0093699E">
            <w:pPr>
              <w:rPr>
                <w:rFonts w:ascii="Arial" w:hAnsi="Arial"/>
              </w:rPr>
            </w:pPr>
          </w:p>
        </w:tc>
      </w:tr>
      <w:tr w:rsidR="0093699E" w14:paraId="13600A88" w14:textId="77777777" w:rsidTr="00E71774">
        <w:tc>
          <w:tcPr>
            <w:tcW w:w="9243" w:type="dxa"/>
            <w:tcBorders>
              <w:top w:val="nil"/>
              <w:bottom w:val="single" w:sz="4" w:space="0" w:color="auto"/>
            </w:tcBorders>
          </w:tcPr>
          <w:p w14:paraId="0700FE86" w14:textId="397A74A9" w:rsidR="009873EA" w:rsidRPr="009873EA" w:rsidRDefault="009873EA" w:rsidP="009873EA">
            <w:pPr>
              <w:pStyle w:val="Heading3"/>
              <w:keepLines/>
              <w:numPr>
                <w:ilvl w:val="2"/>
                <w:numId w:val="0"/>
              </w:numPr>
              <w:spacing w:before="240" w:after="240"/>
              <w:ind w:left="851" w:hanging="851"/>
              <w:jc w:val="both"/>
              <w:rPr>
                <w:sz w:val="20"/>
              </w:rPr>
            </w:pPr>
            <w:r>
              <w:rPr>
                <w:sz w:val="20"/>
              </w:rPr>
              <w:t>1</w:t>
            </w:r>
            <w:r w:rsidR="00204A4C">
              <w:rPr>
                <w:sz w:val="20"/>
              </w:rPr>
              <w:t>4</w:t>
            </w:r>
            <w:r>
              <w:rPr>
                <w:sz w:val="20"/>
              </w:rPr>
              <w:t xml:space="preserve">.1.1 </w:t>
            </w:r>
            <w:r w:rsidRPr="009873EA">
              <w:rPr>
                <w:sz w:val="20"/>
              </w:rPr>
              <w:t xml:space="preserve">Has a preliminary landscape assessment been prepared? </w:t>
            </w:r>
          </w:p>
          <w:p w14:paraId="6BDB236C" w14:textId="2AED9E04" w:rsidR="009B27D8" w:rsidRPr="00EC6C73" w:rsidRDefault="009B27D8" w:rsidP="009B27D8">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No    </w:t>
            </w:r>
            <w:r w:rsidRPr="009B27D8">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Yes   </w:t>
            </w:r>
          </w:p>
          <w:p w14:paraId="4C311E31" w14:textId="2FD7260A" w:rsidR="0093699E" w:rsidRDefault="0093699E" w:rsidP="004B6DD0">
            <w:pPr>
              <w:pStyle w:val="BodyText"/>
              <w:jc w:val="both"/>
            </w:pPr>
          </w:p>
        </w:tc>
      </w:tr>
      <w:tr w:rsidR="0093699E" w14:paraId="04468075" w14:textId="77777777" w:rsidTr="00E71774">
        <w:tc>
          <w:tcPr>
            <w:tcW w:w="9243" w:type="dxa"/>
            <w:tcBorders>
              <w:top w:val="single" w:sz="4" w:space="0" w:color="auto"/>
              <w:bottom w:val="single" w:sz="4" w:space="0" w:color="auto"/>
            </w:tcBorders>
          </w:tcPr>
          <w:p w14:paraId="6680B6E1" w14:textId="3603ECA3" w:rsidR="009873EA" w:rsidRPr="009873EA" w:rsidRDefault="009873EA" w:rsidP="009873EA">
            <w:pPr>
              <w:pStyle w:val="Heading3"/>
              <w:keepLines/>
              <w:numPr>
                <w:ilvl w:val="2"/>
                <w:numId w:val="0"/>
              </w:numPr>
              <w:spacing w:before="240" w:after="240"/>
              <w:ind w:left="851" w:hanging="851"/>
              <w:jc w:val="both"/>
              <w:rPr>
                <w:sz w:val="20"/>
              </w:rPr>
            </w:pPr>
            <w:bookmarkStart w:id="118" w:name="_Toc7770284"/>
            <w:r>
              <w:rPr>
                <w:sz w:val="20"/>
              </w:rPr>
              <w:lastRenderedPageBreak/>
              <w:t>1</w:t>
            </w:r>
            <w:r w:rsidR="00204A4C">
              <w:rPr>
                <w:sz w:val="20"/>
              </w:rPr>
              <w:t>4</w:t>
            </w:r>
            <w:r>
              <w:rPr>
                <w:sz w:val="20"/>
              </w:rPr>
              <w:t xml:space="preserve">.1.2 </w:t>
            </w:r>
            <w:r w:rsidRPr="009873EA">
              <w:rPr>
                <w:sz w:val="20"/>
              </w:rPr>
              <w:t>Is the Project to be located either within or near an area that is subject to a Landscape Significance Overlay or Environmental Significance Overlay?</w:t>
            </w:r>
            <w:bookmarkEnd w:id="118"/>
          </w:p>
          <w:p w14:paraId="3BC8AAB9" w14:textId="77777777" w:rsidR="009B27D8" w:rsidRPr="00EC6C73" w:rsidRDefault="009B27D8" w:rsidP="009B27D8">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68A8164F" w14:textId="77777777" w:rsidR="009B27D8" w:rsidRDefault="009B27D8" w:rsidP="009873EA">
            <w:pPr>
              <w:pStyle w:val="BodyText"/>
              <w:jc w:val="both"/>
              <w:rPr>
                <w:rFonts w:ascii="Arial" w:hAnsi="Arial"/>
                <w:b w:val="0"/>
                <w:bCs w:val="0"/>
                <w:sz w:val="20"/>
                <w:szCs w:val="20"/>
                <w:lang w:eastAsia="en-AU"/>
              </w:rPr>
            </w:pPr>
          </w:p>
          <w:p w14:paraId="72F4CDC5" w14:textId="5466CD5C" w:rsidR="009873EA" w:rsidRDefault="009B27D8" w:rsidP="009873EA">
            <w:pPr>
              <w:pStyle w:val="BodyText"/>
              <w:jc w:val="both"/>
              <w:rPr>
                <w:rFonts w:ascii="Arial" w:hAnsi="Arial"/>
                <w:b w:val="0"/>
                <w:bCs w:val="0"/>
                <w:sz w:val="20"/>
                <w:szCs w:val="20"/>
                <w:lang w:eastAsia="en-AU"/>
              </w:rPr>
            </w:pPr>
            <w:r>
              <w:rPr>
                <w:rFonts w:ascii="Arial" w:hAnsi="Arial"/>
                <w:b w:val="0"/>
                <w:bCs w:val="0"/>
                <w:sz w:val="20"/>
                <w:szCs w:val="20"/>
                <w:lang w:eastAsia="en-AU"/>
              </w:rPr>
              <w:t>T</w:t>
            </w:r>
            <w:r w:rsidR="009873EA" w:rsidRPr="009873EA">
              <w:rPr>
                <w:rFonts w:ascii="Arial" w:hAnsi="Arial"/>
                <w:b w:val="0"/>
                <w:bCs w:val="0"/>
                <w:sz w:val="20"/>
                <w:szCs w:val="20"/>
                <w:lang w:eastAsia="en-AU"/>
              </w:rPr>
              <w:t>he Project site is located within the following Environmental Significance Overlays:</w:t>
            </w:r>
          </w:p>
          <w:p w14:paraId="3486FE52" w14:textId="77777777" w:rsidR="009873EA" w:rsidRPr="009873EA" w:rsidRDefault="009873EA" w:rsidP="009873EA">
            <w:pPr>
              <w:pStyle w:val="BodyText"/>
              <w:jc w:val="both"/>
              <w:rPr>
                <w:rFonts w:ascii="Arial" w:hAnsi="Arial"/>
                <w:b w:val="0"/>
                <w:bCs w:val="0"/>
                <w:sz w:val="20"/>
                <w:szCs w:val="20"/>
                <w:lang w:eastAsia="en-AU"/>
              </w:rPr>
            </w:pPr>
          </w:p>
          <w:p w14:paraId="39D75E17" w14:textId="3EEA94D6" w:rsidR="009873EA" w:rsidRPr="0017475D" w:rsidRDefault="009873EA"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ESO4 Environmental </w:t>
            </w:r>
            <w:r w:rsidR="00A622B5" w:rsidRPr="0017475D">
              <w:rPr>
                <w:rFonts w:ascii="Arial" w:hAnsi="Arial"/>
                <w:b w:val="0"/>
                <w:bCs w:val="0"/>
                <w:sz w:val="20"/>
                <w:szCs w:val="20"/>
                <w:lang w:eastAsia="en-AU"/>
              </w:rPr>
              <w:t>S</w:t>
            </w:r>
            <w:r w:rsidRPr="0017475D">
              <w:rPr>
                <w:rFonts w:ascii="Arial" w:hAnsi="Arial"/>
                <w:b w:val="0"/>
                <w:bCs w:val="0"/>
                <w:sz w:val="20"/>
                <w:szCs w:val="20"/>
                <w:lang w:eastAsia="en-AU"/>
              </w:rPr>
              <w:t xml:space="preserve">ignificance 4 - Water catchment protection (Figure </w:t>
            </w:r>
            <w:r w:rsidR="009E549F" w:rsidRPr="0017475D">
              <w:rPr>
                <w:rFonts w:ascii="Arial" w:hAnsi="Arial"/>
                <w:b w:val="0"/>
                <w:bCs w:val="0"/>
                <w:sz w:val="20"/>
                <w:szCs w:val="20"/>
                <w:lang w:eastAsia="en-AU"/>
              </w:rPr>
              <w:t>1</w:t>
            </w:r>
            <w:r w:rsidR="007E61D6" w:rsidRPr="0017475D">
              <w:rPr>
                <w:rFonts w:ascii="Arial" w:hAnsi="Arial"/>
                <w:b w:val="0"/>
                <w:bCs w:val="0"/>
                <w:sz w:val="20"/>
                <w:szCs w:val="20"/>
                <w:lang w:eastAsia="en-AU"/>
              </w:rPr>
              <w:t>1</w:t>
            </w:r>
            <w:r w:rsidRPr="0017475D">
              <w:rPr>
                <w:rFonts w:ascii="Arial" w:hAnsi="Arial"/>
                <w:b w:val="0"/>
                <w:bCs w:val="0"/>
                <w:sz w:val="20"/>
                <w:szCs w:val="20"/>
                <w:lang w:eastAsia="en-AU"/>
              </w:rPr>
              <w:t xml:space="preserve">); and </w:t>
            </w:r>
          </w:p>
          <w:p w14:paraId="16416B14" w14:textId="261F206F" w:rsidR="009873EA" w:rsidRPr="0017475D" w:rsidRDefault="009873EA"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ESO5 Environmental </w:t>
            </w:r>
            <w:r w:rsidR="00A622B5" w:rsidRPr="0017475D">
              <w:rPr>
                <w:rFonts w:ascii="Arial" w:hAnsi="Arial"/>
                <w:b w:val="0"/>
                <w:bCs w:val="0"/>
                <w:sz w:val="20"/>
                <w:szCs w:val="20"/>
                <w:lang w:eastAsia="en-AU"/>
              </w:rPr>
              <w:t>S</w:t>
            </w:r>
            <w:r w:rsidRPr="0017475D">
              <w:rPr>
                <w:rFonts w:ascii="Arial" w:hAnsi="Arial"/>
                <w:b w:val="0"/>
                <w:bCs w:val="0"/>
                <w:sz w:val="20"/>
                <w:szCs w:val="20"/>
                <w:lang w:eastAsia="en-AU"/>
              </w:rPr>
              <w:t xml:space="preserve">ignificance 5 - Channel and reservoir protection (Figure </w:t>
            </w:r>
            <w:r w:rsidR="009E549F" w:rsidRPr="0017475D">
              <w:rPr>
                <w:rFonts w:ascii="Arial" w:hAnsi="Arial"/>
                <w:b w:val="0"/>
                <w:bCs w:val="0"/>
                <w:sz w:val="20"/>
                <w:szCs w:val="20"/>
                <w:lang w:eastAsia="en-AU"/>
              </w:rPr>
              <w:t>1</w:t>
            </w:r>
            <w:r w:rsidR="007E61D6" w:rsidRPr="0017475D">
              <w:rPr>
                <w:rFonts w:ascii="Arial" w:hAnsi="Arial"/>
                <w:b w:val="0"/>
                <w:bCs w:val="0"/>
                <w:sz w:val="20"/>
                <w:szCs w:val="20"/>
                <w:lang w:eastAsia="en-AU"/>
              </w:rPr>
              <w:t>2</w:t>
            </w:r>
            <w:r w:rsidRPr="0017475D">
              <w:rPr>
                <w:rFonts w:ascii="Arial" w:hAnsi="Arial"/>
                <w:b w:val="0"/>
                <w:bCs w:val="0"/>
                <w:sz w:val="20"/>
                <w:szCs w:val="20"/>
                <w:lang w:eastAsia="en-AU"/>
              </w:rPr>
              <w:t>)</w:t>
            </w:r>
            <w:r w:rsidR="004B6DD0" w:rsidRPr="0017475D">
              <w:rPr>
                <w:rFonts w:ascii="Arial" w:hAnsi="Arial"/>
                <w:b w:val="0"/>
                <w:bCs w:val="0"/>
                <w:sz w:val="20"/>
                <w:szCs w:val="20"/>
                <w:lang w:eastAsia="en-AU"/>
              </w:rPr>
              <w:t>.</w:t>
            </w:r>
          </w:p>
          <w:p w14:paraId="66B5A61F" w14:textId="77777777" w:rsidR="009873EA" w:rsidRPr="006960F4" w:rsidRDefault="009873EA" w:rsidP="00594D32">
            <w:pPr>
              <w:pStyle w:val="BodyText"/>
              <w:spacing w:before="120"/>
              <w:jc w:val="both"/>
              <w:rPr>
                <w:rFonts w:ascii="Arial" w:hAnsi="Arial"/>
                <w:b w:val="0"/>
                <w:sz w:val="20"/>
                <w:szCs w:val="20"/>
                <w:lang w:eastAsia="en-AU"/>
              </w:rPr>
            </w:pPr>
            <w:r w:rsidRPr="006960F4">
              <w:rPr>
                <w:rFonts w:ascii="Arial" w:hAnsi="Arial"/>
                <w:b w:val="0"/>
                <w:sz w:val="20"/>
                <w:szCs w:val="20"/>
                <w:lang w:eastAsia="en-AU"/>
              </w:rPr>
              <w:t>The Project site is located in the region of the following Environmental Significance Overlays:</w:t>
            </w:r>
          </w:p>
          <w:p w14:paraId="61B2D484" w14:textId="77777777" w:rsidR="009873EA" w:rsidRPr="006960F4" w:rsidRDefault="009873EA" w:rsidP="009873EA">
            <w:pPr>
              <w:pStyle w:val="BodyText"/>
              <w:jc w:val="both"/>
              <w:rPr>
                <w:rFonts w:ascii="Arial" w:hAnsi="Arial"/>
                <w:b w:val="0"/>
                <w:sz w:val="20"/>
                <w:szCs w:val="20"/>
                <w:lang w:eastAsia="en-AU"/>
              </w:rPr>
            </w:pPr>
          </w:p>
          <w:p w14:paraId="248FC351" w14:textId="77777777" w:rsidR="009873EA" w:rsidRPr="0017475D" w:rsidRDefault="009873EA"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ESO2 Environmental </w:t>
            </w:r>
            <w:r w:rsidR="00A622B5" w:rsidRPr="0017475D">
              <w:rPr>
                <w:rFonts w:ascii="Arial" w:hAnsi="Arial"/>
                <w:b w:val="0"/>
                <w:bCs w:val="0"/>
                <w:sz w:val="20"/>
                <w:szCs w:val="20"/>
                <w:lang w:eastAsia="en-AU"/>
              </w:rPr>
              <w:t>S</w:t>
            </w:r>
            <w:r w:rsidRPr="0017475D">
              <w:rPr>
                <w:rFonts w:ascii="Arial" w:hAnsi="Arial"/>
                <w:b w:val="0"/>
                <w:bCs w:val="0"/>
                <w:sz w:val="20"/>
                <w:szCs w:val="20"/>
                <w:lang w:eastAsia="en-AU"/>
              </w:rPr>
              <w:t>ignificance 2 - Natimuk Douglas wetlands (approximately 3 km to the north-west of the Project site); and</w:t>
            </w:r>
          </w:p>
          <w:p w14:paraId="3A44BB77" w14:textId="77777777" w:rsidR="0093699E" w:rsidRPr="0017475D" w:rsidRDefault="009873EA" w:rsidP="0017475D">
            <w:pPr>
              <w:pStyle w:val="BodyText"/>
              <w:numPr>
                <w:ilvl w:val="0"/>
                <w:numId w:val="57"/>
              </w:numPr>
              <w:spacing w:after="120"/>
              <w:jc w:val="both"/>
              <w:rPr>
                <w:rFonts w:ascii="Arial" w:hAnsi="Arial"/>
                <w:b w:val="0"/>
                <w:bCs w:val="0"/>
                <w:sz w:val="20"/>
                <w:szCs w:val="20"/>
                <w:lang w:eastAsia="en-AU"/>
              </w:rPr>
            </w:pPr>
            <w:r w:rsidRPr="0017475D">
              <w:rPr>
                <w:rFonts w:ascii="Arial" w:hAnsi="Arial"/>
                <w:b w:val="0"/>
                <w:bCs w:val="0"/>
                <w:sz w:val="20"/>
                <w:szCs w:val="20"/>
                <w:lang w:eastAsia="en-AU"/>
              </w:rPr>
              <w:t xml:space="preserve">ESO3 Environmental </w:t>
            </w:r>
            <w:r w:rsidR="00A622B5" w:rsidRPr="0017475D">
              <w:rPr>
                <w:rFonts w:ascii="Arial" w:hAnsi="Arial"/>
                <w:b w:val="0"/>
                <w:bCs w:val="0"/>
                <w:sz w:val="20"/>
                <w:szCs w:val="20"/>
                <w:lang w:eastAsia="en-AU"/>
              </w:rPr>
              <w:t>S</w:t>
            </w:r>
            <w:r w:rsidRPr="0017475D">
              <w:rPr>
                <w:rFonts w:ascii="Arial" w:hAnsi="Arial"/>
                <w:b w:val="0"/>
                <w:bCs w:val="0"/>
                <w:sz w:val="20"/>
                <w:szCs w:val="20"/>
                <w:lang w:eastAsia="en-AU"/>
              </w:rPr>
              <w:t>ignificance 3 - Watercourse protection (approximately 9 km to the north-west of the Project site).</w:t>
            </w:r>
          </w:p>
          <w:p w14:paraId="479B2767" w14:textId="77777777" w:rsidR="00417D21" w:rsidRDefault="00417D21" w:rsidP="0017475D">
            <w:pPr>
              <w:pStyle w:val="BodyText"/>
              <w:jc w:val="both"/>
            </w:pPr>
            <w:r w:rsidRPr="0017475D">
              <w:rPr>
                <w:rFonts w:ascii="Arial" w:hAnsi="Arial"/>
                <w:b w:val="0"/>
                <w:bCs w:val="0"/>
                <w:sz w:val="20"/>
                <w:szCs w:val="20"/>
                <w:lang w:eastAsia="en-AU"/>
              </w:rPr>
              <w:t>No Landscape Significance Overlays apply in or near the Project.</w:t>
            </w:r>
            <w:r>
              <w:t xml:space="preserve"> </w:t>
            </w:r>
          </w:p>
          <w:p w14:paraId="79D8912E" w14:textId="6134F4AB" w:rsidR="0017475D" w:rsidRPr="009873EA" w:rsidRDefault="0017475D" w:rsidP="0017475D">
            <w:pPr>
              <w:pStyle w:val="BodyText"/>
              <w:jc w:val="both"/>
            </w:pPr>
          </w:p>
        </w:tc>
      </w:tr>
      <w:tr w:rsidR="0093699E" w14:paraId="6513AC2C" w14:textId="77777777" w:rsidTr="00E71774">
        <w:tc>
          <w:tcPr>
            <w:tcW w:w="9243" w:type="dxa"/>
            <w:tcBorders>
              <w:top w:val="single" w:sz="4" w:space="0" w:color="auto"/>
              <w:bottom w:val="single" w:sz="4" w:space="0" w:color="auto"/>
            </w:tcBorders>
          </w:tcPr>
          <w:p w14:paraId="1FBACDF7" w14:textId="5F18886D" w:rsidR="00690A3A" w:rsidRPr="00690A3A" w:rsidRDefault="00690A3A" w:rsidP="00690A3A">
            <w:pPr>
              <w:pStyle w:val="Heading3"/>
              <w:keepLines/>
              <w:numPr>
                <w:ilvl w:val="2"/>
                <w:numId w:val="0"/>
              </w:numPr>
              <w:spacing w:before="240" w:after="240"/>
              <w:ind w:left="851" w:hanging="851"/>
              <w:jc w:val="both"/>
              <w:rPr>
                <w:sz w:val="20"/>
              </w:rPr>
            </w:pPr>
            <w:r>
              <w:rPr>
                <w:sz w:val="20"/>
              </w:rPr>
              <w:t>1</w:t>
            </w:r>
            <w:r w:rsidR="00204A4C">
              <w:rPr>
                <w:sz w:val="20"/>
              </w:rPr>
              <w:t>4</w:t>
            </w:r>
            <w:r>
              <w:rPr>
                <w:sz w:val="20"/>
              </w:rPr>
              <w:t xml:space="preserve">.1.3 </w:t>
            </w:r>
            <w:r w:rsidRPr="00690A3A">
              <w:rPr>
                <w:sz w:val="20"/>
              </w:rPr>
              <w:t>Is the Project to be located either within or near an area that is identified as of regional or State significance in a reputable study of landscape values?</w:t>
            </w:r>
          </w:p>
          <w:p w14:paraId="66CC65DB" w14:textId="6010EA64" w:rsidR="009B27D8" w:rsidRPr="00EC6C73" w:rsidRDefault="009B27D8" w:rsidP="009B27D8">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No    </w:t>
            </w:r>
            <w:r w:rsidRPr="009B27D8">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Yes   </w:t>
            </w:r>
          </w:p>
          <w:p w14:paraId="08DFFBA8" w14:textId="77777777" w:rsidR="009B27D8" w:rsidRDefault="009B27D8" w:rsidP="004B6DD0">
            <w:pPr>
              <w:pStyle w:val="BodyText"/>
              <w:spacing w:after="120"/>
              <w:jc w:val="both"/>
              <w:rPr>
                <w:rFonts w:ascii="Arial" w:hAnsi="Arial"/>
                <w:b w:val="0"/>
                <w:bCs w:val="0"/>
                <w:sz w:val="20"/>
                <w:szCs w:val="20"/>
                <w:lang w:eastAsia="en-AU"/>
              </w:rPr>
            </w:pPr>
          </w:p>
          <w:p w14:paraId="5C7C3ED1" w14:textId="0F5FBC6D" w:rsidR="00690A3A" w:rsidRPr="00690A3A" w:rsidRDefault="009B27D8" w:rsidP="004B6DD0">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T</w:t>
            </w:r>
            <w:r w:rsidR="00720B06" w:rsidRPr="00594D32">
              <w:rPr>
                <w:rFonts w:ascii="Arial" w:hAnsi="Arial"/>
                <w:b w:val="0"/>
                <w:bCs w:val="0"/>
                <w:sz w:val="20"/>
                <w:szCs w:val="20"/>
                <w:lang w:eastAsia="en-AU"/>
              </w:rPr>
              <w:t>he Project site is not located near the Grampians Ranges or Mount Arapiles (</w:t>
            </w:r>
            <w:r w:rsidR="000C74CE">
              <w:rPr>
                <w:rFonts w:ascii="Arial" w:hAnsi="Arial"/>
                <w:b w:val="0"/>
                <w:bCs w:val="0"/>
                <w:sz w:val="20"/>
                <w:szCs w:val="20"/>
                <w:lang w:eastAsia="en-AU"/>
              </w:rPr>
              <w:t>S</w:t>
            </w:r>
            <w:r w:rsidR="00720B06" w:rsidRPr="00594D32">
              <w:rPr>
                <w:rFonts w:ascii="Arial" w:hAnsi="Arial"/>
                <w:b w:val="0"/>
                <w:bCs w:val="0"/>
                <w:sz w:val="20"/>
                <w:szCs w:val="20"/>
                <w:lang w:eastAsia="en-AU"/>
              </w:rPr>
              <w:t>tate level significance) or the Black Ranges and the Natimuk-Douglas Saline Wetland Depression (regional level significance).</w:t>
            </w:r>
          </w:p>
          <w:p w14:paraId="2582B9B6" w14:textId="5D7A0209" w:rsidR="00690A3A" w:rsidRPr="00C83AAA" w:rsidRDefault="00690A3A" w:rsidP="00C83AAA">
            <w:pPr>
              <w:pStyle w:val="BodyText"/>
              <w:spacing w:after="120"/>
              <w:jc w:val="both"/>
              <w:rPr>
                <w:rFonts w:ascii="Arial" w:hAnsi="Arial"/>
                <w:b w:val="0"/>
                <w:bCs w:val="0"/>
                <w:sz w:val="20"/>
                <w:szCs w:val="20"/>
                <w:lang w:eastAsia="en-AU"/>
              </w:rPr>
            </w:pPr>
            <w:r w:rsidRPr="00C83AAA">
              <w:rPr>
                <w:rFonts w:ascii="Arial" w:hAnsi="Arial"/>
                <w:b w:val="0"/>
                <w:bCs w:val="0"/>
                <w:sz w:val="20"/>
                <w:szCs w:val="20"/>
                <w:lang w:eastAsia="en-AU"/>
              </w:rPr>
              <w:t>A landscape</w:t>
            </w:r>
            <w:r w:rsidR="006960F4" w:rsidRPr="00C83AAA">
              <w:rPr>
                <w:rFonts w:ascii="Arial" w:hAnsi="Arial"/>
                <w:b w:val="0"/>
                <w:bCs w:val="0"/>
                <w:sz w:val="20"/>
                <w:szCs w:val="20"/>
                <w:lang w:eastAsia="en-AU"/>
              </w:rPr>
              <w:t xml:space="preserve">, </w:t>
            </w:r>
            <w:r w:rsidRPr="00C83AAA">
              <w:rPr>
                <w:rFonts w:ascii="Arial" w:hAnsi="Arial"/>
                <w:b w:val="0"/>
                <w:bCs w:val="0"/>
                <w:sz w:val="20"/>
                <w:szCs w:val="20"/>
                <w:lang w:eastAsia="en-AU"/>
              </w:rPr>
              <w:t>visual</w:t>
            </w:r>
            <w:r w:rsidR="006960F4" w:rsidRPr="00C83AAA">
              <w:rPr>
                <w:rFonts w:ascii="Arial" w:hAnsi="Arial"/>
                <w:b w:val="0"/>
                <w:bCs w:val="0"/>
                <w:sz w:val="20"/>
                <w:szCs w:val="20"/>
                <w:lang w:eastAsia="en-AU"/>
              </w:rPr>
              <w:t xml:space="preserve"> and lighting </w:t>
            </w:r>
            <w:r w:rsidRPr="00C83AAA">
              <w:rPr>
                <w:rFonts w:ascii="Arial" w:hAnsi="Arial"/>
                <w:b w:val="0"/>
                <w:bCs w:val="0"/>
                <w:sz w:val="20"/>
                <w:szCs w:val="20"/>
                <w:lang w:eastAsia="en-AU"/>
              </w:rPr>
              <w:t xml:space="preserve">impact assessment will be undertaken to identify potential impacts, avoidance, mitigation in relation to any </w:t>
            </w:r>
            <w:r w:rsidR="00720B06" w:rsidRPr="00C83AAA">
              <w:rPr>
                <w:rFonts w:ascii="Arial" w:hAnsi="Arial"/>
                <w:b w:val="0"/>
                <w:bCs w:val="0"/>
                <w:sz w:val="20"/>
                <w:szCs w:val="20"/>
                <w:lang w:eastAsia="en-AU"/>
              </w:rPr>
              <w:t xml:space="preserve">local </w:t>
            </w:r>
            <w:r w:rsidRPr="00C83AAA">
              <w:rPr>
                <w:rFonts w:ascii="Arial" w:hAnsi="Arial"/>
                <w:b w:val="0"/>
                <w:bCs w:val="0"/>
                <w:sz w:val="20"/>
                <w:szCs w:val="20"/>
                <w:lang w:eastAsia="en-AU"/>
              </w:rPr>
              <w:t xml:space="preserve">landscape values within the region. </w:t>
            </w:r>
          </w:p>
          <w:p w14:paraId="231B302B" w14:textId="77777777" w:rsidR="0093699E" w:rsidRDefault="0093699E">
            <w:pPr>
              <w:rPr>
                <w:rFonts w:ascii="Arial" w:hAnsi="Arial"/>
              </w:rPr>
            </w:pPr>
          </w:p>
        </w:tc>
      </w:tr>
      <w:tr w:rsidR="0093699E" w14:paraId="077134C3" w14:textId="77777777" w:rsidTr="00FD555F">
        <w:tc>
          <w:tcPr>
            <w:tcW w:w="9243" w:type="dxa"/>
            <w:tcBorders>
              <w:top w:val="single" w:sz="4" w:space="0" w:color="auto"/>
              <w:bottom w:val="single" w:sz="4" w:space="0" w:color="auto"/>
            </w:tcBorders>
          </w:tcPr>
          <w:p w14:paraId="3EC109EC" w14:textId="08FA8E40" w:rsidR="00690A3A" w:rsidRPr="00690A3A" w:rsidRDefault="00690A3A" w:rsidP="00690A3A">
            <w:pPr>
              <w:pStyle w:val="Heading3"/>
              <w:keepLines/>
              <w:numPr>
                <w:ilvl w:val="2"/>
                <w:numId w:val="0"/>
              </w:numPr>
              <w:spacing w:before="240" w:after="240"/>
              <w:ind w:left="851" w:hanging="851"/>
              <w:jc w:val="both"/>
              <w:rPr>
                <w:sz w:val="20"/>
              </w:rPr>
            </w:pPr>
            <w:bookmarkStart w:id="119" w:name="_Toc7770286"/>
            <w:r>
              <w:rPr>
                <w:sz w:val="20"/>
              </w:rPr>
              <w:t>1</w:t>
            </w:r>
            <w:r w:rsidR="00204A4C">
              <w:rPr>
                <w:sz w:val="20"/>
              </w:rPr>
              <w:t>4</w:t>
            </w:r>
            <w:r>
              <w:rPr>
                <w:sz w:val="20"/>
              </w:rPr>
              <w:t xml:space="preserve">.1.4 </w:t>
            </w:r>
            <w:r w:rsidRPr="00690A3A">
              <w:rPr>
                <w:sz w:val="20"/>
              </w:rPr>
              <w:t xml:space="preserve">Is the Project to be located either within or near an area that is within or adjoining land reserved under the </w:t>
            </w:r>
            <w:r w:rsidRPr="00A57D34">
              <w:rPr>
                <w:i/>
                <w:iCs/>
                <w:sz w:val="20"/>
              </w:rPr>
              <w:t>National Parks Act 1975</w:t>
            </w:r>
            <w:r w:rsidRPr="00690A3A">
              <w:rPr>
                <w:sz w:val="20"/>
              </w:rPr>
              <w:t>?</w:t>
            </w:r>
            <w:bookmarkEnd w:id="119"/>
          </w:p>
          <w:p w14:paraId="0EA678D5" w14:textId="41820E1E" w:rsidR="00690A3A" w:rsidRPr="00690A3A" w:rsidRDefault="007648EE" w:rsidP="00690A3A">
            <w:pPr>
              <w:pStyle w:val="BodyText"/>
              <w:jc w:val="both"/>
              <w:rPr>
                <w:rFonts w:ascii="Arial" w:hAnsi="Arial"/>
                <w:b w:val="0"/>
                <w:bCs w:val="0"/>
                <w:sz w:val="20"/>
                <w:szCs w:val="20"/>
                <w:lang w:eastAsia="en-AU"/>
              </w:rPr>
            </w:pP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No    </w:t>
            </w:r>
            <w:r w:rsidRPr="009B27D8">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Yes   </w:t>
            </w:r>
          </w:p>
          <w:p w14:paraId="23762B8B" w14:textId="77777777" w:rsidR="0093699E" w:rsidRDefault="0093699E" w:rsidP="00690A3A">
            <w:pPr>
              <w:jc w:val="both"/>
              <w:rPr>
                <w:rFonts w:ascii="Arial" w:hAnsi="Arial"/>
              </w:rPr>
            </w:pPr>
          </w:p>
        </w:tc>
      </w:tr>
      <w:tr w:rsidR="0093699E" w14:paraId="2834443A" w14:textId="77777777" w:rsidTr="00E71774">
        <w:tc>
          <w:tcPr>
            <w:tcW w:w="9243" w:type="dxa"/>
            <w:tcBorders>
              <w:top w:val="single" w:sz="4" w:space="0" w:color="auto"/>
              <w:bottom w:val="single" w:sz="4" w:space="0" w:color="auto"/>
            </w:tcBorders>
          </w:tcPr>
          <w:p w14:paraId="1D01D856" w14:textId="3B42EBF1" w:rsidR="00690A3A" w:rsidRDefault="00690A3A" w:rsidP="00690A3A">
            <w:pPr>
              <w:pStyle w:val="BodyText"/>
              <w:jc w:val="both"/>
              <w:rPr>
                <w:rFonts w:ascii="Arial" w:hAnsi="Arial"/>
                <w:bCs w:val="0"/>
                <w:sz w:val="20"/>
                <w:szCs w:val="20"/>
                <w:lang w:eastAsia="en-AU"/>
              </w:rPr>
            </w:pPr>
            <w:bookmarkStart w:id="120" w:name="_Toc7770287"/>
            <w:r>
              <w:rPr>
                <w:rFonts w:ascii="Arial" w:hAnsi="Arial"/>
                <w:bCs w:val="0"/>
                <w:sz w:val="20"/>
                <w:szCs w:val="20"/>
                <w:lang w:eastAsia="en-AU"/>
              </w:rPr>
              <w:t>1</w:t>
            </w:r>
            <w:r w:rsidR="00204A4C">
              <w:rPr>
                <w:rFonts w:ascii="Arial" w:hAnsi="Arial"/>
                <w:bCs w:val="0"/>
                <w:sz w:val="20"/>
                <w:szCs w:val="20"/>
                <w:lang w:eastAsia="en-AU"/>
              </w:rPr>
              <w:t>4</w:t>
            </w:r>
            <w:r>
              <w:rPr>
                <w:rFonts w:ascii="Arial" w:hAnsi="Arial"/>
                <w:bCs w:val="0"/>
                <w:sz w:val="20"/>
                <w:szCs w:val="20"/>
                <w:lang w:eastAsia="en-AU"/>
              </w:rPr>
              <w:t xml:space="preserve">.1.5 </w:t>
            </w:r>
            <w:r w:rsidRPr="00690A3A">
              <w:rPr>
                <w:rFonts w:ascii="Arial" w:hAnsi="Arial"/>
                <w:bCs w:val="0"/>
                <w:sz w:val="20"/>
                <w:szCs w:val="20"/>
                <w:lang w:eastAsia="en-AU"/>
              </w:rPr>
              <w:t>Is the Project to be located either within or near an area that is within or adjoining other public land used for conservation or recreational purposes?</w:t>
            </w:r>
            <w:bookmarkEnd w:id="120"/>
          </w:p>
          <w:p w14:paraId="6AD51742" w14:textId="77777777" w:rsidR="00690A3A" w:rsidRPr="00690A3A" w:rsidRDefault="00690A3A" w:rsidP="00690A3A">
            <w:pPr>
              <w:pStyle w:val="BodyText"/>
              <w:jc w:val="both"/>
              <w:rPr>
                <w:rFonts w:ascii="Arial" w:hAnsi="Arial"/>
                <w:bCs w:val="0"/>
                <w:sz w:val="20"/>
                <w:szCs w:val="20"/>
                <w:lang w:eastAsia="en-AU"/>
              </w:rPr>
            </w:pPr>
          </w:p>
          <w:p w14:paraId="69E7AF99" w14:textId="77777777" w:rsidR="007648EE" w:rsidRPr="00EC6C73" w:rsidRDefault="007648EE" w:rsidP="007648EE">
            <w:pPr>
              <w:pStyle w:val="BodyText"/>
              <w:jc w:val="both"/>
              <w:rPr>
                <w:rFonts w:ascii="Arial" w:hAnsi="Arial"/>
                <w:b w:val="0"/>
                <w:bCs w:val="0"/>
                <w:sz w:val="20"/>
                <w:szCs w:val="20"/>
                <w:lang w:eastAsia="en-AU"/>
              </w:rPr>
            </w:pPr>
            <w:bookmarkStart w:id="121" w:name="_Hlk5611466"/>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0B2C0E20" w14:textId="77777777" w:rsidR="007648EE" w:rsidRDefault="007648EE" w:rsidP="00B06E90">
            <w:pPr>
              <w:pStyle w:val="BodyText"/>
              <w:spacing w:after="120"/>
              <w:jc w:val="both"/>
              <w:rPr>
                <w:rFonts w:ascii="Arial" w:hAnsi="Arial"/>
                <w:b w:val="0"/>
                <w:bCs w:val="0"/>
                <w:sz w:val="20"/>
                <w:szCs w:val="20"/>
                <w:lang w:eastAsia="en-AU"/>
              </w:rPr>
            </w:pPr>
          </w:p>
          <w:p w14:paraId="0BEA2BC7" w14:textId="23E4B906" w:rsidR="00690A3A" w:rsidRDefault="007648EE" w:rsidP="00B06E90">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T</w:t>
            </w:r>
            <w:r w:rsidR="00690A3A" w:rsidRPr="00690A3A">
              <w:rPr>
                <w:rFonts w:ascii="Arial" w:hAnsi="Arial"/>
                <w:b w:val="0"/>
                <w:bCs w:val="0"/>
                <w:sz w:val="20"/>
                <w:szCs w:val="20"/>
                <w:lang w:eastAsia="en-AU"/>
              </w:rPr>
              <w:t>wo conservation/recreation reserves are partially located within the Project site</w:t>
            </w:r>
            <w:r w:rsidR="00720B06">
              <w:rPr>
                <w:rFonts w:ascii="Arial" w:hAnsi="Arial"/>
                <w:b w:val="0"/>
                <w:bCs w:val="0"/>
                <w:sz w:val="20"/>
                <w:szCs w:val="20"/>
                <w:lang w:eastAsia="en-AU"/>
              </w:rPr>
              <w:t>, comprising</w:t>
            </w:r>
            <w:r w:rsidR="00690A3A" w:rsidRPr="00690A3A">
              <w:rPr>
                <w:rFonts w:ascii="Arial" w:hAnsi="Arial"/>
                <w:b w:val="0"/>
                <w:bCs w:val="0"/>
                <w:sz w:val="20"/>
                <w:szCs w:val="20"/>
                <w:lang w:eastAsia="en-AU"/>
              </w:rPr>
              <w:t>:</w:t>
            </w:r>
          </w:p>
          <w:p w14:paraId="319E1AE1" w14:textId="7D17FDB5"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 xml:space="preserve">the </w:t>
            </w:r>
            <w:proofErr w:type="spellStart"/>
            <w:r w:rsidRPr="00690A3A">
              <w:rPr>
                <w:rFonts w:ascii="Arial" w:hAnsi="Arial"/>
                <w:b w:val="0"/>
                <w:bCs w:val="0"/>
                <w:sz w:val="20"/>
                <w:szCs w:val="20"/>
                <w:lang w:eastAsia="en-AU"/>
              </w:rPr>
              <w:t>Jallumba</w:t>
            </w:r>
            <w:proofErr w:type="spellEnd"/>
            <w:r w:rsidRPr="00690A3A">
              <w:rPr>
                <w:rFonts w:ascii="Arial" w:hAnsi="Arial"/>
                <w:b w:val="0"/>
                <w:bCs w:val="0"/>
                <w:sz w:val="20"/>
                <w:szCs w:val="20"/>
                <w:lang w:eastAsia="en-AU"/>
              </w:rPr>
              <w:t xml:space="preserve"> Marsh Flora Reserve (a 79 ha nature conservation reserve)</w:t>
            </w:r>
            <w:r w:rsidR="00720B06">
              <w:rPr>
                <w:rFonts w:ascii="Arial" w:hAnsi="Arial"/>
                <w:b w:val="0"/>
                <w:bCs w:val="0"/>
                <w:sz w:val="20"/>
                <w:szCs w:val="20"/>
                <w:lang w:eastAsia="en-AU"/>
              </w:rPr>
              <w:t xml:space="preserve"> (refer Figure </w:t>
            </w:r>
            <w:r w:rsidR="00B74701">
              <w:rPr>
                <w:rFonts w:ascii="Arial" w:hAnsi="Arial"/>
                <w:b w:val="0"/>
                <w:bCs w:val="0"/>
                <w:sz w:val="20"/>
                <w:szCs w:val="20"/>
                <w:lang w:eastAsia="en-AU"/>
              </w:rPr>
              <w:t>2</w:t>
            </w:r>
            <w:r w:rsidR="00720B06">
              <w:rPr>
                <w:rFonts w:ascii="Arial" w:hAnsi="Arial"/>
                <w:b w:val="0"/>
                <w:bCs w:val="0"/>
                <w:sz w:val="20"/>
                <w:szCs w:val="20"/>
                <w:lang w:eastAsia="en-AU"/>
              </w:rPr>
              <w:t>)</w:t>
            </w:r>
            <w:r w:rsidRPr="00690A3A">
              <w:rPr>
                <w:rFonts w:ascii="Arial" w:hAnsi="Arial"/>
                <w:b w:val="0"/>
                <w:bCs w:val="0"/>
                <w:sz w:val="20"/>
                <w:szCs w:val="20"/>
                <w:lang w:eastAsia="en-AU"/>
              </w:rPr>
              <w:t xml:space="preserve">; and </w:t>
            </w:r>
          </w:p>
          <w:p w14:paraId="1979FC50" w14:textId="65C1AE8B"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 xml:space="preserve">the Red Gum Swamp </w:t>
            </w:r>
            <w:proofErr w:type="spellStart"/>
            <w:r w:rsidRPr="00690A3A">
              <w:rPr>
                <w:rFonts w:ascii="Arial" w:hAnsi="Arial"/>
                <w:b w:val="0"/>
                <w:bCs w:val="0"/>
                <w:sz w:val="20"/>
                <w:szCs w:val="20"/>
                <w:lang w:eastAsia="en-AU"/>
              </w:rPr>
              <w:t>Jallumba</w:t>
            </w:r>
            <w:proofErr w:type="spellEnd"/>
            <w:r w:rsidRPr="00690A3A">
              <w:rPr>
                <w:rFonts w:ascii="Arial" w:hAnsi="Arial"/>
                <w:b w:val="0"/>
                <w:bCs w:val="0"/>
                <w:sz w:val="20"/>
                <w:szCs w:val="20"/>
                <w:lang w:eastAsia="en-AU"/>
              </w:rPr>
              <w:t xml:space="preserve"> Wildlife Reserve (a 177</w:t>
            </w:r>
            <w:r w:rsidR="00087D32">
              <w:rPr>
                <w:rFonts w:ascii="Arial" w:hAnsi="Arial"/>
                <w:b w:val="0"/>
                <w:bCs w:val="0"/>
                <w:sz w:val="20"/>
                <w:szCs w:val="20"/>
                <w:lang w:eastAsia="en-AU"/>
              </w:rPr>
              <w:t xml:space="preserve"> </w:t>
            </w:r>
            <w:r w:rsidRPr="00690A3A">
              <w:rPr>
                <w:rFonts w:ascii="Arial" w:hAnsi="Arial"/>
                <w:b w:val="0"/>
                <w:bCs w:val="0"/>
                <w:sz w:val="20"/>
                <w:szCs w:val="20"/>
                <w:lang w:eastAsia="en-AU"/>
              </w:rPr>
              <w:t>ha wildlife hunting reserve)</w:t>
            </w:r>
            <w:r w:rsidR="00720B06">
              <w:rPr>
                <w:rFonts w:ascii="Arial" w:hAnsi="Arial"/>
                <w:b w:val="0"/>
                <w:bCs w:val="0"/>
                <w:sz w:val="20"/>
                <w:szCs w:val="20"/>
                <w:lang w:eastAsia="en-AU"/>
              </w:rPr>
              <w:t xml:space="preserve"> (refer Figure </w:t>
            </w:r>
            <w:r w:rsidR="00B74701">
              <w:rPr>
                <w:rFonts w:ascii="Arial" w:hAnsi="Arial"/>
                <w:b w:val="0"/>
                <w:bCs w:val="0"/>
                <w:sz w:val="20"/>
                <w:szCs w:val="20"/>
                <w:lang w:eastAsia="en-AU"/>
              </w:rPr>
              <w:t>2</w:t>
            </w:r>
            <w:r w:rsidR="00720B06">
              <w:rPr>
                <w:rFonts w:ascii="Arial" w:hAnsi="Arial"/>
                <w:b w:val="0"/>
                <w:bCs w:val="0"/>
                <w:sz w:val="20"/>
                <w:szCs w:val="20"/>
                <w:lang w:eastAsia="en-AU"/>
              </w:rPr>
              <w:t>)</w:t>
            </w:r>
            <w:r w:rsidRPr="00690A3A">
              <w:rPr>
                <w:rFonts w:ascii="Arial" w:hAnsi="Arial"/>
                <w:b w:val="0"/>
                <w:bCs w:val="0"/>
                <w:sz w:val="20"/>
                <w:szCs w:val="20"/>
                <w:lang w:eastAsia="en-AU"/>
              </w:rPr>
              <w:t>.</w:t>
            </w:r>
          </w:p>
          <w:p w14:paraId="77D142FB" w14:textId="5AFB911D" w:rsidR="00E92D09" w:rsidRDefault="00E92D09" w:rsidP="00B06E90">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The </w:t>
            </w:r>
            <w:proofErr w:type="spellStart"/>
            <w:r>
              <w:rPr>
                <w:rFonts w:ascii="Arial" w:hAnsi="Arial"/>
                <w:b w:val="0"/>
                <w:bCs w:val="0"/>
                <w:sz w:val="20"/>
                <w:szCs w:val="20"/>
                <w:lang w:eastAsia="en-AU"/>
              </w:rPr>
              <w:t>Darragan</w:t>
            </w:r>
            <w:proofErr w:type="spellEnd"/>
            <w:r>
              <w:rPr>
                <w:rFonts w:ascii="Arial" w:hAnsi="Arial"/>
                <w:b w:val="0"/>
                <w:bCs w:val="0"/>
                <w:sz w:val="20"/>
                <w:szCs w:val="20"/>
                <w:lang w:eastAsia="en-AU"/>
              </w:rPr>
              <w:t xml:space="preserve"> Swamp Wildlife Reserve </w:t>
            </w:r>
            <w:r w:rsidR="00776E21">
              <w:rPr>
                <w:rFonts w:ascii="Arial" w:hAnsi="Arial"/>
                <w:b w:val="0"/>
                <w:bCs w:val="0"/>
                <w:sz w:val="20"/>
                <w:szCs w:val="20"/>
                <w:lang w:eastAsia="en-AU"/>
              </w:rPr>
              <w:t>(</w:t>
            </w:r>
            <w:r>
              <w:rPr>
                <w:rFonts w:ascii="Arial" w:hAnsi="Arial"/>
                <w:b w:val="0"/>
                <w:bCs w:val="0"/>
                <w:sz w:val="20"/>
                <w:szCs w:val="20"/>
                <w:lang w:eastAsia="en-AU"/>
              </w:rPr>
              <w:t xml:space="preserve">a 67 ha wildlife hunting reserve) and </w:t>
            </w:r>
            <w:proofErr w:type="spellStart"/>
            <w:r>
              <w:rPr>
                <w:rFonts w:ascii="Arial" w:hAnsi="Arial"/>
                <w:b w:val="0"/>
                <w:bCs w:val="0"/>
                <w:sz w:val="20"/>
                <w:szCs w:val="20"/>
                <w:lang w:eastAsia="en-AU"/>
              </w:rPr>
              <w:t>Cook</w:t>
            </w:r>
            <w:r w:rsidR="004319BC">
              <w:rPr>
                <w:rFonts w:ascii="Arial" w:hAnsi="Arial"/>
                <w:b w:val="0"/>
                <w:bCs w:val="0"/>
                <w:sz w:val="20"/>
                <w:szCs w:val="20"/>
                <w:lang w:eastAsia="en-AU"/>
              </w:rPr>
              <w:t>es</w:t>
            </w:r>
            <w:proofErr w:type="spellEnd"/>
            <w:r w:rsidR="004319BC">
              <w:rPr>
                <w:rFonts w:ascii="Arial" w:hAnsi="Arial"/>
                <w:b w:val="0"/>
                <w:bCs w:val="0"/>
                <w:sz w:val="20"/>
                <w:szCs w:val="20"/>
                <w:lang w:eastAsia="en-AU"/>
              </w:rPr>
              <w:t xml:space="preserve"> Wildlife Reserve (a 14 ha wildlife hunting reserve) are</w:t>
            </w:r>
            <w:r>
              <w:rPr>
                <w:rFonts w:ascii="Arial" w:hAnsi="Arial"/>
                <w:b w:val="0"/>
                <w:bCs w:val="0"/>
                <w:sz w:val="20"/>
                <w:szCs w:val="20"/>
                <w:lang w:eastAsia="en-AU"/>
              </w:rPr>
              <w:t xml:space="preserve"> located downstream of the </w:t>
            </w:r>
            <w:r w:rsidR="00D02516">
              <w:rPr>
                <w:rFonts w:ascii="Arial" w:hAnsi="Arial"/>
                <w:b w:val="0"/>
                <w:bCs w:val="0"/>
                <w:sz w:val="20"/>
                <w:szCs w:val="20"/>
                <w:lang w:eastAsia="en-AU"/>
              </w:rPr>
              <w:t>Project</w:t>
            </w:r>
            <w:r>
              <w:rPr>
                <w:rFonts w:ascii="Arial" w:hAnsi="Arial"/>
                <w:b w:val="0"/>
                <w:bCs w:val="0"/>
                <w:sz w:val="20"/>
                <w:szCs w:val="20"/>
                <w:lang w:eastAsia="en-AU"/>
              </w:rPr>
              <w:t xml:space="preserve"> site</w:t>
            </w:r>
            <w:r w:rsidR="004319BC">
              <w:rPr>
                <w:rFonts w:ascii="Arial" w:hAnsi="Arial"/>
                <w:b w:val="0"/>
                <w:bCs w:val="0"/>
                <w:sz w:val="20"/>
                <w:szCs w:val="20"/>
                <w:lang w:eastAsia="en-AU"/>
              </w:rPr>
              <w:t xml:space="preserve"> to the east and north respectively</w:t>
            </w:r>
            <w:r>
              <w:rPr>
                <w:rFonts w:ascii="Arial" w:hAnsi="Arial"/>
                <w:b w:val="0"/>
                <w:bCs w:val="0"/>
                <w:sz w:val="20"/>
                <w:szCs w:val="20"/>
                <w:lang w:eastAsia="en-AU"/>
              </w:rPr>
              <w:t xml:space="preserve">. </w:t>
            </w:r>
          </w:p>
          <w:p w14:paraId="320380AF" w14:textId="782B9194" w:rsidR="00720B06" w:rsidRDefault="00690A3A" w:rsidP="00B06E90">
            <w:pPr>
              <w:pStyle w:val="BodyText"/>
              <w:spacing w:after="120"/>
              <w:jc w:val="both"/>
              <w:rPr>
                <w:rFonts w:ascii="Arial" w:hAnsi="Arial"/>
                <w:b w:val="0"/>
                <w:bCs w:val="0"/>
                <w:sz w:val="20"/>
                <w:szCs w:val="20"/>
                <w:lang w:eastAsia="en-AU"/>
              </w:rPr>
            </w:pPr>
            <w:r w:rsidRPr="00690A3A">
              <w:rPr>
                <w:rFonts w:ascii="Arial" w:hAnsi="Arial"/>
                <w:b w:val="0"/>
                <w:bCs w:val="0"/>
                <w:sz w:val="20"/>
                <w:szCs w:val="20"/>
                <w:lang w:eastAsia="en-AU"/>
              </w:rPr>
              <w:t xml:space="preserve">According to the Victorian Government’s </w:t>
            </w:r>
            <w:r w:rsidRPr="00087D32">
              <w:rPr>
                <w:rFonts w:ascii="Arial" w:hAnsi="Arial"/>
                <w:b w:val="0"/>
                <w:bCs w:val="0"/>
                <w:i/>
                <w:sz w:val="20"/>
                <w:szCs w:val="20"/>
                <w:lang w:eastAsia="en-AU"/>
              </w:rPr>
              <w:t xml:space="preserve">Conservation </w:t>
            </w:r>
            <w:r w:rsidR="00B74701">
              <w:rPr>
                <w:rFonts w:ascii="Arial" w:hAnsi="Arial"/>
                <w:b w:val="0"/>
                <w:bCs w:val="0"/>
                <w:i/>
                <w:sz w:val="20"/>
                <w:szCs w:val="20"/>
                <w:lang w:eastAsia="en-AU"/>
              </w:rPr>
              <w:t>A</w:t>
            </w:r>
            <w:r w:rsidRPr="00087D32">
              <w:rPr>
                <w:rFonts w:ascii="Arial" w:hAnsi="Arial"/>
                <w:b w:val="0"/>
                <w:bCs w:val="0"/>
                <w:i/>
                <w:sz w:val="20"/>
                <w:szCs w:val="20"/>
                <w:lang w:eastAsia="en-AU"/>
              </w:rPr>
              <w:t xml:space="preserve">ction </w:t>
            </w:r>
            <w:r w:rsidR="00B74701">
              <w:rPr>
                <w:rFonts w:ascii="Arial" w:hAnsi="Arial"/>
                <w:b w:val="0"/>
                <w:bCs w:val="0"/>
                <w:i/>
                <w:sz w:val="20"/>
                <w:szCs w:val="20"/>
                <w:lang w:eastAsia="en-AU"/>
              </w:rPr>
              <w:t>P</w:t>
            </w:r>
            <w:r w:rsidRPr="00087D32">
              <w:rPr>
                <w:rFonts w:ascii="Arial" w:hAnsi="Arial"/>
                <w:b w:val="0"/>
                <w:bCs w:val="0"/>
                <w:i/>
                <w:sz w:val="20"/>
                <w:szCs w:val="20"/>
                <w:lang w:eastAsia="en-AU"/>
              </w:rPr>
              <w:t xml:space="preserve">lan for </w:t>
            </w:r>
            <w:r w:rsidR="00B74701">
              <w:rPr>
                <w:rFonts w:ascii="Arial" w:hAnsi="Arial"/>
                <w:b w:val="0"/>
                <w:bCs w:val="0"/>
                <w:i/>
                <w:sz w:val="20"/>
                <w:szCs w:val="20"/>
                <w:lang w:eastAsia="en-AU"/>
              </w:rPr>
              <w:t>P</w:t>
            </w:r>
            <w:r w:rsidRPr="00087D32">
              <w:rPr>
                <w:rFonts w:ascii="Arial" w:hAnsi="Arial"/>
                <w:b w:val="0"/>
                <w:bCs w:val="0"/>
                <w:i/>
                <w:sz w:val="20"/>
                <w:szCs w:val="20"/>
                <w:lang w:eastAsia="en-AU"/>
              </w:rPr>
              <w:t xml:space="preserve">arks and </w:t>
            </w:r>
            <w:r w:rsidR="00B74701">
              <w:rPr>
                <w:rFonts w:ascii="Arial" w:hAnsi="Arial"/>
                <w:b w:val="0"/>
                <w:bCs w:val="0"/>
                <w:i/>
                <w:sz w:val="20"/>
                <w:szCs w:val="20"/>
                <w:lang w:eastAsia="en-AU"/>
              </w:rPr>
              <w:t>R</w:t>
            </w:r>
            <w:r w:rsidRPr="00087D32">
              <w:rPr>
                <w:rFonts w:ascii="Arial" w:hAnsi="Arial"/>
                <w:b w:val="0"/>
                <w:bCs w:val="0"/>
                <w:i/>
                <w:sz w:val="20"/>
                <w:szCs w:val="20"/>
                <w:lang w:eastAsia="en-AU"/>
              </w:rPr>
              <w:t xml:space="preserve">eserves </w:t>
            </w:r>
            <w:r w:rsidR="00B74701">
              <w:rPr>
                <w:rFonts w:ascii="Arial" w:hAnsi="Arial"/>
                <w:b w:val="0"/>
                <w:bCs w:val="0"/>
                <w:i/>
                <w:sz w:val="20"/>
                <w:szCs w:val="20"/>
                <w:lang w:eastAsia="en-AU"/>
              </w:rPr>
              <w:t>M</w:t>
            </w:r>
            <w:r w:rsidRPr="00087D32">
              <w:rPr>
                <w:rFonts w:ascii="Arial" w:hAnsi="Arial"/>
                <w:b w:val="0"/>
                <w:bCs w:val="0"/>
                <w:i/>
                <w:sz w:val="20"/>
                <w:szCs w:val="20"/>
                <w:lang w:eastAsia="en-AU"/>
              </w:rPr>
              <w:t>anaged by Parks Victoria – Wimmera</w:t>
            </w:r>
            <w:r w:rsidRPr="00690A3A">
              <w:rPr>
                <w:rFonts w:ascii="Arial" w:hAnsi="Arial"/>
                <w:b w:val="0"/>
                <w:bCs w:val="0"/>
                <w:sz w:val="20"/>
                <w:szCs w:val="20"/>
                <w:lang w:eastAsia="en-AU"/>
              </w:rPr>
              <w:t xml:space="preserve"> (2018) the </w:t>
            </w:r>
            <w:proofErr w:type="spellStart"/>
            <w:r w:rsidRPr="00690A3A">
              <w:rPr>
                <w:rFonts w:ascii="Arial" w:hAnsi="Arial"/>
                <w:b w:val="0"/>
                <w:bCs w:val="0"/>
                <w:sz w:val="20"/>
                <w:szCs w:val="20"/>
                <w:lang w:eastAsia="en-AU"/>
              </w:rPr>
              <w:t>Jallumba</w:t>
            </w:r>
            <w:proofErr w:type="spellEnd"/>
            <w:r w:rsidRPr="00690A3A">
              <w:rPr>
                <w:rFonts w:ascii="Arial" w:hAnsi="Arial"/>
                <w:b w:val="0"/>
                <w:bCs w:val="0"/>
                <w:sz w:val="20"/>
                <w:szCs w:val="20"/>
                <w:lang w:eastAsia="en-AU"/>
              </w:rPr>
              <w:t xml:space="preserve"> Marsh Flora Reserve is classified as category E1 for its level of protection </w:t>
            </w:r>
            <w:r w:rsidR="004319BC" w:rsidRPr="00690A3A">
              <w:rPr>
                <w:rFonts w:ascii="Arial" w:hAnsi="Arial"/>
                <w:b w:val="0"/>
                <w:bCs w:val="0"/>
                <w:sz w:val="20"/>
                <w:szCs w:val="20"/>
                <w:lang w:eastAsia="en-AU"/>
              </w:rPr>
              <w:t>i.e.</w:t>
            </w:r>
            <w:r w:rsidRPr="00690A3A">
              <w:rPr>
                <w:rFonts w:ascii="Arial" w:hAnsi="Arial"/>
                <w:b w:val="0"/>
                <w:bCs w:val="0"/>
                <w:sz w:val="20"/>
                <w:szCs w:val="20"/>
                <w:lang w:eastAsia="en-AU"/>
              </w:rPr>
              <w:t xml:space="preserve"> ‘generally have very low or nil recorded values of low biodiversity conservation significance’. </w:t>
            </w:r>
            <w:r w:rsidR="00D953DA">
              <w:rPr>
                <w:rFonts w:ascii="Arial" w:hAnsi="Arial"/>
                <w:b w:val="0"/>
                <w:bCs w:val="0"/>
                <w:sz w:val="20"/>
                <w:szCs w:val="20"/>
                <w:lang w:eastAsia="en-AU"/>
              </w:rPr>
              <w:t>Classified as E2 t</w:t>
            </w:r>
            <w:r w:rsidR="004319BC">
              <w:rPr>
                <w:rFonts w:ascii="Arial" w:hAnsi="Arial"/>
                <w:b w:val="0"/>
                <w:bCs w:val="0"/>
                <w:sz w:val="20"/>
                <w:szCs w:val="20"/>
                <w:lang w:eastAsia="en-AU"/>
              </w:rPr>
              <w:t xml:space="preserve">he </w:t>
            </w:r>
            <w:proofErr w:type="spellStart"/>
            <w:r w:rsidR="004319BC">
              <w:rPr>
                <w:rFonts w:ascii="Arial" w:hAnsi="Arial"/>
                <w:b w:val="0"/>
                <w:bCs w:val="0"/>
                <w:sz w:val="20"/>
                <w:szCs w:val="20"/>
                <w:lang w:eastAsia="en-AU"/>
              </w:rPr>
              <w:t>Cookes</w:t>
            </w:r>
            <w:proofErr w:type="spellEnd"/>
            <w:r w:rsidR="004319BC">
              <w:rPr>
                <w:rFonts w:ascii="Arial" w:hAnsi="Arial"/>
                <w:b w:val="0"/>
                <w:bCs w:val="0"/>
                <w:sz w:val="20"/>
                <w:szCs w:val="20"/>
                <w:lang w:eastAsia="en-AU"/>
              </w:rPr>
              <w:t xml:space="preserve"> Wildlife Reserve </w:t>
            </w:r>
            <w:r w:rsidR="00D953DA">
              <w:rPr>
                <w:rFonts w:ascii="Arial" w:hAnsi="Arial"/>
                <w:b w:val="0"/>
                <w:bCs w:val="0"/>
                <w:sz w:val="20"/>
                <w:szCs w:val="20"/>
                <w:lang w:eastAsia="en-AU"/>
              </w:rPr>
              <w:t>is regarded as having the same level of biodiversity conservation significance</w:t>
            </w:r>
            <w:r w:rsidR="004319BC" w:rsidRPr="00690A3A">
              <w:rPr>
                <w:rFonts w:ascii="Arial" w:hAnsi="Arial"/>
                <w:b w:val="0"/>
                <w:bCs w:val="0"/>
                <w:sz w:val="20"/>
                <w:szCs w:val="20"/>
                <w:lang w:eastAsia="en-AU"/>
              </w:rPr>
              <w:t>.</w:t>
            </w:r>
          </w:p>
          <w:p w14:paraId="4B6C89D2" w14:textId="6047EC7B" w:rsidR="00690A3A" w:rsidRDefault="00690A3A" w:rsidP="00B06E90">
            <w:pPr>
              <w:pStyle w:val="BodyText"/>
              <w:spacing w:after="120"/>
              <w:jc w:val="both"/>
              <w:rPr>
                <w:rFonts w:ascii="Arial" w:hAnsi="Arial"/>
                <w:b w:val="0"/>
                <w:bCs w:val="0"/>
                <w:sz w:val="20"/>
                <w:szCs w:val="20"/>
                <w:lang w:eastAsia="en-AU"/>
              </w:rPr>
            </w:pPr>
            <w:r w:rsidRPr="00690A3A">
              <w:rPr>
                <w:rFonts w:ascii="Arial" w:hAnsi="Arial"/>
                <w:b w:val="0"/>
                <w:bCs w:val="0"/>
                <w:sz w:val="20"/>
                <w:szCs w:val="20"/>
                <w:lang w:eastAsia="en-AU"/>
              </w:rPr>
              <w:lastRenderedPageBreak/>
              <w:t xml:space="preserve">The Red Gum Swamp </w:t>
            </w:r>
            <w:proofErr w:type="spellStart"/>
            <w:r w:rsidRPr="00690A3A">
              <w:rPr>
                <w:rFonts w:ascii="Arial" w:hAnsi="Arial"/>
                <w:b w:val="0"/>
                <w:bCs w:val="0"/>
                <w:sz w:val="20"/>
                <w:szCs w:val="20"/>
                <w:lang w:eastAsia="en-AU"/>
              </w:rPr>
              <w:t>Jallumba</w:t>
            </w:r>
            <w:proofErr w:type="spellEnd"/>
            <w:r w:rsidRPr="00690A3A">
              <w:rPr>
                <w:rFonts w:ascii="Arial" w:hAnsi="Arial"/>
                <w:b w:val="0"/>
                <w:bCs w:val="0"/>
                <w:sz w:val="20"/>
                <w:szCs w:val="20"/>
                <w:lang w:eastAsia="en-AU"/>
              </w:rPr>
              <w:t xml:space="preserve"> Wildlife Reserve </w:t>
            </w:r>
            <w:r w:rsidR="00E92D09">
              <w:rPr>
                <w:rFonts w:ascii="Arial" w:hAnsi="Arial"/>
                <w:b w:val="0"/>
                <w:bCs w:val="0"/>
                <w:sz w:val="20"/>
                <w:szCs w:val="20"/>
                <w:lang w:eastAsia="en-AU"/>
              </w:rPr>
              <w:t xml:space="preserve">and </w:t>
            </w:r>
            <w:proofErr w:type="spellStart"/>
            <w:r w:rsidR="00E92D09">
              <w:rPr>
                <w:rFonts w:ascii="Arial" w:hAnsi="Arial"/>
                <w:b w:val="0"/>
                <w:bCs w:val="0"/>
                <w:sz w:val="20"/>
                <w:szCs w:val="20"/>
                <w:lang w:eastAsia="en-AU"/>
              </w:rPr>
              <w:t>Darragan</w:t>
            </w:r>
            <w:proofErr w:type="spellEnd"/>
            <w:r w:rsidR="00E92D09">
              <w:rPr>
                <w:rFonts w:ascii="Arial" w:hAnsi="Arial"/>
                <w:b w:val="0"/>
                <w:bCs w:val="0"/>
                <w:sz w:val="20"/>
                <w:szCs w:val="20"/>
                <w:lang w:eastAsia="en-AU"/>
              </w:rPr>
              <w:t xml:space="preserve"> Swamp Wildlife Reserve are</w:t>
            </w:r>
            <w:r w:rsidRPr="00690A3A">
              <w:rPr>
                <w:rFonts w:ascii="Arial" w:hAnsi="Arial"/>
                <w:b w:val="0"/>
                <w:bCs w:val="0"/>
                <w:sz w:val="20"/>
                <w:szCs w:val="20"/>
                <w:lang w:eastAsia="en-AU"/>
              </w:rPr>
              <w:t xml:space="preserve"> classified as D for its level of protection, </w:t>
            </w:r>
            <w:r w:rsidR="004319BC" w:rsidRPr="00690A3A">
              <w:rPr>
                <w:rFonts w:ascii="Arial" w:hAnsi="Arial"/>
                <w:b w:val="0"/>
                <w:bCs w:val="0"/>
                <w:sz w:val="20"/>
                <w:szCs w:val="20"/>
                <w:lang w:eastAsia="en-AU"/>
              </w:rPr>
              <w:t>i.e.</w:t>
            </w:r>
            <w:r w:rsidRPr="00690A3A">
              <w:rPr>
                <w:rFonts w:ascii="Arial" w:hAnsi="Arial"/>
                <w:b w:val="0"/>
                <w:bCs w:val="0"/>
                <w:sz w:val="20"/>
                <w:szCs w:val="20"/>
                <w:lang w:eastAsia="en-AU"/>
              </w:rPr>
              <w:t xml:space="preserve"> ‘Park sizes range from 10 ha to 15 000 ha</w:t>
            </w:r>
            <w:r w:rsidR="00087D32">
              <w:rPr>
                <w:rFonts w:ascii="Arial" w:hAnsi="Arial"/>
                <w:b w:val="0"/>
                <w:bCs w:val="0"/>
                <w:sz w:val="20"/>
                <w:szCs w:val="20"/>
                <w:lang w:eastAsia="en-AU"/>
              </w:rPr>
              <w:t xml:space="preserve"> </w:t>
            </w:r>
            <w:r w:rsidRPr="00690A3A">
              <w:rPr>
                <w:rFonts w:ascii="Arial" w:hAnsi="Arial"/>
                <w:b w:val="0"/>
                <w:bCs w:val="0"/>
                <w:sz w:val="20"/>
                <w:szCs w:val="20"/>
                <w:lang w:eastAsia="en-AU"/>
              </w:rPr>
              <w:t>and are conservation reserves. Parks have relatively lower species diversity, representing a moderate proportion of the bioregions species diversity (about 2</w:t>
            </w:r>
            <w:r w:rsidR="009E6834">
              <w:rPr>
                <w:rFonts w:ascii="Arial" w:hAnsi="Arial"/>
                <w:b w:val="0"/>
                <w:bCs w:val="0"/>
                <w:sz w:val="20"/>
                <w:szCs w:val="20"/>
                <w:lang w:eastAsia="en-AU"/>
              </w:rPr>
              <w:t xml:space="preserve"> - </w:t>
            </w:r>
            <w:r w:rsidRPr="00690A3A">
              <w:rPr>
                <w:rFonts w:ascii="Arial" w:hAnsi="Arial"/>
                <w:b w:val="0"/>
                <w:bCs w:val="0"/>
                <w:sz w:val="20"/>
                <w:szCs w:val="20"/>
                <w:lang w:eastAsia="en-AU"/>
              </w:rPr>
              <w:t>15%). Relatively small number of threatened species present.’</w:t>
            </w:r>
          </w:p>
          <w:p w14:paraId="1DF02BBC" w14:textId="2243AA21" w:rsidR="00690A3A" w:rsidRDefault="00690A3A" w:rsidP="00B06E90">
            <w:pPr>
              <w:pStyle w:val="BodyText"/>
              <w:spacing w:after="120"/>
              <w:jc w:val="both"/>
              <w:rPr>
                <w:rFonts w:ascii="Arial" w:hAnsi="Arial"/>
                <w:b w:val="0"/>
                <w:bCs w:val="0"/>
                <w:sz w:val="20"/>
                <w:szCs w:val="20"/>
                <w:lang w:eastAsia="en-AU"/>
              </w:rPr>
            </w:pPr>
            <w:r w:rsidRPr="00690A3A">
              <w:rPr>
                <w:rFonts w:ascii="Arial" w:hAnsi="Arial"/>
                <w:b w:val="0"/>
                <w:bCs w:val="0"/>
                <w:sz w:val="20"/>
                <w:szCs w:val="20"/>
                <w:lang w:eastAsia="en-AU"/>
              </w:rPr>
              <w:t xml:space="preserve">As previously noted, </w:t>
            </w:r>
            <w:r w:rsidR="00E05BE5">
              <w:rPr>
                <w:rFonts w:ascii="Arial" w:hAnsi="Arial"/>
                <w:b w:val="0"/>
                <w:bCs w:val="0"/>
                <w:sz w:val="20"/>
                <w:szCs w:val="20"/>
                <w:lang w:eastAsia="en-AU"/>
              </w:rPr>
              <w:t>w</w:t>
            </w:r>
            <w:r w:rsidR="00E05BE5" w:rsidRPr="00BE5275">
              <w:rPr>
                <w:rFonts w:ascii="Arial" w:hAnsi="Arial"/>
                <w:b w:val="0"/>
                <w:bCs w:val="0"/>
                <w:sz w:val="20"/>
                <w:szCs w:val="20"/>
                <w:lang w:eastAsia="en-AU"/>
              </w:rPr>
              <w:t xml:space="preserve">hile drilling results indicate that mineralisation occurs under portions of the </w:t>
            </w:r>
            <w:proofErr w:type="spellStart"/>
            <w:r w:rsidR="00561D1B">
              <w:rPr>
                <w:rFonts w:ascii="Arial" w:hAnsi="Arial"/>
                <w:b w:val="0"/>
                <w:bCs w:val="0"/>
                <w:sz w:val="20"/>
                <w:szCs w:val="20"/>
                <w:lang w:eastAsia="en-AU"/>
              </w:rPr>
              <w:t>Jallumba</w:t>
            </w:r>
            <w:proofErr w:type="spellEnd"/>
            <w:r w:rsidR="00561D1B">
              <w:rPr>
                <w:rFonts w:ascii="Arial" w:hAnsi="Arial"/>
                <w:b w:val="0"/>
                <w:bCs w:val="0"/>
                <w:sz w:val="20"/>
                <w:szCs w:val="20"/>
                <w:lang w:eastAsia="en-AU"/>
              </w:rPr>
              <w:t xml:space="preserve"> Marsh Flora Reserve</w:t>
            </w:r>
            <w:r w:rsidR="00E05BE5" w:rsidRPr="00BE5275">
              <w:rPr>
                <w:rFonts w:ascii="Arial" w:hAnsi="Arial"/>
                <w:b w:val="0"/>
                <w:bCs w:val="0"/>
                <w:sz w:val="20"/>
                <w:szCs w:val="20"/>
                <w:lang w:eastAsia="en-AU"/>
              </w:rPr>
              <w:t xml:space="preserve"> and </w:t>
            </w:r>
            <w:r w:rsidR="0073776F">
              <w:rPr>
                <w:rFonts w:ascii="Arial" w:hAnsi="Arial"/>
                <w:b w:val="0"/>
                <w:bCs w:val="0"/>
                <w:sz w:val="20"/>
                <w:szCs w:val="20"/>
                <w:lang w:eastAsia="en-AU"/>
              </w:rPr>
              <w:t xml:space="preserve">the </w:t>
            </w:r>
            <w:r w:rsidR="00E05BE5" w:rsidRPr="00BE5275">
              <w:rPr>
                <w:rFonts w:ascii="Arial" w:hAnsi="Arial"/>
                <w:b w:val="0"/>
                <w:bCs w:val="0"/>
                <w:sz w:val="20"/>
                <w:szCs w:val="20"/>
                <w:lang w:eastAsia="en-AU"/>
              </w:rPr>
              <w:t>Red Gum Swamp</w:t>
            </w:r>
            <w:r w:rsidR="00E05BE5">
              <w:rPr>
                <w:rFonts w:ascii="Arial" w:hAnsi="Arial"/>
                <w:b w:val="0"/>
                <w:bCs w:val="0"/>
                <w:sz w:val="20"/>
                <w:szCs w:val="20"/>
                <w:lang w:eastAsia="en-AU"/>
              </w:rPr>
              <w:t>,</w:t>
            </w:r>
            <w:r w:rsidR="00E05BE5" w:rsidRPr="00BE5275">
              <w:rPr>
                <w:rFonts w:ascii="Arial" w:hAnsi="Arial"/>
                <w:b w:val="0"/>
                <w:bCs w:val="0"/>
                <w:sz w:val="20"/>
                <w:szCs w:val="20"/>
                <w:lang w:eastAsia="en-AU"/>
              </w:rPr>
              <w:t xml:space="preserve"> due to the high ecological and Aboriginal cultural heritage values Iluka has chosen to exclude these areas from the proposed mining footprint</w:t>
            </w:r>
            <w:r w:rsidR="00B74701">
              <w:rPr>
                <w:rFonts w:ascii="Arial" w:hAnsi="Arial"/>
                <w:b w:val="0"/>
                <w:bCs w:val="0"/>
                <w:sz w:val="20"/>
                <w:szCs w:val="20"/>
                <w:lang w:eastAsia="en-AU"/>
              </w:rPr>
              <w:t>.</w:t>
            </w:r>
          </w:p>
          <w:p w14:paraId="21CA9B19" w14:textId="21250D8B" w:rsidR="00690A3A" w:rsidRDefault="00690A3A" w:rsidP="00B06E90">
            <w:pPr>
              <w:pStyle w:val="BodyText"/>
              <w:spacing w:after="120"/>
              <w:jc w:val="both"/>
              <w:rPr>
                <w:rFonts w:ascii="Arial" w:hAnsi="Arial"/>
                <w:b w:val="0"/>
                <w:bCs w:val="0"/>
                <w:sz w:val="20"/>
                <w:szCs w:val="20"/>
                <w:lang w:eastAsia="en-AU"/>
              </w:rPr>
            </w:pPr>
            <w:bookmarkStart w:id="122" w:name="_Hlk8977719"/>
            <w:r w:rsidRPr="00690A3A">
              <w:rPr>
                <w:rFonts w:ascii="Arial" w:hAnsi="Arial"/>
                <w:b w:val="0"/>
                <w:bCs w:val="0"/>
                <w:sz w:val="20"/>
                <w:szCs w:val="20"/>
                <w:lang w:eastAsia="en-AU"/>
              </w:rPr>
              <w:t xml:space="preserve">Other reserves and </w:t>
            </w:r>
            <w:r w:rsidR="000C74CE">
              <w:rPr>
                <w:rFonts w:ascii="Arial" w:hAnsi="Arial"/>
                <w:b w:val="0"/>
                <w:bCs w:val="0"/>
                <w:sz w:val="20"/>
                <w:szCs w:val="20"/>
                <w:lang w:eastAsia="en-AU"/>
              </w:rPr>
              <w:t>S</w:t>
            </w:r>
            <w:r w:rsidRPr="00690A3A">
              <w:rPr>
                <w:rFonts w:ascii="Arial" w:hAnsi="Arial"/>
                <w:b w:val="0"/>
                <w:bCs w:val="0"/>
                <w:sz w:val="20"/>
                <w:szCs w:val="20"/>
                <w:lang w:eastAsia="en-AU"/>
              </w:rPr>
              <w:t>tate parks located in the broader area are as follows, measured from the nearest applicable boundary of the EES study area (Figure 1):</w:t>
            </w:r>
          </w:p>
          <w:bookmarkEnd w:id="122"/>
          <w:p w14:paraId="74ACD2B7"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 xml:space="preserve">Lake </w:t>
            </w:r>
            <w:proofErr w:type="spellStart"/>
            <w:r w:rsidRPr="00690A3A">
              <w:rPr>
                <w:rFonts w:ascii="Arial" w:hAnsi="Arial"/>
                <w:b w:val="0"/>
                <w:bCs w:val="0"/>
                <w:sz w:val="20"/>
                <w:szCs w:val="20"/>
                <w:lang w:eastAsia="en-AU"/>
              </w:rPr>
              <w:t>Carchap</w:t>
            </w:r>
            <w:proofErr w:type="spellEnd"/>
            <w:r w:rsidRPr="00690A3A">
              <w:rPr>
                <w:rFonts w:ascii="Arial" w:hAnsi="Arial"/>
                <w:b w:val="0"/>
                <w:bCs w:val="0"/>
                <w:sz w:val="20"/>
                <w:szCs w:val="20"/>
                <w:lang w:eastAsia="en-AU"/>
              </w:rPr>
              <w:t xml:space="preserve"> Wildlife Reserve: 8 km to the west;</w:t>
            </w:r>
          </w:p>
          <w:p w14:paraId="251C9F02"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 xml:space="preserve">John Smith Memorial Fauna Reserve: 10 km to the north-east; </w:t>
            </w:r>
          </w:p>
          <w:p w14:paraId="560CD230"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proofErr w:type="spellStart"/>
            <w:r w:rsidRPr="00690A3A">
              <w:rPr>
                <w:rFonts w:ascii="Arial" w:hAnsi="Arial"/>
                <w:b w:val="0"/>
                <w:bCs w:val="0"/>
                <w:sz w:val="20"/>
                <w:szCs w:val="20"/>
                <w:lang w:eastAsia="en-AU"/>
              </w:rPr>
              <w:t>Jilpanger</w:t>
            </w:r>
            <w:proofErr w:type="spellEnd"/>
            <w:r w:rsidRPr="00690A3A">
              <w:rPr>
                <w:rFonts w:ascii="Arial" w:hAnsi="Arial"/>
                <w:b w:val="0"/>
                <w:bCs w:val="0"/>
                <w:sz w:val="20"/>
                <w:szCs w:val="20"/>
                <w:lang w:eastAsia="en-AU"/>
              </w:rPr>
              <w:t xml:space="preserve"> Nature Conservation Reserve: 10 km to the west;</w:t>
            </w:r>
          </w:p>
          <w:p w14:paraId="44E859B3"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Mount Arapiles-</w:t>
            </w:r>
            <w:proofErr w:type="spellStart"/>
            <w:r w:rsidRPr="00690A3A">
              <w:rPr>
                <w:rFonts w:ascii="Arial" w:hAnsi="Arial"/>
                <w:b w:val="0"/>
                <w:bCs w:val="0"/>
                <w:sz w:val="20"/>
                <w:szCs w:val="20"/>
                <w:lang w:eastAsia="en-AU"/>
              </w:rPr>
              <w:t>Tooan</w:t>
            </w:r>
            <w:proofErr w:type="spellEnd"/>
            <w:r w:rsidRPr="00690A3A">
              <w:rPr>
                <w:rFonts w:ascii="Arial" w:hAnsi="Arial"/>
                <w:b w:val="0"/>
                <w:bCs w:val="0"/>
                <w:sz w:val="20"/>
                <w:szCs w:val="20"/>
                <w:lang w:eastAsia="en-AU"/>
              </w:rPr>
              <w:t xml:space="preserve"> State Park: 12 km to the north-west;</w:t>
            </w:r>
          </w:p>
          <w:p w14:paraId="20C5EED6"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Black Range State Park: 15 km to the south-east;</w:t>
            </w:r>
          </w:p>
          <w:p w14:paraId="6468542B"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proofErr w:type="spellStart"/>
            <w:r w:rsidRPr="00690A3A">
              <w:rPr>
                <w:rFonts w:ascii="Arial" w:hAnsi="Arial"/>
                <w:b w:val="0"/>
                <w:bCs w:val="0"/>
                <w:sz w:val="20"/>
                <w:szCs w:val="20"/>
                <w:lang w:eastAsia="en-AU"/>
              </w:rPr>
              <w:t>Ti</w:t>
            </w:r>
            <w:proofErr w:type="spellEnd"/>
            <w:r w:rsidRPr="00690A3A">
              <w:rPr>
                <w:rFonts w:ascii="Arial" w:hAnsi="Arial"/>
                <w:b w:val="0"/>
                <w:bCs w:val="0"/>
                <w:sz w:val="20"/>
                <w:szCs w:val="20"/>
                <w:lang w:eastAsia="en-AU"/>
              </w:rPr>
              <w:t xml:space="preserve"> Tree Swam Wildlife Reserve: 20 km to the south-west;</w:t>
            </w:r>
          </w:p>
          <w:p w14:paraId="1171D9F4"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proofErr w:type="spellStart"/>
            <w:r w:rsidRPr="00690A3A">
              <w:rPr>
                <w:rFonts w:ascii="Arial" w:hAnsi="Arial"/>
                <w:b w:val="0"/>
                <w:bCs w:val="0"/>
                <w:sz w:val="20"/>
                <w:szCs w:val="20"/>
                <w:lang w:eastAsia="en-AU"/>
              </w:rPr>
              <w:t>Grassflat</w:t>
            </w:r>
            <w:proofErr w:type="spellEnd"/>
            <w:r w:rsidRPr="00690A3A">
              <w:rPr>
                <w:rFonts w:ascii="Arial" w:hAnsi="Arial"/>
                <w:b w:val="0"/>
                <w:bCs w:val="0"/>
                <w:sz w:val="20"/>
                <w:szCs w:val="20"/>
                <w:lang w:eastAsia="en-AU"/>
              </w:rPr>
              <w:t xml:space="preserve"> Swamp Flora and Fauna Reserve: 23 km to the north-west;</w:t>
            </w:r>
          </w:p>
          <w:p w14:paraId="57C3216F"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Mitre Lake Flora and Fauna Reserve: 23 km to the north-west; and</w:t>
            </w:r>
          </w:p>
          <w:p w14:paraId="73E67736" w14:textId="77777777" w:rsidR="00690A3A" w:rsidRDefault="00690A3A" w:rsidP="00C83AAA">
            <w:pPr>
              <w:pStyle w:val="BodyText"/>
              <w:numPr>
                <w:ilvl w:val="0"/>
                <w:numId w:val="57"/>
              </w:numPr>
              <w:spacing w:after="120"/>
              <w:jc w:val="both"/>
              <w:rPr>
                <w:rFonts w:ascii="Arial" w:hAnsi="Arial"/>
                <w:b w:val="0"/>
                <w:bCs w:val="0"/>
                <w:sz w:val="20"/>
                <w:szCs w:val="20"/>
                <w:lang w:eastAsia="en-AU"/>
              </w:rPr>
            </w:pPr>
            <w:r w:rsidRPr="00690A3A">
              <w:rPr>
                <w:rFonts w:ascii="Arial" w:hAnsi="Arial"/>
                <w:b w:val="0"/>
                <w:bCs w:val="0"/>
                <w:sz w:val="20"/>
                <w:szCs w:val="20"/>
                <w:lang w:eastAsia="en-AU"/>
              </w:rPr>
              <w:t>Oliver’s Lake Fauna Reserve: 25 km to the north.</w:t>
            </w:r>
          </w:p>
          <w:p w14:paraId="026CEFB2" w14:textId="00CF1ABD" w:rsidR="0093699E" w:rsidRPr="00690A3A" w:rsidRDefault="00720B06" w:rsidP="00FD555F">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It is not anticipated that the above locations will be impacted by the</w:t>
            </w:r>
            <w:r w:rsidR="00A30A96">
              <w:rPr>
                <w:rFonts w:ascii="Arial" w:hAnsi="Arial"/>
                <w:b w:val="0"/>
                <w:bCs w:val="0"/>
                <w:sz w:val="20"/>
                <w:szCs w:val="20"/>
                <w:lang w:eastAsia="en-AU"/>
              </w:rPr>
              <w:t xml:space="preserve"> </w:t>
            </w:r>
            <w:r w:rsidR="00A01BC4">
              <w:rPr>
                <w:rFonts w:ascii="Arial" w:hAnsi="Arial"/>
                <w:b w:val="0"/>
                <w:bCs w:val="0"/>
                <w:sz w:val="20"/>
                <w:szCs w:val="20"/>
                <w:lang w:eastAsia="en-AU"/>
              </w:rPr>
              <w:t>P</w:t>
            </w:r>
            <w:r>
              <w:rPr>
                <w:rFonts w:ascii="Arial" w:hAnsi="Arial"/>
                <w:b w:val="0"/>
                <w:bCs w:val="0"/>
                <w:sz w:val="20"/>
                <w:szCs w:val="20"/>
                <w:lang w:eastAsia="en-AU"/>
              </w:rPr>
              <w:t>roject.</w:t>
            </w:r>
            <w:bookmarkEnd w:id="121"/>
          </w:p>
        </w:tc>
      </w:tr>
      <w:tr w:rsidR="0093699E" w14:paraId="6FB657A7" w14:textId="77777777" w:rsidTr="00E71774">
        <w:tc>
          <w:tcPr>
            <w:tcW w:w="9243" w:type="dxa"/>
            <w:tcBorders>
              <w:top w:val="single" w:sz="4" w:space="0" w:color="auto"/>
              <w:bottom w:val="single" w:sz="4" w:space="0" w:color="auto"/>
            </w:tcBorders>
          </w:tcPr>
          <w:p w14:paraId="782A2043" w14:textId="0234C78D" w:rsidR="00690A3A" w:rsidRPr="00C01281" w:rsidRDefault="00690A3A" w:rsidP="00690A3A">
            <w:pPr>
              <w:pStyle w:val="Heading3"/>
              <w:keepLines/>
              <w:numPr>
                <w:ilvl w:val="2"/>
                <w:numId w:val="0"/>
              </w:numPr>
              <w:spacing w:before="240" w:after="240"/>
              <w:ind w:left="851" w:hanging="851"/>
              <w:jc w:val="both"/>
              <w:rPr>
                <w:sz w:val="20"/>
              </w:rPr>
            </w:pPr>
            <w:bookmarkStart w:id="123" w:name="_Toc7770288"/>
            <w:r w:rsidRPr="00C01281">
              <w:rPr>
                <w:sz w:val="20"/>
              </w:rPr>
              <w:lastRenderedPageBreak/>
              <w:t>1</w:t>
            </w:r>
            <w:r w:rsidR="00204A4C">
              <w:rPr>
                <w:sz w:val="20"/>
              </w:rPr>
              <w:t>4</w:t>
            </w:r>
            <w:r w:rsidRPr="00C01281">
              <w:rPr>
                <w:sz w:val="20"/>
              </w:rPr>
              <w:t>.1.6 Is any clearing vegetation or alteration of landforms likely to affect landscape values?</w:t>
            </w:r>
            <w:bookmarkEnd w:id="123"/>
          </w:p>
          <w:p w14:paraId="132116B6" w14:textId="77777777" w:rsidR="00A57D34" w:rsidRPr="00EC6C73" w:rsidRDefault="00A57D34" w:rsidP="00A57D34">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448F4B9D" w14:textId="77777777" w:rsidR="00A57D34" w:rsidRDefault="00A57D34" w:rsidP="00D953DA">
            <w:pPr>
              <w:pStyle w:val="BodyText"/>
              <w:spacing w:after="120"/>
              <w:jc w:val="both"/>
              <w:rPr>
                <w:rFonts w:ascii="Arial" w:hAnsi="Arial"/>
                <w:b w:val="0"/>
                <w:bCs w:val="0"/>
                <w:sz w:val="20"/>
                <w:szCs w:val="20"/>
                <w:lang w:eastAsia="en-AU"/>
              </w:rPr>
            </w:pPr>
          </w:p>
          <w:p w14:paraId="0324AE38" w14:textId="6985FE97" w:rsidR="00690A3A" w:rsidRDefault="00A57D34" w:rsidP="00D953DA">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W</w:t>
            </w:r>
            <w:r w:rsidR="00425106">
              <w:rPr>
                <w:rFonts w:ascii="Arial" w:hAnsi="Arial"/>
                <w:b w:val="0"/>
                <w:bCs w:val="0"/>
                <w:sz w:val="20"/>
                <w:szCs w:val="20"/>
                <w:lang w:eastAsia="en-AU"/>
              </w:rPr>
              <w:t xml:space="preserve">hilst the </w:t>
            </w:r>
            <w:r w:rsidR="00D35513">
              <w:rPr>
                <w:rFonts w:ascii="Arial" w:hAnsi="Arial"/>
                <w:b w:val="0"/>
                <w:bCs w:val="0"/>
                <w:sz w:val="20"/>
                <w:szCs w:val="20"/>
                <w:lang w:eastAsia="en-AU"/>
              </w:rPr>
              <w:t xml:space="preserve">existing landscape </w:t>
            </w:r>
            <w:r w:rsidR="00425106">
              <w:rPr>
                <w:rFonts w:ascii="Arial" w:hAnsi="Arial"/>
                <w:b w:val="0"/>
                <w:bCs w:val="0"/>
                <w:sz w:val="20"/>
                <w:szCs w:val="20"/>
                <w:lang w:eastAsia="en-AU"/>
              </w:rPr>
              <w:t xml:space="preserve">to be altered </w:t>
            </w:r>
            <w:r w:rsidR="009B6538">
              <w:rPr>
                <w:rFonts w:ascii="Arial" w:hAnsi="Arial"/>
                <w:b w:val="0"/>
                <w:bCs w:val="0"/>
                <w:sz w:val="20"/>
                <w:szCs w:val="20"/>
                <w:lang w:eastAsia="en-AU"/>
              </w:rPr>
              <w:t xml:space="preserve">is </w:t>
            </w:r>
            <w:r w:rsidR="00425106">
              <w:rPr>
                <w:rFonts w:ascii="Arial" w:hAnsi="Arial"/>
                <w:b w:val="0"/>
                <w:bCs w:val="0"/>
                <w:sz w:val="20"/>
                <w:szCs w:val="20"/>
                <w:lang w:eastAsia="en-AU"/>
              </w:rPr>
              <w:t xml:space="preserve">agricultural land that has already been </w:t>
            </w:r>
            <w:r w:rsidR="00425106" w:rsidRPr="00690A3A">
              <w:rPr>
                <w:rFonts w:ascii="Arial" w:hAnsi="Arial"/>
                <w:b w:val="0"/>
                <w:bCs w:val="0"/>
                <w:sz w:val="20"/>
                <w:szCs w:val="20"/>
                <w:lang w:eastAsia="en-AU"/>
              </w:rPr>
              <w:t>disturbed</w:t>
            </w:r>
            <w:r w:rsidR="00425106">
              <w:rPr>
                <w:rFonts w:ascii="Arial" w:hAnsi="Arial"/>
                <w:b w:val="0"/>
                <w:bCs w:val="0"/>
                <w:sz w:val="20"/>
                <w:szCs w:val="20"/>
                <w:lang w:eastAsia="en-AU"/>
              </w:rPr>
              <w:t xml:space="preserve">, </w:t>
            </w:r>
            <w:r w:rsidR="00690A3A" w:rsidRPr="00690A3A">
              <w:rPr>
                <w:rFonts w:ascii="Arial" w:hAnsi="Arial"/>
                <w:b w:val="0"/>
                <w:bCs w:val="0"/>
                <w:sz w:val="20"/>
                <w:szCs w:val="20"/>
                <w:lang w:eastAsia="en-AU"/>
              </w:rPr>
              <w:t>the Project will involve clearing of vegetation and alteration of landforms</w:t>
            </w:r>
            <w:r w:rsidR="00425106">
              <w:rPr>
                <w:rFonts w:ascii="Arial" w:hAnsi="Arial"/>
                <w:b w:val="0"/>
                <w:bCs w:val="0"/>
                <w:sz w:val="20"/>
                <w:szCs w:val="20"/>
                <w:lang w:eastAsia="en-AU"/>
              </w:rPr>
              <w:t xml:space="preserve"> which in turn will affect the visual impacts of the area, particularly in relation to the presence of the mine pit, </w:t>
            </w:r>
            <w:r w:rsidR="0010213F">
              <w:rPr>
                <w:rFonts w:ascii="Arial" w:hAnsi="Arial"/>
                <w:b w:val="0"/>
                <w:bCs w:val="0"/>
                <w:sz w:val="20"/>
                <w:szCs w:val="20"/>
                <w:lang w:eastAsia="en-AU"/>
              </w:rPr>
              <w:t xml:space="preserve">stockpiles, </w:t>
            </w:r>
            <w:r w:rsidR="00425106">
              <w:rPr>
                <w:rFonts w:ascii="Arial" w:hAnsi="Arial"/>
                <w:b w:val="0"/>
                <w:bCs w:val="0"/>
                <w:sz w:val="20"/>
                <w:szCs w:val="20"/>
                <w:lang w:eastAsia="en-AU"/>
              </w:rPr>
              <w:t>processing plant and refinery</w:t>
            </w:r>
            <w:r w:rsidR="00720B06">
              <w:rPr>
                <w:rFonts w:ascii="Arial" w:hAnsi="Arial"/>
                <w:b w:val="0"/>
                <w:bCs w:val="0"/>
                <w:sz w:val="20"/>
                <w:szCs w:val="20"/>
                <w:lang w:eastAsia="en-AU"/>
              </w:rPr>
              <w:t xml:space="preserve"> during operations</w:t>
            </w:r>
            <w:r w:rsidR="00425106">
              <w:rPr>
                <w:rFonts w:ascii="Arial" w:hAnsi="Arial"/>
                <w:b w:val="0"/>
                <w:bCs w:val="0"/>
                <w:sz w:val="20"/>
                <w:szCs w:val="20"/>
                <w:lang w:eastAsia="en-AU"/>
              </w:rPr>
              <w:t xml:space="preserve">.  </w:t>
            </w:r>
          </w:p>
          <w:p w14:paraId="313C41D5" w14:textId="2507588A" w:rsidR="0093699E" w:rsidRDefault="00690A3A" w:rsidP="00D953DA">
            <w:pPr>
              <w:pStyle w:val="BodyText"/>
              <w:spacing w:after="120"/>
              <w:jc w:val="both"/>
              <w:rPr>
                <w:rFonts w:ascii="Arial" w:hAnsi="Arial"/>
              </w:rPr>
            </w:pPr>
            <w:r w:rsidRPr="00690A3A">
              <w:rPr>
                <w:rFonts w:ascii="Arial" w:hAnsi="Arial"/>
                <w:b w:val="0"/>
                <w:bCs w:val="0"/>
                <w:sz w:val="20"/>
                <w:szCs w:val="20"/>
                <w:lang w:eastAsia="en-AU"/>
              </w:rPr>
              <w:t>A</w:t>
            </w:r>
            <w:r w:rsidR="00720B06">
              <w:rPr>
                <w:rFonts w:ascii="Arial" w:hAnsi="Arial"/>
                <w:b w:val="0"/>
                <w:bCs w:val="0"/>
                <w:sz w:val="20"/>
                <w:szCs w:val="20"/>
                <w:lang w:eastAsia="en-AU"/>
              </w:rPr>
              <w:t xml:space="preserve"> visual </w:t>
            </w:r>
            <w:r w:rsidRPr="00690A3A">
              <w:rPr>
                <w:rFonts w:ascii="Arial" w:hAnsi="Arial"/>
                <w:b w:val="0"/>
                <w:bCs w:val="0"/>
                <w:sz w:val="20"/>
                <w:szCs w:val="20"/>
                <w:lang w:eastAsia="en-AU"/>
              </w:rPr>
              <w:t xml:space="preserve">impact assessment </w:t>
            </w:r>
            <w:r w:rsidR="00D35513">
              <w:rPr>
                <w:rFonts w:ascii="Arial" w:hAnsi="Arial"/>
                <w:b w:val="0"/>
                <w:bCs w:val="0"/>
                <w:sz w:val="20"/>
                <w:szCs w:val="20"/>
                <w:lang w:eastAsia="en-AU"/>
              </w:rPr>
              <w:t xml:space="preserve">will be undertaken to </w:t>
            </w:r>
            <w:r w:rsidR="00D35513" w:rsidRPr="00A01BC4">
              <w:rPr>
                <w:rFonts w:ascii="Arial" w:hAnsi="Arial"/>
                <w:b w:val="0"/>
                <w:bCs w:val="0"/>
                <w:sz w:val="20"/>
                <w:szCs w:val="20"/>
                <w:lang w:eastAsia="en-AU"/>
              </w:rPr>
              <w:t>confirm the sensitivity of the existing landscape to accommodate change</w:t>
            </w:r>
            <w:r w:rsidR="00D35513">
              <w:rPr>
                <w:rFonts w:ascii="Arial" w:hAnsi="Arial"/>
                <w:b w:val="0"/>
                <w:bCs w:val="0"/>
                <w:sz w:val="20"/>
                <w:szCs w:val="20"/>
                <w:lang w:eastAsia="en-AU"/>
              </w:rPr>
              <w:t xml:space="preserve">, </w:t>
            </w:r>
            <w:r w:rsidR="00D35513" w:rsidRPr="00A01BC4">
              <w:rPr>
                <w:rFonts w:ascii="Arial" w:hAnsi="Arial"/>
                <w:b w:val="0"/>
                <w:bCs w:val="0"/>
                <w:sz w:val="20"/>
                <w:szCs w:val="20"/>
                <w:lang w:eastAsia="en-AU"/>
              </w:rPr>
              <w:t xml:space="preserve">assess the likely visual impact of the </w:t>
            </w:r>
            <w:r w:rsidR="00D02516">
              <w:rPr>
                <w:rFonts w:ascii="Arial" w:hAnsi="Arial"/>
                <w:b w:val="0"/>
                <w:bCs w:val="0"/>
                <w:sz w:val="20"/>
                <w:szCs w:val="20"/>
                <w:lang w:eastAsia="en-AU"/>
              </w:rPr>
              <w:t>Project</w:t>
            </w:r>
            <w:r w:rsidR="00D35513" w:rsidRPr="00A01BC4">
              <w:rPr>
                <w:rFonts w:ascii="Arial" w:hAnsi="Arial"/>
                <w:b w:val="0"/>
                <w:bCs w:val="0"/>
                <w:sz w:val="20"/>
                <w:szCs w:val="20"/>
                <w:lang w:eastAsia="en-AU"/>
              </w:rPr>
              <w:t xml:space="preserve"> on the specific and wider landscap</w:t>
            </w:r>
            <w:r w:rsidR="00D35513">
              <w:rPr>
                <w:rFonts w:ascii="Arial" w:hAnsi="Arial"/>
                <w:b w:val="0"/>
                <w:bCs w:val="0"/>
                <w:sz w:val="20"/>
                <w:szCs w:val="20"/>
                <w:lang w:eastAsia="en-AU"/>
              </w:rPr>
              <w:t xml:space="preserve">e </w:t>
            </w:r>
            <w:r w:rsidR="00D35513" w:rsidRPr="00A01BC4">
              <w:rPr>
                <w:rFonts w:ascii="Arial" w:hAnsi="Arial"/>
                <w:b w:val="0"/>
                <w:bCs w:val="0"/>
                <w:sz w:val="20"/>
                <w:szCs w:val="20"/>
                <w:lang w:eastAsia="en-AU"/>
              </w:rPr>
              <w:t>and</w:t>
            </w:r>
            <w:r w:rsidR="00D35513">
              <w:rPr>
                <w:rFonts w:ascii="Arial" w:hAnsi="Arial"/>
                <w:b w:val="0"/>
                <w:bCs w:val="0"/>
                <w:sz w:val="20"/>
                <w:szCs w:val="20"/>
                <w:lang w:eastAsia="en-AU"/>
              </w:rPr>
              <w:t xml:space="preserve"> </w:t>
            </w:r>
            <w:r w:rsidR="00D35513" w:rsidRPr="00D35513">
              <w:rPr>
                <w:rFonts w:ascii="Arial" w:hAnsi="Arial"/>
                <w:b w:val="0"/>
                <w:bCs w:val="0"/>
                <w:sz w:val="20"/>
                <w:szCs w:val="20"/>
                <w:lang w:eastAsia="en-AU"/>
              </w:rPr>
              <w:t>provision of recommendations to mitigate visual impacts</w:t>
            </w:r>
            <w:r w:rsidR="00D35513">
              <w:rPr>
                <w:rFonts w:ascii="Arial" w:hAnsi="Arial"/>
                <w:b w:val="0"/>
                <w:bCs w:val="0"/>
                <w:sz w:val="20"/>
                <w:szCs w:val="20"/>
                <w:lang w:eastAsia="en-AU"/>
              </w:rPr>
              <w:t>.</w:t>
            </w:r>
          </w:p>
        </w:tc>
      </w:tr>
      <w:tr w:rsidR="0093699E" w14:paraId="26AC95A4" w14:textId="77777777" w:rsidTr="00FD555F">
        <w:tc>
          <w:tcPr>
            <w:tcW w:w="9243" w:type="dxa"/>
            <w:tcBorders>
              <w:top w:val="single" w:sz="4" w:space="0" w:color="auto"/>
              <w:bottom w:val="single" w:sz="4" w:space="0" w:color="auto"/>
            </w:tcBorders>
          </w:tcPr>
          <w:p w14:paraId="414D9941" w14:textId="2684505E" w:rsidR="004A6BE1" w:rsidRPr="004A6BE1" w:rsidRDefault="004A6BE1" w:rsidP="004A6BE1">
            <w:pPr>
              <w:pStyle w:val="Heading3"/>
              <w:keepLines/>
              <w:numPr>
                <w:ilvl w:val="2"/>
                <w:numId w:val="0"/>
              </w:numPr>
              <w:spacing w:before="240" w:after="240"/>
              <w:ind w:left="851" w:hanging="851"/>
              <w:jc w:val="both"/>
              <w:rPr>
                <w:sz w:val="20"/>
              </w:rPr>
            </w:pPr>
            <w:bookmarkStart w:id="124" w:name="_Toc7770289"/>
            <w:r>
              <w:rPr>
                <w:sz w:val="20"/>
              </w:rPr>
              <w:t>1</w:t>
            </w:r>
            <w:r w:rsidR="00204A4C">
              <w:rPr>
                <w:sz w:val="20"/>
              </w:rPr>
              <w:t>4</w:t>
            </w:r>
            <w:r>
              <w:rPr>
                <w:sz w:val="20"/>
              </w:rPr>
              <w:t xml:space="preserve">.1.7 </w:t>
            </w:r>
            <w:r w:rsidRPr="004A6BE1">
              <w:rPr>
                <w:sz w:val="20"/>
              </w:rPr>
              <w:t>Is there a potential for effects on landscape values of regional or State importance?</w:t>
            </w:r>
            <w:bookmarkEnd w:id="124"/>
            <w:r w:rsidRPr="004A6BE1">
              <w:rPr>
                <w:sz w:val="20"/>
              </w:rPr>
              <w:t xml:space="preserve"> </w:t>
            </w:r>
          </w:p>
          <w:p w14:paraId="5484C989" w14:textId="77777777" w:rsidR="00A57D34" w:rsidRPr="00EC6C73" w:rsidRDefault="00A57D34" w:rsidP="00A57D34">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A57D34">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No    </w:t>
            </w:r>
            <w:r w:rsidRPr="00A57D34">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Yes   </w:t>
            </w:r>
          </w:p>
          <w:p w14:paraId="479611BB" w14:textId="77777777" w:rsidR="00A57D34" w:rsidRDefault="00A57D34" w:rsidP="00D953DA">
            <w:pPr>
              <w:pStyle w:val="BodyText"/>
              <w:spacing w:after="120"/>
              <w:jc w:val="both"/>
              <w:rPr>
                <w:rFonts w:ascii="Arial" w:hAnsi="Arial"/>
                <w:b w:val="0"/>
                <w:bCs w:val="0"/>
                <w:sz w:val="20"/>
                <w:szCs w:val="20"/>
                <w:lang w:eastAsia="en-AU"/>
              </w:rPr>
            </w:pPr>
          </w:p>
          <w:p w14:paraId="58FD288E" w14:textId="3BD61B6E" w:rsidR="004A6BE1" w:rsidRDefault="00A57D34" w:rsidP="00D953DA">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T</w:t>
            </w:r>
            <w:r w:rsidR="00D35513" w:rsidRPr="00A01BC4">
              <w:rPr>
                <w:rFonts w:ascii="Arial" w:hAnsi="Arial"/>
                <w:b w:val="0"/>
                <w:bCs w:val="0"/>
                <w:sz w:val="20"/>
                <w:szCs w:val="20"/>
                <w:lang w:eastAsia="en-AU"/>
              </w:rPr>
              <w:t>he Project site is not located near the Grampians Ranges or Mount Arapiles (</w:t>
            </w:r>
            <w:r w:rsidR="000C74CE">
              <w:rPr>
                <w:rFonts w:ascii="Arial" w:hAnsi="Arial"/>
                <w:b w:val="0"/>
                <w:bCs w:val="0"/>
                <w:sz w:val="20"/>
                <w:szCs w:val="20"/>
                <w:lang w:eastAsia="en-AU"/>
              </w:rPr>
              <w:t>S</w:t>
            </w:r>
            <w:r w:rsidR="00D35513" w:rsidRPr="00A01BC4">
              <w:rPr>
                <w:rFonts w:ascii="Arial" w:hAnsi="Arial"/>
                <w:b w:val="0"/>
                <w:bCs w:val="0"/>
                <w:sz w:val="20"/>
                <w:szCs w:val="20"/>
                <w:lang w:eastAsia="en-AU"/>
              </w:rPr>
              <w:t>tate level significance) or the Black Ranges and the Natimuk-Douglas Saline Wetland Depression (regional level significance).</w:t>
            </w:r>
          </w:p>
          <w:p w14:paraId="0309B68B" w14:textId="77777777" w:rsidR="0093699E" w:rsidRDefault="004A6BE1" w:rsidP="00D953DA">
            <w:pPr>
              <w:pStyle w:val="BodyText"/>
              <w:spacing w:after="120"/>
              <w:jc w:val="both"/>
            </w:pPr>
            <w:r w:rsidRPr="004A6BE1">
              <w:rPr>
                <w:rFonts w:ascii="Arial" w:hAnsi="Arial"/>
                <w:b w:val="0"/>
                <w:bCs w:val="0"/>
                <w:sz w:val="20"/>
                <w:szCs w:val="20"/>
                <w:lang w:eastAsia="en-AU"/>
              </w:rPr>
              <w:t xml:space="preserve">A landscape </w:t>
            </w:r>
            <w:r w:rsidR="00D35513">
              <w:rPr>
                <w:rFonts w:ascii="Arial" w:hAnsi="Arial"/>
                <w:b w:val="0"/>
                <w:bCs w:val="0"/>
                <w:sz w:val="20"/>
                <w:szCs w:val="20"/>
                <w:lang w:eastAsia="en-AU"/>
              </w:rPr>
              <w:t xml:space="preserve">and visual impact assessment </w:t>
            </w:r>
            <w:r w:rsidRPr="004A6BE1">
              <w:rPr>
                <w:rFonts w:ascii="Arial" w:hAnsi="Arial"/>
                <w:b w:val="0"/>
                <w:bCs w:val="0"/>
                <w:sz w:val="20"/>
                <w:szCs w:val="20"/>
                <w:lang w:eastAsia="en-AU"/>
              </w:rPr>
              <w:t xml:space="preserve">will be undertaken to determine whether the Project will impact any values of regional or State importance. </w:t>
            </w:r>
          </w:p>
        </w:tc>
      </w:tr>
      <w:tr w:rsidR="0093699E" w14:paraId="4AC48D0A" w14:textId="77777777" w:rsidTr="00FD555F">
        <w:tc>
          <w:tcPr>
            <w:tcW w:w="9243" w:type="dxa"/>
            <w:tcBorders>
              <w:top w:val="single" w:sz="4" w:space="0" w:color="auto"/>
              <w:bottom w:val="single" w:sz="4" w:space="0" w:color="auto"/>
            </w:tcBorders>
          </w:tcPr>
          <w:p w14:paraId="45F56F53" w14:textId="0F2C2CD0" w:rsidR="004A6BE1" w:rsidRPr="004A6BE1" w:rsidRDefault="004A6BE1" w:rsidP="004A6BE1">
            <w:pPr>
              <w:pStyle w:val="Heading3"/>
              <w:keepLines/>
              <w:numPr>
                <w:ilvl w:val="2"/>
                <w:numId w:val="0"/>
              </w:numPr>
              <w:spacing w:before="240" w:after="240"/>
              <w:ind w:left="851" w:hanging="851"/>
              <w:jc w:val="both"/>
              <w:rPr>
                <w:sz w:val="20"/>
              </w:rPr>
            </w:pPr>
            <w:r>
              <w:rPr>
                <w:sz w:val="20"/>
              </w:rPr>
              <w:t>1</w:t>
            </w:r>
            <w:r w:rsidR="00204A4C">
              <w:rPr>
                <w:sz w:val="20"/>
              </w:rPr>
              <w:t>4</w:t>
            </w:r>
            <w:r>
              <w:rPr>
                <w:sz w:val="20"/>
              </w:rPr>
              <w:t xml:space="preserve">.1.8 </w:t>
            </w:r>
            <w:r w:rsidRPr="004A6BE1">
              <w:rPr>
                <w:sz w:val="20"/>
              </w:rPr>
              <w:t>Is mitigation of potential landscape effects proposed?</w:t>
            </w:r>
          </w:p>
          <w:p w14:paraId="3DFF56B5" w14:textId="77777777" w:rsidR="00A57D34" w:rsidRPr="00EC6C73" w:rsidRDefault="00A57D34" w:rsidP="00A57D34">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415B369B" w14:textId="77777777" w:rsidR="00A57D34" w:rsidRDefault="00A57D34" w:rsidP="00D953DA">
            <w:pPr>
              <w:pStyle w:val="BodyText"/>
              <w:spacing w:after="120"/>
              <w:jc w:val="both"/>
              <w:rPr>
                <w:rFonts w:ascii="Arial" w:hAnsi="Arial"/>
                <w:b w:val="0"/>
                <w:bCs w:val="0"/>
                <w:sz w:val="20"/>
                <w:szCs w:val="20"/>
                <w:lang w:eastAsia="en-AU"/>
              </w:rPr>
            </w:pPr>
          </w:p>
          <w:p w14:paraId="73BC9D37" w14:textId="07AE3606" w:rsidR="004A6BE1" w:rsidRDefault="00D33C77" w:rsidP="00D953DA">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Mitigation of potential landscape effects is intended as </w:t>
            </w:r>
            <w:r w:rsidR="0046293E">
              <w:rPr>
                <w:rFonts w:ascii="Arial" w:hAnsi="Arial"/>
                <w:b w:val="0"/>
                <w:bCs w:val="0"/>
                <w:sz w:val="20"/>
                <w:szCs w:val="20"/>
                <w:lang w:eastAsia="en-AU"/>
              </w:rPr>
              <w:t xml:space="preserve">part of </w:t>
            </w:r>
            <w:r w:rsidR="00D02516">
              <w:rPr>
                <w:rFonts w:ascii="Arial" w:hAnsi="Arial"/>
                <w:b w:val="0"/>
                <w:bCs w:val="0"/>
                <w:sz w:val="20"/>
                <w:szCs w:val="20"/>
                <w:lang w:eastAsia="en-AU"/>
              </w:rPr>
              <w:t>Project</w:t>
            </w:r>
            <w:r w:rsidR="0046293E">
              <w:rPr>
                <w:rFonts w:ascii="Arial" w:hAnsi="Arial"/>
                <w:b w:val="0"/>
                <w:bCs w:val="0"/>
                <w:sz w:val="20"/>
                <w:szCs w:val="20"/>
                <w:lang w:eastAsia="en-AU"/>
              </w:rPr>
              <w:t xml:space="preserve"> layout design, however the feasibility and practicality of required mitigation approaches is unknown until potential effects are determined. </w:t>
            </w:r>
          </w:p>
          <w:p w14:paraId="25E82D8F" w14:textId="77777777" w:rsidR="004A6BE1" w:rsidRPr="004A6BE1" w:rsidRDefault="00D35513" w:rsidP="00D953DA">
            <w:pPr>
              <w:pStyle w:val="BodyText"/>
              <w:spacing w:after="120"/>
              <w:jc w:val="both"/>
              <w:rPr>
                <w:rFonts w:ascii="Arial" w:hAnsi="Arial"/>
                <w:b w:val="0"/>
                <w:bCs w:val="0"/>
                <w:sz w:val="20"/>
                <w:szCs w:val="20"/>
                <w:lang w:eastAsia="en-AU"/>
              </w:rPr>
            </w:pPr>
            <w:r w:rsidRPr="00D35513">
              <w:rPr>
                <w:rFonts w:ascii="Arial" w:hAnsi="Arial"/>
                <w:b w:val="0"/>
                <w:bCs w:val="0"/>
                <w:sz w:val="20"/>
                <w:szCs w:val="20"/>
                <w:lang w:eastAsia="en-AU"/>
              </w:rPr>
              <w:t xml:space="preserve">A landscape and visual impact assessment </w:t>
            </w:r>
            <w:r>
              <w:rPr>
                <w:rFonts w:ascii="Arial" w:hAnsi="Arial"/>
                <w:b w:val="0"/>
                <w:bCs w:val="0"/>
                <w:sz w:val="20"/>
                <w:szCs w:val="20"/>
                <w:lang w:eastAsia="en-AU"/>
              </w:rPr>
              <w:t>will be undertaken to determine p</w:t>
            </w:r>
            <w:r w:rsidR="004A6BE1" w:rsidRPr="004A6BE1">
              <w:rPr>
                <w:rFonts w:ascii="Arial" w:hAnsi="Arial"/>
                <w:b w:val="0"/>
                <w:bCs w:val="0"/>
                <w:sz w:val="20"/>
                <w:szCs w:val="20"/>
                <w:lang w:eastAsia="en-AU"/>
              </w:rPr>
              <w:t xml:space="preserve">otential effects on the landscape values </w:t>
            </w:r>
            <w:r>
              <w:rPr>
                <w:rFonts w:ascii="Arial" w:hAnsi="Arial"/>
                <w:b w:val="0"/>
                <w:bCs w:val="0"/>
                <w:sz w:val="20"/>
                <w:szCs w:val="20"/>
                <w:lang w:eastAsia="en-AU"/>
              </w:rPr>
              <w:t>and provide recommendations to mitigate visual impacts</w:t>
            </w:r>
            <w:r w:rsidR="004A6BE1" w:rsidRPr="004A6BE1">
              <w:rPr>
                <w:rFonts w:ascii="Arial" w:hAnsi="Arial"/>
                <w:b w:val="0"/>
                <w:bCs w:val="0"/>
                <w:sz w:val="20"/>
                <w:szCs w:val="20"/>
                <w:lang w:eastAsia="en-AU"/>
              </w:rPr>
              <w:t>.</w:t>
            </w:r>
          </w:p>
          <w:p w14:paraId="5728940D" w14:textId="77777777" w:rsidR="0093699E" w:rsidRDefault="0093699E">
            <w:pPr>
              <w:rPr>
                <w:rFonts w:ascii="Arial" w:hAnsi="Arial"/>
              </w:rPr>
            </w:pPr>
          </w:p>
        </w:tc>
      </w:tr>
      <w:tr w:rsidR="00690A3A" w14:paraId="5326157F" w14:textId="77777777" w:rsidTr="00E71774">
        <w:tc>
          <w:tcPr>
            <w:tcW w:w="9243" w:type="dxa"/>
            <w:tcBorders>
              <w:top w:val="single" w:sz="4" w:space="0" w:color="auto"/>
              <w:bottom w:val="single" w:sz="4" w:space="0" w:color="auto"/>
            </w:tcBorders>
          </w:tcPr>
          <w:p w14:paraId="71639C0F" w14:textId="56236D3C" w:rsidR="004A6BE1" w:rsidRPr="004A6BE1" w:rsidRDefault="004A6BE1" w:rsidP="004A6BE1">
            <w:pPr>
              <w:pStyle w:val="Heading3"/>
              <w:rPr>
                <w:sz w:val="20"/>
              </w:rPr>
            </w:pPr>
            <w:bookmarkStart w:id="125" w:name="_Toc7770291"/>
            <w:r>
              <w:rPr>
                <w:sz w:val="20"/>
              </w:rPr>
              <w:t>1</w:t>
            </w:r>
            <w:r w:rsidR="00204A4C">
              <w:rPr>
                <w:sz w:val="20"/>
              </w:rPr>
              <w:t>4</w:t>
            </w:r>
            <w:r>
              <w:rPr>
                <w:sz w:val="20"/>
              </w:rPr>
              <w:t xml:space="preserve">.1.9 </w:t>
            </w:r>
            <w:r w:rsidRPr="004A6BE1">
              <w:rPr>
                <w:sz w:val="20"/>
              </w:rPr>
              <w:t>Other information/comments?</w:t>
            </w:r>
            <w:bookmarkEnd w:id="125"/>
          </w:p>
          <w:p w14:paraId="1566ED14" w14:textId="77777777" w:rsidR="004A6BE1" w:rsidRPr="004A6BE1" w:rsidRDefault="004A6BE1" w:rsidP="004A6BE1"/>
          <w:p w14:paraId="28A1D509" w14:textId="4F42F738" w:rsidR="004A6BE1" w:rsidRPr="00C83AAA" w:rsidRDefault="004A6BE1" w:rsidP="00C83AAA">
            <w:pPr>
              <w:pStyle w:val="BodyText"/>
              <w:spacing w:after="120"/>
              <w:jc w:val="both"/>
              <w:rPr>
                <w:rFonts w:ascii="Arial" w:hAnsi="Arial"/>
                <w:b w:val="0"/>
                <w:bCs w:val="0"/>
                <w:sz w:val="20"/>
                <w:szCs w:val="20"/>
                <w:lang w:eastAsia="en-AU"/>
              </w:rPr>
            </w:pPr>
            <w:r w:rsidRPr="00C83AAA">
              <w:rPr>
                <w:rFonts w:ascii="Arial" w:hAnsi="Arial"/>
                <w:b w:val="0"/>
                <w:bCs w:val="0"/>
                <w:sz w:val="20"/>
                <w:szCs w:val="20"/>
                <w:lang w:eastAsia="en-AU"/>
              </w:rPr>
              <w:t>No</w:t>
            </w:r>
            <w:r w:rsidR="00C83AAA">
              <w:rPr>
                <w:rFonts w:ascii="Arial" w:hAnsi="Arial"/>
                <w:b w:val="0"/>
                <w:bCs w:val="0"/>
                <w:sz w:val="20"/>
                <w:szCs w:val="20"/>
                <w:lang w:eastAsia="en-AU"/>
              </w:rPr>
              <w:t>.</w:t>
            </w:r>
          </w:p>
          <w:p w14:paraId="637679A8" w14:textId="77777777" w:rsidR="00690A3A" w:rsidRDefault="00690A3A">
            <w:pPr>
              <w:rPr>
                <w:rFonts w:ascii="Arial" w:hAnsi="Arial"/>
              </w:rPr>
            </w:pPr>
          </w:p>
        </w:tc>
      </w:tr>
      <w:tr w:rsidR="00690A3A" w14:paraId="17718461" w14:textId="77777777" w:rsidTr="00E71774">
        <w:tc>
          <w:tcPr>
            <w:tcW w:w="9243" w:type="dxa"/>
            <w:tcBorders>
              <w:top w:val="single" w:sz="4" w:space="0" w:color="auto"/>
              <w:bottom w:val="single" w:sz="4" w:space="0" w:color="auto"/>
            </w:tcBorders>
          </w:tcPr>
          <w:p w14:paraId="77137F73" w14:textId="507AFE85" w:rsidR="004A6BE1" w:rsidRDefault="004A6BE1" w:rsidP="004A6BE1">
            <w:pPr>
              <w:pStyle w:val="Heading2"/>
              <w:ind w:left="0"/>
            </w:pPr>
            <w:bookmarkStart w:id="126" w:name="_Toc5611092"/>
            <w:bookmarkStart w:id="127" w:name="_Toc7770292"/>
            <w:bookmarkStart w:id="128" w:name="_Toc7787928"/>
            <w:r>
              <w:t>1</w:t>
            </w:r>
            <w:r w:rsidR="00204A4C">
              <w:t>4</w:t>
            </w:r>
            <w:r>
              <w:t>.2 Soils</w:t>
            </w:r>
            <w:bookmarkEnd w:id="126"/>
            <w:bookmarkEnd w:id="127"/>
            <w:bookmarkEnd w:id="128"/>
          </w:p>
          <w:p w14:paraId="420D6892" w14:textId="77777777" w:rsidR="00690A3A" w:rsidRDefault="00690A3A">
            <w:pPr>
              <w:rPr>
                <w:rFonts w:ascii="Arial" w:hAnsi="Arial"/>
              </w:rPr>
            </w:pPr>
          </w:p>
        </w:tc>
      </w:tr>
      <w:tr w:rsidR="00690A3A" w14:paraId="21182D2B" w14:textId="77777777" w:rsidTr="00E71774">
        <w:tc>
          <w:tcPr>
            <w:tcW w:w="9243" w:type="dxa"/>
            <w:tcBorders>
              <w:top w:val="single" w:sz="4" w:space="0" w:color="auto"/>
              <w:bottom w:val="single" w:sz="4" w:space="0" w:color="auto"/>
            </w:tcBorders>
          </w:tcPr>
          <w:p w14:paraId="78F040D2" w14:textId="52AEF29E" w:rsidR="004A6BE1" w:rsidRDefault="004A6BE1" w:rsidP="004A6BE1">
            <w:pPr>
              <w:pStyle w:val="Heading3"/>
              <w:rPr>
                <w:sz w:val="20"/>
              </w:rPr>
            </w:pPr>
            <w:bookmarkStart w:id="129" w:name="_Toc7770293"/>
            <w:r>
              <w:rPr>
                <w:sz w:val="20"/>
              </w:rPr>
              <w:lastRenderedPageBreak/>
              <w:t>1</w:t>
            </w:r>
            <w:r w:rsidR="00204A4C">
              <w:rPr>
                <w:sz w:val="20"/>
              </w:rPr>
              <w:t>4</w:t>
            </w:r>
            <w:r>
              <w:rPr>
                <w:sz w:val="20"/>
              </w:rPr>
              <w:t xml:space="preserve">.2.1 </w:t>
            </w:r>
            <w:r w:rsidRPr="004A6BE1">
              <w:rPr>
                <w:sz w:val="20"/>
              </w:rPr>
              <w:t>Is there a potential for effects on land stability, acid sulphate soils or highly erodible soils?</w:t>
            </w:r>
            <w:bookmarkEnd w:id="129"/>
            <w:r w:rsidRPr="004A6BE1">
              <w:rPr>
                <w:sz w:val="20"/>
              </w:rPr>
              <w:t xml:space="preserve"> </w:t>
            </w:r>
          </w:p>
          <w:p w14:paraId="33F3B259" w14:textId="77777777" w:rsidR="004A6BE1" w:rsidRPr="004A6BE1" w:rsidRDefault="004A6BE1" w:rsidP="004A6BE1"/>
          <w:p w14:paraId="69A47820" w14:textId="77777777" w:rsidR="0087083E" w:rsidRPr="00EC6C73" w:rsidRDefault="0087083E" w:rsidP="0087083E">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77271FBC" w14:textId="77777777" w:rsidR="0087083E" w:rsidRDefault="0087083E" w:rsidP="00C83AAA">
            <w:pPr>
              <w:pStyle w:val="BodyText"/>
              <w:spacing w:after="120"/>
              <w:jc w:val="both"/>
              <w:rPr>
                <w:rFonts w:ascii="Arial" w:hAnsi="Arial"/>
                <w:b w:val="0"/>
                <w:bCs w:val="0"/>
                <w:sz w:val="20"/>
                <w:szCs w:val="20"/>
                <w:lang w:eastAsia="en-AU"/>
              </w:rPr>
            </w:pPr>
          </w:p>
          <w:p w14:paraId="270DD620" w14:textId="7D102C93" w:rsidR="00FF24CB" w:rsidRPr="00C83AAA" w:rsidRDefault="00FF24CB" w:rsidP="00C83AAA">
            <w:pPr>
              <w:pStyle w:val="BodyText"/>
              <w:spacing w:after="120"/>
              <w:jc w:val="both"/>
              <w:rPr>
                <w:rFonts w:ascii="Arial" w:hAnsi="Arial"/>
                <w:b w:val="0"/>
                <w:bCs w:val="0"/>
                <w:sz w:val="20"/>
                <w:szCs w:val="20"/>
                <w:lang w:eastAsia="en-AU"/>
              </w:rPr>
            </w:pPr>
            <w:r w:rsidRPr="00C83AAA">
              <w:rPr>
                <w:rFonts w:ascii="Arial" w:hAnsi="Arial"/>
                <w:b w:val="0"/>
                <w:bCs w:val="0"/>
                <w:sz w:val="20"/>
                <w:szCs w:val="20"/>
                <w:lang w:eastAsia="en-AU"/>
              </w:rPr>
              <w:t>Operations will involve the removal and stockpiling of topsoil, subsoil and overburden, placement of tailings into the starter TSF and in-pit voids, and the subsequent progressive replacement of overburden, subsoil and topsoil as the mine advances. Un-planned and un-controlled consolidation of tailings and replaced material in pits under rehabilitation has the potential to cause land stability issues.</w:t>
            </w:r>
          </w:p>
          <w:p w14:paraId="19C0FF54" w14:textId="6E79520B" w:rsidR="004A6BE1" w:rsidRPr="00C83AAA" w:rsidRDefault="00065204" w:rsidP="00C83AAA">
            <w:pPr>
              <w:pStyle w:val="BodyText"/>
              <w:spacing w:after="120"/>
              <w:jc w:val="both"/>
              <w:rPr>
                <w:rFonts w:ascii="Arial" w:hAnsi="Arial"/>
                <w:b w:val="0"/>
                <w:bCs w:val="0"/>
                <w:sz w:val="20"/>
                <w:szCs w:val="20"/>
                <w:lang w:eastAsia="en-AU"/>
              </w:rPr>
            </w:pPr>
            <w:r w:rsidRPr="00C83AAA">
              <w:rPr>
                <w:rFonts w:ascii="Arial" w:hAnsi="Arial"/>
                <w:b w:val="0"/>
                <w:bCs w:val="0"/>
                <w:sz w:val="20"/>
                <w:szCs w:val="20"/>
                <w:lang w:eastAsia="en-AU"/>
              </w:rPr>
              <w:t>Analysis of lithological</w:t>
            </w:r>
            <w:r w:rsidR="00527F88" w:rsidRPr="00C83AAA">
              <w:rPr>
                <w:rFonts w:ascii="Arial" w:hAnsi="Arial"/>
                <w:b w:val="0"/>
                <w:bCs w:val="0"/>
                <w:sz w:val="20"/>
                <w:szCs w:val="20"/>
                <w:lang w:eastAsia="en-AU"/>
              </w:rPr>
              <w:t xml:space="preserve"> samples</w:t>
            </w:r>
            <w:r w:rsidRPr="00C83AAA">
              <w:rPr>
                <w:rFonts w:ascii="Arial" w:hAnsi="Arial"/>
                <w:b w:val="0"/>
                <w:bCs w:val="0"/>
                <w:sz w:val="20"/>
                <w:szCs w:val="20"/>
                <w:lang w:eastAsia="en-AU"/>
              </w:rPr>
              <w:t xml:space="preserve"> undertaken for </w:t>
            </w:r>
            <w:r w:rsidR="004A6BE1" w:rsidRPr="00C83AAA">
              <w:rPr>
                <w:rFonts w:ascii="Arial" w:hAnsi="Arial"/>
                <w:b w:val="0"/>
                <w:bCs w:val="0"/>
                <w:sz w:val="20"/>
                <w:szCs w:val="20"/>
                <w:lang w:eastAsia="en-AU"/>
              </w:rPr>
              <w:t>the test pit provide</w:t>
            </w:r>
            <w:r w:rsidRPr="00C83AAA">
              <w:rPr>
                <w:rFonts w:ascii="Arial" w:hAnsi="Arial"/>
                <w:b w:val="0"/>
                <w:bCs w:val="0"/>
                <w:sz w:val="20"/>
                <w:szCs w:val="20"/>
                <w:lang w:eastAsia="en-AU"/>
              </w:rPr>
              <w:t>d</w:t>
            </w:r>
            <w:r w:rsidR="004A6BE1" w:rsidRPr="00C83AAA">
              <w:rPr>
                <w:rFonts w:ascii="Arial" w:hAnsi="Arial"/>
                <w:b w:val="0"/>
                <w:bCs w:val="0"/>
                <w:sz w:val="20"/>
                <w:szCs w:val="20"/>
                <w:lang w:eastAsia="en-AU"/>
              </w:rPr>
              <w:t xml:space="preserve"> no indication that acid </w:t>
            </w:r>
            <w:proofErr w:type="spellStart"/>
            <w:r w:rsidR="004A6BE1" w:rsidRPr="00C83AAA">
              <w:rPr>
                <w:rFonts w:ascii="Arial" w:hAnsi="Arial"/>
                <w:b w:val="0"/>
                <w:bCs w:val="0"/>
                <w:sz w:val="20"/>
                <w:szCs w:val="20"/>
                <w:lang w:eastAsia="en-AU"/>
              </w:rPr>
              <w:t>sulfate</w:t>
            </w:r>
            <w:proofErr w:type="spellEnd"/>
            <w:r w:rsidR="004A6BE1" w:rsidRPr="00C83AAA">
              <w:rPr>
                <w:rFonts w:ascii="Arial" w:hAnsi="Arial"/>
                <w:b w:val="0"/>
                <w:bCs w:val="0"/>
                <w:sz w:val="20"/>
                <w:szCs w:val="20"/>
                <w:lang w:eastAsia="en-AU"/>
              </w:rPr>
              <w:t xml:space="preserve"> soils or acid </w:t>
            </w:r>
            <w:proofErr w:type="spellStart"/>
            <w:r w:rsidR="004A6BE1" w:rsidRPr="00C83AAA">
              <w:rPr>
                <w:rFonts w:ascii="Arial" w:hAnsi="Arial"/>
                <w:b w:val="0"/>
                <w:bCs w:val="0"/>
                <w:sz w:val="20"/>
                <w:szCs w:val="20"/>
                <w:lang w:eastAsia="en-AU"/>
              </w:rPr>
              <w:t>sulfate</w:t>
            </w:r>
            <w:proofErr w:type="spellEnd"/>
            <w:r w:rsidR="004A6BE1" w:rsidRPr="00C83AAA">
              <w:rPr>
                <w:rFonts w:ascii="Arial" w:hAnsi="Arial"/>
                <w:b w:val="0"/>
                <w:bCs w:val="0"/>
                <w:sz w:val="20"/>
                <w:szCs w:val="20"/>
                <w:lang w:eastAsia="en-AU"/>
              </w:rPr>
              <w:t xml:space="preserve"> rock occur (Jacobs 2018b). </w:t>
            </w:r>
            <w:r w:rsidRPr="00C83AAA">
              <w:rPr>
                <w:rFonts w:ascii="Arial" w:hAnsi="Arial"/>
                <w:b w:val="0"/>
                <w:bCs w:val="0"/>
                <w:sz w:val="20"/>
                <w:szCs w:val="20"/>
                <w:lang w:eastAsia="en-AU"/>
              </w:rPr>
              <w:t xml:space="preserve">Groundwater samples undertaken during and following test pit dewatering also show no indication of acid sulphate soils being present. </w:t>
            </w:r>
            <w:r w:rsidR="0010213F" w:rsidRPr="00C83AAA">
              <w:rPr>
                <w:rFonts w:ascii="Arial" w:hAnsi="Arial"/>
                <w:b w:val="0"/>
                <w:bCs w:val="0"/>
                <w:sz w:val="20"/>
                <w:szCs w:val="20"/>
                <w:lang w:eastAsia="en-AU"/>
              </w:rPr>
              <w:t>Further geochemical assessments are proposed during 2019.</w:t>
            </w:r>
          </w:p>
          <w:p w14:paraId="1C0FF383" w14:textId="44B5F187" w:rsidR="004A6BE1" w:rsidRPr="00C83AAA" w:rsidRDefault="004D37D4" w:rsidP="00C83AAA">
            <w:pPr>
              <w:pStyle w:val="BodyText"/>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The </w:t>
            </w:r>
            <w:r w:rsidR="00D02516" w:rsidRPr="00C83AAA">
              <w:rPr>
                <w:rFonts w:ascii="Arial" w:hAnsi="Arial"/>
                <w:b w:val="0"/>
                <w:bCs w:val="0"/>
                <w:sz w:val="20"/>
                <w:szCs w:val="20"/>
                <w:lang w:eastAsia="en-AU"/>
              </w:rPr>
              <w:t>Project</w:t>
            </w:r>
            <w:r w:rsidRPr="00C83AAA">
              <w:rPr>
                <w:rFonts w:ascii="Arial" w:hAnsi="Arial"/>
                <w:b w:val="0"/>
                <w:bCs w:val="0"/>
                <w:sz w:val="20"/>
                <w:szCs w:val="20"/>
                <w:lang w:eastAsia="en-AU"/>
              </w:rPr>
              <w:t xml:space="preserve"> site is characterised by gentle slopes, and no significant erosional features are evident. Open disturbed areas associated with the operational site, including mine pits, ramps, stockpiles and roads, will be designed to minimise the potential for erosion, and accommodate predicted climate change rainfall patterns. </w:t>
            </w:r>
            <w:r w:rsidR="004A6BE1" w:rsidRPr="00C83AAA">
              <w:rPr>
                <w:rFonts w:ascii="Arial" w:hAnsi="Arial"/>
                <w:b w:val="0"/>
                <w:bCs w:val="0"/>
                <w:sz w:val="20"/>
                <w:szCs w:val="20"/>
                <w:lang w:eastAsia="en-AU"/>
              </w:rPr>
              <w:t xml:space="preserve">Mined areas will be progressively restored and rehabilitated as the mine advances, with the aim of restoring the land capability to be equivalent to the pre-mining capability, or other end use as agreed with the landowner and regulator. Vegetation will be reinstated following placement of mining by-products, overburden, subsoil and topsoil. </w:t>
            </w:r>
          </w:p>
          <w:p w14:paraId="61BD22CA" w14:textId="2659E0EB" w:rsidR="004A6BE1" w:rsidRPr="00C83AAA" w:rsidRDefault="004A6BE1" w:rsidP="00C83AAA">
            <w:pPr>
              <w:pStyle w:val="BodyText"/>
              <w:spacing w:after="120"/>
              <w:jc w:val="both"/>
              <w:rPr>
                <w:rFonts w:ascii="Arial" w:hAnsi="Arial"/>
                <w:b w:val="0"/>
                <w:bCs w:val="0"/>
                <w:sz w:val="20"/>
                <w:szCs w:val="20"/>
                <w:lang w:eastAsia="en-AU"/>
              </w:rPr>
            </w:pPr>
            <w:r w:rsidRPr="00C83AAA">
              <w:rPr>
                <w:rFonts w:ascii="Arial" w:hAnsi="Arial"/>
                <w:b w:val="0"/>
                <w:bCs w:val="0"/>
                <w:sz w:val="20"/>
                <w:szCs w:val="20"/>
                <w:lang w:eastAsia="en-AU"/>
              </w:rPr>
              <w:t>A baseline soil assessment is currently in progress and a soil and landscape impact assessment will also be undertaken including an assessment on land stability, erosion</w:t>
            </w:r>
            <w:r w:rsidR="00FD1C75" w:rsidRPr="00C83AAA">
              <w:rPr>
                <w:rFonts w:ascii="Arial" w:hAnsi="Arial"/>
                <w:b w:val="0"/>
                <w:bCs w:val="0"/>
                <w:sz w:val="20"/>
                <w:szCs w:val="20"/>
                <w:lang w:eastAsia="en-AU"/>
              </w:rPr>
              <w:t xml:space="preserve"> </w:t>
            </w:r>
            <w:r w:rsidRPr="00C83AAA">
              <w:rPr>
                <w:rFonts w:ascii="Arial" w:hAnsi="Arial"/>
                <w:b w:val="0"/>
                <w:bCs w:val="0"/>
                <w:sz w:val="20"/>
                <w:szCs w:val="20"/>
                <w:lang w:eastAsia="en-AU"/>
              </w:rPr>
              <w:t xml:space="preserve">and potential rehabilitation issues. </w:t>
            </w:r>
          </w:p>
          <w:p w14:paraId="2FEC8E34" w14:textId="77777777" w:rsidR="00690A3A" w:rsidRDefault="00690A3A">
            <w:pPr>
              <w:rPr>
                <w:rFonts w:ascii="Arial" w:hAnsi="Arial"/>
              </w:rPr>
            </w:pPr>
          </w:p>
        </w:tc>
      </w:tr>
      <w:tr w:rsidR="00690A3A" w14:paraId="1863D8A1" w14:textId="77777777" w:rsidTr="00FD555F">
        <w:tc>
          <w:tcPr>
            <w:tcW w:w="9243" w:type="dxa"/>
            <w:tcBorders>
              <w:top w:val="single" w:sz="4" w:space="0" w:color="auto"/>
              <w:bottom w:val="single" w:sz="4" w:space="0" w:color="auto"/>
            </w:tcBorders>
          </w:tcPr>
          <w:p w14:paraId="3789A104" w14:textId="0725AEEB" w:rsidR="004A6BE1" w:rsidRDefault="004A6BE1" w:rsidP="004A6BE1">
            <w:pPr>
              <w:pStyle w:val="Heading3"/>
              <w:rPr>
                <w:sz w:val="20"/>
              </w:rPr>
            </w:pPr>
            <w:bookmarkStart w:id="130" w:name="_Toc7770294"/>
            <w:r>
              <w:rPr>
                <w:sz w:val="20"/>
              </w:rPr>
              <w:t>1</w:t>
            </w:r>
            <w:r w:rsidR="00204A4C">
              <w:rPr>
                <w:sz w:val="20"/>
              </w:rPr>
              <w:t>4</w:t>
            </w:r>
            <w:r>
              <w:rPr>
                <w:sz w:val="20"/>
              </w:rPr>
              <w:t xml:space="preserve">.2.2 </w:t>
            </w:r>
            <w:r w:rsidRPr="004A6BE1">
              <w:rPr>
                <w:sz w:val="20"/>
              </w:rPr>
              <w:t>Are there geotechnical hazards that may either affect the Project or be affected by it?</w:t>
            </w:r>
            <w:bookmarkEnd w:id="130"/>
            <w:r w:rsidRPr="004A6BE1">
              <w:rPr>
                <w:sz w:val="20"/>
              </w:rPr>
              <w:t xml:space="preserve"> </w:t>
            </w:r>
          </w:p>
          <w:p w14:paraId="35F2DA7D" w14:textId="77777777" w:rsidR="004A6BE1" w:rsidRPr="004A6BE1" w:rsidRDefault="004A6BE1" w:rsidP="004A6BE1"/>
          <w:p w14:paraId="708B0F4A" w14:textId="77777777" w:rsidR="0087083E" w:rsidRPr="00EC6C73" w:rsidRDefault="0087083E" w:rsidP="0087083E">
            <w:pPr>
              <w:pStyle w:val="BodyText"/>
              <w:jc w:val="both"/>
              <w:rPr>
                <w:rFonts w:ascii="Arial" w:hAnsi="Arial"/>
                <w:b w:val="0"/>
                <w:bCs w:val="0"/>
                <w:sz w:val="20"/>
                <w:szCs w:val="20"/>
                <w:lang w:eastAsia="en-AU"/>
              </w:rPr>
            </w:pPr>
            <w:r w:rsidRPr="0087083E">
              <w:rPr>
                <w:rFonts w:ascii="Arial" w:hAnsi="Arial"/>
                <w:b w:val="0"/>
                <w:bCs w:val="0"/>
                <w:color w:val="000000" w:themeColor="text1"/>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87083E">
              <w:rPr>
                <w:rFonts w:ascii="Arial" w:hAnsi="Arial"/>
                <w:b w:val="0"/>
                <w:bCs w:val="0"/>
                <w:color w:val="E7E6E6" w:themeColor="background2"/>
                <w:sz w:val="20"/>
                <w:szCs w:val="20"/>
                <w:lang w:eastAsia="en-AU"/>
              </w:rPr>
              <w:sym w:font="Webdings" w:char="F072"/>
            </w:r>
            <w:r w:rsidRPr="00EC6C73">
              <w:rPr>
                <w:rFonts w:ascii="Arial" w:hAnsi="Arial"/>
                <w:b w:val="0"/>
                <w:bCs w:val="0"/>
                <w:sz w:val="20"/>
                <w:szCs w:val="20"/>
                <w:lang w:eastAsia="en-AU"/>
              </w:rPr>
              <w:t xml:space="preserve">  Yes   </w:t>
            </w:r>
          </w:p>
          <w:p w14:paraId="3F343776" w14:textId="77777777" w:rsidR="0087083E" w:rsidRDefault="0087083E" w:rsidP="00AB6594">
            <w:pPr>
              <w:pStyle w:val="BodyText"/>
              <w:spacing w:after="120"/>
              <w:jc w:val="both"/>
              <w:rPr>
                <w:rFonts w:ascii="Arial" w:hAnsi="Arial"/>
                <w:b w:val="0"/>
                <w:bCs w:val="0"/>
                <w:sz w:val="20"/>
                <w:szCs w:val="20"/>
                <w:lang w:eastAsia="en-AU"/>
              </w:rPr>
            </w:pPr>
          </w:p>
          <w:p w14:paraId="779117D6" w14:textId="21D68EE2" w:rsidR="00D60B6F" w:rsidRDefault="004A6BE1" w:rsidP="00AB6594">
            <w:pPr>
              <w:pStyle w:val="BodyText"/>
              <w:spacing w:after="120"/>
              <w:jc w:val="both"/>
              <w:rPr>
                <w:rFonts w:ascii="Arial" w:hAnsi="Arial"/>
                <w:b w:val="0"/>
                <w:bCs w:val="0"/>
                <w:sz w:val="20"/>
                <w:szCs w:val="20"/>
                <w:lang w:eastAsia="en-AU"/>
              </w:rPr>
            </w:pPr>
            <w:r w:rsidRPr="004A6BE1">
              <w:rPr>
                <w:rFonts w:ascii="Arial" w:hAnsi="Arial"/>
                <w:b w:val="0"/>
                <w:bCs w:val="0"/>
                <w:sz w:val="20"/>
                <w:szCs w:val="20"/>
                <w:lang w:eastAsia="en-AU"/>
              </w:rPr>
              <w:t>No</w:t>
            </w:r>
            <w:r w:rsidR="00A30A96">
              <w:rPr>
                <w:rFonts w:ascii="Arial" w:hAnsi="Arial"/>
                <w:b w:val="0"/>
                <w:bCs w:val="0"/>
                <w:sz w:val="20"/>
                <w:szCs w:val="20"/>
                <w:lang w:eastAsia="en-AU"/>
              </w:rPr>
              <w:t xml:space="preserve"> geotechnical hazards have been identified to date</w:t>
            </w:r>
            <w:r w:rsidR="00D60B6F">
              <w:rPr>
                <w:rFonts w:ascii="Arial" w:hAnsi="Arial"/>
                <w:b w:val="0"/>
                <w:bCs w:val="0"/>
                <w:sz w:val="20"/>
                <w:szCs w:val="20"/>
                <w:lang w:eastAsia="en-AU"/>
              </w:rPr>
              <w:t>.</w:t>
            </w:r>
          </w:p>
          <w:p w14:paraId="5FCB199D" w14:textId="7FD750C9" w:rsidR="00D60B6F" w:rsidRDefault="00D60B6F" w:rsidP="00AB6594">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 xml:space="preserve">The program of geotechnical investigations for the project </w:t>
            </w:r>
            <w:r w:rsidR="00EF29D6">
              <w:rPr>
                <w:rFonts w:ascii="Arial" w:hAnsi="Arial"/>
                <w:b w:val="0"/>
                <w:bCs w:val="0"/>
                <w:sz w:val="20"/>
                <w:szCs w:val="20"/>
                <w:lang w:eastAsia="en-AU"/>
              </w:rPr>
              <w:t xml:space="preserve">seeks to identify and quantify the geotechnical properties of soil and lithological materials at the project site, and </w:t>
            </w:r>
            <w:r>
              <w:rPr>
                <w:rFonts w:ascii="Arial" w:hAnsi="Arial"/>
                <w:b w:val="0"/>
                <w:bCs w:val="0"/>
                <w:sz w:val="20"/>
                <w:szCs w:val="20"/>
                <w:lang w:eastAsia="en-AU"/>
              </w:rPr>
              <w:t>includes:</w:t>
            </w:r>
          </w:p>
          <w:p w14:paraId="414E3794" w14:textId="375BE83E" w:rsidR="00D60B6F" w:rsidRDefault="00D60B6F" w:rsidP="00C83AAA">
            <w:pPr>
              <w:pStyle w:val="BodyText"/>
              <w:numPr>
                <w:ilvl w:val="0"/>
                <w:numId w:val="57"/>
              </w:numPr>
              <w:spacing w:after="120"/>
              <w:jc w:val="both"/>
              <w:rPr>
                <w:rFonts w:ascii="Arial" w:hAnsi="Arial"/>
                <w:b w:val="0"/>
                <w:bCs w:val="0"/>
                <w:sz w:val="20"/>
                <w:szCs w:val="20"/>
                <w:lang w:eastAsia="en-AU"/>
              </w:rPr>
            </w:pPr>
            <w:r>
              <w:rPr>
                <w:rFonts w:ascii="Arial" w:hAnsi="Arial"/>
                <w:b w:val="0"/>
                <w:bCs w:val="0"/>
                <w:sz w:val="20"/>
                <w:szCs w:val="20"/>
                <w:lang w:eastAsia="en-AU"/>
              </w:rPr>
              <w:t xml:space="preserve">PQ3 diamond core drilling </w:t>
            </w:r>
            <w:r w:rsidR="00EF29D6">
              <w:rPr>
                <w:rFonts w:ascii="Arial" w:hAnsi="Arial"/>
                <w:b w:val="0"/>
                <w:bCs w:val="0"/>
                <w:sz w:val="20"/>
                <w:szCs w:val="20"/>
                <w:lang w:eastAsia="en-AU"/>
              </w:rPr>
              <w:t xml:space="preserve">to obtain sample material for laboratory testing </w:t>
            </w:r>
            <w:r>
              <w:rPr>
                <w:rFonts w:ascii="Arial" w:hAnsi="Arial"/>
                <w:b w:val="0"/>
                <w:bCs w:val="0"/>
                <w:sz w:val="20"/>
                <w:szCs w:val="20"/>
                <w:lang w:eastAsia="en-AU"/>
              </w:rPr>
              <w:t>(</w:t>
            </w:r>
            <w:r w:rsidR="00EF29D6">
              <w:rPr>
                <w:rFonts w:ascii="Arial" w:hAnsi="Arial"/>
                <w:b w:val="0"/>
                <w:bCs w:val="0"/>
                <w:sz w:val="20"/>
                <w:szCs w:val="20"/>
                <w:lang w:eastAsia="en-AU"/>
              </w:rPr>
              <w:t xml:space="preserve">drilling </w:t>
            </w:r>
            <w:r>
              <w:rPr>
                <w:rFonts w:ascii="Arial" w:hAnsi="Arial"/>
                <w:b w:val="0"/>
                <w:bCs w:val="0"/>
                <w:sz w:val="20"/>
                <w:szCs w:val="20"/>
                <w:lang w:eastAsia="en-AU"/>
              </w:rPr>
              <w:t>completed April 2019);</w:t>
            </w:r>
          </w:p>
          <w:p w14:paraId="5BE96013" w14:textId="39D74301" w:rsidR="00EF29D6" w:rsidRDefault="00C83AAA" w:rsidP="00C83AAA">
            <w:pPr>
              <w:pStyle w:val="BodyText"/>
              <w:numPr>
                <w:ilvl w:val="0"/>
                <w:numId w:val="57"/>
              </w:numPr>
              <w:spacing w:after="120"/>
              <w:jc w:val="both"/>
              <w:rPr>
                <w:rFonts w:ascii="Arial" w:hAnsi="Arial"/>
                <w:b w:val="0"/>
                <w:bCs w:val="0"/>
                <w:sz w:val="20"/>
                <w:szCs w:val="20"/>
                <w:lang w:eastAsia="en-AU"/>
              </w:rPr>
            </w:pPr>
            <w:r>
              <w:rPr>
                <w:rFonts w:ascii="Arial" w:hAnsi="Arial"/>
                <w:b w:val="0"/>
                <w:bCs w:val="0"/>
                <w:sz w:val="20"/>
                <w:szCs w:val="20"/>
                <w:lang w:eastAsia="en-AU"/>
              </w:rPr>
              <w:t>e</w:t>
            </w:r>
            <w:r w:rsidR="00EF29D6">
              <w:rPr>
                <w:rFonts w:ascii="Arial" w:hAnsi="Arial"/>
                <w:b w:val="0"/>
                <w:bCs w:val="0"/>
                <w:sz w:val="20"/>
                <w:szCs w:val="20"/>
                <w:lang w:eastAsia="en-AU"/>
              </w:rPr>
              <w:t xml:space="preserve">lectric Cone Penetrometer Test (CPT) to determine cone tip </w:t>
            </w:r>
            <w:r>
              <w:rPr>
                <w:rFonts w:ascii="Arial" w:hAnsi="Arial"/>
                <w:b w:val="0"/>
                <w:bCs w:val="0"/>
                <w:sz w:val="20"/>
                <w:szCs w:val="20"/>
                <w:lang w:eastAsia="en-AU"/>
              </w:rPr>
              <w:t>resistance</w:t>
            </w:r>
            <w:r w:rsidR="00EF29D6">
              <w:rPr>
                <w:rFonts w:ascii="Arial" w:hAnsi="Arial"/>
                <w:b w:val="0"/>
                <w:bCs w:val="0"/>
                <w:sz w:val="20"/>
                <w:szCs w:val="20"/>
                <w:lang w:eastAsia="en-AU"/>
              </w:rPr>
              <w:t xml:space="preserve">, sleeve </w:t>
            </w:r>
            <w:r>
              <w:rPr>
                <w:rFonts w:ascii="Arial" w:hAnsi="Arial"/>
                <w:b w:val="0"/>
                <w:bCs w:val="0"/>
                <w:sz w:val="20"/>
                <w:szCs w:val="20"/>
                <w:lang w:eastAsia="en-AU"/>
              </w:rPr>
              <w:t>resistance</w:t>
            </w:r>
            <w:r w:rsidR="00EF29D6">
              <w:rPr>
                <w:rFonts w:ascii="Arial" w:hAnsi="Arial"/>
                <w:b w:val="0"/>
                <w:bCs w:val="0"/>
                <w:sz w:val="20"/>
                <w:szCs w:val="20"/>
                <w:lang w:eastAsia="en-AU"/>
              </w:rPr>
              <w:t xml:space="preserve"> and pore pressure (completed April 2019); and</w:t>
            </w:r>
          </w:p>
          <w:p w14:paraId="75249F3B" w14:textId="2DE6D2FB" w:rsidR="00EF29D6" w:rsidRDefault="00C83AAA" w:rsidP="00C83AAA">
            <w:pPr>
              <w:pStyle w:val="BodyText"/>
              <w:numPr>
                <w:ilvl w:val="0"/>
                <w:numId w:val="57"/>
              </w:numPr>
              <w:spacing w:after="120"/>
              <w:jc w:val="both"/>
              <w:rPr>
                <w:rFonts w:ascii="Arial" w:hAnsi="Arial"/>
                <w:b w:val="0"/>
                <w:bCs w:val="0"/>
                <w:sz w:val="20"/>
                <w:szCs w:val="20"/>
                <w:lang w:eastAsia="en-AU"/>
              </w:rPr>
            </w:pPr>
            <w:r>
              <w:rPr>
                <w:rFonts w:ascii="Arial" w:hAnsi="Arial"/>
                <w:b w:val="0"/>
                <w:bCs w:val="0"/>
                <w:sz w:val="20"/>
                <w:szCs w:val="20"/>
                <w:lang w:eastAsia="en-AU"/>
              </w:rPr>
              <w:t>g</w:t>
            </w:r>
            <w:r w:rsidR="00EF29D6">
              <w:rPr>
                <w:rFonts w:ascii="Arial" w:hAnsi="Arial"/>
                <w:b w:val="0"/>
                <w:bCs w:val="0"/>
                <w:sz w:val="20"/>
                <w:szCs w:val="20"/>
                <w:lang w:eastAsia="en-AU"/>
              </w:rPr>
              <w:t>eotechnical test pits to obtain samples for laboratory testing (proposed in the second half of 2019).</w:t>
            </w:r>
          </w:p>
          <w:p w14:paraId="01B85A10" w14:textId="6F89B692" w:rsidR="00690A3A" w:rsidRDefault="00EF29D6" w:rsidP="00EF29D6">
            <w:pPr>
              <w:pStyle w:val="BodyText"/>
              <w:spacing w:after="120"/>
              <w:jc w:val="both"/>
              <w:rPr>
                <w:rFonts w:ascii="Arial" w:hAnsi="Arial"/>
              </w:rPr>
            </w:pPr>
            <w:r>
              <w:rPr>
                <w:rFonts w:ascii="Arial" w:hAnsi="Arial"/>
                <w:b w:val="0"/>
                <w:bCs w:val="0"/>
                <w:sz w:val="20"/>
                <w:szCs w:val="20"/>
                <w:lang w:eastAsia="en-AU"/>
              </w:rPr>
              <w:t>The design of mine pits and infrastructure foundations will be informed by the results of the geotechnical investigations, and a</w:t>
            </w:r>
            <w:r w:rsidR="004A6BE1" w:rsidRPr="004A6BE1">
              <w:rPr>
                <w:rFonts w:ascii="Arial" w:hAnsi="Arial"/>
                <w:b w:val="0"/>
                <w:bCs w:val="0"/>
                <w:sz w:val="20"/>
                <w:szCs w:val="20"/>
                <w:lang w:eastAsia="en-AU"/>
              </w:rPr>
              <w:t xml:space="preserve"> geotechnical impact assessment </w:t>
            </w:r>
            <w:r>
              <w:rPr>
                <w:rFonts w:ascii="Arial" w:hAnsi="Arial"/>
                <w:b w:val="0"/>
                <w:bCs w:val="0"/>
                <w:sz w:val="20"/>
                <w:szCs w:val="20"/>
                <w:lang w:eastAsia="en-AU"/>
              </w:rPr>
              <w:t xml:space="preserve">that </w:t>
            </w:r>
            <w:r w:rsidR="004A6BE1" w:rsidRPr="004A6BE1">
              <w:rPr>
                <w:rFonts w:ascii="Arial" w:hAnsi="Arial"/>
                <w:b w:val="0"/>
                <w:bCs w:val="0"/>
                <w:sz w:val="20"/>
                <w:szCs w:val="20"/>
                <w:lang w:eastAsia="en-AU"/>
              </w:rPr>
              <w:t>will be undertaken</w:t>
            </w:r>
            <w:r w:rsidR="00A30A96">
              <w:rPr>
                <w:rFonts w:ascii="Arial" w:hAnsi="Arial"/>
                <w:b w:val="0"/>
                <w:bCs w:val="0"/>
                <w:sz w:val="20"/>
                <w:szCs w:val="20"/>
                <w:lang w:eastAsia="en-AU"/>
              </w:rPr>
              <w:t xml:space="preserve"> for the Project</w:t>
            </w:r>
            <w:r w:rsidR="004A6BE1" w:rsidRPr="004A6BE1">
              <w:rPr>
                <w:rFonts w:ascii="Arial" w:hAnsi="Arial"/>
                <w:b w:val="0"/>
                <w:bCs w:val="0"/>
                <w:sz w:val="20"/>
                <w:szCs w:val="20"/>
                <w:lang w:eastAsia="en-AU"/>
              </w:rPr>
              <w:t>.</w:t>
            </w:r>
          </w:p>
        </w:tc>
      </w:tr>
      <w:tr w:rsidR="00690A3A" w14:paraId="091EC84E" w14:textId="77777777" w:rsidTr="00E71774">
        <w:tc>
          <w:tcPr>
            <w:tcW w:w="9243" w:type="dxa"/>
            <w:tcBorders>
              <w:top w:val="single" w:sz="4" w:space="0" w:color="auto"/>
              <w:bottom w:val="single" w:sz="4" w:space="0" w:color="auto"/>
            </w:tcBorders>
          </w:tcPr>
          <w:p w14:paraId="497A5089" w14:textId="5AEC5904" w:rsidR="004A6BE1" w:rsidRPr="004A6BE1" w:rsidRDefault="004A6BE1" w:rsidP="004A6BE1">
            <w:pPr>
              <w:pStyle w:val="Heading3"/>
              <w:keepLines/>
              <w:numPr>
                <w:ilvl w:val="2"/>
                <w:numId w:val="0"/>
              </w:numPr>
              <w:spacing w:before="240" w:after="240"/>
              <w:ind w:left="851" w:hanging="851"/>
              <w:jc w:val="both"/>
              <w:rPr>
                <w:sz w:val="20"/>
              </w:rPr>
            </w:pPr>
            <w:bookmarkStart w:id="131" w:name="_Toc7770295"/>
            <w:r>
              <w:rPr>
                <w:sz w:val="20"/>
              </w:rPr>
              <w:t>1</w:t>
            </w:r>
            <w:r w:rsidR="00204A4C">
              <w:rPr>
                <w:sz w:val="20"/>
              </w:rPr>
              <w:t>4</w:t>
            </w:r>
            <w:r>
              <w:rPr>
                <w:sz w:val="20"/>
              </w:rPr>
              <w:t xml:space="preserve">.2.3 </w:t>
            </w:r>
            <w:r w:rsidRPr="004A6BE1">
              <w:rPr>
                <w:sz w:val="20"/>
              </w:rPr>
              <w:t>Other information/comments?</w:t>
            </w:r>
            <w:bookmarkEnd w:id="131"/>
          </w:p>
          <w:p w14:paraId="1B724070" w14:textId="5BFDC45B" w:rsidR="00690A3A" w:rsidRDefault="004A6BE1" w:rsidP="00FD555F">
            <w:pPr>
              <w:pStyle w:val="BodyText"/>
              <w:jc w:val="both"/>
              <w:rPr>
                <w:rFonts w:ascii="Arial" w:hAnsi="Arial"/>
              </w:rPr>
            </w:pPr>
            <w:r w:rsidRPr="004A6BE1">
              <w:rPr>
                <w:rFonts w:ascii="Arial" w:hAnsi="Arial"/>
                <w:b w:val="0"/>
                <w:bCs w:val="0"/>
                <w:sz w:val="20"/>
                <w:szCs w:val="20"/>
                <w:lang w:eastAsia="en-AU"/>
              </w:rPr>
              <w:t xml:space="preserve">Not applicable. </w:t>
            </w:r>
          </w:p>
        </w:tc>
      </w:tr>
      <w:tr w:rsidR="00690A3A" w14:paraId="1D534A82" w14:textId="77777777" w:rsidTr="00E71774">
        <w:tc>
          <w:tcPr>
            <w:tcW w:w="9243" w:type="dxa"/>
            <w:tcBorders>
              <w:top w:val="single" w:sz="4" w:space="0" w:color="auto"/>
              <w:bottom w:val="single" w:sz="4" w:space="0" w:color="auto"/>
            </w:tcBorders>
          </w:tcPr>
          <w:p w14:paraId="28C49F71" w14:textId="392DD612" w:rsidR="00FD555F" w:rsidRPr="00FD555F" w:rsidRDefault="00FD555F" w:rsidP="004A6BE1">
            <w:pPr>
              <w:pStyle w:val="Heading2"/>
              <w:keepLines/>
              <w:numPr>
                <w:ilvl w:val="1"/>
                <w:numId w:val="0"/>
              </w:numPr>
              <w:tabs>
                <w:tab w:val="clear" w:pos="2904"/>
                <w:tab w:val="clear" w:pos="3907"/>
                <w:tab w:val="clear" w:pos="4910"/>
                <w:tab w:val="clear" w:pos="5913"/>
                <w:tab w:val="clear" w:pos="6916"/>
              </w:tabs>
              <w:spacing w:before="240" w:after="240"/>
              <w:ind w:left="851" w:hanging="851"/>
              <w:jc w:val="both"/>
              <w:rPr>
                <w:bCs/>
              </w:rPr>
            </w:pPr>
            <w:bookmarkStart w:id="132" w:name="_Toc5611093"/>
            <w:bookmarkStart w:id="133" w:name="_Toc7770296"/>
            <w:bookmarkStart w:id="134" w:name="_Toc7787929"/>
            <w:bookmarkStart w:id="135" w:name="_Toc8384825"/>
            <w:bookmarkStart w:id="136" w:name="_Toc7770297"/>
            <w:r w:rsidRPr="00FD555F">
              <w:rPr>
                <w:bCs/>
                <w:sz w:val="22"/>
                <w:szCs w:val="22"/>
              </w:rPr>
              <w:lastRenderedPageBreak/>
              <w:t>1</w:t>
            </w:r>
            <w:r w:rsidR="00204A4C">
              <w:rPr>
                <w:bCs/>
                <w:sz w:val="22"/>
                <w:szCs w:val="22"/>
              </w:rPr>
              <w:t>5</w:t>
            </w:r>
            <w:r w:rsidRPr="00FD555F">
              <w:rPr>
                <w:bCs/>
                <w:sz w:val="22"/>
                <w:szCs w:val="22"/>
              </w:rPr>
              <w:t xml:space="preserve"> Social environments</w:t>
            </w:r>
            <w:bookmarkEnd w:id="132"/>
            <w:bookmarkEnd w:id="133"/>
            <w:bookmarkEnd w:id="134"/>
            <w:bookmarkEnd w:id="135"/>
          </w:p>
          <w:p w14:paraId="2BB07958" w14:textId="22CF5092" w:rsidR="004A6BE1" w:rsidRDefault="004A6BE1" w:rsidP="004A6BE1">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r>
              <w:t>1</w:t>
            </w:r>
            <w:r w:rsidR="00204A4C">
              <w:t>5</w:t>
            </w:r>
            <w:r>
              <w:t>.1 Is the Project likely to generate significant volumes of road traffic, during construction or operation?</w:t>
            </w:r>
            <w:bookmarkEnd w:id="136"/>
          </w:p>
          <w:p w14:paraId="0F0CFD8D" w14:textId="77777777" w:rsidR="00587D13" w:rsidRPr="00EC6C73" w:rsidRDefault="00587D13" w:rsidP="00587D13">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26D9CE38" w14:textId="77777777" w:rsidR="00587D13" w:rsidRDefault="00587D13" w:rsidP="004A6BE1">
            <w:pPr>
              <w:spacing w:after="120"/>
              <w:jc w:val="both"/>
              <w:rPr>
                <w:rFonts w:ascii="Arial" w:hAnsi="Arial"/>
              </w:rPr>
            </w:pPr>
          </w:p>
          <w:p w14:paraId="2C2BFCA3" w14:textId="1F5E84A1" w:rsidR="004A6BE1" w:rsidRPr="004A6BE1" w:rsidRDefault="00587D13" w:rsidP="004A6BE1">
            <w:pPr>
              <w:spacing w:after="120"/>
              <w:jc w:val="both"/>
              <w:rPr>
                <w:rFonts w:ascii="Arial" w:hAnsi="Arial"/>
              </w:rPr>
            </w:pPr>
            <w:r>
              <w:rPr>
                <w:rFonts w:ascii="Arial" w:hAnsi="Arial"/>
              </w:rPr>
              <w:t>T</w:t>
            </w:r>
            <w:r w:rsidR="004A6BE1" w:rsidRPr="004A6BE1">
              <w:rPr>
                <w:rFonts w:ascii="Arial" w:hAnsi="Arial"/>
              </w:rPr>
              <w:t>he Project will generate significant volumes of road traffic during its construction and operation, including light, heavy and oversize and over mass vehicles. The majority of oversized and over mass vehicle movements will occur during the construction phase and will largely comprise delivery of construction materials, large tyres, plant and parts for the mining fleet. Delivery of large tyres and other parts will also be required during the operations phase, to a lesser extent.</w:t>
            </w:r>
          </w:p>
          <w:p w14:paraId="2E87C09F" w14:textId="2B38AF9F" w:rsidR="004A6BE1" w:rsidRPr="004A6BE1" w:rsidRDefault="00D60B6F" w:rsidP="004A6BE1">
            <w:pPr>
              <w:spacing w:after="120"/>
              <w:jc w:val="both"/>
              <w:rPr>
                <w:rFonts w:ascii="Arial" w:hAnsi="Arial"/>
              </w:rPr>
            </w:pPr>
            <w:bookmarkStart w:id="137" w:name="_Hlk5860804"/>
            <w:r>
              <w:rPr>
                <w:rFonts w:ascii="Arial" w:hAnsi="Arial"/>
              </w:rPr>
              <w:t>A</w:t>
            </w:r>
            <w:r w:rsidR="004A6BE1" w:rsidRPr="004A6BE1">
              <w:rPr>
                <w:rFonts w:ascii="Arial" w:hAnsi="Arial"/>
              </w:rPr>
              <w:t xml:space="preserve">ll material extracted from the Project site will be processed </w:t>
            </w:r>
            <w:r w:rsidR="00D02516">
              <w:rPr>
                <w:rFonts w:ascii="Arial" w:hAnsi="Arial"/>
              </w:rPr>
              <w:t>onsite</w:t>
            </w:r>
            <w:r w:rsidR="004A6BE1" w:rsidRPr="004A6BE1">
              <w:rPr>
                <w:rFonts w:ascii="Arial" w:hAnsi="Arial"/>
              </w:rPr>
              <w:t xml:space="preserve"> and as a result, there will be no heavy vehicle haulage of ore from the Project site. During the operation phase the only heavy vehicle movements to and from the Project site will be for delivery of goods such as chemicals, gas bullets, plant and equipment</w:t>
            </w:r>
            <w:r>
              <w:rPr>
                <w:rFonts w:ascii="Arial" w:hAnsi="Arial"/>
              </w:rPr>
              <w:t>,</w:t>
            </w:r>
            <w:r w:rsidR="004A6BE1" w:rsidRPr="004A6BE1">
              <w:rPr>
                <w:rFonts w:ascii="Arial" w:hAnsi="Arial"/>
              </w:rPr>
              <w:t xml:space="preserve"> and transport of product from the site. </w:t>
            </w:r>
          </w:p>
          <w:bookmarkEnd w:id="137"/>
          <w:p w14:paraId="28F57193" w14:textId="77777777" w:rsidR="004A6BE1" w:rsidRPr="004A6BE1" w:rsidRDefault="004A6BE1" w:rsidP="004A6BE1">
            <w:pPr>
              <w:spacing w:after="120"/>
              <w:jc w:val="both"/>
              <w:rPr>
                <w:rFonts w:ascii="Arial" w:hAnsi="Arial"/>
              </w:rPr>
            </w:pPr>
            <w:r w:rsidRPr="004A6BE1">
              <w:rPr>
                <w:rFonts w:ascii="Arial" w:hAnsi="Arial"/>
              </w:rPr>
              <w:t xml:space="preserve">Other Project-related traffic will comprise employees and visitors, typically travelling in private vehicles. </w:t>
            </w:r>
          </w:p>
          <w:p w14:paraId="0AFABD24" w14:textId="1FD111ED" w:rsidR="00690A3A" w:rsidRPr="00C83AAA" w:rsidRDefault="00D27504" w:rsidP="00C83AAA">
            <w:pPr>
              <w:spacing w:after="120"/>
              <w:jc w:val="both"/>
              <w:rPr>
                <w:rFonts w:ascii="Arial" w:hAnsi="Arial"/>
              </w:rPr>
            </w:pPr>
            <w:r w:rsidRPr="00C83AAA">
              <w:rPr>
                <w:rFonts w:ascii="Arial" w:hAnsi="Arial"/>
              </w:rPr>
              <w:t xml:space="preserve">Baseline traffic assessments are planned during 2019 and will consider existing traffic volumes and existing road conditions. </w:t>
            </w:r>
            <w:r w:rsidR="004A6BE1" w:rsidRPr="00C83AAA">
              <w:rPr>
                <w:rFonts w:ascii="Arial" w:hAnsi="Arial"/>
              </w:rPr>
              <w:t>A traffic impact assessment</w:t>
            </w:r>
            <w:r w:rsidRPr="00C83AAA">
              <w:rPr>
                <w:rFonts w:ascii="Arial" w:hAnsi="Arial"/>
              </w:rPr>
              <w:t xml:space="preserve"> </w:t>
            </w:r>
            <w:r w:rsidR="004A6BE1" w:rsidRPr="00C83AAA">
              <w:rPr>
                <w:rFonts w:ascii="Arial" w:hAnsi="Arial"/>
              </w:rPr>
              <w:t xml:space="preserve">will be undertaken to identify potential traffic impacts during the construction phase and the operation phase, including increases in traffic volumes (by vehicle type, travel route, travel purpose and movement type). </w:t>
            </w:r>
            <w:r w:rsidRPr="00C83AAA">
              <w:rPr>
                <w:rFonts w:ascii="Arial" w:hAnsi="Arial"/>
              </w:rPr>
              <w:t>The impact assessment</w:t>
            </w:r>
            <w:r w:rsidR="004A6BE1" w:rsidRPr="00C83AAA">
              <w:rPr>
                <w:rFonts w:ascii="Arial" w:hAnsi="Arial"/>
              </w:rPr>
              <w:t xml:space="preserve"> will </w:t>
            </w:r>
            <w:r w:rsidRPr="00C83AAA">
              <w:rPr>
                <w:rFonts w:ascii="Arial" w:hAnsi="Arial"/>
              </w:rPr>
              <w:t>identify</w:t>
            </w:r>
            <w:r w:rsidR="004A6BE1" w:rsidRPr="00C83AAA">
              <w:rPr>
                <w:rFonts w:ascii="Arial" w:hAnsi="Arial"/>
              </w:rPr>
              <w:t xml:space="preserve"> </w:t>
            </w:r>
            <w:r w:rsidRPr="00C83AAA">
              <w:rPr>
                <w:rFonts w:ascii="Arial" w:hAnsi="Arial"/>
              </w:rPr>
              <w:t>required</w:t>
            </w:r>
            <w:r w:rsidR="004A6BE1" w:rsidRPr="00C83AAA">
              <w:rPr>
                <w:rFonts w:ascii="Arial" w:hAnsi="Arial"/>
              </w:rPr>
              <w:t xml:space="preserve"> road upgrades and/or traffic mitigation measures such as the provision of a bus service for Project employees. </w:t>
            </w:r>
          </w:p>
          <w:p w14:paraId="432B1FB9" w14:textId="77777777" w:rsidR="000953DC" w:rsidRPr="00C83AAA" w:rsidRDefault="000953DC" w:rsidP="00C83AAA">
            <w:pPr>
              <w:spacing w:after="120"/>
              <w:jc w:val="both"/>
              <w:rPr>
                <w:rFonts w:ascii="Arial" w:hAnsi="Arial"/>
              </w:rPr>
            </w:pPr>
            <w:r w:rsidRPr="00C83AAA">
              <w:rPr>
                <w:rFonts w:ascii="Arial" w:hAnsi="Arial"/>
              </w:rPr>
              <w:t xml:space="preserve">The traffic impact assessment will be supported by the socioeconomic impact assessment, which will consider where employees are likely to live during construction and operations. </w:t>
            </w:r>
          </w:p>
          <w:p w14:paraId="4CEC38FE" w14:textId="1C74AD5A" w:rsidR="000953DC" w:rsidRDefault="000953DC" w:rsidP="00FD555F">
            <w:pPr>
              <w:pStyle w:val="BodyText"/>
              <w:jc w:val="both"/>
              <w:rPr>
                <w:rFonts w:ascii="Arial" w:hAnsi="Arial"/>
              </w:rPr>
            </w:pPr>
          </w:p>
        </w:tc>
      </w:tr>
      <w:tr w:rsidR="00690A3A" w14:paraId="6E632CB5" w14:textId="77777777" w:rsidTr="00E71774">
        <w:tc>
          <w:tcPr>
            <w:tcW w:w="9243" w:type="dxa"/>
            <w:tcBorders>
              <w:top w:val="single" w:sz="4" w:space="0" w:color="auto"/>
              <w:bottom w:val="single" w:sz="4" w:space="0" w:color="auto"/>
            </w:tcBorders>
          </w:tcPr>
          <w:p w14:paraId="1F5E15BA" w14:textId="2D4FD8AD" w:rsidR="004A6BE1" w:rsidRPr="004A6BE1" w:rsidRDefault="004A6BE1" w:rsidP="004A6BE1">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38" w:name="_Toc7770298"/>
            <w:r>
              <w:lastRenderedPageBreak/>
              <w:t>1</w:t>
            </w:r>
            <w:r w:rsidR="00204A4C">
              <w:t>5</w:t>
            </w:r>
            <w:r>
              <w:t xml:space="preserve">.2 </w:t>
            </w:r>
            <w:r w:rsidRPr="004A6BE1">
              <w:t>Is there a potential for significant effects on the amenity of residents, due to emissions of dust or odours or changes in visual, noise or traffic conditions?</w:t>
            </w:r>
            <w:bookmarkEnd w:id="138"/>
          </w:p>
          <w:p w14:paraId="0812C93E" w14:textId="77777777" w:rsidR="00587D13" w:rsidRPr="00EC6C73" w:rsidRDefault="00587D13" w:rsidP="00587D13">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612AF0F2" w14:textId="77777777" w:rsidR="00587D13" w:rsidRDefault="00587D13" w:rsidP="00C83AAA">
            <w:pPr>
              <w:pStyle w:val="BodyText"/>
              <w:jc w:val="both"/>
              <w:rPr>
                <w:rFonts w:ascii="Arial" w:hAnsi="Arial"/>
                <w:b w:val="0"/>
                <w:bCs w:val="0"/>
                <w:sz w:val="20"/>
                <w:szCs w:val="20"/>
                <w:lang w:eastAsia="en-AU"/>
              </w:rPr>
            </w:pPr>
          </w:p>
          <w:p w14:paraId="77743265" w14:textId="377A345D" w:rsidR="004A6BE1" w:rsidRDefault="00587D13" w:rsidP="00C83AAA">
            <w:pPr>
              <w:pStyle w:val="BodyText"/>
              <w:jc w:val="both"/>
              <w:rPr>
                <w:rFonts w:ascii="Arial" w:hAnsi="Arial"/>
                <w:b w:val="0"/>
                <w:bCs w:val="0"/>
                <w:sz w:val="20"/>
                <w:szCs w:val="20"/>
                <w:lang w:eastAsia="en-AU"/>
              </w:rPr>
            </w:pPr>
            <w:r>
              <w:rPr>
                <w:rFonts w:ascii="Arial" w:hAnsi="Arial"/>
                <w:b w:val="0"/>
                <w:bCs w:val="0"/>
                <w:sz w:val="20"/>
                <w:szCs w:val="20"/>
                <w:lang w:eastAsia="en-AU"/>
              </w:rPr>
              <w:t>T</w:t>
            </w:r>
            <w:r w:rsidR="004A6BE1" w:rsidRPr="00C83AAA">
              <w:rPr>
                <w:rFonts w:ascii="Arial" w:hAnsi="Arial"/>
                <w:b w:val="0"/>
                <w:bCs w:val="0"/>
                <w:sz w:val="20"/>
                <w:szCs w:val="20"/>
                <w:lang w:eastAsia="en-AU"/>
              </w:rPr>
              <w:t>here are number of residences on and within close proximity to the Project site (Figure 2) that may be impacted due to Project-related emissions of dust or odours or Project-related changes in visual, noise or traffic conditions:</w:t>
            </w:r>
          </w:p>
          <w:p w14:paraId="428D9042" w14:textId="77777777" w:rsidR="0044501F" w:rsidRPr="00C83AAA" w:rsidRDefault="0044501F" w:rsidP="00C83AAA">
            <w:pPr>
              <w:pStyle w:val="BodyText"/>
              <w:jc w:val="both"/>
              <w:rPr>
                <w:rFonts w:ascii="Arial" w:hAnsi="Arial"/>
                <w:b w:val="0"/>
                <w:bCs w:val="0"/>
                <w:sz w:val="20"/>
                <w:szCs w:val="20"/>
                <w:lang w:eastAsia="en-AU"/>
              </w:rPr>
            </w:pPr>
          </w:p>
          <w:p w14:paraId="3FBE44E0" w14:textId="619A8E8A" w:rsidR="00934074" w:rsidRPr="00C83AAA" w:rsidRDefault="00934074"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there are </w:t>
            </w:r>
            <w:r w:rsidR="00E97312" w:rsidRPr="00C83AAA">
              <w:rPr>
                <w:rFonts w:ascii="Arial" w:hAnsi="Arial"/>
                <w:b w:val="0"/>
                <w:bCs w:val="0"/>
                <w:sz w:val="20"/>
                <w:szCs w:val="20"/>
                <w:lang w:eastAsia="en-AU"/>
              </w:rPr>
              <w:t xml:space="preserve">six </w:t>
            </w:r>
            <w:r w:rsidRPr="00C83AAA">
              <w:rPr>
                <w:rFonts w:ascii="Arial" w:hAnsi="Arial"/>
                <w:b w:val="0"/>
                <w:bCs w:val="0"/>
                <w:sz w:val="20"/>
                <w:szCs w:val="20"/>
                <w:lang w:eastAsia="en-AU"/>
              </w:rPr>
              <w:t xml:space="preserve">residences and a derelict holiday shack located within the </w:t>
            </w:r>
            <w:r w:rsidR="00E97312" w:rsidRPr="00C83AAA">
              <w:rPr>
                <w:rFonts w:ascii="Arial" w:hAnsi="Arial"/>
                <w:b w:val="0"/>
                <w:bCs w:val="0"/>
                <w:sz w:val="20"/>
                <w:szCs w:val="20"/>
                <w:lang w:eastAsia="en-AU"/>
              </w:rPr>
              <w:t>mine layout development envelope</w:t>
            </w:r>
            <w:r w:rsidRPr="00C83AAA">
              <w:rPr>
                <w:rFonts w:ascii="Arial" w:hAnsi="Arial"/>
                <w:b w:val="0"/>
                <w:bCs w:val="0"/>
                <w:sz w:val="20"/>
                <w:szCs w:val="20"/>
                <w:lang w:eastAsia="en-AU"/>
              </w:rPr>
              <w:t>; and</w:t>
            </w:r>
          </w:p>
          <w:p w14:paraId="01652CB5" w14:textId="4E6FF559" w:rsidR="00934074" w:rsidRPr="00C83AAA" w:rsidRDefault="00934074"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there are a scattering of residences within approximately 5 km of the </w:t>
            </w:r>
            <w:r w:rsidR="00682C1B" w:rsidRPr="00C83AAA">
              <w:rPr>
                <w:rFonts w:ascii="Arial" w:hAnsi="Arial"/>
                <w:b w:val="0"/>
                <w:bCs w:val="0"/>
                <w:sz w:val="20"/>
                <w:szCs w:val="20"/>
                <w:lang w:eastAsia="en-AU"/>
              </w:rPr>
              <w:t>mine layout development envelope</w:t>
            </w:r>
            <w:r w:rsidRPr="00C83AAA">
              <w:rPr>
                <w:rFonts w:ascii="Arial" w:hAnsi="Arial"/>
                <w:b w:val="0"/>
                <w:bCs w:val="0"/>
                <w:sz w:val="20"/>
                <w:szCs w:val="20"/>
                <w:lang w:eastAsia="en-AU"/>
              </w:rPr>
              <w:t xml:space="preserve">, including </w:t>
            </w:r>
            <w:r w:rsidR="00E97312" w:rsidRPr="00C83AAA">
              <w:rPr>
                <w:rFonts w:ascii="Arial" w:hAnsi="Arial"/>
                <w:b w:val="0"/>
                <w:bCs w:val="0"/>
                <w:sz w:val="20"/>
                <w:szCs w:val="20"/>
                <w:lang w:eastAsia="en-AU"/>
              </w:rPr>
              <w:t>four</w:t>
            </w:r>
            <w:r w:rsidRPr="00C83AAA">
              <w:rPr>
                <w:rFonts w:ascii="Arial" w:hAnsi="Arial"/>
                <w:b w:val="0"/>
                <w:bCs w:val="0"/>
                <w:sz w:val="20"/>
                <w:szCs w:val="20"/>
                <w:lang w:eastAsia="en-AU"/>
              </w:rPr>
              <w:t xml:space="preserve"> residences located within 2 km and a settlement of approximately 10-20 residences located approximately 4 km south of the </w:t>
            </w:r>
            <w:r w:rsidR="00682C1B" w:rsidRPr="00C83AAA">
              <w:rPr>
                <w:rFonts w:ascii="Arial" w:hAnsi="Arial"/>
                <w:b w:val="0"/>
                <w:bCs w:val="0"/>
                <w:sz w:val="20"/>
                <w:szCs w:val="20"/>
                <w:lang w:eastAsia="en-AU"/>
              </w:rPr>
              <w:t>mine layout development envelope</w:t>
            </w:r>
            <w:r w:rsidRPr="00C83AAA">
              <w:rPr>
                <w:rFonts w:ascii="Arial" w:hAnsi="Arial"/>
                <w:b w:val="0"/>
                <w:bCs w:val="0"/>
                <w:sz w:val="20"/>
                <w:szCs w:val="20"/>
                <w:lang w:eastAsia="en-AU"/>
              </w:rPr>
              <w:t xml:space="preserve">, just north of the Toolondo Reservoir (Figure 2). </w:t>
            </w:r>
          </w:p>
          <w:p w14:paraId="2170BB60" w14:textId="77777777" w:rsidR="004A6BE1" w:rsidRDefault="004A6BE1" w:rsidP="004A6BE1">
            <w:pPr>
              <w:pStyle w:val="BodyText"/>
              <w:jc w:val="both"/>
              <w:rPr>
                <w:rFonts w:ascii="Arial" w:hAnsi="Arial"/>
                <w:b w:val="0"/>
                <w:bCs w:val="0"/>
                <w:sz w:val="20"/>
                <w:szCs w:val="20"/>
                <w:lang w:eastAsia="en-AU"/>
              </w:rPr>
            </w:pPr>
            <w:r w:rsidRPr="004A6BE1">
              <w:rPr>
                <w:rFonts w:ascii="Arial" w:hAnsi="Arial"/>
                <w:b w:val="0"/>
                <w:bCs w:val="0"/>
                <w:sz w:val="20"/>
                <w:szCs w:val="20"/>
                <w:lang w:eastAsia="en-AU"/>
              </w:rPr>
              <w:t xml:space="preserve">The extent of the impacts will depend on </w:t>
            </w:r>
            <w:r w:rsidR="00D75E95">
              <w:rPr>
                <w:rFonts w:ascii="Arial" w:hAnsi="Arial"/>
                <w:b w:val="0"/>
                <w:bCs w:val="0"/>
                <w:sz w:val="20"/>
                <w:szCs w:val="20"/>
                <w:lang w:eastAsia="en-AU"/>
              </w:rPr>
              <w:t xml:space="preserve">noise levels and frequencies, timing, </w:t>
            </w:r>
            <w:r w:rsidRPr="004A6BE1">
              <w:rPr>
                <w:rFonts w:ascii="Arial" w:hAnsi="Arial"/>
                <w:b w:val="0"/>
                <w:bCs w:val="0"/>
                <w:sz w:val="20"/>
                <w:szCs w:val="20"/>
                <w:lang w:eastAsia="en-AU"/>
              </w:rPr>
              <w:t xml:space="preserve">prevailing weather conditions, the residence’s proximity to the Project site and the effectiveness of mitigation measures. </w:t>
            </w:r>
          </w:p>
          <w:p w14:paraId="7CD11E60" w14:textId="77777777" w:rsidR="004A6BE1" w:rsidRPr="004A6BE1" w:rsidRDefault="004A6BE1" w:rsidP="004A6BE1">
            <w:pPr>
              <w:pStyle w:val="BodyText"/>
              <w:jc w:val="both"/>
              <w:rPr>
                <w:rFonts w:ascii="Arial" w:hAnsi="Arial"/>
                <w:b w:val="0"/>
                <w:bCs w:val="0"/>
                <w:sz w:val="20"/>
                <w:szCs w:val="20"/>
                <w:lang w:eastAsia="en-AU"/>
              </w:rPr>
            </w:pPr>
          </w:p>
          <w:p w14:paraId="7D873FAC" w14:textId="353625A5" w:rsidR="004A6BE1" w:rsidRDefault="004A6BE1" w:rsidP="004A6BE1">
            <w:pPr>
              <w:pStyle w:val="BodyText"/>
              <w:jc w:val="both"/>
              <w:rPr>
                <w:rFonts w:ascii="Arial" w:hAnsi="Arial"/>
                <w:b w:val="0"/>
                <w:bCs w:val="0"/>
                <w:sz w:val="20"/>
                <w:szCs w:val="20"/>
                <w:lang w:eastAsia="en-AU"/>
              </w:rPr>
            </w:pPr>
            <w:r w:rsidRPr="004A6BE1">
              <w:rPr>
                <w:rFonts w:ascii="Arial" w:hAnsi="Arial"/>
                <w:b w:val="0"/>
                <w:bCs w:val="0"/>
                <w:sz w:val="20"/>
                <w:szCs w:val="20"/>
                <w:lang w:eastAsia="en-AU"/>
              </w:rPr>
              <w:t>The nearest township to the Project site is Toolondo, located approximately 4 km to the south of the Project site’s southernmost boundary (Figure 1). This is considered a sufficient distance to not cause excessive disturbance to the amenity of Toolondo residents</w:t>
            </w:r>
            <w:r w:rsidR="000953DC">
              <w:rPr>
                <w:rFonts w:ascii="Arial" w:hAnsi="Arial"/>
                <w:b w:val="0"/>
                <w:bCs w:val="0"/>
                <w:sz w:val="20"/>
                <w:szCs w:val="20"/>
                <w:lang w:eastAsia="en-AU"/>
              </w:rPr>
              <w:t>, although this will be considered as part of the assessments listed below</w:t>
            </w:r>
            <w:r w:rsidRPr="004A6BE1">
              <w:rPr>
                <w:rFonts w:ascii="Arial" w:hAnsi="Arial"/>
                <w:b w:val="0"/>
                <w:bCs w:val="0"/>
                <w:sz w:val="20"/>
                <w:szCs w:val="20"/>
                <w:lang w:eastAsia="en-AU"/>
              </w:rPr>
              <w:t>.</w:t>
            </w:r>
          </w:p>
          <w:p w14:paraId="794EFEEF" w14:textId="77777777" w:rsidR="00C83AAA" w:rsidRPr="004A6BE1" w:rsidRDefault="00C83AAA" w:rsidP="004A6BE1">
            <w:pPr>
              <w:pStyle w:val="BodyText"/>
              <w:jc w:val="both"/>
              <w:rPr>
                <w:rFonts w:ascii="Arial" w:hAnsi="Arial"/>
                <w:b w:val="0"/>
                <w:bCs w:val="0"/>
                <w:sz w:val="20"/>
                <w:szCs w:val="20"/>
                <w:lang w:eastAsia="en-AU"/>
              </w:rPr>
            </w:pPr>
          </w:p>
          <w:p w14:paraId="48A29635" w14:textId="6697086A" w:rsidR="004A6BE1" w:rsidRDefault="004A6BE1" w:rsidP="00C83AAA">
            <w:pPr>
              <w:pStyle w:val="BodyText"/>
              <w:jc w:val="both"/>
              <w:rPr>
                <w:rFonts w:ascii="Arial" w:hAnsi="Arial"/>
                <w:b w:val="0"/>
                <w:bCs w:val="0"/>
                <w:sz w:val="20"/>
                <w:szCs w:val="20"/>
                <w:lang w:eastAsia="en-AU"/>
              </w:rPr>
            </w:pPr>
            <w:r w:rsidRPr="00C83AAA">
              <w:rPr>
                <w:rFonts w:ascii="Arial" w:hAnsi="Arial"/>
                <w:b w:val="0"/>
                <w:bCs w:val="0"/>
                <w:sz w:val="20"/>
                <w:szCs w:val="20"/>
                <w:lang w:eastAsia="en-AU"/>
              </w:rPr>
              <w:t>The potential impacts on residents as the result of the construction and operation of the Project will be assessed through:</w:t>
            </w:r>
          </w:p>
          <w:p w14:paraId="4B2AB26F" w14:textId="77777777" w:rsidR="00C83AAA" w:rsidRPr="00C83AAA" w:rsidRDefault="00C83AAA" w:rsidP="00C83AAA">
            <w:pPr>
              <w:pStyle w:val="BodyText"/>
              <w:jc w:val="both"/>
              <w:rPr>
                <w:rFonts w:ascii="Arial" w:hAnsi="Arial"/>
                <w:b w:val="0"/>
                <w:bCs w:val="0"/>
                <w:sz w:val="20"/>
                <w:szCs w:val="20"/>
                <w:lang w:eastAsia="en-AU"/>
              </w:rPr>
            </w:pPr>
          </w:p>
          <w:p w14:paraId="20693850" w14:textId="77777777" w:rsidR="004A6BE1" w:rsidRPr="00C83AAA" w:rsidRDefault="004A6BE1"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noise and vibration impact assessment;</w:t>
            </w:r>
          </w:p>
          <w:p w14:paraId="7FA20C5B" w14:textId="77777777" w:rsidR="004A6BE1" w:rsidRPr="00C83AAA" w:rsidRDefault="004A6BE1"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air quality impact assessment;</w:t>
            </w:r>
          </w:p>
          <w:p w14:paraId="06C10136" w14:textId="03059B14" w:rsidR="004A6BE1" w:rsidRPr="00C83AAA" w:rsidRDefault="000953DC"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landscape, </w:t>
            </w:r>
            <w:r w:rsidR="004A6BE1" w:rsidRPr="00C83AAA">
              <w:rPr>
                <w:rFonts w:ascii="Arial" w:hAnsi="Arial"/>
                <w:b w:val="0"/>
                <w:bCs w:val="0"/>
                <w:sz w:val="20"/>
                <w:szCs w:val="20"/>
                <w:lang w:eastAsia="en-AU"/>
              </w:rPr>
              <w:t>visual</w:t>
            </w:r>
            <w:r w:rsidRPr="00C83AAA">
              <w:rPr>
                <w:rFonts w:ascii="Arial" w:hAnsi="Arial"/>
                <w:b w:val="0"/>
                <w:bCs w:val="0"/>
                <w:sz w:val="20"/>
                <w:szCs w:val="20"/>
                <w:lang w:eastAsia="en-AU"/>
              </w:rPr>
              <w:t xml:space="preserve"> and lighting</w:t>
            </w:r>
            <w:r w:rsidR="004A6BE1" w:rsidRPr="00C83AAA">
              <w:rPr>
                <w:rFonts w:ascii="Arial" w:hAnsi="Arial"/>
                <w:b w:val="0"/>
                <w:bCs w:val="0"/>
                <w:sz w:val="20"/>
                <w:szCs w:val="20"/>
                <w:lang w:eastAsia="en-AU"/>
              </w:rPr>
              <w:t xml:space="preserve"> impact assessment;</w:t>
            </w:r>
          </w:p>
          <w:p w14:paraId="14F81083" w14:textId="77777777" w:rsidR="004A6BE1" w:rsidRPr="00C83AAA" w:rsidRDefault="004A6BE1"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socioeconomic impact assessment; and </w:t>
            </w:r>
          </w:p>
          <w:p w14:paraId="3D0B1CF8" w14:textId="4ADEA9CB" w:rsidR="00690A3A" w:rsidRDefault="004A6BE1" w:rsidP="00C83AAA">
            <w:pPr>
              <w:pStyle w:val="BodyText"/>
              <w:numPr>
                <w:ilvl w:val="0"/>
                <w:numId w:val="57"/>
              </w:numPr>
              <w:spacing w:after="120"/>
              <w:jc w:val="both"/>
            </w:pPr>
            <w:r w:rsidRPr="00C83AAA">
              <w:rPr>
                <w:rFonts w:ascii="Arial" w:hAnsi="Arial"/>
                <w:b w:val="0"/>
                <w:bCs w:val="0"/>
                <w:sz w:val="20"/>
                <w:szCs w:val="20"/>
                <w:lang w:eastAsia="en-AU"/>
              </w:rPr>
              <w:t>traffic impact assessment.</w:t>
            </w:r>
          </w:p>
        </w:tc>
      </w:tr>
      <w:tr w:rsidR="00690A3A" w14:paraId="723A5661" w14:textId="77777777" w:rsidTr="00E71774">
        <w:tc>
          <w:tcPr>
            <w:tcW w:w="9243" w:type="dxa"/>
            <w:tcBorders>
              <w:top w:val="single" w:sz="4" w:space="0" w:color="auto"/>
              <w:bottom w:val="single" w:sz="4" w:space="0" w:color="auto"/>
            </w:tcBorders>
          </w:tcPr>
          <w:p w14:paraId="6DB71B0E" w14:textId="65685306" w:rsidR="004A6BE1" w:rsidRDefault="004A6BE1" w:rsidP="004A6BE1">
            <w:pPr>
              <w:pStyle w:val="Heading2"/>
              <w:ind w:left="0"/>
            </w:pPr>
            <w:bookmarkStart w:id="139" w:name="_Toc7770299"/>
            <w:r>
              <w:t>1</w:t>
            </w:r>
            <w:r w:rsidR="00204A4C">
              <w:t>5</w:t>
            </w:r>
            <w:r>
              <w:t>.3 Is there a potential for exposure of a human community to health or safety hazards, due to emissions to air or water or noise or chemical hazards or associated transport?</w:t>
            </w:r>
            <w:bookmarkEnd w:id="139"/>
          </w:p>
          <w:p w14:paraId="2495D94E" w14:textId="77777777" w:rsidR="004A6BE1" w:rsidRPr="004A6BE1" w:rsidRDefault="004A6BE1" w:rsidP="004A6BE1"/>
          <w:p w14:paraId="6637AD3F" w14:textId="77777777" w:rsidR="00587D13" w:rsidRPr="00EC6C73" w:rsidRDefault="00587D13" w:rsidP="00587D13">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35BAEE0C" w14:textId="77777777" w:rsidR="00587D13" w:rsidRDefault="00587D13" w:rsidP="001B1475">
            <w:pPr>
              <w:pStyle w:val="BodyText"/>
              <w:jc w:val="both"/>
              <w:rPr>
                <w:rFonts w:ascii="Arial" w:hAnsi="Arial"/>
                <w:b w:val="0"/>
                <w:bCs w:val="0"/>
                <w:sz w:val="20"/>
                <w:szCs w:val="20"/>
                <w:lang w:eastAsia="en-AU"/>
              </w:rPr>
            </w:pPr>
          </w:p>
          <w:p w14:paraId="23BE4A7F" w14:textId="06181A1D" w:rsidR="004A6BE1" w:rsidRDefault="00587D13" w:rsidP="001B1475">
            <w:pPr>
              <w:pStyle w:val="BodyText"/>
              <w:jc w:val="both"/>
              <w:rPr>
                <w:rFonts w:ascii="Arial" w:hAnsi="Arial"/>
                <w:b w:val="0"/>
                <w:bCs w:val="0"/>
                <w:sz w:val="20"/>
                <w:szCs w:val="20"/>
                <w:lang w:eastAsia="en-AU"/>
              </w:rPr>
            </w:pPr>
            <w:r>
              <w:rPr>
                <w:rFonts w:ascii="Arial" w:hAnsi="Arial"/>
                <w:b w:val="0"/>
                <w:bCs w:val="0"/>
                <w:sz w:val="20"/>
                <w:szCs w:val="20"/>
                <w:lang w:eastAsia="en-AU"/>
              </w:rPr>
              <w:t>I</w:t>
            </w:r>
            <w:r w:rsidR="001B1475">
              <w:rPr>
                <w:rFonts w:ascii="Arial" w:hAnsi="Arial"/>
                <w:b w:val="0"/>
                <w:bCs w:val="0"/>
                <w:sz w:val="20"/>
                <w:szCs w:val="20"/>
                <w:lang w:eastAsia="en-AU"/>
              </w:rPr>
              <w:t xml:space="preserve">n the absence of appropriate management measures </w:t>
            </w:r>
            <w:r w:rsidR="004A6BE1" w:rsidRPr="001B1475">
              <w:rPr>
                <w:rFonts w:ascii="Arial" w:hAnsi="Arial"/>
                <w:b w:val="0"/>
                <w:bCs w:val="0"/>
                <w:sz w:val="20"/>
                <w:szCs w:val="20"/>
                <w:lang w:eastAsia="en-AU"/>
              </w:rPr>
              <w:t>there is the potential for exposure of a human community to health or safety hazards, due to emissions to air</w:t>
            </w:r>
            <w:r w:rsidR="001B1475">
              <w:rPr>
                <w:rFonts w:ascii="Arial" w:hAnsi="Arial"/>
                <w:b w:val="0"/>
                <w:bCs w:val="0"/>
                <w:sz w:val="20"/>
                <w:szCs w:val="20"/>
                <w:lang w:eastAsia="en-AU"/>
              </w:rPr>
              <w:t xml:space="preserve">, </w:t>
            </w:r>
            <w:r w:rsidR="004A6BE1" w:rsidRPr="001B1475">
              <w:rPr>
                <w:rFonts w:ascii="Arial" w:hAnsi="Arial"/>
                <w:b w:val="0"/>
                <w:bCs w:val="0"/>
                <w:sz w:val="20"/>
                <w:szCs w:val="20"/>
                <w:lang w:eastAsia="en-AU"/>
              </w:rPr>
              <w:t>water</w:t>
            </w:r>
            <w:r w:rsidR="001B1475">
              <w:rPr>
                <w:rFonts w:ascii="Arial" w:hAnsi="Arial"/>
                <w:b w:val="0"/>
                <w:bCs w:val="0"/>
                <w:sz w:val="20"/>
                <w:szCs w:val="20"/>
                <w:lang w:eastAsia="en-AU"/>
              </w:rPr>
              <w:t>,</w:t>
            </w:r>
            <w:r w:rsidR="004A6BE1" w:rsidRPr="001B1475">
              <w:rPr>
                <w:rFonts w:ascii="Arial" w:hAnsi="Arial"/>
                <w:b w:val="0"/>
                <w:bCs w:val="0"/>
                <w:sz w:val="20"/>
                <w:szCs w:val="20"/>
                <w:lang w:eastAsia="en-AU"/>
              </w:rPr>
              <w:t xml:space="preserve"> noise</w:t>
            </w:r>
            <w:r w:rsidR="001B1475">
              <w:rPr>
                <w:rFonts w:ascii="Arial" w:hAnsi="Arial"/>
                <w:b w:val="0"/>
                <w:bCs w:val="0"/>
                <w:sz w:val="20"/>
                <w:szCs w:val="20"/>
                <w:lang w:eastAsia="en-AU"/>
              </w:rPr>
              <w:t xml:space="preserve">, </w:t>
            </w:r>
            <w:r w:rsidR="004A6BE1" w:rsidRPr="001B1475">
              <w:rPr>
                <w:rFonts w:ascii="Arial" w:hAnsi="Arial"/>
                <w:b w:val="0"/>
                <w:bCs w:val="0"/>
                <w:sz w:val="20"/>
                <w:szCs w:val="20"/>
                <w:lang w:eastAsia="en-AU"/>
              </w:rPr>
              <w:t xml:space="preserve">chemical hazards or associated transport. A hazard assessment will be undertaken to identify potential Project-related hazards related to materials handling and transport, waste management (including low level radioactive waste), noise, traffic, air, soil and water emissions. Mitigation strategies will be implemented for each hazard identified. </w:t>
            </w:r>
          </w:p>
          <w:p w14:paraId="59915DFA" w14:textId="77777777" w:rsidR="001B1475" w:rsidRPr="001B1475" w:rsidRDefault="001B1475" w:rsidP="001B1475">
            <w:pPr>
              <w:pStyle w:val="BodyText"/>
              <w:jc w:val="both"/>
              <w:rPr>
                <w:rFonts w:ascii="Arial" w:hAnsi="Arial"/>
                <w:b w:val="0"/>
                <w:bCs w:val="0"/>
                <w:sz w:val="20"/>
                <w:szCs w:val="20"/>
                <w:lang w:eastAsia="en-AU"/>
              </w:rPr>
            </w:pPr>
          </w:p>
          <w:p w14:paraId="697548F1" w14:textId="798EAD37" w:rsidR="00690A3A" w:rsidRDefault="004A6BE1" w:rsidP="001B1475">
            <w:pPr>
              <w:pStyle w:val="BodyText"/>
              <w:jc w:val="both"/>
              <w:rPr>
                <w:rFonts w:ascii="Arial" w:hAnsi="Arial"/>
                <w:b w:val="0"/>
                <w:bCs w:val="0"/>
                <w:sz w:val="20"/>
                <w:szCs w:val="20"/>
                <w:lang w:eastAsia="en-AU"/>
              </w:rPr>
            </w:pPr>
            <w:r w:rsidRPr="001B1475">
              <w:rPr>
                <w:rFonts w:ascii="Arial" w:hAnsi="Arial"/>
                <w:b w:val="0"/>
                <w:bCs w:val="0"/>
                <w:sz w:val="20"/>
                <w:szCs w:val="20"/>
                <w:lang w:eastAsia="en-AU"/>
              </w:rPr>
              <w:t>Further detail on radioactivity is provided in Section</w:t>
            </w:r>
            <w:r w:rsidR="005267B3">
              <w:rPr>
                <w:rFonts w:ascii="Arial" w:hAnsi="Arial"/>
                <w:b w:val="0"/>
                <w:bCs w:val="0"/>
                <w:sz w:val="20"/>
                <w:szCs w:val="20"/>
                <w:lang w:eastAsia="en-AU"/>
              </w:rPr>
              <w:t>s</w:t>
            </w:r>
            <w:r w:rsidRPr="001B1475">
              <w:rPr>
                <w:rFonts w:ascii="Arial" w:hAnsi="Arial"/>
                <w:b w:val="0"/>
                <w:bCs w:val="0"/>
                <w:sz w:val="20"/>
                <w:szCs w:val="20"/>
                <w:lang w:eastAsia="en-AU"/>
              </w:rPr>
              <w:t xml:space="preserve"> 3.6.</w:t>
            </w:r>
            <w:r w:rsidR="001B1475">
              <w:rPr>
                <w:rFonts w:ascii="Arial" w:hAnsi="Arial"/>
                <w:b w:val="0"/>
                <w:bCs w:val="0"/>
                <w:sz w:val="20"/>
                <w:szCs w:val="20"/>
                <w:lang w:eastAsia="en-AU"/>
              </w:rPr>
              <w:t>7</w:t>
            </w:r>
            <w:r w:rsidR="005267B3">
              <w:rPr>
                <w:rFonts w:ascii="Arial" w:hAnsi="Arial"/>
                <w:b w:val="0"/>
                <w:bCs w:val="0"/>
                <w:sz w:val="20"/>
                <w:szCs w:val="20"/>
                <w:lang w:eastAsia="en-AU"/>
              </w:rPr>
              <w:t xml:space="preserve">, 11.2, </w:t>
            </w:r>
            <w:r w:rsidR="001B1475">
              <w:rPr>
                <w:rFonts w:ascii="Arial" w:hAnsi="Arial"/>
                <w:b w:val="0"/>
                <w:bCs w:val="0"/>
                <w:sz w:val="20"/>
                <w:szCs w:val="20"/>
                <w:lang w:eastAsia="en-AU"/>
              </w:rPr>
              <w:t>1</w:t>
            </w:r>
            <w:r w:rsidR="005267B3">
              <w:rPr>
                <w:rFonts w:ascii="Arial" w:hAnsi="Arial"/>
                <w:b w:val="0"/>
                <w:bCs w:val="0"/>
                <w:sz w:val="20"/>
                <w:szCs w:val="20"/>
                <w:lang w:eastAsia="en-AU"/>
              </w:rPr>
              <w:t>6</w:t>
            </w:r>
            <w:r w:rsidR="001B1475">
              <w:rPr>
                <w:rFonts w:ascii="Arial" w:hAnsi="Arial"/>
                <w:b w:val="0"/>
                <w:bCs w:val="0"/>
                <w:sz w:val="20"/>
                <w:szCs w:val="20"/>
                <w:lang w:eastAsia="en-AU"/>
              </w:rPr>
              <w:t>.2.</w:t>
            </w:r>
            <w:r w:rsidR="005267B3">
              <w:rPr>
                <w:rFonts w:ascii="Arial" w:hAnsi="Arial"/>
                <w:b w:val="0"/>
                <w:bCs w:val="0"/>
                <w:sz w:val="20"/>
                <w:szCs w:val="20"/>
                <w:lang w:eastAsia="en-AU"/>
              </w:rPr>
              <w:t>2 and 18.1.4.</w:t>
            </w:r>
          </w:p>
          <w:p w14:paraId="563CB6B6" w14:textId="19AEFEE5" w:rsidR="001B1475" w:rsidRDefault="001B1475" w:rsidP="001B1475">
            <w:pPr>
              <w:pStyle w:val="BodyText"/>
              <w:jc w:val="both"/>
            </w:pPr>
          </w:p>
        </w:tc>
      </w:tr>
      <w:tr w:rsidR="00690A3A" w14:paraId="668C300F" w14:textId="77777777" w:rsidTr="00E71774">
        <w:tc>
          <w:tcPr>
            <w:tcW w:w="9243" w:type="dxa"/>
            <w:tcBorders>
              <w:top w:val="single" w:sz="4" w:space="0" w:color="auto"/>
              <w:bottom w:val="single" w:sz="4" w:space="0" w:color="auto"/>
            </w:tcBorders>
          </w:tcPr>
          <w:p w14:paraId="4310C784" w14:textId="0F2349CC" w:rsidR="004A6BE1" w:rsidRDefault="004A6BE1" w:rsidP="004A6BE1">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40" w:name="_Toc7770300"/>
            <w:r>
              <w:lastRenderedPageBreak/>
              <w:t>1</w:t>
            </w:r>
            <w:r w:rsidR="00204A4C">
              <w:t>5</w:t>
            </w:r>
            <w:r>
              <w:t>.4 Is there a potential for displacement of residences or severance of residential access to community resources due to the proposed development?</w:t>
            </w:r>
            <w:bookmarkEnd w:id="140"/>
          </w:p>
          <w:p w14:paraId="65AE7C10" w14:textId="77777777" w:rsidR="00587D13" w:rsidRPr="00EC6C73" w:rsidRDefault="00587D13" w:rsidP="00587D13">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5EF3F312" w14:textId="77777777" w:rsidR="00587D13" w:rsidRDefault="00587D13" w:rsidP="00AB6594">
            <w:pPr>
              <w:pStyle w:val="BodyText"/>
              <w:spacing w:after="120"/>
              <w:jc w:val="both"/>
              <w:rPr>
                <w:rFonts w:ascii="Arial" w:hAnsi="Arial"/>
                <w:b w:val="0"/>
                <w:bCs w:val="0"/>
                <w:sz w:val="20"/>
                <w:szCs w:val="20"/>
                <w:lang w:eastAsia="en-AU"/>
              </w:rPr>
            </w:pPr>
          </w:p>
          <w:p w14:paraId="75C2EB97" w14:textId="5D46A015" w:rsidR="004A6BE1" w:rsidRDefault="00587D13" w:rsidP="00AB6594">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F</w:t>
            </w:r>
            <w:r w:rsidR="004A6BE1" w:rsidRPr="004A6BE1">
              <w:rPr>
                <w:rFonts w:ascii="Arial" w:hAnsi="Arial"/>
                <w:b w:val="0"/>
                <w:bCs w:val="0"/>
                <w:sz w:val="20"/>
                <w:szCs w:val="20"/>
                <w:lang w:eastAsia="en-AU"/>
              </w:rPr>
              <w:t>our farming residences (Figure 2</w:t>
            </w:r>
            <w:r w:rsidR="00CE60B7">
              <w:rPr>
                <w:rFonts w:ascii="Arial" w:hAnsi="Arial"/>
                <w:b w:val="0"/>
                <w:bCs w:val="0"/>
                <w:sz w:val="20"/>
                <w:szCs w:val="20"/>
                <w:lang w:eastAsia="en-AU"/>
              </w:rPr>
              <w:t>)</w:t>
            </w:r>
            <w:r w:rsidR="004A6BE1" w:rsidRPr="004A6BE1">
              <w:rPr>
                <w:rFonts w:ascii="Arial" w:hAnsi="Arial"/>
                <w:b w:val="0"/>
                <w:bCs w:val="0"/>
                <w:sz w:val="20"/>
                <w:szCs w:val="20"/>
                <w:lang w:eastAsia="en-AU"/>
              </w:rPr>
              <w:t xml:space="preserve"> in the Project site will be displaced for some or all of the Project life.</w:t>
            </w:r>
          </w:p>
          <w:p w14:paraId="51D4FB7D" w14:textId="60B7798A" w:rsidR="004A6BE1" w:rsidRDefault="004A6BE1" w:rsidP="00AB6594">
            <w:pPr>
              <w:pStyle w:val="BodyText"/>
              <w:spacing w:after="120"/>
              <w:jc w:val="both"/>
              <w:rPr>
                <w:rFonts w:ascii="Arial" w:hAnsi="Arial"/>
                <w:b w:val="0"/>
                <w:bCs w:val="0"/>
                <w:sz w:val="20"/>
                <w:szCs w:val="20"/>
                <w:lang w:eastAsia="en-AU"/>
              </w:rPr>
            </w:pPr>
            <w:r w:rsidRPr="004A6BE1">
              <w:rPr>
                <w:rFonts w:ascii="Arial" w:hAnsi="Arial"/>
                <w:b w:val="0"/>
                <w:bCs w:val="0"/>
                <w:sz w:val="20"/>
                <w:szCs w:val="20"/>
                <w:lang w:eastAsia="en-AU"/>
              </w:rPr>
              <w:t xml:space="preserve">Depending on the final mine layout, the Project may require the diversion of removal of portions of local roads within the Project site, namely the </w:t>
            </w:r>
            <w:proofErr w:type="spellStart"/>
            <w:r w:rsidRPr="004A6BE1">
              <w:rPr>
                <w:rFonts w:ascii="Arial" w:hAnsi="Arial"/>
                <w:b w:val="0"/>
                <w:bCs w:val="0"/>
                <w:sz w:val="20"/>
                <w:szCs w:val="20"/>
                <w:lang w:eastAsia="en-AU"/>
              </w:rPr>
              <w:t>Jallumba</w:t>
            </w:r>
            <w:proofErr w:type="spellEnd"/>
            <w:r w:rsidRPr="004A6BE1">
              <w:rPr>
                <w:rFonts w:ascii="Arial" w:hAnsi="Arial"/>
                <w:b w:val="0"/>
                <w:bCs w:val="0"/>
                <w:sz w:val="20"/>
                <w:szCs w:val="20"/>
                <w:lang w:eastAsia="en-AU"/>
              </w:rPr>
              <w:t xml:space="preserve"> </w:t>
            </w:r>
            <w:proofErr w:type="spellStart"/>
            <w:r w:rsidRPr="004A6BE1">
              <w:rPr>
                <w:rFonts w:ascii="Arial" w:hAnsi="Arial"/>
                <w:b w:val="0"/>
                <w:bCs w:val="0"/>
                <w:sz w:val="20"/>
                <w:szCs w:val="20"/>
                <w:lang w:eastAsia="en-AU"/>
              </w:rPr>
              <w:t>Mockinya</w:t>
            </w:r>
            <w:proofErr w:type="spellEnd"/>
            <w:r w:rsidRPr="004A6BE1">
              <w:rPr>
                <w:rFonts w:ascii="Arial" w:hAnsi="Arial"/>
                <w:b w:val="0"/>
                <w:bCs w:val="0"/>
                <w:sz w:val="20"/>
                <w:szCs w:val="20"/>
                <w:lang w:eastAsia="en-AU"/>
              </w:rPr>
              <w:t xml:space="preserve"> Road, the Natimuk-Hamilton Roads and/or the Toolondo Gun Club Road. </w:t>
            </w:r>
            <w:r w:rsidR="00CE60B7">
              <w:rPr>
                <w:rFonts w:ascii="Arial" w:hAnsi="Arial"/>
                <w:b w:val="0"/>
                <w:bCs w:val="0"/>
                <w:sz w:val="20"/>
                <w:szCs w:val="20"/>
                <w:lang w:eastAsia="en-AU"/>
              </w:rPr>
              <w:t>However, t</w:t>
            </w:r>
            <w:r w:rsidRPr="004A6BE1">
              <w:rPr>
                <w:rFonts w:ascii="Arial" w:hAnsi="Arial"/>
                <w:b w:val="0"/>
                <w:bCs w:val="0"/>
                <w:sz w:val="20"/>
                <w:szCs w:val="20"/>
                <w:lang w:eastAsia="en-AU"/>
              </w:rPr>
              <w:t>he layout will seek to minimise interaction with local roads.</w:t>
            </w:r>
          </w:p>
          <w:p w14:paraId="72C0B928" w14:textId="77777777" w:rsidR="00690A3A" w:rsidRDefault="004A6BE1" w:rsidP="00AB6594">
            <w:pPr>
              <w:pStyle w:val="BodyText"/>
              <w:spacing w:after="120"/>
              <w:jc w:val="both"/>
            </w:pPr>
            <w:r w:rsidRPr="004A6BE1">
              <w:rPr>
                <w:rFonts w:ascii="Arial" w:hAnsi="Arial"/>
                <w:b w:val="0"/>
                <w:bCs w:val="0"/>
                <w:sz w:val="20"/>
                <w:szCs w:val="20"/>
                <w:lang w:eastAsia="en-AU"/>
              </w:rPr>
              <w:t>Access between and within properties will be maintained through the construction of diversions, detours and/or road upgrades.</w:t>
            </w:r>
          </w:p>
        </w:tc>
      </w:tr>
      <w:tr w:rsidR="00690A3A" w14:paraId="5A9CCA5F" w14:textId="77777777" w:rsidTr="00FD555F">
        <w:tc>
          <w:tcPr>
            <w:tcW w:w="9243" w:type="dxa"/>
            <w:tcBorders>
              <w:top w:val="single" w:sz="4" w:space="0" w:color="auto"/>
              <w:bottom w:val="single" w:sz="4" w:space="0" w:color="auto"/>
            </w:tcBorders>
          </w:tcPr>
          <w:p w14:paraId="2B1CAB75" w14:textId="4C0635EC" w:rsidR="004A6BE1" w:rsidRDefault="004A6BE1" w:rsidP="004A6BE1">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41" w:name="_Toc7770301"/>
            <w:r>
              <w:t>1</w:t>
            </w:r>
            <w:r w:rsidR="00204A4C">
              <w:t>5</w:t>
            </w:r>
            <w:r>
              <w:t>.5 Are non-residential land use activities likely to be displaced as a result of the Project?</w:t>
            </w:r>
            <w:bookmarkEnd w:id="141"/>
            <w:r>
              <w:t xml:space="preserve"> </w:t>
            </w:r>
          </w:p>
          <w:p w14:paraId="79783592" w14:textId="77777777" w:rsidR="00587D13" w:rsidRPr="00EC6C73" w:rsidRDefault="00587D13" w:rsidP="00587D13">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4A0CDFEA" w14:textId="77777777" w:rsidR="00587D13" w:rsidRDefault="00587D13" w:rsidP="00AB6594">
            <w:pPr>
              <w:pStyle w:val="BodyText"/>
              <w:spacing w:after="120"/>
              <w:jc w:val="both"/>
              <w:rPr>
                <w:rFonts w:ascii="Arial" w:hAnsi="Arial"/>
                <w:b w:val="0"/>
                <w:bCs w:val="0"/>
                <w:sz w:val="20"/>
                <w:szCs w:val="20"/>
                <w:lang w:eastAsia="en-AU"/>
              </w:rPr>
            </w:pPr>
          </w:p>
          <w:p w14:paraId="05EA7296" w14:textId="2098F6AE" w:rsidR="004A6BE1" w:rsidRDefault="00587D13" w:rsidP="00AB6594">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S</w:t>
            </w:r>
            <w:r w:rsidR="00CE60B7">
              <w:rPr>
                <w:rFonts w:ascii="Arial" w:hAnsi="Arial"/>
                <w:b w:val="0"/>
                <w:bCs w:val="0"/>
                <w:sz w:val="20"/>
                <w:szCs w:val="20"/>
                <w:lang w:eastAsia="en-AU"/>
              </w:rPr>
              <w:t xml:space="preserve">ome </w:t>
            </w:r>
            <w:r w:rsidR="004A6BE1" w:rsidRPr="004A6BE1">
              <w:rPr>
                <w:rFonts w:ascii="Arial" w:hAnsi="Arial"/>
                <w:b w:val="0"/>
                <w:bCs w:val="0"/>
                <w:sz w:val="20"/>
                <w:szCs w:val="20"/>
                <w:lang w:eastAsia="en-AU"/>
              </w:rPr>
              <w:t xml:space="preserve">existing farming activities </w:t>
            </w:r>
            <w:r w:rsidR="00CE60B7">
              <w:rPr>
                <w:rFonts w:ascii="Arial" w:hAnsi="Arial"/>
                <w:b w:val="0"/>
                <w:bCs w:val="0"/>
                <w:sz w:val="20"/>
                <w:szCs w:val="20"/>
                <w:lang w:eastAsia="en-AU"/>
              </w:rPr>
              <w:t>i</w:t>
            </w:r>
            <w:r w:rsidR="004A6BE1" w:rsidRPr="004A6BE1">
              <w:rPr>
                <w:rFonts w:ascii="Arial" w:hAnsi="Arial"/>
                <w:b w:val="0"/>
                <w:bCs w:val="0"/>
                <w:sz w:val="20"/>
                <w:szCs w:val="20"/>
                <w:lang w:eastAsia="en-AU"/>
              </w:rPr>
              <w:t>n the Project site will be temporarily displaced, however farming is likely to continue within the Project site prior to physical disturbance and following progressive rehabilitation.</w:t>
            </w:r>
          </w:p>
          <w:p w14:paraId="11853FC4" w14:textId="77777777" w:rsidR="00524782" w:rsidRDefault="004A6BE1" w:rsidP="00524782">
            <w:pPr>
              <w:pStyle w:val="BodyText"/>
              <w:spacing w:after="120"/>
              <w:jc w:val="both"/>
              <w:rPr>
                <w:rFonts w:ascii="Arial" w:hAnsi="Arial"/>
                <w:b w:val="0"/>
                <w:bCs w:val="0"/>
                <w:sz w:val="20"/>
                <w:szCs w:val="20"/>
                <w:lang w:eastAsia="en-AU"/>
              </w:rPr>
            </w:pPr>
            <w:r w:rsidRPr="004A6BE1">
              <w:rPr>
                <w:rFonts w:ascii="Arial" w:hAnsi="Arial"/>
                <w:b w:val="0"/>
                <w:bCs w:val="0"/>
                <w:sz w:val="20"/>
                <w:szCs w:val="20"/>
                <w:lang w:eastAsia="en-AU"/>
              </w:rPr>
              <w:t>No other non-residential land use activities are expected to be displaced as a result of the Project.</w:t>
            </w:r>
            <w:r w:rsidR="00524782">
              <w:rPr>
                <w:rFonts w:ascii="Arial" w:hAnsi="Arial"/>
                <w:b w:val="0"/>
                <w:bCs w:val="0"/>
                <w:sz w:val="20"/>
                <w:szCs w:val="20"/>
                <w:lang w:eastAsia="en-AU"/>
              </w:rPr>
              <w:t xml:space="preserve"> </w:t>
            </w:r>
          </w:p>
          <w:p w14:paraId="78EA9681" w14:textId="3FC805D1" w:rsidR="00690A3A" w:rsidRDefault="004A6BE1" w:rsidP="00524782">
            <w:pPr>
              <w:pStyle w:val="BodyText"/>
              <w:spacing w:after="120"/>
              <w:jc w:val="both"/>
              <w:rPr>
                <w:rFonts w:ascii="Arial" w:hAnsi="Arial"/>
              </w:rPr>
            </w:pPr>
            <w:r w:rsidRPr="004A6BE1">
              <w:rPr>
                <w:rFonts w:ascii="Arial" w:hAnsi="Arial"/>
                <w:b w:val="0"/>
                <w:bCs w:val="0"/>
                <w:sz w:val="20"/>
                <w:szCs w:val="20"/>
                <w:lang w:eastAsia="en-AU"/>
              </w:rPr>
              <w:t xml:space="preserve">The Project will not impact public access to the </w:t>
            </w:r>
            <w:proofErr w:type="spellStart"/>
            <w:r w:rsidRPr="004A6BE1">
              <w:rPr>
                <w:rFonts w:ascii="Arial" w:hAnsi="Arial"/>
                <w:b w:val="0"/>
                <w:bCs w:val="0"/>
                <w:sz w:val="20"/>
                <w:szCs w:val="20"/>
                <w:lang w:eastAsia="en-AU"/>
              </w:rPr>
              <w:t>Jallumba</w:t>
            </w:r>
            <w:proofErr w:type="spellEnd"/>
            <w:r w:rsidRPr="004A6BE1">
              <w:rPr>
                <w:rFonts w:ascii="Arial" w:hAnsi="Arial"/>
                <w:b w:val="0"/>
                <w:bCs w:val="0"/>
                <w:sz w:val="20"/>
                <w:szCs w:val="20"/>
                <w:lang w:eastAsia="en-AU"/>
              </w:rPr>
              <w:t xml:space="preserve"> Marsh Flora Reserve or </w:t>
            </w:r>
            <w:r w:rsidR="0073776F">
              <w:rPr>
                <w:rFonts w:ascii="Arial" w:hAnsi="Arial"/>
                <w:b w:val="0"/>
                <w:bCs w:val="0"/>
                <w:sz w:val="20"/>
                <w:szCs w:val="20"/>
                <w:lang w:eastAsia="en-AU"/>
              </w:rPr>
              <w:t xml:space="preserve">the </w:t>
            </w:r>
            <w:r w:rsidRPr="004A6BE1">
              <w:rPr>
                <w:rFonts w:ascii="Arial" w:hAnsi="Arial"/>
                <w:b w:val="0"/>
                <w:bCs w:val="0"/>
                <w:sz w:val="20"/>
                <w:szCs w:val="20"/>
                <w:lang w:eastAsia="en-AU"/>
              </w:rPr>
              <w:t>Red Gum Swamp.</w:t>
            </w:r>
            <w:r w:rsidR="00524782">
              <w:rPr>
                <w:rFonts w:ascii="Arial" w:hAnsi="Arial"/>
                <w:b w:val="0"/>
                <w:bCs w:val="0"/>
                <w:sz w:val="20"/>
                <w:szCs w:val="20"/>
                <w:lang w:eastAsia="en-AU"/>
              </w:rPr>
              <w:t xml:space="preserve"> </w:t>
            </w:r>
            <w:r w:rsidR="00524782" w:rsidRPr="00524782">
              <w:rPr>
                <w:rFonts w:ascii="Arial" w:hAnsi="Arial"/>
                <w:b w:val="0"/>
                <w:bCs w:val="0"/>
                <w:sz w:val="20"/>
                <w:szCs w:val="20"/>
                <w:lang w:eastAsia="en-AU"/>
              </w:rPr>
              <w:t>While the indicative mineralised extent and mine layout development envelope indicate that public access to Red Gum Swamp will be impacted by the Project, these extents may change as a result of the 2019 and 2020 drilling programs. Regardless, Iluka will ensure that safe public access to</w:t>
            </w:r>
            <w:r w:rsidR="00524782">
              <w:rPr>
                <w:rFonts w:ascii="Arial" w:hAnsi="Arial"/>
                <w:b w:val="0"/>
                <w:bCs w:val="0"/>
                <w:sz w:val="20"/>
                <w:szCs w:val="20"/>
                <w:lang w:eastAsia="en-AU"/>
              </w:rPr>
              <w:t xml:space="preserve"> the</w:t>
            </w:r>
            <w:r w:rsidR="00524782" w:rsidRPr="00524782">
              <w:rPr>
                <w:rFonts w:ascii="Arial" w:hAnsi="Arial"/>
                <w:b w:val="0"/>
                <w:bCs w:val="0"/>
                <w:sz w:val="20"/>
                <w:szCs w:val="20"/>
                <w:lang w:eastAsia="en-AU"/>
              </w:rPr>
              <w:t xml:space="preserve"> Red Gum Swamp is maintained during the life of the Project.</w:t>
            </w:r>
          </w:p>
        </w:tc>
      </w:tr>
      <w:tr w:rsidR="00690A3A" w14:paraId="38532FFA" w14:textId="77777777" w:rsidTr="00E71774">
        <w:tc>
          <w:tcPr>
            <w:tcW w:w="9243" w:type="dxa"/>
            <w:tcBorders>
              <w:top w:val="single" w:sz="4" w:space="0" w:color="auto"/>
              <w:bottom w:val="single" w:sz="4" w:space="0" w:color="auto"/>
            </w:tcBorders>
          </w:tcPr>
          <w:p w14:paraId="4C0C93ED" w14:textId="774F945C" w:rsidR="004A6BE1" w:rsidRDefault="004A6BE1" w:rsidP="00B35CE3">
            <w:pPr>
              <w:pStyle w:val="Heading2"/>
              <w:keepLines/>
              <w:numPr>
                <w:ilvl w:val="1"/>
                <w:numId w:val="0"/>
              </w:numPr>
              <w:tabs>
                <w:tab w:val="clear" w:pos="2904"/>
                <w:tab w:val="clear" w:pos="3907"/>
                <w:tab w:val="clear" w:pos="4910"/>
                <w:tab w:val="clear" w:pos="5913"/>
                <w:tab w:val="clear" w:pos="6916"/>
              </w:tabs>
              <w:spacing w:before="240" w:after="240"/>
              <w:jc w:val="both"/>
            </w:pPr>
            <w:bookmarkStart w:id="142" w:name="_Toc7770302"/>
            <w:r>
              <w:t>1</w:t>
            </w:r>
            <w:r w:rsidR="00204A4C">
              <w:t>5</w:t>
            </w:r>
            <w:r>
              <w:t>.6 Do any expected changes in non-residential land use activities have a potential to cause adverse effects on local residents/communities, social groups or industries?</w:t>
            </w:r>
            <w:bookmarkEnd w:id="142"/>
          </w:p>
          <w:p w14:paraId="273C3E77" w14:textId="77777777" w:rsidR="00587D13" w:rsidRPr="00EC6C73" w:rsidRDefault="00587D13" w:rsidP="00587D13">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09119574" w14:textId="77777777" w:rsidR="00587D13" w:rsidRDefault="00587D13" w:rsidP="00AB6594">
            <w:pPr>
              <w:pStyle w:val="BodyText"/>
              <w:spacing w:after="120"/>
              <w:jc w:val="both"/>
              <w:rPr>
                <w:rFonts w:ascii="Arial" w:hAnsi="Arial"/>
                <w:b w:val="0"/>
                <w:bCs w:val="0"/>
                <w:sz w:val="20"/>
                <w:szCs w:val="20"/>
                <w:lang w:eastAsia="en-AU"/>
              </w:rPr>
            </w:pPr>
          </w:p>
          <w:p w14:paraId="1993B6C7" w14:textId="77B3B067" w:rsidR="004A6BE1" w:rsidRDefault="00587D13" w:rsidP="00AB6594">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T</w:t>
            </w:r>
            <w:r w:rsidR="004A6BE1" w:rsidRPr="004A6BE1">
              <w:rPr>
                <w:rFonts w:ascii="Arial" w:hAnsi="Arial"/>
                <w:b w:val="0"/>
                <w:bCs w:val="0"/>
                <w:sz w:val="20"/>
                <w:szCs w:val="20"/>
                <w:lang w:eastAsia="en-AU"/>
              </w:rPr>
              <w:t xml:space="preserve">he Project will necessitate the </w:t>
            </w:r>
            <w:r w:rsidR="006A5945">
              <w:rPr>
                <w:rFonts w:ascii="Arial" w:hAnsi="Arial"/>
                <w:b w:val="0"/>
                <w:bCs w:val="0"/>
                <w:sz w:val="20"/>
                <w:szCs w:val="20"/>
                <w:lang w:eastAsia="en-AU"/>
              </w:rPr>
              <w:t xml:space="preserve">temporary </w:t>
            </w:r>
            <w:r w:rsidR="004A6BE1" w:rsidRPr="004A6BE1">
              <w:rPr>
                <w:rFonts w:ascii="Arial" w:hAnsi="Arial"/>
                <w:b w:val="0"/>
                <w:bCs w:val="0"/>
                <w:sz w:val="20"/>
                <w:szCs w:val="20"/>
                <w:lang w:eastAsia="en-AU"/>
              </w:rPr>
              <w:t xml:space="preserve">displacement of </w:t>
            </w:r>
            <w:r w:rsidR="00CE60B7">
              <w:rPr>
                <w:rFonts w:ascii="Arial" w:hAnsi="Arial"/>
                <w:b w:val="0"/>
                <w:bCs w:val="0"/>
                <w:sz w:val="20"/>
                <w:szCs w:val="20"/>
                <w:lang w:eastAsia="en-AU"/>
              </w:rPr>
              <w:t xml:space="preserve">some </w:t>
            </w:r>
            <w:r w:rsidR="004A6BE1" w:rsidRPr="004A6BE1">
              <w:rPr>
                <w:rFonts w:ascii="Arial" w:hAnsi="Arial"/>
                <w:b w:val="0"/>
                <w:bCs w:val="0"/>
                <w:sz w:val="20"/>
                <w:szCs w:val="20"/>
                <w:lang w:eastAsia="en-AU"/>
              </w:rPr>
              <w:t xml:space="preserve">localised agricultural activities, thereby </w:t>
            </w:r>
            <w:r w:rsidR="006A5945">
              <w:rPr>
                <w:rFonts w:ascii="Arial" w:hAnsi="Arial"/>
                <w:b w:val="0"/>
                <w:bCs w:val="0"/>
                <w:sz w:val="20"/>
                <w:szCs w:val="20"/>
                <w:lang w:eastAsia="en-AU"/>
              </w:rPr>
              <w:t xml:space="preserve">temporarily </w:t>
            </w:r>
            <w:r w:rsidR="004A6BE1" w:rsidRPr="004A6BE1">
              <w:rPr>
                <w:rFonts w:ascii="Arial" w:hAnsi="Arial"/>
                <w:b w:val="0"/>
                <w:bCs w:val="0"/>
                <w:sz w:val="20"/>
                <w:szCs w:val="20"/>
                <w:lang w:eastAsia="en-AU"/>
              </w:rPr>
              <w:t xml:space="preserve">reducing available agricultural land in the local area. The Project may also impact the rural character of the local area. However, the Project offers the potential to generate a significant long-term employment opportunity in the region and for opportunity for skills development and diversification. It offers the potential for </w:t>
            </w:r>
            <w:r w:rsidR="00CE60B7">
              <w:rPr>
                <w:rFonts w:ascii="Arial" w:hAnsi="Arial"/>
                <w:b w:val="0"/>
                <w:bCs w:val="0"/>
                <w:sz w:val="20"/>
                <w:szCs w:val="20"/>
                <w:lang w:eastAsia="en-AU"/>
              </w:rPr>
              <w:t xml:space="preserve">the region and </w:t>
            </w:r>
            <w:r w:rsidR="004A6BE1" w:rsidRPr="004A6BE1">
              <w:rPr>
                <w:rFonts w:ascii="Arial" w:hAnsi="Arial"/>
                <w:b w:val="0"/>
                <w:bCs w:val="0"/>
                <w:sz w:val="20"/>
                <w:szCs w:val="20"/>
                <w:lang w:eastAsia="en-AU"/>
              </w:rPr>
              <w:t xml:space="preserve">Victoria to be at the forefront of a new industry and for mineral products to be sourced and manufactured locally and used in Victoria’s renewable energy and technology sectors. </w:t>
            </w:r>
          </w:p>
          <w:p w14:paraId="52D7B54D" w14:textId="26D843C6" w:rsidR="00690A3A" w:rsidRDefault="00B35CE3" w:rsidP="00AB6594">
            <w:pPr>
              <w:pStyle w:val="BodyText"/>
              <w:spacing w:after="120"/>
              <w:jc w:val="both"/>
              <w:rPr>
                <w:rFonts w:ascii="Arial" w:hAnsi="Arial"/>
              </w:rPr>
            </w:pPr>
            <w:r>
              <w:rPr>
                <w:rFonts w:ascii="Arial" w:hAnsi="Arial"/>
                <w:b w:val="0"/>
                <w:bCs w:val="0"/>
                <w:sz w:val="20"/>
                <w:szCs w:val="20"/>
                <w:lang w:eastAsia="en-AU"/>
              </w:rPr>
              <w:t>The Project will generate local and regional business in relation to the supply of products and services required by the Project in the construction, operation, rehabilitation, closure and post-closure phases.</w:t>
            </w:r>
          </w:p>
        </w:tc>
      </w:tr>
      <w:tr w:rsidR="00690A3A" w14:paraId="6DA2667D" w14:textId="77777777" w:rsidTr="00E71774">
        <w:tc>
          <w:tcPr>
            <w:tcW w:w="9243" w:type="dxa"/>
            <w:tcBorders>
              <w:top w:val="single" w:sz="4" w:space="0" w:color="auto"/>
              <w:bottom w:val="single" w:sz="4" w:space="0" w:color="auto"/>
            </w:tcBorders>
          </w:tcPr>
          <w:p w14:paraId="6A645DF6" w14:textId="4843FB8F" w:rsidR="00181321" w:rsidRPr="00181321" w:rsidRDefault="00181321" w:rsidP="00181321">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43" w:name="_Toc7770303"/>
            <w:r>
              <w:t>1</w:t>
            </w:r>
            <w:r w:rsidR="00204A4C">
              <w:t>5</w:t>
            </w:r>
            <w:r>
              <w:t xml:space="preserve">.7 </w:t>
            </w:r>
            <w:r w:rsidRPr="00181321">
              <w:t>Is mitigation of potential social effects proposed?</w:t>
            </w:r>
            <w:bookmarkEnd w:id="143"/>
          </w:p>
          <w:p w14:paraId="1E57B235" w14:textId="77777777" w:rsidR="00587D13" w:rsidRPr="00EC6C73" w:rsidRDefault="00587D13" w:rsidP="00587D13">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65362036" w14:textId="77777777" w:rsidR="00587D13" w:rsidRDefault="00587D13" w:rsidP="00181321">
            <w:pPr>
              <w:pStyle w:val="BodyText"/>
              <w:jc w:val="both"/>
              <w:rPr>
                <w:rFonts w:ascii="Arial" w:hAnsi="Arial"/>
                <w:b w:val="0"/>
                <w:bCs w:val="0"/>
                <w:sz w:val="20"/>
                <w:szCs w:val="20"/>
                <w:lang w:eastAsia="en-AU"/>
              </w:rPr>
            </w:pPr>
          </w:p>
          <w:p w14:paraId="2775A5E6" w14:textId="7E691EB8" w:rsidR="00181321" w:rsidRPr="00181321" w:rsidRDefault="00181321" w:rsidP="00181321">
            <w:pPr>
              <w:pStyle w:val="BodyText"/>
              <w:jc w:val="both"/>
              <w:rPr>
                <w:rFonts w:ascii="Arial" w:hAnsi="Arial"/>
                <w:b w:val="0"/>
                <w:bCs w:val="0"/>
                <w:sz w:val="20"/>
                <w:szCs w:val="20"/>
                <w:lang w:eastAsia="en-AU"/>
              </w:rPr>
            </w:pPr>
            <w:r w:rsidRPr="00181321">
              <w:rPr>
                <w:rFonts w:ascii="Arial" w:hAnsi="Arial"/>
                <w:b w:val="0"/>
                <w:bCs w:val="0"/>
                <w:sz w:val="20"/>
                <w:szCs w:val="20"/>
                <w:lang w:eastAsia="en-AU"/>
              </w:rPr>
              <w:t xml:space="preserve">A socioeconomic impact assessment and stakeholder consultation will be undertaken to identify potential impacts on residents, community, social groups and industry with ongoing consultation to address the concerns raised. </w:t>
            </w:r>
          </w:p>
          <w:p w14:paraId="676A21DF" w14:textId="77777777" w:rsidR="00690A3A" w:rsidRDefault="00690A3A" w:rsidP="00181321">
            <w:pPr>
              <w:jc w:val="both"/>
              <w:rPr>
                <w:rFonts w:ascii="Arial" w:hAnsi="Arial"/>
              </w:rPr>
            </w:pPr>
          </w:p>
        </w:tc>
      </w:tr>
      <w:tr w:rsidR="00690A3A" w14:paraId="50540447" w14:textId="77777777" w:rsidTr="00E71774">
        <w:tc>
          <w:tcPr>
            <w:tcW w:w="9243" w:type="dxa"/>
            <w:tcBorders>
              <w:top w:val="single" w:sz="4" w:space="0" w:color="auto"/>
              <w:bottom w:val="single" w:sz="4" w:space="0" w:color="auto"/>
            </w:tcBorders>
          </w:tcPr>
          <w:p w14:paraId="0A42BAA1" w14:textId="4258F837" w:rsidR="00D42C0E" w:rsidRPr="00950207" w:rsidRDefault="00D42C0E" w:rsidP="00D42C0E">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44" w:name="_Toc7770304"/>
            <w:r>
              <w:lastRenderedPageBreak/>
              <w:t>1</w:t>
            </w:r>
            <w:r w:rsidR="00204A4C">
              <w:t>5</w:t>
            </w:r>
            <w:r>
              <w:t xml:space="preserve">.8 </w:t>
            </w:r>
            <w:r w:rsidRPr="00950207">
              <w:t>Other information/comments?</w:t>
            </w:r>
            <w:bookmarkEnd w:id="144"/>
            <w:r w:rsidRPr="00950207">
              <w:t xml:space="preserve"> </w:t>
            </w:r>
          </w:p>
          <w:p w14:paraId="3CFE77A6" w14:textId="44EE2FD7" w:rsidR="00D42C0E" w:rsidRDefault="00D42C0E" w:rsidP="00D42C0E">
            <w:pPr>
              <w:pStyle w:val="BodyText"/>
              <w:jc w:val="both"/>
              <w:rPr>
                <w:rFonts w:ascii="Arial" w:hAnsi="Arial"/>
                <w:b w:val="0"/>
                <w:bCs w:val="0"/>
                <w:sz w:val="20"/>
                <w:szCs w:val="20"/>
                <w:lang w:eastAsia="en-AU"/>
              </w:rPr>
            </w:pPr>
            <w:bookmarkStart w:id="145" w:name="_Hlk4412745"/>
            <w:r w:rsidRPr="00D42C0E">
              <w:rPr>
                <w:rFonts w:ascii="Arial" w:hAnsi="Arial"/>
                <w:b w:val="0"/>
                <w:bCs w:val="0"/>
                <w:sz w:val="20"/>
                <w:szCs w:val="20"/>
                <w:lang w:eastAsia="en-AU"/>
              </w:rPr>
              <w:t>Iluka recognises that effective management of consultation can improve its understanding of</w:t>
            </w:r>
            <w:r w:rsidR="00CE60B7">
              <w:rPr>
                <w:rFonts w:ascii="Arial" w:hAnsi="Arial"/>
                <w:b w:val="0"/>
                <w:bCs w:val="0"/>
                <w:sz w:val="20"/>
                <w:szCs w:val="20"/>
                <w:lang w:eastAsia="en-AU"/>
              </w:rPr>
              <w:t xml:space="preserve"> the</w:t>
            </w:r>
            <w:r w:rsidRPr="00D42C0E">
              <w:rPr>
                <w:rFonts w:ascii="Arial" w:hAnsi="Arial"/>
                <w:b w:val="0"/>
                <w:bCs w:val="0"/>
                <w:sz w:val="20"/>
                <w:szCs w:val="20"/>
                <w:lang w:eastAsia="en-AU"/>
              </w:rPr>
              <w:t xml:space="preserve"> community’s needs and social licence to operate. </w:t>
            </w:r>
          </w:p>
          <w:p w14:paraId="0940E7E3" w14:textId="77777777" w:rsidR="00D42C0E" w:rsidRPr="00D42C0E" w:rsidRDefault="00D42C0E" w:rsidP="00D42C0E">
            <w:pPr>
              <w:pStyle w:val="BodyText"/>
              <w:jc w:val="both"/>
              <w:rPr>
                <w:rFonts w:ascii="Arial" w:hAnsi="Arial"/>
                <w:b w:val="0"/>
                <w:bCs w:val="0"/>
                <w:sz w:val="20"/>
                <w:szCs w:val="20"/>
                <w:lang w:eastAsia="en-AU"/>
              </w:rPr>
            </w:pPr>
          </w:p>
          <w:p w14:paraId="1A0C9502" w14:textId="77777777" w:rsidR="00D42C0E" w:rsidRDefault="00D42C0E" w:rsidP="00D42C0E">
            <w:pPr>
              <w:pStyle w:val="BodyText"/>
              <w:jc w:val="both"/>
              <w:rPr>
                <w:rFonts w:ascii="Arial" w:hAnsi="Arial"/>
                <w:b w:val="0"/>
                <w:bCs w:val="0"/>
                <w:sz w:val="20"/>
                <w:szCs w:val="20"/>
                <w:lang w:eastAsia="en-AU"/>
              </w:rPr>
            </w:pPr>
            <w:r w:rsidRPr="00D42C0E">
              <w:rPr>
                <w:rFonts w:ascii="Arial" w:hAnsi="Arial"/>
                <w:b w:val="0"/>
                <w:bCs w:val="0"/>
                <w:sz w:val="20"/>
                <w:szCs w:val="20"/>
                <w:lang w:eastAsia="en-AU"/>
              </w:rPr>
              <w:t xml:space="preserve">The following principles form the foundation of Iluka’s approach to community consultation: </w:t>
            </w:r>
          </w:p>
          <w:p w14:paraId="6FBD2146" w14:textId="77777777" w:rsidR="00D42C0E" w:rsidRPr="00D42C0E" w:rsidRDefault="00D42C0E" w:rsidP="00D42C0E">
            <w:pPr>
              <w:pStyle w:val="BodyText"/>
              <w:jc w:val="both"/>
              <w:rPr>
                <w:rFonts w:ascii="Arial" w:hAnsi="Arial"/>
                <w:b w:val="0"/>
                <w:bCs w:val="0"/>
                <w:sz w:val="20"/>
                <w:szCs w:val="20"/>
                <w:lang w:eastAsia="en-AU"/>
              </w:rPr>
            </w:pPr>
          </w:p>
          <w:p w14:paraId="45B2796F" w14:textId="77777777" w:rsidR="00D42C0E" w:rsidRPr="00C83AAA" w:rsidRDefault="00D42C0E"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take a proactive and systematic approach to community consultation; </w:t>
            </w:r>
          </w:p>
          <w:p w14:paraId="6AE96CAA" w14:textId="77777777" w:rsidR="00D42C0E" w:rsidRPr="00C83AAA" w:rsidRDefault="00D42C0E"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recognise the rights, cultural beliefs, values and interests of the community;</w:t>
            </w:r>
          </w:p>
          <w:p w14:paraId="17FAB1B1" w14:textId="77777777" w:rsidR="00D42C0E" w:rsidRPr="00C83AAA" w:rsidRDefault="00D42C0E"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respond to community concerns in a timely, open and effective manner;</w:t>
            </w:r>
          </w:p>
          <w:bookmarkEnd w:id="145"/>
          <w:p w14:paraId="077F9790" w14:textId="77777777" w:rsidR="00D42C0E" w:rsidRPr="00C83AAA" w:rsidRDefault="00D42C0E"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explore community values and interests with a view to finding common ground;</w:t>
            </w:r>
          </w:p>
          <w:p w14:paraId="44E634FF" w14:textId="77777777" w:rsidR="00D42C0E" w:rsidRPr="00C83AAA" w:rsidRDefault="00D42C0E"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use clear, concise and balanced language;</w:t>
            </w:r>
          </w:p>
          <w:p w14:paraId="4E8BF1A1" w14:textId="77777777" w:rsidR="00D42C0E" w:rsidRPr="00C83AAA" w:rsidRDefault="00D42C0E"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make scientific and technical information accessible; and </w:t>
            </w:r>
          </w:p>
          <w:p w14:paraId="69C182E8" w14:textId="77777777" w:rsidR="00D42C0E" w:rsidRPr="00C83AAA" w:rsidRDefault="00D42C0E"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ensure that the purpose of each consultation activity is made clear to avoid creating expectations around a level of interaction that is not intended, or is able, to be satisfied.</w:t>
            </w:r>
          </w:p>
          <w:p w14:paraId="3FC7DAD1" w14:textId="77777777" w:rsidR="00D42C0E" w:rsidRPr="00D42C0E" w:rsidRDefault="00D42C0E" w:rsidP="00D42C0E">
            <w:pPr>
              <w:pStyle w:val="BodyText"/>
              <w:jc w:val="both"/>
              <w:rPr>
                <w:rFonts w:ascii="Arial" w:hAnsi="Arial"/>
                <w:b w:val="0"/>
                <w:bCs w:val="0"/>
                <w:sz w:val="20"/>
                <w:szCs w:val="20"/>
                <w:lang w:eastAsia="en-AU"/>
              </w:rPr>
            </w:pPr>
            <w:r w:rsidRPr="00D42C0E">
              <w:rPr>
                <w:rFonts w:ascii="Arial" w:hAnsi="Arial"/>
                <w:b w:val="0"/>
                <w:bCs w:val="0"/>
                <w:sz w:val="20"/>
                <w:szCs w:val="20"/>
                <w:lang w:eastAsia="en-AU"/>
              </w:rPr>
              <w:t xml:space="preserve">Iluka is committed to high levels of community engagement. A community consultation plan is being prepared for the Wimmera Project to ensure that stakeholder interests are heard and actioned where reasonable. </w:t>
            </w:r>
          </w:p>
          <w:p w14:paraId="71226A46" w14:textId="77777777" w:rsidR="00690A3A" w:rsidRDefault="00690A3A">
            <w:pPr>
              <w:rPr>
                <w:rFonts w:ascii="Arial" w:hAnsi="Arial"/>
              </w:rPr>
            </w:pPr>
          </w:p>
        </w:tc>
      </w:tr>
      <w:tr w:rsidR="004A6BE1" w14:paraId="0CCFA03B" w14:textId="77777777" w:rsidTr="00FD555F">
        <w:tc>
          <w:tcPr>
            <w:tcW w:w="9243" w:type="dxa"/>
            <w:tcBorders>
              <w:top w:val="single" w:sz="4" w:space="0" w:color="auto"/>
            </w:tcBorders>
          </w:tcPr>
          <w:p w14:paraId="0471622A" w14:textId="62661AA2" w:rsidR="004A6BE1" w:rsidRDefault="001B333D" w:rsidP="00CE60B7">
            <w:pPr>
              <w:pStyle w:val="Heading2"/>
              <w:ind w:left="0"/>
            </w:pPr>
            <w:bookmarkStart w:id="146" w:name="_Toc5611094"/>
            <w:bookmarkStart w:id="147" w:name="_Toc7770305"/>
            <w:bookmarkStart w:id="148" w:name="_Toc7787930"/>
            <w:r>
              <w:t>1</w:t>
            </w:r>
            <w:r w:rsidR="00204A4C">
              <w:t>5</w:t>
            </w:r>
            <w:r>
              <w:t>.9 Cultural heritage</w:t>
            </w:r>
            <w:bookmarkEnd w:id="146"/>
            <w:bookmarkEnd w:id="147"/>
            <w:bookmarkEnd w:id="148"/>
          </w:p>
        </w:tc>
      </w:tr>
      <w:tr w:rsidR="004A6BE1" w14:paraId="55F8C20D" w14:textId="77777777" w:rsidTr="00E96A1F">
        <w:tc>
          <w:tcPr>
            <w:tcW w:w="9243" w:type="dxa"/>
          </w:tcPr>
          <w:p w14:paraId="1442A90A" w14:textId="0410DE5B" w:rsidR="001B333D" w:rsidRPr="001B333D" w:rsidRDefault="001B333D" w:rsidP="001B333D">
            <w:pPr>
              <w:pStyle w:val="Heading3"/>
              <w:keepLines/>
              <w:numPr>
                <w:ilvl w:val="2"/>
                <w:numId w:val="0"/>
              </w:numPr>
              <w:spacing w:before="240" w:after="240"/>
              <w:ind w:left="851" w:hanging="851"/>
              <w:jc w:val="both"/>
              <w:rPr>
                <w:sz w:val="20"/>
              </w:rPr>
            </w:pPr>
            <w:bookmarkStart w:id="149" w:name="_Toc7770306"/>
            <w:r>
              <w:rPr>
                <w:sz w:val="20"/>
              </w:rPr>
              <w:t>1</w:t>
            </w:r>
            <w:r w:rsidR="00204A4C">
              <w:rPr>
                <w:sz w:val="20"/>
              </w:rPr>
              <w:t>5</w:t>
            </w:r>
            <w:r>
              <w:rPr>
                <w:sz w:val="20"/>
              </w:rPr>
              <w:t xml:space="preserve">.9.1 </w:t>
            </w:r>
            <w:r w:rsidRPr="001B333D">
              <w:rPr>
                <w:sz w:val="20"/>
              </w:rPr>
              <w:t>Have relevant Indigenous organisations been consulted on the occurrence of Aboriginal cultural heritage within the Project area?</w:t>
            </w:r>
            <w:bookmarkEnd w:id="149"/>
            <w:r w:rsidRPr="001B333D">
              <w:rPr>
                <w:sz w:val="20"/>
              </w:rPr>
              <w:t xml:space="preserve"> </w:t>
            </w:r>
          </w:p>
          <w:p w14:paraId="6598C4A0" w14:textId="77777777" w:rsidR="00A141A4" w:rsidRPr="00EC6C73" w:rsidRDefault="00A141A4" w:rsidP="00A141A4">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3B0B6390" w14:textId="77777777" w:rsidR="00A141A4" w:rsidRDefault="00A141A4" w:rsidP="001B333D">
            <w:pPr>
              <w:pStyle w:val="BodyText"/>
              <w:jc w:val="both"/>
              <w:rPr>
                <w:rFonts w:ascii="Arial" w:hAnsi="Arial"/>
                <w:b w:val="0"/>
                <w:bCs w:val="0"/>
                <w:sz w:val="20"/>
                <w:szCs w:val="20"/>
                <w:lang w:eastAsia="en-AU"/>
              </w:rPr>
            </w:pPr>
          </w:p>
          <w:p w14:paraId="5C5BA18C" w14:textId="630EE1E2" w:rsid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Prior to European settlement the region was occupied by </w:t>
            </w:r>
            <w:proofErr w:type="spellStart"/>
            <w:r w:rsidRPr="001B333D">
              <w:rPr>
                <w:rFonts w:ascii="Arial" w:hAnsi="Arial"/>
                <w:b w:val="0"/>
                <w:bCs w:val="0"/>
                <w:sz w:val="20"/>
                <w:szCs w:val="20"/>
                <w:lang w:eastAsia="en-AU"/>
              </w:rPr>
              <w:t>Wotjobaluk</w:t>
            </w:r>
            <w:proofErr w:type="spellEnd"/>
            <w:r w:rsidRPr="001B333D">
              <w:rPr>
                <w:rFonts w:ascii="Arial" w:hAnsi="Arial"/>
                <w:b w:val="0"/>
                <w:bCs w:val="0"/>
                <w:sz w:val="20"/>
                <w:szCs w:val="20"/>
                <w:lang w:eastAsia="en-AU"/>
              </w:rPr>
              <w:t xml:space="preserve">, </w:t>
            </w:r>
            <w:proofErr w:type="spellStart"/>
            <w:r w:rsidRPr="001B333D">
              <w:rPr>
                <w:rFonts w:ascii="Arial" w:hAnsi="Arial"/>
                <w:b w:val="0"/>
                <w:bCs w:val="0"/>
                <w:sz w:val="20"/>
                <w:szCs w:val="20"/>
                <w:lang w:eastAsia="en-AU"/>
              </w:rPr>
              <w:t>Jaadwa</w:t>
            </w:r>
            <w:proofErr w:type="spellEnd"/>
            <w:r w:rsidRPr="001B333D">
              <w:rPr>
                <w:rFonts w:ascii="Arial" w:hAnsi="Arial"/>
                <w:b w:val="0"/>
                <w:bCs w:val="0"/>
                <w:sz w:val="20"/>
                <w:szCs w:val="20"/>
                <w:lang w:eastAsia="en-AU"/>
              </w:rPr>
              <w:t xml:space="preserve">, </w:t>
            </w:r>
            <w:proofErr w:type="spellStart"/>
            <w:r w:rsidRPr="001B333D">
              <w:rPr>
                <w:rFonts w:ascii="Arial" w:hAnsi="Arial"/>
                <w:b w:val="0"/>
                <w:bCs w:val="0"/>
                <w:sz w:val="20"/>
                <w:szCs w:val="20"/>
                <w:lang w:eastAsia="en-AU"/>
              </w:rPr>
              <w:t>Jadawadjali</w:t>
            </w:r>
            <w:proofErr w:type="spellEnd"/>
            <w:r w:rsidRPr="001B333D">
              <w:rPr>
                <w:rFonts w:ascii="Arial" w:hAnsi="Arial"/>
                <w:b w:val="0"/>
                <w:bCs w:val="0"/>
                <w:sz w:val="20"/>
                <w:szCs w:val="20"/>
                <w:lang w:eastAsia="en-AU"/>
              </w:rPr>
              <w:t xml:space="preserve">, </w:t>
            </w:r>
            <w:proofErr w:type="spellStart"/>
            <w:r w:rsidRPr="001B333D">
              <w:rPr>
                <w:rFonts w:ascii="Arial" w:hAnsi="Arial"/>
                <w:b w:val="0"/>
                <w:bCs w:val="0"/>
                <w:sz w:val="20"/>
                <w:szCs w:val="20"/>
                <w:lang w:eastAsia="en-AU"/>
              </w:rPr>
              <w:t>Wergaia</w:t>
            </w:r>
            <w:proofErr w:type="spellEnd"/>
            <w:r w:rsidRPr="001B333D">
              <w:rPr>
                <w:rFonts w:ascii="Arial" w:hAnsi="Arial"/>
                <w:b w:val="0"/>
                <w:bCs w:val="0"/>
                <w:sz w:val="20"/>
                <w:szCs w:val="20"/>
                <w:lang w:eastAsia="en-AU"/>
              </w:rPr>
              <w:t xml:space="preserve"> and </w:t>
            </w:r>
            <w:proofErr w:type="spellStart"/>
            <w:r w:rsidRPr="001B333D">
              <w:rPr>
                <w:rFonts w:ascii="Arial" w:hAnsi="Arial"/>
                <w:b w:val="0"/>
                <w:bCs w:val="0"/>
                <w:sz w:val="20"/>
                <w:szCs w:val="20"/>
                <w:lang w:eastAsia="en-AU"/>
              </w:rPr>
              <w:t>Jupagulk</w:t>
            </w:r>
            <w:proofErr w:type="spellEnd"/>
            <w:r w:rsidRPr="001B333D">
              <w:rPr>
                <w:rFonts w:ascii="Arial" w:hAnsi="Arial"/>
                <w:b w:val="0"/>
                <w:bCs w:val="0"/>
                <w:sz w:val="20"/>
                <w:szCs w:val="20"/>
                <w:lang w:eastAsia="en-AU"/>
              </w:rPr>
              <w:t xml:space="preserve"> Traditional Owner groups. These groups are represented by the </w:t>
            </w:r>
            <w:proofErr w:type="spellStart"/>
            <w:r w:rsidRPr="001B333D">
              <w:rPr>
                <w:rFonts w:ascii="Arial" w:hAnsi="Arial"/>
                <w:b w:val="0"/>
                <w:bCs w:val="0"/>
                <w:sz w:val="20"/>
                <w:szCs w:val="20"/>
                <w:lang w:eastAsia="en-AU"/>
              </w:rPr>
              <w:t>Barengi</w:t>
            </w:r>
            <w:proofErr w:type="spellEnd"/>
            <w:r w:rsidRPr="001B333D">
              <w:rPr>
                <w:rFonts w:ascii="Arial" w:hAnsi="Arial"/>
                <w:b w:val="0"/>
                <w:bCs w:val="0"/>
                <w:sz w:val="20"/>
                <w:szCs w:val="20"/>
                <w:lang w:eastAsia="en-AU"/>
              </w:rPr>
              <w:t xml:space="preserve"> </w:t>
            </w:r>
            <w:proofErr w:type="spellStart"/>
            <w:r w:rsidRPr="001B333D">
              <w:rPr>
                <w:rFonts w:ascii="Arial" w:hAnsi="Arial"/>
                <w:b w:val="0"/>
                <w:bCs w:val="0"/>
                <w:sz w:val="20"/>
                <w:szCs w:val="20"/>
                <w:lang w:eastAsia="en-AU"/>
              </w:rPr>
              <w:t>Gadjin</w:t>
            </w:r>
            <w:proofErr w:type="spellEnd"/>
            <w:r w:rsidRPr="001B333D">
              <w:rPr>
                <w:rFonts w:ascii="Arial" w:hAnsi="Arial"/>
                <w:b w:val="0"/>
                <w:bCs w:val="0"/>
                <w:sz w:val="20"/>
                <w:szCs w:val="20"/>
                <w:lang w:eastAsia="en-AU"/>
              </w:rPr>
              <w:t xml:space="preserve"> Land Council Aboriginal Corporation (BGLCAC), the Registered Aboriginal Party (RAP) under the </w:t>
            </w:r>
            <w:r w:rsidRPr="00CE60B7">
              <w:rPr>
                <w:rFonts w:ascii="Arial" w:hAnsi="Arial"/>
                <w:b w:val="0"/>
                <w:bCs w:val="0"/>
                <w:i/>
                <w:iCs/>
                <w:sz w:val="20"/>
                <w:szCs w:val="20"/>
                <w:lang w:eastAsia="en-AU"/>
              </w:rPr>
              <w:t>Victorian Aboriginal Heritage Act 2006</w:t>
            </w:r>
            <w:r w:rsidRPr="001B333D">
              <w:rPr>
                <w:rFonts w:ascii="Arial" w:hAnsi="Arial"/>
                <w:b w:val="0"/>
                <w:bCs w:val="0"/>
                <w:sz w:val="20"/>
                <w:szCs w:val="20"/>
                <w:lang w:eastAsia="en-AU"/>
              </w:rPr>
              <w:t>.</w:t>
            </w:r>
          </w:p>
          <w:p w14:paraId="42516B8D" w14:textId="77777777" w:rsidR="001B333D" w:rsidRPr="001B333D" w:rsidRDefault="001B333D" w:rsidP="001B333D">
            <w:pPr>
              <w:pStyle w:val="BodyText"/>
              <w:jc w:val="both"/>
              <w:rPr>
                <w:rFonts w:ascii="Arial" w:hAnsi="Arial"/>
                <w:b w:val="0"/>
                <w:bCs w:val="0"/>
                <w:sz w:val="20"/>
                <w:szCs w:val="20"/>
                <w:lang w:eastAsia="en-AU"/>
              </w:rPr>
            </w:pPr>
          </w:p>
          <w:p w14:paraId="4897C515" w14:textId="2A5072D4" w:rsidR="001B333D" w:rsidRP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Aboriginal stakeholder consultation related to the Project to date is outlined in Table 1</w:t>
            </w:r>
            <w:r w:rsidR="00CE60B7">
              <w:rPr>
                <w:rFonts w:ascii="Arial" w:hAnsi="Arial"/>
                <w:b w:val="0"/>
                <w:bCs w:val="0"/>
                <w:sz w:val="20"/>
                <w:szCs w:val="20"/>
                <w:lang w:eastAsia="en-AU"/>
              </w:rPr>
              <w:t>0.2</w:t>
            </w:r>
            <w:r w:rsidRPr="001B333D">
              <w:rPr>
                <w:rFonts w:ascii="Arial" w:hAnsi="Arial"/>
                <w:b w:val="0"/>
                <w:bCs w:val="0"/>
                <w:sz w:val="20"/>
                <w:szCs w:val="20"/>
                <w:lang w:eastAsia="en-AU"/>
              </w:rPr>
              <w:t>.</w:t>
            </w:r>
          </w:p>
          <w:p w14:paraId="01708DB3" w14:textId="77777777" w:rsidR="004A6BE1" w:rsidRDefault="004A6BE1">
            <w:pPr>
              <w:rPr>
                <w:rFonts w:ascii="Arial" w:hAnsi="Arial"/>
              </w:rPr>
            </w:pPr>
          </w:p>
        </w:tc>
      </w:tr>
      <w:tr w:rsidR="004A6BE1" w14:paraId="778771D4" w14:textId="77777777" w:rsidTr="00E96A1F">
        <w:tc>
          <w:tcPr>
            <w:tcW w:w="9243" w:type="dxa"/>
          </w:tcPr>
          <w:p w14:paraId="2ED3343A" w14:textId="77777777" w:rsidR="004A6BE1" w:rsidRDefault="004A6BE1">
            <w:pPr>
              <w:rPr>
                <w:rFonts w:ascii="Arial" w:hAnsi="Arial"/>
              </w:rPr>
            </w:pPr>
          </w:p>
        </w:tc>
      </w:tr>
      <w:tr w:rsidR="004A6BE1" w14:paraId="11D18163" w14:textId="77777777" w:rsidTr="00E71774">
        <w:tc>
          <w:tcPr>
            <w:tcW w:w="9243" w:type="dxa"/>
            <w:tcBorders>
              <w:bottom w:val="single" w:sz="4" w:space="0" w:color="auto"/>
            </w:tcBorders>
          </w:tcPr>
          <w:p w14:paraId="2226CD46" w14:textId="237E3DBB" w:rsidR="001B333D" w:rsidRPr="001B333D" w:rsidRDefault="001B333D" w:rsidP="001B333D">
            <w:pPr>
              <w:pStyle w:val="Heading3"/>
              <w:keepLines/>
              <w:numPr>
                <w:ilvl w:val="2"/>
                <w:numId w:val="0"/>
              </w:numPr>
              <w:spacing w:before="240" w:after="240"/>
              <w:ind w:left="851" w:hanging="851"/>
              <w:jc w:val="both"/>
              <w:rPr>
                <w:sz w:val="20"/>
              </w:rPr>
            </w:pPr>
            <w:bookmarkStart w:id="150" w:name="_Toc7770307"/>
            <w:r>
              <w:rPr>
                <w:sz w:val="20"/>
              </w:rPr>
              <w:lastRenderedPageBreak/>
              <w:t>1</w:t>
            </w:r>
            <w:r w:rsidR="00204A4C">
              <w:rPr>
                <w:sz w:val="20"/>
              </w:rPr>
              <w:t>5</w:t>
            </w:r>
            <w:r>
              <w:rPr>
                <w:sz w:val="20"/>
              </w:rPr>
              <w:t xml:space="preserve">.9.2 </w:t>
            </w:r>
            <w:r w:rsidRPr="001B333D">
              <w:rPr>
                <w:sz w:val="20"/>
              </w:rPr>
              <w:t>What investigations of cultural heritage in the Project area have been done?</w:t>
            </w:r>
            <w:bookmarkEnd w:id="150"/>
            <w:r w:rsidRPr="001B333D">
              <w:rPr>
                <w:sz w:val="20"/>
              </w:rPr>
              <w:t xml:space="preserve"> </w:t>
            </w:r>
          </w:p>
          <w:p w14:paraId="459DC8A0" w14:textId="77777777" w:rsid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The Registered Aboriginal Party (RAP) for the Project site is the </w:t>
            </w:r>
            <w:proofErr w:type="spellStart"/>
            <w:r w:rsidRPr="001B333D">
              <w:rPr>
                <w:rFonts w:ascii="Arial" w:hAnsi="Arial"/>
                <w:b w:val="0"/>
                <w:bCs w:val="0"/>
                <w:sz w:val="20"/>
                <w:szCs w:val="20"/>
                <w:lang w:eastAsia="en-AU"/>
              </w:rPr>
              <w:t>Barengi</w:t>
            </w:r>
            <w:proofErr w:type="spellEnd"/>
            <w:r w:rsidRPr="001B333D">
              <w:rPr>
                <w:rFonts w:ascii="Arial" w:hAnsi="Arial"/>
                <w:b w:val="0"/>
                <w:bCs w:val="0"/>
                <w:sz w:val="20"/>
                <w:szCs w:val="20"/>
                <w:lang w:eastAsia="en-AU"/>
              </w:rPr>
              <w:t xml:space="preserve"> </w:t>
            </w:r>
            <w:proofErr w:type="spellStart"/>
            <w:r w:rsidRPr="001B333D">
              <w:rPr>
                <w:rFonts w:ascii="Arial" w:hAnsi="Arial"/>
                <w:b w:val="0"/>
                <w:bCs w:val="0"/>
                <w:sz w:val="20"/>
                <w:szCs w:val="20"/>
                <w:lang w:eastAsia="en-AU"/>
              </w:rPr>
              <w:t>Gadjin</w:t>
            </w:r>
            <w:proofErr w:type="spellEnd"/>
            <w:r w:rsidRPr="001B333D">
              <w:rPr>
                <w:rFonts w:ascii="Arial" w:hAnsi="Arial"/>
                <w:b w:val="0"/>
                <w:bCs w:val="0"/>
                <w:sz w:val="20"/>
                <w:szCs w:val="20"/>
                <w:lang w:eastAsia="en-AU"/>
              </w:rPr>
              <w:t xml:space="preserve"> Land Council Aboriginal Corporation (</w:t>
            </w:r>
            <w:proofErr w:type="spellStart"/>
            <w:r w:rsidRPr="001B333D">
              <w:rPr>
                <w:rFonts w:ascii="Arial" w:hAnsi="Arial"/>
                <w:b w:val="0"/>
                <w:bCs w:val="0"/>
                <w:sz w:val="20"/>
                <w:szCs w:val="20"/>
                <w:lang w:eastAsia="en-AU"/>
              </w:rPr>
              <w:t>Barengi</w:t>
            </w:r>
            <w:proofErr w:type="spellEnd"/>
            <w:r w:rsidRPr="001B333D">
              <w:rPr>
                <w:rFonts w:ascii="Arial" w:hAnsi="Arial"/>
                <w:b w:val="0"/>
                <w:bCs w:val="0"/>
                <w:sz w:val="20"/>
                <w:szCs w:val="20"/>
                <w:lang w:eastAsia="en-AU"/>
              </w:rPr>
              <w:t xml:space="preserve"> </w:t>
            </w:r>
            <w:proofErr w:type="spellStart"/>
            <w:r w:rsidRPr="001B333D">
              <w:rPr>
                <w:rFonts w:ascii="Arial" w:hAnsi="Arial"/>
                <w:b w:val="0"/>
                <w:bCs w:val="0"/>
                <w:sz w:val="20"/>
                <w:szCs w:val="20"/>
                <w:lang w:eastAsia="en-AU"/>
              </w:rPr>
              <w:t>Gadjin</w:t>
            </w:r>
            <w:proofErr w:type="spellEnd"/>
            <w:r w:rsidRPr="001B333D">
              <w:rPr>
                <w:rFonts w:ascii="Arial" w:hAnsi="Arial"/>
                <w:b w:val="0"/>
                <w:bCs w:val="0"/>
                <w:sz w:val="20"/>
                <w:szCs w:val="20"/>
                <w:lang w:eastAsia="en-AU"/>
              </w:rPr>
              <w:t xml:space="preserve">). </w:t>
            </w:r>
          </w:p>
          <w:p w14:paraId="512685EE" w14:textId="77777777" w:rsidR="001B333D" w:rsidRPr="001B333D" w:rsidRDefault="001B333D" w:rsidP="001B333D">
            <w:pPr>
              <w:pStyle w:val="BodyText"/>
              <w:jc w:val="both"/>
              <w:rPr>
                <w:rFonts w:ascii="Arial" w:hAnsi="Arial"/>
                <w:b w:val="0"/>
                <w:bCs w:val="0"/>
                <w:sz w:val="20"/>
                <w:szCs w:val="20"/>
                <w:lang w:eastAsia="en-AU"/>
              </w:rPr>
            </w:pPr>
          </w:p>
          <w:p w14:paraId="116F4045" w14:textId="39D1A5A8" w:rsidR="001B333D" w:rsidRP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A desktop assessment of the potential Aboriginal heritage values associated with the Project was undertaken in 2018. The cultural heritage study area included the Project site and surrounds (approximately 5,</w:t>
            </w:r>
            <w:r w:rsidR="00847FEA">
              <w:rPr>
                <w:rFonts w:ascii="Arial" w:hAnsi="Arial"/>
                <w:b w:val="0"/>
                <w:bCs w:val="0"/>
                <w:sz w:val="20"/>
                <w:szCs w:val="20"/>
                <w:lang w:eastAsia="en-AU"/>
              </w:rPr>
              <w:t>600</w:t>
            </w:r>
            <w:r w:rsidR="00847FEA" w:rsidRPr="001B333D">
              <w:rPr>
                <w:rFonts w:ascii="Arial" w:hAnsi="Arial"/>
                <w:b w:val="0"/>
                <w:bCs w:val="0"/>
                <w:sz w:val="20"/>
                <w:szCs w:val="20"/>
                <w:lang w:eastAsia="en-AU"/>
              </w:rPr>
              <w:t xml:space="preserve"> </w:t>
            </w:r>
            <w:r w:rsidRPr="001B333D">
              <w:rPr>
                <w:rFonts w:ascii="Arial" w:hAnsi="Arial"/>
                <w:b w:val="0"/>
                <w:bCs w:val="0"/>
                <w:sz w:val="20"/>
                <w:szCs w:val="20"/>
                <w:lang w:eastAsia="en-AU"/>
              </w:rPr>
              <w:t xml:space="preserve">ha), as shown in Figure </w:t>
            </w:r>
            <w:r w:rsidR="00735C35">
              <w:rPr>
                <w:rFonts w:ascii="Arial" w:hAnsi="Arial"/>
                <w:b w:val="0"/>
                <w:bCs w:val="0"/>
                <w:sz w:val="20"/>
                <w:szCs w:val="20"/>
                <w:lang w:eastAsia="en-AU"/>
              </w:rPr>
              <w:t>20</w:t>
            </w:r>
            <w:r w:rsidRPr="001B333D">
              <w:rPr>
                <w:rFonts w:ascii="Arial" w:hAnsi="Arial"/>
                <w:b w:val="0"/>
                <w:bCs w:val="0"/>
                <w:sz w:val="20"/>
                <w:szCs w:val="20"/>
                <w:lang w:eastAsia="en-AU"/>
              </w:rPr>
              <w:t xml:space="preserve">. The desktop assessment used available archaeological, geological, topographic and waterway mapping data to undertake archaeological predictive modelling across the cultural heritage study area. The predictive modelling indicated that there is: </w:t>
            </w:r>
          </w:p>
          <w:p w14:paraId="74014A64" w14:textId="1FE0CF7B" w:rsidR="001B333D" w:rsidRPr="00C83AAA" w:rsidRDefault="001B333D"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an area of high Aboriginal archaeological potential corresponding to the lunette dune fringing the northern and eastern flanks of </w:t>
            </w:r>
            <w:r w:rsidR="0073776F" w:rsidRPr="00C83AAA">
              <w:rPr>
                <w:rFonts w:ascii="Arial" w:hAnsi="Arial"/>
                <w:b w:val="0"/>
                <w:bCs w:val="0"/>
                <w:sz w:val="20"/>
                <w:szCs w:val="20"/>
                <w:lang w:eastAsia="en-AU"/>
              </w:rPr>
              <w:t xml:space="preserve">the </w:t>
            </w:r>
            <w:r w:rsidRPr="00C83AAA">
              <w:rPr>
                <w:rFonts w:ascii="Arial" w:hAnsi="Arial"/>
                <w:b w:val="0"/>
                <w:bCs w:val="0"/>
                <w:sz w:val="20"/>
                <w:szCs w:val="20"/>
                <w:lang w:eastAsia="en-AU"/>
              </w:rPr>
              <w:t xml:space="preserve">Red Gum Swamp (ancestral human remains are known to be present at this site). This area may be a potential ‘no-go’ area; </w:t>
            </w:r>
          </w:p>
          <w:p w14:paraId="708FC86D" w14:textId="4019045F" w:rsidR="001B333D" w:rsidRPr="00C83AAA" w:rsidRDefault="001B333D"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an area of high Aboriginal archaeological potential corresponding to the source bordering dunes to the north of the former </w:t>
            </w:r>
            <w:proofErr w:type="spellStart"/>
            <w:r w:rsidR="00316DD9" w:rsidRPr="00C83AAA">
              <w:rPr>
                <w:rFonts w:ascii="Arial" w:hAnsi="Arial"/>
                <w:b w:val="0"/>
                <w:bCs w:val="0"/>
                <w:sz w:val="20"/>
                <w:szCs w:val="20"/>
                <w:lang w:eastAsia="en-AU"/>
              </w:rPr>
              <w:t>Jallumba</w:t>
            </w:r>
            <w:proofErr w:type="spellEnd"/>
            <w:r w:rsidR="00316DD9" w:rsidRPr="00C83AAA">
              <w:rPr>
                <w:rFonts w:ascii="Arial" w:hAnsi="Arial"/>
                <w:b w:val="0"/>
                <w:bCs w:val="0"/>
                <w:sz w:val="20"/>
                <w:szCs w:val="20"/>
                <w:lang w:eastAsia="en-AU"/>
              </w:rPr>
              <w:t xml:space="preserve"> Marsh Flora Reserve</w:t>
            </w:r>
            <w:r w:rsidRPr="00C83AAA">
              <w:rPr>
                <w:rFonts w:ascii="Arial" w:hAnsi="Arial"/>
                <w:b w:val="0"/>
                <w:bCs w:val="0"/>
                <w:sz w:val="20"/>
                <w:szCs w:val="20"/>
                <w:lang w:eastAsia="en-AU"/>
              </w:rPr>
              <w:t xml:space="preserve"> (ancestral human remains are potentially present at this site); and</w:t>
            </w:r>
          </w:p>
          <w:p w14:paraId="5708DF3A" w14:textId="77777777" w:rsidR="001B333D" w:rsidRPr="00C83AAA" w:rsidRDefault="001B333D" w:rsidP="00C83AAA">
            <w:pPr>
              <w:pStyle w:val="BodyText"/>
              <w:numPr>
                <w:ilvl w:val="0"/>
                <w:numId w:val="57"/>
              </w:numPr>
              <w:spacing w:after="120"/>
              <w:jc w:val="both"/>
              <w:rPr>
                <w:rFonts w:ascii="Arial" w:hAnsi="Arial"/>
                <w:b w:val="0"/>
                <w:bCs w:val="0"/>
                <w:sz w:val="20"/>
                <w:szCs w:val="20"/>
                <w:lang w:eastAsia="en-AU"/>
              </w:rPr>
            </w:pPr>
            <w:r w:rsidRPr="00C83AAA">
              <w:rPr>
                <w:rFonts w:ascii="Arial" w:hAnsi="Arial"/>
                <w:b w:val="0"/>
                <w:bCs w:val="0"/>
                <w:sz w:val="20"/>
                <w:szCs w:val="20"/>
                <w:lang w:eastAsia="en-AU"/>
              </w:rPr>
              <w:t xml:space="preserve">other areas of low to moderate Aboriginal archaeological potential across large portions of the optimised resource area that are likely to contain Aboriginal cultural material in low densities. </w:t>
            </w:r>
          </w:p>
          <w:p w14:paraId="0A68A7FD" w14:textId="326BB281" w:rsid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Day one of a two-day standard assessment (non-ground-intrusive field survey) was undertaken in February 2019 across selected portions of the Project site, including the western portion of the land bounded by Nurrabiel Church Road (north), Quick Sinclair </w:t>
            </w:r>
            <w:proofErr w:type="spellStart"/>
            <w:r w:rsidRPr="001B333D">
              <w:rPr>
                <w:rFonts w:ascii="Arial" w:hAnsi="Arial"/>
                <w:b w:val="0"/>
                <w:bCs w:val="0"/>
                <w:sz w:val="20"/>
                <w:szCs w:val="20"/>
                <w:lang w:eastAsia="en-AU"/>
              </w:rPr>
              <w:t>Russells</w:t>
            </w:r>
            <w:proofErr w:type="spellEnd"/>
            <w:r w:rsidRPr="001B333D">
              <w:rPr>
                <w:rFonts w:ascii="Arial" w:hAnsi="Arial"/>
                <w:b w:val="0"/>
                <w:bCs w:val="0"/>
                <w:sz w:val="20"/>
                <w:szCs w:val="20"/>
                <w:lang w:eastAsia="en-AU"/>
              </w:rPr>
              <w:t xml:space="preserve"> Road (east), </w:t>
            </w:r>
            <w:proofErr w:type="spellStart"/>
            <w:r w:rsidRPr="001B333D">
              <w:rPr>
                <w:rFonts w:ascii="Arial" w:hAnsi="Arial"/>
                <w:b w:val="0"/>
                <w:bCs w:val="0"/>
                <w:sz w:val="20"/>
                <w:szCs w:val="20"/>
                <w:lang w:eastAsia="en-AU"/>
              </w:rPr>
              <w:t>Jallumba-Mockinya</w:t>
            </w:r>
            <w:proofErr w:type="spellEnd"/>
            <w:r w:rsidRPr="001B333D">
              <w:rPr>
                <w:rFonts w:ascii="Arial" w:hAnsi="Arial"/>
                <w:b w:val="0"/>
                <w:bCs w:val="0"/>
                <w:sz w:val="20"/>
                <w:szCs w:val="20"/>
                <w:lang w:eastAsia="en-AU"/>
              </w:rPr>
              <w:t xml:space="preserve"> Road (south), and Natimuk-Hamilton Road (west). Survey was also conducted in selected areas south of the </w:t>
            </w:r>
            <w:proofErr w:type="spellStart"/>
            <w:r w:rsidRPr="001B333D">
              <w:rPr>
                <w:rFonts w:ascii="Arial" w:hAnsi="Arial"/>
                <w:b w:val="0"/>
                <w:bCs w:val="0"/>
                <w:sz w:val="20"/>
                <w:szCs w:val="20"/>
                <w:lang w:eastAsia="en-AU"/>
              </w:rPr>
              <w:t>Jallumba-Mockinya</w:t>
            </w:r>
            <w:proofErr w:type="spellEnd"/>
            <w:r w:rsidRPr="001B333D">
              <w:rPr>
                <w:rFonts w:ascii="Arial" w:hAnsi="Arial"/>
                <w:b w:val="0"/>
                <w:bCs w:val="0"/>
                <w:sz w:val="20"/>
                <w:szCs w:val="20"/>
                <w:lang w:eastAsia="en-AU"/>
              </w:rPr>
              <w:t xml:space="preserve"> Road including immediately east of the </w:t>
            </w:r>
            <w:proofErr w:type="spellStart"/>
            <w:r w:rsidR="00561D1B">
              <w:rPr>
                <w:rFonts w:ascii="Arial" w:hAnsi="Arial"/>
                <w:b w:val="0"/>
                <w:bCs w:val="0"/>
                <w:sz w:val="20"/>
                <w:szCs w:val="20"/>
                <w:lang w:eastAsia="en-AU"/>
              </w:rPr>
              <w:t>Jallumba</w:t>
            </w:r>
            <w:proofErr w:type="spellEnd"/>
            <w:r w:rsidR="00561D1B">
              <w:rPr>
                <w:rFonts w:ascii="Arial" w:hAnsi="Arial"/>
                <w:b w:val="0"/>
                <w:bCs w:val="0"/>
                <w:sz w:val="20"/>
                <w:szCs w:val="20"/>
                <w:lang w:eastAsia="en-AU"/>
              </w:rPr>
              <w:t xml:space="preserve"> Marsh Flora Reserve</w:t>
            </w:r>
            <w:r w:rsidRPr="001B333D">
              <w:rPr>
                <w:rFonts w:ascii="Arial" w:hAnsi="Arial"/>
                <w:b w:val="0"/>
                <w:bCs w:val="0"/>
                <w:sz w:val="20"/>
                <w:szCs w:val="20"/>
                <w:lang w:eastAsia="en-AU"/>
              </w:rPr>
              <w:t>, and on the Red</w:t>
            </w:r>
            <w:r w:rsidR="00C33CD3">
              <w:rPr>
                <w:rFonts w:ascii="Arial" w:hAnsi="Arial"/>
                <w:b w:val="0"/>
                <w:bCs w:val="0"/>
                <w:sz w:val="20"/>
                <w:szCs w:val="20"/>
                <w:lang w:eastAsia="en-AU"/>
              </w:rPr>
              <w:t xml:space="preserve"> Gum</w:t>
            </w:r>
            <w:r w:rsidRPr="001B333D">
              <w:rPr>
                <w:rFonts w:ascii="Arial" w:hAnsi="Arial"/>
                <w:b w:val="0"/>
                <w:bCs w:val="0"/>
                <w:sz w:val="20"/>
                <w:szCs w:val="20"/>
                <w:lang w:eastAsia="en-AU"/>
              </w:rPr>
              <w:t xml:space="preserve"> Swamp fringing lunette dune. The survey comprised a visual assessment to determine the presence of scar trees and/or surface artefacts and scatters. The survey identified a surface scatter of stone tools along the Red</w:t>
            </w:r>
            <w:r w:rsidR="00C33CD3">
              <w:rPr>
                <w:rFonts w:ascii="Arial" w:hAnsi="Arial"/>
                <w:b w:val="0"/>
                <w:bCs w:val="0"/>
                <w:sz w:val="20"/>
                <w:szCs w:val="20"/>
                <w:lang w:eastAsia="en-AU"/>
              </w:rPr>
              <w:t xml:space="preserve"> Gum</w:t>
            </w:r>
            <w:r w:rsidRPr="001B333D">
              <w:rPr>
                <w:rFonts w:ascii="Arial" w:hAnsi="Arial"/>
                <w:b w:val="0"/>
                <w:bCs w:val="0"/>
                <w:sz w:val="20"/>
                <w:szCs w:val="20"/>
                <w:lang w:eastAsia="en-AU"/>
              </w:rPr>
              <w:t xml:space="preserve"> Swamp fringing lunette and no scar trees. The results of the survey indicated that the areas that had been modelled to be of low to moderate Aboriginal archaeological potential are likely to be designated as low potential in the survey area and will therefore not require further investigation (</w:t>
            </w:r>
            <w:proofErr w:type="spellStart"/>
            <w:r w:rsidR="00CE60B7">
              <w:rPr>
                <w:rFonts w:ascii="Arial" w:hAnsi="Arial"/>
                <w:b w:val="0"/>
                <w:bCs w:val="0"/>
                <w:sz w:val="20"/>
                <w:szCs w:val="20"/>
                <w:lang w:eastAsia="en-AU"/>
              </w:rPr>
              <w:t>ie</w:t>
            </w:r>
            <w:proofErr w:type="spellEnd"/>
            <w:r w:rsidR="00CE60B7">
              <w:rPr>
                <w:rFonts w:ascii="Arial" w:hAnsi="Arial"/>
                <w:b w:val="0"/>
                <w:bCs w:val="0"/>
                <w:sz w:val="20"/>
                <w:szCs w:val="20"/>
                <w:lang w:eastAsia="en-AU"/>
              </w:rPr>
              <w:t xml:space="preserve"> </w:t>
            </w:r>
            <w:r w:rsidRPr="001B333D">
              <w:rPr>
                <w:rFonts w:ascii="Arial" w:hAnsi="Arial"/>
                <w:b w:val="0"/>
                <w:bCs w:val="0"/>
                <w:sz w:val="20"/>
                <w:szCs w:val="20"/>
                <w:lang w:eastAsia="en-AU"/>
              </w:rPr>
              <w:t xml:space="preserve">complex assessment), however this is yet to be confirmed by the RAP. </w:t>
            </w:r>
          </w:p>
          <w:p w14:paraId="6C01484F" w14:textId="77777777" w:rsidR="001B333D" w:rsidRP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 </w:t>
            </w:r>
          </w:p>
          <w:p w14:paraId="083FEFC5" w14:textId="1AC984E2" w:rsid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In April 2019, the second day of the two-day standard assessment was undertaken across the remaining area north of the </w:t>
            </w:r>
            <w:proofErr w:type="spellStart"/>
            <w:r w:rsidRPr="001B333D">
              <w:rPr>
                <w:rFonts w:ascii="Arial" w:hAnsi="Arial"/>
                <w:b w:val="0"/>
                <w:bCs w:val="0"/>
                <w:sz w:val="20"/>
                <w:szCs w:val="20"/>
                <w:lang w:eastAsia="en-AU"/>
              </w:rPr>
              <w:t>Jallumba-Mockinya</w:t>
            </w:r>
            <w:proofErr w:type="spellEnd"/>
            <w:r w:rsidRPr="001B333D">
              <w:rPr>
                <w:rFonts w:ascii="Arial" w:hAnsi="Arial"/>
                <w:b w:val="0"/>
                <w:bCs w:val="0"/>
                <w:sz w:val="20"/>
                <w:szCs w:val="20"/>
                <w:lang w:eastAsia="en-AU"/>
              </w:rPr>
              <w:t xml:space="preserve"> Road and west of Quick Sinclair </w:t>
            </w:r>
            <w:proofErr w:type="spellStart"/>
            <w:r w:rsidRPr="001B333D">
              <w:rPr>
                <w:rFonts w:ascii="Arial" w:hAnsi="Arial"/>
                <w:b w:val="0"/>
                <w:bCs w:val="0"/>
                <w:sz w:val="20"/>
                <w:szCs w:val="20"/>
                <w:lang w:eastAsia="en-AU"/>
              </w:rPr>
              <w:t>Russells</w:t>
            </w:r>
            <w:proofErr w:type="spellEnd"/>
            <w:r w:rsidRPr="001B333D">
              <w:rPr>
                <w:rFonts w:ascii="Arial" w:hAnsi="Arial"/>
                <w:b w:val="0"/>
                <w:bCs w:val="0"/>
                <w:sz w:val="20"/>
                <w:szCs w:val="20"/>
                <w:lang w:eastAsia="en-AU"/>
              </w:rPr>
              <w:t xml:space="preserve"> Road. Level survey of a drain historically constructed through the Red</w:t>
            </w:r>
            <w:r w:rsidR="00C33CD3">
              <w:rPr>
                <w:rFonts w:ascii="Arial" w:hAnsi="Arial"/>
                <w:b w:val="0"/>
                <w:bCs w:val="0"/>
                <w:sz w:val="20"/>
                <w:szCs w:val="20"/>
                <w:lang w:eastAsia="en-AU"/>
              </w:rPr>
              <w:t xml:space="preserve"> Gum</w:t>
            </w:r>
            <w:r w:rsidRPr="001B333D">
              <w:rPr>
                <w:rFonts w:ascii="Arial" w:hAnsi="Arial"/>
                <w:b w:val="0"/>
                <w:bCs w:val="0"/>
                <w:sz w:val="20"/>
                <w:szCs w:val="20"/>
                <w:lang w:eastAsia="en-AU"/>
              </w:rPr>
              <w:t xml:space="preserve"> Swamp fringing lunette dune and recording of surface artefacts was also undertaken. The results of the survey indicated that the areas that had been modelled to be of low to moderate Aboriginal archaeological potential in the survey area are likely to be designated as low potential and will therefore not require further investigation (complex assessment), however this is yet to be confirmed by the RAP. The survey also confirmed that the potentially potential area associated with the source bordering dune to the north of the former </w:t>
            </w:r>
            <w:proofErr w:type="spellStart"/>
            <w:r w:rsidR="00316DD9">
              <w:rPr>
                <w:rFonts w:ascii="Arial" w:hAnsi="Arial"/>
                <w:b w:val="0"/>
                <w:bCs w:val="0"/>
                <w:sz w:val="20"/>
                <w:szCs w:val="20"/>
                <w:lang w:eastAsia="en-AU"/>
              </w:rPr>
              <w:t>Jallumba</w:t>
            </w:r>
            <w:proofErr w:type="spellEnd"/>
            <w:r w:rsidR="00316DD9">
              <w:rPr>
                <w:rFonts w:ascii="Arial" w:hAnsi="Arial"/>
                <w:b w:val="0"/>
                <w:bCs w:val="0"/>
                <w:sz w:val="20"/>
                <w:szCs w:val="20"/>
                <w:lang w:eastAsia="en-AU"/>
              </w:rPr>
              <w:t xml:space="preserve"> Marsh Flora Reserve</w:t>
            </w:r>
            <w:r w:rsidRPr="001B333D">
              <w:rPr>
                <w:rFonts w:ascii="Arial" w:hAnsi="Arial"/>
                <w:b w:val="0"/>
                <w:bCs w:val="0"/>
                <w:sz w:val="20"/>
                <w:szCs w:val="20"/>
                <w:lang w:eastAsia="en-AU"/>
              </w:rPr>
              <w:t xml:space="preserve"> will require complex assessment to confirm the heritage values and whether or not these will be designated as ‘no go’ areas.</w:t>
            </w:r>
          </w:p>
          <w:p w14:paraId="17DE0FCB" w14:textId="77777777" w:rsidR="001B333D" w:rsidRP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 </w:t>
            </w:r>
          </w:p>
          <w:p w14:paraId="3D108D34" w14:textId="77777777" w:rsid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Complex assessment generally involves ground-intrusive survey, however the use of geophysical survey has been discussed with the RAP as a potential alternative, with a trial proposed during 2019.</w:t>
            </w:r>
          </w:p>
          <w:p w14:paraId="3F05CF0B" w14:textId="77777777" w:rsidR="001B333D" w:rsidRPr="001B333D" w:rsidRDefault="001B333D" w:rsidP="001B333D">
            <w:pPr>
              <w:pStyle w:val="BodyText"/>
              <w:jc w:val="both"/>
              <w:rPr>
                <w:rFonts w:ascii="Arial" w:hAnsi="Arial"/>
                <w:b w:val="0"/>
                <w:bCs w:val="0"/>
                <w:sz w:val="20"/>
                <w:szCs w:val="20"/>
                <w:lang w:eastAsia="en-AU"/>
              </w:rPr>
            </w:pPr>
          </w:p>
          <w:p w14:paraId="5CE4B9F4" w14:textId="77777777" w:rsid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The EPBC Protected Matters Search Tool showed no heritage values registered on the World Heritage List, National Heritage List or the Commonwealth Heritage List within the cultural heritage study area. </w:t>
            </w:r>
          </w:p>
          <w:p w14:paraId="4DBEA121" w14:textId="77777777" w:rsidR="001B333D" w:rsidRPr="001B333D" w:rsidRDefault="001B333D" w:rsidP="001B333D">
            <w:pPr>
              <w:pStyle w:val="BodyText"/>
              <w:jc w:val="both"/>
              <w:rPr>
                <w:rFonts w:ascii="Arial" w:hAnsi="Arial"/>
                <w:b w:val="0"/>
                <w:bCs w:val="0"/>
                <w:sz w:val="20"/>
                <w:szCs w:val="20"/>
                <w:lang w:eastAsia="en-AU"/>
              </w:rPr>
            </w:pPr>
          </w:p>
          <w:p w14:paraId="25384083" w14:textId="77777777" w:rsid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There are no items on the Horsham Planning Scheme heritage overlays within the cultural heritage study area.</w:t>
            </w:r>
          </w:p>
          <w:p w14:paraId="7A0FAD0A" w14:textId="77777777" w:rsidR="001B333D" w:rsidRPr="001B333D" w:rsidRDefault="001B333D" w:rsidP="001B333D">
            <w:pPr>
              <w:pStyle w:val="BodyText"/>
              <w:jc w:val="both"/>
              <w:rPr>
                <w:rFonts w:ascii="Arial" w:hAnsi="Arial"/>
                <w:b w:val="0"/>
                <w:bCs w:val="0"/>
                <w:sz w:val="20"/>
                <w:szCs w:val="20"/>
                <w:lang w:eastAsia="en-AU"/>
              </w:rPr>
            </w:pPr>
          </w:p>
          <w:p w14:paraId="466E5577" w14:textId="217F1BF3" w:rsidR="004A6BE1" w:rsidRDefault="001B333D" w:rsidP="00C01281">
            <w:pPr>
              <w:pStyle w:val="BodyText"/>
              <w:jc w:val="both"/>
              <w:rPr>
                <w:rFonts w:ascii="Arial" w:hAnsi="Arial"/>
              </w:rPr>
            </w:pPr>
            <w:r w:rsidRPr="001B333D">
              <w:rPr>
                <w:rFonts w:ascii="Arial" w:hAnsi="Arial"/>
                <w:b w:val="0"/>
                <w:bCs w:val="0"/>
                <w:sz w:val="20"/>
                <w:szCs w:val="20"/>
                <w:lang w:eastAsia="en-AU"/>
              </w:rPr>
              <w:t xml:space="preserve">A copy of the desktop cultural heritage baseline report is provided as Appendix </w:t>
            </w:r>
            <w:r w:rsidR="00323595">
              <w:rPr>
                <w:rFonts w:ascii="Arial" w:hAnsi="Arial"/>
                <w:b w:val="0"/>
                <w:bCs w:val="0"/>
                <w:sz w:val="20"/>
                <w:szCs w:val="20"/>
                <w:lang w:eastAsia="en-AU"/>
              </w:rPr>
              <w:t>L</w:t>
            </w:r>
            <w:r w:rsidRPr="001B333D">
              <w:rPr>
                <w:rFonts w:ascii="Arial" w:hAnsi="Arial"/>
                <w:b w:val="0"/>
                <w:bCs w:val="0"/>
                <w:sz w:val="20"/>
                <w:szCs w:val="20"/>
                <w:lang w:eastAsia="en-AU"/>
              </w:rPr>
              <w:t xml:space="preserve">. </w:t>
            </w:r>
          </w:p>
        </w:tc>
      </w:tr>
      <w:tr w:rsidR="004A6BE1" w14:paraId="14D3EF93" w14:textId="77777777" w:rsidTr="00E71774">
        <w:tc>
          <w:tcPr>
            <w:tcW w:w="9243" w:type="dxa"/>
            <w:tcBorders>
              <w:top w:val="single" w:sz="4" w:space="0" w:color="auto"/>
              <w:bottom w:val="single" w:sz="4" w:space="0" w:color="auto"/>
            </w:tcBorders>
          </w:tcPr>
          <w:p w14:paraId="2D5D6D8F" w14:textId="1AFB9B6F" w:rsidR="001B333D" w:rsidRPr="001B333D" w:rsidRDefault="001B333D" w:rsidP="001B333D">
            <w:pPr>
              <w:pStyle w:val="Heading3"/>
              <w:keepLines/>
              <w:numPr>
                <w:ilvl w:val="2"/>
                <w:numId w:val="0"/>
              </w:numPr>
              <w:spacing w:before="240" w:after="240"/>
              <w:ind w:left="851" w:hanging="851"/>
              <w:jc w:val="both"/>
              <w:rPr>
                <w:sz w:val="20"/>
              </w:rPr>
            </w:pPr>
            <w:r>
              <w:rPr>
                <w:sz w:val="20"/>
              </w:rPr>
              <w:lastRenderedPageBreak/>
              <w:t>1</w:t>
            </w:r>
            <w:r w:rsidR="00204A4C">
              <w:rPr>
                <w:sz w:val="20"/>
              </w:rPr>
              <w:t>5</w:t>
            </w:r>
            <w:r>
              <w:rPr>
                <w:sz w:val="20"/>
              </w:rPr>
              <w:t xml:space="preserve">.9.3 </w:t>
            </w:r>
            <w:r w:rsidRPr="001B333D">
              <w:rPr>
                <w:sz w:val="20"/>
              </w:rPr>
              <w:t xml:space="preserve">Is any Aboriginal cultural heritage known from the Project area?  </w:t>
            </w:r>
          </w:p>
          <w:p w14:paraId="4CFC8F64" w14:textId="77777777" w:rsidR="00A141A4" w:rsidRPr="00EC6C73" w:rsidRDefault="00A141A4" w:rsidP="00A141A4">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2E494E81" w14:textId="77777777" w:rsidR="00A141A4" w:rsidRDefault="00A141A4" w:rsidP="001B333D">
            <w:pPr>
              <w:pStyle w:val="BodyText"/>
              <w:jc w:val="both"/>
              <w:rPr>
                <w:rFonts w:ascii="Arial" w:hAnsi="Arial"/>
                <w:b w:val="0"/>
                <w:bCs w:val="0"/>
                <w:sz w:val="20"/>
                <w:szCs w:val="20"/>
                <w:lang w:eastAsia="en-AU"/>
              </w:rPr>
            </w:pPr>
          </w:p>
          <w:p w14:paraId="7440E26F" w14:textId="01027A2D" w:rsidR="001B333D" w:rsidRP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The Aboriginal Cultural Heritage Register and Information System (ACHRIS) was accessed on 16 April 2018. There are three Aboriginal cultural heritage places registered on the Victoria Aboriginal Heritage Register (VAHR) within the cultural heritage study area. These places were recorded by the Victorian Archaeological Survey in 1976 and are summarised as follows:</w:t>
            </w:r>
          </w:p>
          <w:p w14:paraId="783BB435" w14:textId="03B36BC8" w:rsidR="001B333D" w:rsidRPr="001B333D" w:rsidRDefault="001B333D" w:rsidP="00C70314">
            <w:pPr>
              <w:pStyle w:val="BodyText"/>
              <w:numPr>
                <w:ilvl w:val="0"/>
                <w:numId w:val="6"/>
              </w:numPr>
              <w:tabs>
                <w:tab w:val="left" w:pos="743"/>
                <w:tab w:val="left" w:pos="6804"/>
                <w:tab w:val="right" w:pos="9638"/>
              </w:tabs>
              <w:spacing w:before="120" w:after="160"/>
              <w:jc w:val="both"/>
              <w:rPr>
                <w:rFonts w:ascii="Arial" w:hAnsi="Arial"/>
                <w:b w:val="0"/>
                <w:bCs w:val="0"/>
                <w:sz w:val="20"/>
                <w:szCs w:val="20"/>
                <w:lang w:eastAsia="en-AU"/>
              </w:rPr>
            </w:pPr>
            <w:proofErr w:type="spellStart"/>
            <w:r w:rsidRPr="00087D32">
              <w:rPr>
                <w:rFonts w:ascii="Arial" w:hAnsi="Arial"/>
                <w:bCs w:val="0"/>
                <w:sz w:val="20"/>
                <w:szCs w:val="20"/>
                <w:lang w:eastAsia="en-AU"/>
              </w:rPr>
              <w:t>Jallumba</w:t>
            </w:r>
            <w:proofErr w:type="spellEnd"/>
            <w:r w:rsidRPr="00087D32">
              <w:rPr>
                <w:rFonts w:ascii="Arial" w:hAnsi="Arial"/>
                <w:bCs w:val="0"/>
                <w:sz w:val="20"/>
                <w:szCs w:val="20"/>
                <w:lang w:eastAsia="en-AU"/>
              </w:rPr>
              <w:t xml:space="preserve"> Swamp </w:t>
            </w:r>
            <w:r w:rsidRPr="001B333D">
              <w:rPr>
                <w:rFonts w:ascii="Arial" w:hAnsi="Arial"/>
                <w:b w:val="0"/>
                <w:bCs w:val="0"/>
                <w:sz w:val="20"/>
                <w:szCs w:val="20"/>
                <w:lang w:eastAsia="en-AU"/>
              </w:rPr>
              <w:t xml:space="preserve">1 (VAHR 7224-0001): recorded by Hutchison and Cochrane in 1976 on a source bordering dune to the north of </w:t>
            </w:r>
            <w:r w:rsidR="0073776F">
              <w:rPr>
                <w:rFonts w:ascii="Arial" w:hAnsi="Arial"/>
                <w:b w:val="0"/>
                <w:bCs w:val="0"/>
                <w:sz w:val="20"/>
                <w:szCs w:val="20"/>
                <w:lang w:eastAsia="en-AU"/>
              </w:rPr>
              <w:t xml:space="preserve">the </w:t>
            </w:r>
            <w:r w:rsidRPr="001B333D">
              <w:rPr>
                <w:rFonts w:ascii="Arial" w:hAnsi="Arial"/>
                <w:b w:val="0"/>
                <w:bCs w:val="0"/>
                <w:sz w:val="20"/>
                <w:szCs w:val="20"/>
                <w:lang w:eastAsia="en-AU"/>
              </w:rPr>
              <w:t xml:space="preserve">Red Gum Swamp. Notes on the site card record the place as a lithic artefact scatter 170 m by 70 m, located across a blowout on top of the dune. Raw material types include quartz, ‘flint’, greenstone, granite, </w:t>
            </w:r>
            <w:proofErr w:type="spellStart"/>
            <w:r w:rsidRPr="001B333D">
              <w:rPr>
                <w:rFonts w:ascii="Arial" w:hAnsi="Arial"/>
                <w:b w:val="0"/>
                <w:bCs w:val="0"/>
                <w:sz w:val="20"/>
                <w:szCs w:val="20"/>
                <w:lang w:eastAsia="en-AU"/>
              </w:rPr>
              <w:t>ferriarette</w:t>
            </w:r>
            <w:proofErr w:type="spellEnd"/>
            <w:r w:rsidRPr="001B333D">
              <w:rPr>
                <w:rFonts w:ascii="Arial" w:hAnsi="Arial"/>
                <w:b w:val="0"/>
                <w:bCs w:val="0"/>
                <w:sz w:val="20"/>
                <w:szCs w:val="20"/>
                <w:lang w:eastAsia="en-AU"/>
              </w:rPr>
              <w:t xml:space="preserve">, rhyolite, quartzite and laterite, suggesting both flaked and ground stone tools are present. Although no location is given, the recording documents that a skeleton was reported to have been exposed at the place ‘several years ago’, with no details of potential location. Photographs of the place were noted as being taken in 1977 by D. </w:t>
            </w:r>
            <w:proofErr w:type="spellStart"/>
            <w:r w:rsidRPr="001B333D">
              <w:rPr>
                <w:rFonts w:ascii="Arial" w:hAnsi="Arial"/>
                <w:b w:val="0"/>
                <w:bCs w:val="0"/>
                <w:sz w:val="20"/>
                <w:szCs w:val="20"/>
                <w:lang w:eastAsia="en-AU"/>
              </w:rPr>
              <w:t>Byne</w:t>
            </w:r>
            <w:proofErr w:type="spellEnd"/>
            <w:r w:rsidRPr="001B333D">
              <w:rPr>
                <w:rFonts w:ascii="Arial" w:hAnsi="Arial"/>
                <w:b w:val="0"/>
                <w:bCs w:val="0"/>
                <w:sz w:val="20"/>
                <w:szCs w:val="20"/>
                <w:lang w:eastAsia="en-AU"/>
              </w:rPr>
              <w:t xml:space="preserve"> but subsequently went missing from the file. </w:t>
            </w:r>
          </w:p>
          <w:p w14:paraId="257D4712" w14:textId="4B3012BD" w:rsidR="001B333D" w:rsidRPr="001B333D" w:rsidRDefault="001B333D" w:rsidP="00C70314">
            <w:pPr>
              <w:pStyle w:val="BodyText"/>
              <w:numPr>
                <w:ilvl w:val="0"/>
                <w:numId w:val="6"/>
              </w:numPr>
              <w:tabs>
                <w:tab w:val="left" w:pos="743"/>
                <w:tab w:val="left" w:pos="4536"/>
                <w:tab w:val="left" w:pos="6804"/>
                <w:tab w:val="right" w:pos="9638"/>
              </w:tabs>
              <w:spacing w:before="120" w:after="160"/>
              <w:jc w:val="both"/>
              <w:rPr>
                <w:rFonts w:ascii="Arial" w:hAnsi="Arial"/>
                <w:b w:val="0"/>
                <w:bCs w:val="0"/>
                <w:sz w:val="20"/>
                <w:szCs w:val="20"/>
                <w:lang w:eastAsia="en-AU"/>
              </w:rPr>
            </w:pPr>
            <w:r w:rsidRPr="00087D32">
              <w:rPr>
                <w:rFonts w:ascii="Arial" w:hAnsi="Arial"/>
                <w:bCs w:val="0"/>
                <w:sz w:val="20"/>
                <w:szCs w:val="20"/>
                <w:lang w:eastAsia="en-AU"/>
              </w:rPr>
              <w:t>McKendrick1 Toolondo</w:t>
            </w:r>
            <w:r w:rsidRPr="001B333D">
              <w:rPr>
                <w:rFonts w:ascii="Arial" w:hAnsi="Arial"/>
                <w:b w:val="0"/>
                <w:bCs w:val="0"/>
                <w:sz w:val="20"/>
                <w:szCs w:val="20"/>
                <w:lang w:eastAsia="en-AU"/>
              </w:rPr>
              <w:t xml:space="preserve"> (VAHR 7224-0002): recorded by Frank in 1976 as “an outstanding mound at the site of excavation MK-1”. The place is located approximately 200 m west of </w:t>
            </w:r>
            <w:r w:rsidR="0073776F">
              <w:rPr>
                <w:rFonts w:ascii="Arial" w:hAnsi="Arial"/>
                <w:b w:val="0"/>
                <w:bCs w:val="0"/>
                <w:sz w:val="20"/>
                <w:szCs w:val="20"/>
                <w:lang w:eastAsia="en-AU"/>
              </w:rPr>
              <w:t xml:space="preserve">the </w:t>
            </w:r>
            <w:r w:rsidRPr="001B333D">
              <w:rPr>
                <w:rFonts w:ascii="Arial" w:hAnsi="Arial"/>
                <w:b w:val="0"/>
                <w:bCs w:val="0"/>
                <w:sz w:val="20"/>
                <w:szCs w:val="20"/>
                <w:lang w:eastAsia="en-AU"/>
              </w:rPr>
              <w:t>Red Gum Swamp and two 1-m by 1-m trenches were excavated in the mound by the Victorian Archaeological Survey. Excavation revealed baked clay balls within blackened soil above clays. Radiocarbon dates for VAHR 7224-0002 were published in 1977 as SUA 583 (Radiocarbon Laboratory, University of Sydney, Australia) 820 ± 95 BP (before present) but were documented as unreliable.</w:t>
            </w:r>
          </w:p>
          <w:p w14:paraId="521C5415" w14:textId="2E156963" w:rsidR="001B333D" w:rsidRPr="001B333D" w:rsidRDefault="001B333D" w:rsidP="00C70314">
            <w:pPr>
              <w:pStyle w:val="BodyText"/>
              <w:numPr>
                <w:ilvl w:val="0"/>
                <w:numId w:val="6"/>
              </w:numPr>
              <w:tabs>
                <w:tab w:val="left" w:pos="743"/>
                <w:tab w:val="left" w:pos="4536"/>
                <w:tab w:val="left" w:pos="6804"/>
                <w:tab w:val="right" w:pos="9638"/>
              </w:tabs>
              <w:spacing w:before="120" w:after="160"/>
              <w:jc w:val="both"/>
              <w:rPr>
                <w:rFonts w:ascii="Arial" w:hAnsi="Arial"/>
                <w:b w:val="0"/>
                <w:bCs w:val="0"/>
                <w:sz w:val="20"/>
                <w:szCs w:val="20"/>
                <w:lang w:eastAsia="en-AU"/>
              </w:rPr>
            </w:pPr>
            <w:r w:rsidRPr="00087D32">
              <w:rPr>
                <w:rFonts w:ascii="Arial" w:hAnsi="Arial"/>
                <w:bCs w:val="0"/>
                <w:sz w:val="20"/>
                <w:szCs w:val="20"/>
                <w:lang w:eastAsia="en-AU"/>
              </w:rPr>
              <w:t>McKendrick1 Toolondo</w:t>
            </w:r>
            <w:r w:rsidRPr="001B333D">
              <w:rPr>
                <w:rFonts w:ascii="Arial" w:hAnsi="Arial"/>
                <w:b w:val="0"/>
                <w:bCs w:val="0"/>
                <w:sz w:val="20"/>
                <w:szCs w:val="20"/>
                <w:lang w:eastAsia="en-AU"/>
              </w:rPr>
              <w:t xml:space="preserve"> (VAHR 7224-0003): recorded by Frank in 1976 and was recorded as a mound site approximately 9 m by 7 m, 28-cm high. Located approximately 200 m west of </w:t>
            </w:r>
            <w:r w:rsidR="0073776F">
              <w:rPr>
                <w:rFonts w:ascii="Arial" w:hAnsi="Arial"/>
                <w:b w:val="0"/>
                <w:bCs w:val="0"/>
                <w:sz w:val="20"/>
                <w:szCs w:val="20"/>
                <w:lang w:eastAsia="en-AU"/>
              </w:rPr>
              <w:t xml:space="preserve">the </w:t>
            </w:r>
            <w:r w:rsidRPr="001B333D">
              <w:rPr>
                <w:rFonts w:ascii="Arial" w:hAnsi="Arial"/>
                <w:b w:val="0"/>
                <w:bCs w:val="0"/>
                <w:sz w:val="20"/>
                <w:szCs w:val="20"/>
                <w:lang w:eastAsia="en-AU"/>
              </w:rPr>
              <w:t xml:space="preserve">Red Gum Swamp and 200 m south of VAHR 7224-0002, it was noted that mound consisted of black sandy soil. </w:t>
            </w:r>
          </w:p>
          <w:p w14:paraId="23D27B9A" w14:textId="6677E7C1" w:rsidR="001B333D" w:rsidRPr="001B333D" w:rsidRDefault="001B333D" w:rsidP="001B333D">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The cultural heritage study area also includes areas of cultural heritage sensitivity associated with the waterways, registered Aboriginal cultural heritage places and former waterways (Figure 5 in GHD 2018). </w:t>
            </w:r>
          </w:p>
          <w:p w14:paraId="5CDC91D8" w14:textId="77777777" w:rsidR="004A6BE1" w:rsidRDefault="004A6BE1" w:rsidP="001B333D">
            <w:pPr>
              <w:jc w:val="both"/>
              <w:rPr>
                <w:rFonts w:ascii="Arial" w:hAnsi="Arial"/>
              </w:rPr>
            </w:pPr>
          </w:p>
        </w:tc>
      </w:tr>
      <w:tr w:rsidR="001B333D" w14:paraId="28088EC0" w14:textId="77777777" w:rsidTr="00FD555F">
        <w:tc>
          <w:tcPr>
            <w:tcW w:w="9243" w:type="dxa"/>
            <w:tcBorders>
              <w:top w:val="single" w:sz="4" w:space="0" w:color="auto"/>
              <w:bottom w:val="single" w:sz="4" w:space="0" w:color="auto"/>
            </w:tcBorders>
          </w:tcPr>
          <w:p w14:paraId="219AA7A8" w14:textId="64E60439" w:rsidR="001B333D" w:rsidRPr="001B333D" w:rsidRDefault="001B333D" w:rsidP="001B333D">
            <w:pPr>
              <w:pStyle w:val="Heading3"/>
              <w:keepLines/>
              <w:numPr>
                <w:ilvl w:val="2"/>
                <w:numId w:val="0"/>
              </w:numPr>
              <w:spacing w:before="240" w:after="240"/>
              <w:ind w:left="851" w:hanging="851"/>
              <w:jc w:val="both"/>
              <w:rPr>
                <w:sz w:val="20"/>
              </w:rPr>
            </w:pPr>
            <w:bookmarkStart w:id="151" w:name="_Toc7770310"/>
            <w:r>
              <w:rPr>
                <w:sz w:val="20"/>
              </w:rPr>
              <w:t>1</w:t>
            </w:r>
            <w:r w:rsidR="00204A4C">
              <w:rPr>
                <w:sz w:val="20"/>
              </w:rPr>
              <w:t>5</w:t>
            </w:r>
            <w:r>
              <w:rPr>
                <w:sz w:val="20"/>
              </w:rPr>
              <w:t xml:space="preserve">.9.4 </w:t>
            </w:r>
            <w:r w:rsidRPr="001B333D">
              <w:rPr>
                <w:sz w:val="20"/>
              </w:rPr>
              <w:t xml:space="preserve">Are there any cultural heritage places listed on the Heritage Register or the Archaeological Inventory under the </w:t>
            </w:r>
            <w:r w:rsidRPr="007E5C21">
              <w:rPr>
                <w:i/>
                <w:iCs/>
                <w:sz w:val="20"/>
              </w:rPr>
              <w:t>Heritage Act 1995</w:t>
            </w:r>
            <w:r w:rsidRPr="001B333D">
              <w:rPr>
                <w:sz w:val="20"/>
              </w:rPr>
              <w:t xml:space="preserve"> within the Project area?</w:t>
            </w:r>
            <w:bookmarkEnd w:id="151"/>
            <w:r w:rsidRPr="001B333D">
              <w:rPr>
                <w:sz w:val="20"/>
              </w:rPr>
              <w:t xml:space="preserve"> </w:t>
            </w:r>
          </w:p>
          <w:p w14:paraId="5715BFDA" w14:textId="77777777" w:rsidR="00A141A4" w:rsidRPr="00EC6C73" w:rsidRDefault="00A141A4" w:rsidP="00A141A4">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A141A4">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No    </w:t>
            </w:r>
            <w:r w:rsidRPr="00A141A4">
              <w:rPr>
                <w:rFonts w:ascii="Arial" w:hAnsi="Arial"/>
                <w:b w:val="0"/>
                <w:bCs w:val="0"/>
                <w:color w:val="E7E6E6" w:themeColor="background2"/>
                <w:sz w:val="20"/>
                <w:szCs w:val="20"/>
                <w:lang w:eastAsia="en-AU"/>
              </w:rPr>
              <w:sym w:font="Webdings" w:char="F072"/>
            </w:r>
            <w:r w:rsidRPr="00EC6C73">
              <w:rPr>
                <w:rFonts w:ascii="Arial" w:hAnsi="Arial"/>
                <w:b w:val="0"/>
                <w:bCs w:val="0"/>
                <w:sz w:val="20"/>
                <w:szCs w:val="20"/>
                <w:lang w:eastAsia="en-AU"/>
              </w:rPr>
              <w:t xml:space="preserve">  Yes   </w:t>
            </w:r>
          </w:p>
          <w:p w14:paraId="416A59EC" w14:textId="77777777" w:rsidR="001B333D" w:rsidRDefault="001B333D">
            <w:pPr>
              <w:rPr>
                <w:rFonts w:ascii="Arial" w:hAnsi="Arial"/>
              </w:rPr>
            </w:pPr>
          </w:p>
        </w:tc>
      </w:tr>
      <w:tr w:rsidR="001B333D" w14:paraId="2B37573B" w14:textId="77777777" w:rsidTr="00FD555F">
        <w:tc>
          <w:tcPr>
            <w:tcW w:w="9243" w:type="dxa"/>
            <w:tcBorders>
              <w:top w:val="single" w:sz="4" w:space="0" w:color="auto"/>
              <w:bottom w:val="single" w:sz="4" w:space="0" w:color="auto"/>
            </w:tcBorders>
          </w:tcPr>
          <w:p w14:paraId="6B591152" w14:textId="2482E213" w:rsidR="001B333D" w:rsidRPr="001B333D" w:rsidRDefault="001B333D" w:rsidP="001B333D">
            <w:pPr>
              <w:pStyle w:val="Heading3"/>
              <w:keepLines/>
              <w:numPr>
                <w:ilvl w:val="2"/>
                <w:numId w:val="0"/>
              </w:numPr>
              <w:spacing w:before="240" w:after="240"/>
              <w:ind w:left="851" w:hanging="851"/>
              <w:jc w:val="both"/>
              <w:rPr>
                <w:sz w:val="20"/>
              </w:rPr>
            </w:pPr>
            <w:bookmarkStart w:id="152" w:name="_Toc7770311"/>
            <w:r>
              <w:rPr>
                <w:sz w:val="20"/>
              </w:rPr>
              <w:t>1</w:t>
            </w:r>
            <w:r w:rsidR="00204A4C">
              <w:rPr>
                <w:sz w:val="20"/>
              </w:rPr>
              <w:t>5</w:t>
            </w:r>
            <w:r>
              <w:rPr>
                <w:sz w:val="20"/>
              </w:rPr>
              <w:t xml:space="preserve">.9.5 </w:t>
            </w:r>
            <w:r w:rsidRPr="001B333D">
              <w:rPr>
                <w:sz w:val="20"/>
              </w:rPr>
              <w:t>Is mitigation of potential cultural heritage effects proposed?</w:t>
            </w:r>
            <w:bookmarkEnd w:id="152"/>
          </w:p>
          <w:p w14:paraId="2F950EC4" w14:textId="77777777" w:rsidR="007E5C21" w:rsidRPr="00EC6C73" w:rsidRDefault="007E5C21" w:rsidP="007E5C21">
            <w:pPr>
              <w:pStyle w:val="BodyText"/>
              <w:jc w:val="both"/>
              <w:rPr>
                <w:rFonts w:ascii="Arial" w:hAnsi="Arial"/>
                <w:b w:val="0"/>
                <w:bCs w:val="0"/>
                <w:sz w:val="20"/>
                <w:szCs w:val="20"/>
                <w:lang w:eastAsia="en-AU"/>
              </w:rPr>
            </w:pPr>
            <w:r w:rsidRPr="00D45B1B">
              <w:rPr>
                <w:rFonts w:ascii="Arial" w:hAnsi="Arial"/>
                <w:b w:val="0"/>
                <w:bCs w:val="0"/>
                <w:color w:val="D9D9D9" w:themeColor="background1" w:themeShade="D9"/>
                <w:sz w:val="20"/>
                <w:szCs w:val="20"/>
                <w:lang w:eastAsia="en-AU"/>
              </w:rPr>
              <w:sym w:font="Webdings" w:char="F072"/>
            </w:r>
            <w:r w:rsidRPr="000406BF">
              <w:rPr>
                <w:rFonts w:ascii="Arial" w:hAnsi="Arial"/>
                <w:b w:val="0"/>
                <w:bCs w:val="0"/>
                <w:color w:val="D9D9D9" w:themeColor="background1" w:themeShade="D9"/>
                <w:sz w:val="20"/>
                <w:szCs w:val="20"/>
                <w:lang w:eastAsia="en-AU"/>
              </w:rPr>
              <w:t xml:space="preserve"> </w:t>
            </w:r>
            <w:r w:rsidRPr="00EC6C73">
              <w:rPr>
                <w:rFonts w:ascii="Arial" w:hAnsi="Arial"/>
                <w:b w:val="0"/>
                <w:bCs w:val="0"/>
                <w:sz w:val="20"/>
                <w:szCs w:val="20"/>
                <w:lang w:eastAsia="en-AU"/>
              </w:rPr>
              <w:t xml:space="preserve"> NYD    </w:t>
            </w:r>
            <w:r w:rsidRPr="00EF39CB">
              <w:rPr>
                <w:rFonts w:ascii="Arial" w:hAnsi="Arial"/>
                <w:b w:val="0"/>
                <w:bCs w:val="0"/>
                <w:color w:val="D0CECE" w:themeColor="background2" w:themeShade="E6"/>
                <w:sz w:val="20"/>
                <w:szCs w:val="20"/>
                <w:lang w:eastAsia="en-AU"/>
              </w:rPr>
              <w:sym w:font="Webdings" w:char="F072"/>
            </w:r>
            <w:r w:rsidRPr="00EC6C73">
              <w:rPr>
                <w:rFonts w:ascii="Arial" w:hAnsi="Arial"/>
                <w:b w:val="0"/>
                <w:bCs w:val="0"/>
                <w:sz w:val="20"/>
                <w:szCs w:val="20"/>
                <w:lang w:eastAsia="en-AU"/>
              </w:rPr>
              <w:t xml:space="preserve"> No    </w:t>
            </w:r>
            <w:r w:rsidRPr="00EF39CB">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Yes   </w:t>
            </w:r>
          </w:p>
          <w:p w14:paraId="177E2791" w14:textId="77777777" w:rsidR="007E5C21" w:rsidRDefault="007E5C21" w:rsidP="00C01281">
            <w:pPr>
              <w:pStyle w:val="BodyText"/>
              <w:jc w:val="both"/>
              <w:rPr>
                <w:rFonts w:ascii="Arial" w:hAnsi="Arial"/>
                <w:b w:val="0"/>
                <w:bCs w:val="0"/>
                <w:sz w:val="20"/>
                <w:szCs w:val="20"/>
                <w:lang w:eastAsia="en-AU"/>
              </w:rPr>
            </w:pPr>
          </w:p>
          <w:p w14:paraId="23FC5D27" w14:textId="7880B406" w:rsidR="00C01281" w:rsidRPr="00C01281" w:rsidRDefault="001B333D" w:rsidP="00C01281">
            <w:pPr>
              <w:pStyle w:val="BodyText"/>
              <w:jc w:val="both"/>
              <w:rPr>
                <w:rFonts w:ascii="Arial" w:hAnsi="Arial"/>
                <w:b w:val="0"/>
                <w:bCs w:val="0"/>
                <w:sz w:val="20"/>
                <w:szCs w:val="20"/>
                <w:lang w:eastAsia="en-AU"/>
              </w:rPr>
            </w:pPr>
            <w:r w:rsidRPr="001B333D">
              <w:rPr>
                <w:rFonts w:ascii="Arial" w:hAnsi="Arial"/>
                <w:b w:val="0"/>
                <w:bCs w:val="0"/>
                <w:sz w:val="20"/>
                <w:szCs w:val="20"/>
                <w:lang w:eastAsia="en-AU"/>
              </w:rPr>
              <w:t xml:space="preserve">Iluka is continuing discussions and investigations with GHD and the RAP </w:t>
            </w:r>
            <w:r w:rsidR="00036063">
              <w:rPr>
                <w:rFonts w:ascii="Arial" w:hAnsi="Arial"/>
                <w:b w:val="0"/>
                <w:bCs w:val="0"/>
                <w:sz w:val="20"/>
                <w:szCs w:val="20"/>
                <w:lang w:eastAsia="en-AU"/>
              </w:rPr>
              <w:t>as part of the development of a</w:t>
            </w:r>
            <w:r w:rsidR="00C01281" w:rsidRPr="00C01281">
              <w:rPr>
                <w:rFonts w:ascii="Arial" w:hAnsi="Arial"/>
                <w:b w:val="0"/>
                <w:bCs w:val="0"/>
                <w:sz w:val="20"/>
                <w:szCs w:val="20"/>
                <w:lang w:eastAsia="en-AU"/>
              </w:rPr>
              <w:t xml:space="preserve"> cultural heritage management plan (CHMP)</w:t>
            </w:r>
            <w:r w:rsidR="00036063">
              <w:rPr>
                <w:rFonts w:ascii="Arial" w:hAnsi="Arial"/>
                <w:b w:val="0"/>
                <w:bCs w:val="0"/>
                <w:sz w:val="20"/>
                <w:szCs w:val="20"/>
                <w:lang w:eastAsia="en-AU"/>
              </w:rPr>
              <w:t xml:space="preserve"> for the </w:t>
            </w:r>
            <w:r w:rsidR="00D02516">
              <w:rPr>
                <w:rFonts w:ascii="Arial" w:hAnsi="Arial"/>
                <w:b w:val="0"/>
                <w:bCs w:val="0"/>
                <w:sz w:val="20"/>
                <w:szCs w:val="20"/>
                <w:lang w:eastAsia="en-AU"/>
              </w:rPr>
              <w:t>Project</w:t>
            </w:r>
            <w:r w:rsidR="00036063">
              <w:rPr>
                <w:rFonts w:ascii="Arial" w:hAnsi="Arial"/>
                <w:b w:val="0"/>
                <w:bCs w:val="0"/>
                <w:sz w:val="20"/>
                <w:szCs w:val="20"/>
                <w:lang w:eastAsia="en-AU"/>
              </w:rPr>
              <w:t>. The CHMP</w:t>
            </w:r>
            <w:r w:rsidR="00C01281" w:rsidRPr="00C01281">
              <w:rPr>
                <w:rFonts w:ascii="Arial" w:hAnsi="Arial"/>
                <w:b w:val="0"/>
                <w:bCs w:val="0"/>
                <w:sz w:val="20"/>
                <w:szCs w:val="20"/>
                <w:lang w:eastAsia="en-AU"/>
              </w:rPr>
              <w:t xml:space="preserve"> will be prepared and implemented to manage issues relating to Aboriginal cultural heritage in the Project site. The CHMP will determine the extent (if any), nature and significance of Aboriginal heritage values in the </w:t>
            </w:r>
            <w:r w:rsidR="00D02516">
              <w:rPr>
                <w:rFonts w:ascii="Arial" w:hAnsi="Arial"/>
                <w:b w:val="0"/>
                <w:bCs w:val="0"/>
                <w:sz w:val="20"/>
                <w:szCs w:val="20"/>
                <w:lang w:eastAsia="en-AU"/>
              </w:rPr>
              <w:t>Project</w:t>
            </w:r>
            <w:r w:rsidR="00C01281" w:rsidRPr="00C01281">
              <w:rPr>
                <w:rFonts w:ascii="Arial" w:hAnsi="Arial"/>
                <w:b w:val="0"/>
                <w:bCs w:val="0"/>
                <w:sz w:val="20"/>
                <w:szCs w:val="20"/>
                <w:lang w:eastAsia="en-AU"/>
              </w:rPr>
              <w:t xml:space="preserve"> area and provide conditions to avoid and/or mitigate harm to those values. The CHMP will need to be developed in consultation with and approved by </w:t>
            </w:r>
            <w:proofErr w:type="spellStart"/>
            <w:r w:rsidR="00C01281" w:rsidRPr="00C01281">
              <w:rPr>
                <w:rFonts w:ascii="Arial" w:hAnsi="Arial"/>
                <w:b w:val="0"/>
                <w:bCs w:val="0"/>
                <w:sz w:val="20"/>
                <w:szCs w:val="20"/>
                <w:lang w:eastAsia="en-AU"/>
              </w:rPr>
              <w:t>Barengi</w:t>
            </w:r>
            <w:proofErr w:type="spellEnd"/>
            <w:r w:rsidR="00C01281" w:rsidRPr="00C01281">
              <w:rPr>
                <w:rFonts w:ascii="Arial" w:hAnsi="Arial"/>
                <w:b w:val="0"/>
                <w:bCs w:val="0"/>
                <w:sz w:val="20"/>
                <w:szCs w:val="20"/>
                <w:lang w:eastAsia="en-AU"/>
              </w:rPr>
              <w:t xml:space="preserve"> </w:t>
            </w:r>
            <w:proofErr w:type="spellStart"/>
            <w:r w:rsidR="00C01281" w:rsidRPr="00C01281">
              <w:rPr>
                <w:rFonts w:ascii="Arial" w:hAnsi="Arial"/>
                <w:b w:val="0"/>
                <w:bCs w:val="0"/>
                <w:sz w:val="20"/>
                <w:szCs w:val="20"/>
                <w:lang w:eastAsia="en-AU"/>
              </w:rPr>
              <w:t>Gadjin</w:t>
            </w:r>
            <w:proofErr w:type="spellEnd"/>
            <w:r w:rsidR="00C01281" w:rsidRPr="00C01281">
              <w:rPr>
                <w:rFonts w:ascii="Arial" w:hAnsi="Arial"/>
                <w:b w:val="0"/>
                <w:bCs w:val="0"/>
                <w:sz w:val="20"/>
                <w:szCs w:val="20"/>
                <w:lang w:eastAsia="en-AU"/>
              </w:rPr>
              <w:t xml:space="preserve"> as the RAP for the region.</w:t>
            </w:r>
          </w:p>
          <w:p w14:paraId="238E7551" w14:textId="77777777" w:rsidR="001B333D" w:rsidRDefault="001B333D">
            <w:pPr>
              <w:rPr>
                <w:rFonts w:ascii="Arial" w:hAnsi="Arial"/>
              </w:rPr>
            </w:pPr>
          </w:p>
        </w:tc>
      </w:tr>
      <w:tr w:rsidR="001B333D" w14:paraId="099970F8" w14:textId="77777777" w:rsidTr="00FD555F">
        <w:tc>
          <w:tcPr>
            <w:tcW w:w="9243" w:type="dxa"/>
            <w:tcBorders>
              <w:top w:val="single" w:sz="4" w:space="0" w:color="auto"/>
              <w:bottom w:val="single" w:sz="4" w:space="0" w:color="auto"/>
            </w:tcBorders>
          </w:tcPr>
          <w:p w14:paraId="051A2BC2" w14:textId="2D98CA30" w:rsidR="001B333D" w:rsidRPr="001B333D" w:rsidRDefault="001B333D" w:rsidP="001B333D">
            <w:pPr>
              <w:pStyle w:val="Heading3"/>
              <w:keepLines/>
              <w:numPr>
                <w:ilvl w:val="2"/>
                <w:numId w:val="0"/>
              </w:numPr>
              <w:spacing w:before="240" w:after="240"/>
              <w:ind w:left="851" w:hanging="851"/>
              <w:jc w:val="both"/>
              <w:rPr>
                <w:sz w:val="20"/>
              </w:rPr>
            </w:pPr>
            <w:bookmarkStart w:id="153" w:name="_Toc7770312"/>
            <w:r>
              <w:rPr>
                <w:sz w:val="20"/>
              </w:rPr>
              <w:t>1</w:t>
            </w:r>
            <w:r w:rsidR="00204A4C">
              <w:rPr>
                <w:sz w:val="20"/>
              </w:rPr>
              <w:t>5</w:t>
            </w:r>
            <w:r>
              <w:rPr>
                <w:sz w:val="20"/>
              </w:rPr>
              <w:t xml:space="preserve">.9.6 </w:t>
            </w:r>
            <w:r w:rsidRPr="001B333D">
              <w:rPr>
                <w:sz w:val="20"/>
              </w:rPr>
              <w:t>Other information/comments</w:t>
            </w:r>
            <w:bookmarkEnd w:id="153"/>
          </w:p>
          <w:p w14:paraId="580D633A" w14:textId="2716AEED" w:rsidR="001B333D" w:rsidRPr="001B333D" w:rsidRDefault="00036063" w:rsidP="001B333D">
            <w:pPr>
              <w:pStyle w:val="BodyText"/>
              <w:jc w:val="both"/>
              <w:rPr>
                <w:rFonts w:ascii="Arial" w:hAnsi="Arial"/>
                <w:b w:val="0"/>
                <w:bCs w:val="0"/>
                <w:sz w:val="20"/>
                <w:szCs w:val="20"/>
                <w:lang w:eastAsia="en-AU"/>
              </w:rPr>
            </w:pPr>
            <w:r>
              <w:rPr>
                <w:rFonts w:ascii="Arial" w:hAnsi="Arial"/>
                <w:b w:val="0"/>
                <w:bCs w:val="0"/>
                <w:sz w:val="20"/>
                <w:szCs w:val="20"/>
                <w:lang w:eastAsia="en-AU"/>
              </w:rPr>
              <w:t>No</w:t>
            </w:r>
            <w:r w:rsidR="00124CCE">
              <w:rPr>
                <w:rFonts w:ascii="Arial" w:hAnsi="Arial"/>
                <w:b w:val="0"/>
                <w:bCs w:val="0"/>
                <w:sz w:val="20"/>
                <w:szCs w:val="20"/>
                <w:lang w:eastAsia="en-AU"/>
              </w:rPr>
              <w:t>.</w:t>
            </w:r>
          </w:p>
          <w:p w14:paraId="14A4994A" w14:textId="77777777" w:rsidR="001B333D" w:rsidRDefault="001B333D">
            <w:pPr>
              <w:rPr>
                <w:rFonts w:ascii="Arial" w:hAnsi="Arial"/>
              </w:rPr>
            </w:pPr>
          </w:p>
        </w:tc>
      </w:tr>
      <w:tr w:rsidR="001B333D" w14:paraId="488D980C" w14:textId="77777777" w:rsidTr="00FD555F">
        <w:tc>
          <w:tcPr>
            <w:tcW w:w="9243" w:type="dxa"/>
            <w:tcBorders>
              <w:top w:val="single" w:sz="4" w:space="0" w:color="auto"/>
            </w:tcBorders>
          </w:tcPr>
          <w:p w14:paraId="5E8F9FB3" w14:textId="3A7635D6" w:rsidR="004A16BA" w:rsidRPr="004A16BA" w:rsidRDefault="004A16BA" w:rsidP="004A16BA">
            <w:pPr>
              <w:pStyle w:val="Heading1"/>
              <w:ind w:left="0"/>
              <w:rPr>
                <w:sz w:val="22"/>
                <w:szCs w:val="22"/>
              </w:rPr>
            </w:pPr>
            <w:bookmarkStart w:id="154" w:name="_Hlk2157607"/>
            <w:bookmarkStart w:id="155" w:name="_Toc5611095"/>
            <w:bookmarkStart w:id="156" w:name="_Toc7770313"/>
            <w:bookmarkStart w:id="157" w:name="_Toc7787931"/>
            <w:bookmarkStart w:id="158" w:name="_Toc8384826"/>
            <w:r w:rsidRPr="004A16BA">
              <w:rPr>
                <w:sz w:val="22"/>
                <w:szCs w:val="22"/>
              </w:rPr>
              <w:t>1</w:t>
            </w:r>
            <w:r w:rsidR="00204A4C">
              <w:rPr>
                <w:sz w:val="22"/>
                <w:szCs w:val="22"/>
              </w:rPr>
              <w:t>6</w:t>
            </w:r>
            <w:r w:rsidRPr="004A16BA">
              <w:rPr>
                <w:sz w:val="22"/>
                <w:szCs w:val="22"/>
              </w:rPr>
              <w:t xml:space="preserve"> Energy, wastes and greenhouse gas emissions</w:t>
            </w:r>
            <w:bookmarkEnd w:id="154"/>
            <w:bookmarkEnd w:id="155"/>
            <w:bookmarkEnd w:id="156"/>
            <w:bookmarkEnd w:id="157"/>
            <w:bookmarkEnd w:id="158"/>
          </w:p>
          <w:p w14:paraId="46EE8C6A" w14:textId="77777777" w:rsidR="001B333D" w:rsidRDefault="001B333D">
            <w:pPr>
              <w:rPr>
                <w:rFonts w:ascii="Arial" w:hAnsi="Arial"/>
              </w:rPr>
            </w:pPr>
          </w:p>
        </w:tc>
      </w:tr>
      <w:tr w:rsidR="001B333D" w14:paraId="10207C9B" w14:textId="77777777" w:rsidTr="00FD555F">
        <w:tc>
          <w:tcPr>
            <w:tcW w:w="9243" w:type="dxa"/>
            <w:tcBorders>
              <w:bottom w:val="nil"/>
            </w:tcBorders>
          </w:tcPr>
          <w:p w14:paraId="7B0EE085" w14:textId="5CEAFA6D" w:rsidR="004A16BA" w:rsidRDefault="004A16BA" w:rsidP="004A16BA">
            <w:pPr>
              <w:pStyle w:val="Heading2"/>
              <w:ind w:left="0"/>
            </w:pPr>
            <w:bookmarkStart w:id="159" w:name="_Toc7770314"/>
            <w:r>
              <w:lastRenderedPageBreak/>
              <w:t>1</w:t>
            </w:r>
            <w:r w:rsidR="00204A4C">
              <w:t>6</w:t>
            </w:r>
            <w:r>
              <w:t xml:space="preserve">.1 </w:t>
            </w:r>
            <w:r w:rsidRPr="007C7EC5">
              <w:t xml:space="preserve">What are the main sources of energy that the </w:t>
            </w:r>
            <w:r>
              <w:t>Project</w:t>
            </w:r>
            <w:r w:rsidRPr="007C7EC5">
              <w:t xml:space="preserve"> facility would consume/generate?</w:t>
            </w:r>
            <w:bookmarkEnd w:id="159"/>
          </w:p>
          <w:p w14:paraId="04C83832" w14:textId="77777777" w:rsidR="001B333D" w:rsidRDefault="001B333D">
            <w:pPr>
              <w:rPr>
                <w:rFonts w:ascii="Arial" w:hAnsi="Arial"/>
              </w:rPr>
            </w:pPr>
          </w:p>
        </w:tc>
      </w:tr>
      <w:tr w:rsidR="001B333D" w14:paraId="3D4C9589" w14:textId="77777777" w:rsidTr="00FD555F">
        <w:tc>
          <w:tcPr>
            <w:tcW w:w="9243" w:type="dxa"/>
            <w:tcBorders>
              <w:top w:val="nil"/>
              <w:bottom w:val="single" w:sz="4" w:space="0" w:color="auto"/>
            </w:tcBorders>
          </w:tcPr>
          <w:p w14:paraId="495900C1" w14:textId="43BB5E11" w:rsidR="004A16BA" w:rsidRDefault="004A16BA" w:rsidP="004A16BA">
            <w:pPr>
              <w:pStyle w:val="Heading3"/>
              <w:rPr>
                <w:sz w:val="20"/>
              </w:rPr>
            </w:pPr>
            <w:r>
              <w:rPr>
                <w:sz w:val="20"/>
              </w:rPr>
              <w:t>1</w:t>
            </w:r>
            <w:r w:rsidR="00204A4C">
              <w:rPr>
                <w:sz w:val="20"/>
              </w:rPr>
              <w:t>6</w:t>
            </w:r>
            <w:r>
              <w:rPr>
                <w:sz w:val="20"/>
              </w:rPr>
              <w:t xml:space="preserve">.1.1 </w:t>
            </w:r>
            <w:r w:rsidRPr="004A16BA">
              <w:rPr>
                <w:sz w:val="20"/>
              </w:rPr>
              <w:t>Electricity</w:t>
            </w:r>
          </w:p>
          <w:p w14:paraId="767EB9A9" w14:textId="77777777" w:rsidR="00846667" w:rsidRPr="00846667" w:rsidRDefault="00846667" w:rsidP="00846667"/>
          <w:p w14:paraId="76A58885" w14:textId="0483E0F0" w:rsidR="004A16BA" w:rsidRDefault="004A16BA" w:rsidP="00310867">
            <w:pPr>
              <w:jc w:val="both"/>
              <w:rPr>
                <w:rFonts w:ascii="Arial" w:hAnsi="Arial" w:cs="Arial"/>
              </w:rPr>
            </w:pPr>
            <w:r w:rsidRPr="00E71774">
              <w:rPr>
                <w:rFonts w:ascii="Arial" w:hAnsi="Arial" w:cs="Arial"/>
              </w:rPr>
              <w:t xml:space="preserve">Electricity requirements are estimated at </w:t>
            </w:r>
            <w:r w:rsidR="007676CC" w:rsidRPr="00E71774">
              <w:rPr>
                <w:rFonts w:ascii="Arial" w:hAnsi="Arial" w:cs="Arial"/>
              </w:rPr>
              <w:t xml:space="preserve">20-25 </w:t>
            </w:r>
            <w:r w:rsidRPr="00E71774">
              <w:rPr>
                <w:rFonts w:ascii="Arial" w:hAnsi="Arial" w:cs="Arial"/>
              </w:rPr>
              <w:t xml:space="preserve">megawatts (MW). </w:t>
            </w:r>
            <w:r w:rsidR="007676CC" w:rsidRPr="00E71774">
              <w:rPr>
                <w:rFonts w:ascii="Arial" w:hAnsi="Arial" w:cs="Arial"/>
              </w:rPr>
              <w:t>However</w:t>
            </w:r>
            <w:r w:rsidR="00AF6943">
              <w:rPr>
                <w:rFonts w:ascii="Arial" w:hAnsi="Arial" w:cs="Arial"/>
              </w:rPr>
              <w:t>,</w:t>
            </w:r>
            <w:r w:rsidR="007676CC" w:rsidRPr="00E71774">
              <w:rPr>
                <w:rFonts w:ascii="Arial" w:hAnsi="Arial" w:cs="Arial"/>
              </w:rPr>
              <w:t xml:space="preserve"> this is subject to further study and definition.</w:t>
            </w:r>
          </w:p>
          <w:p w14:paraId="52590412" w14:textId="77777777" w:rsidR="00952978" w:rsidRPr="00E71774" w:rsidRDefault="00952978" w:rsidP="00310867">
            <w:pPr>
              <w:jc w:val="both"/>
              <w:rPr>
                <w:rFonts w:ascii="Arial" w:hAnsi="Arial" w:cs="Arial"/>
              </w:rPr>
            </w:pPr>
          </w:p>
          <w:p w14:paraId="47734788" w14:textId="1F810E0D" w:rsidR="004A16BA" w:rsidRDefault="004A16BA" w:rsidP="00310867">
            <w:pPr>
              <w:jc w:val="both"/>
              <w:rPr>
                <w:rFonts w:ascii="Arial" w:hAnsi="Arial" w:cs="Arial"/>
              </w:rPr>
            </w:pPr>
            <w:r w:rsidRPr="00E71774">
              <w:rPr>
                <w:rFonts w:ascii="Arial" w:hAnsi="Arial" w:cs="Arial"/>
              </w:rPr>
              <w:t xml:space="preserve">Electricity is proposed to be sourced from the grid. This may include the construction of a dedicated 66 kV line along </w:t>
            </w:r>
            <w:proofErr w:type="spellStart"/>
            <w:r w:rsidRPr="00E71774">
              <w:rPr>
                <w:rFonts w:ascii="Arial" w:hAnsi="Arial" w:cs="Arial"/>
              </w:rPr>
              <w:t>Jallumba-Mockinya</w:t>
            </w:r>
            <w:proofErr w:type="spellEnd"/>
            <w:r w:rsidRPr="00E71774">
              <w:rPr>
                <w:rFonts w:ascii="Arial" w:hAnsi="Arial" w:cs="Arial"/>
              </w:rPr>
              <w:t xml:space="preserve"> Road from the existing 66</w:t>
            </w:r>
            <w:r w:rsidR="00AF6943">
              <w:rPr>
                <w:rFonts w:ascii="Arial" w:hAnsi="Arial" w:cs="Arial"/>
              </w:rPr>
              <w:t>-</w:t>
            </w:r>
            <w:r w:rsidRPr="00E71774">
              <w:rPr>
                <w:rFonts w:ascii="Arial" w:hAnsi="Arial" w:cs="Arial"/>
              </w:rPr>
              <w:t xml:space="preserve">kV line along the </w:t>
            </w:r>
            <w:proofErr w:type="spellStart"/>
            <w:r w:rsidRPr="00E71774">
              <w:rPr>
                <w:rFonts w:ascii="Arial" w:hAnsi="Arial" w:cs="Arial"/>
              </w:rPr>
              <w:t>Wonwondah</w:t>
            </w:r>
            <w:proofErr w:type="spellEnd"/>
            <w:r w:rsidRPr="00E71774">
              <w:rPr>
                <w:rFonts w:ascii="Arial" w:hAnsi="Arial" w:cs="Arial"/>
              </w:rPr>
              <w:t>-Toolondo Road to the infrastructure area, depending on the final refinery location. An engineering options study for the location of the refinery and alignment of associated offsite services such as electricity supply is currently underway.</w:t>
            </w:r>
          </w:p>
          <w:p w14:paraId="3504C8DD" w14:textId="77777777" w:rsidR="00AF6943" w:rsidRPr="00E71774" w:rsidRDefault="00AF6943" w:rsidP="00E71774">
            <w:pPr>
              <w:rPr>
                <w:rFonts w:ascii="Arial" w:hAnsi="Arial" w:cs="Arial"/>
              </w:rPr>
            </w:pPr>
          </w:p>
          <w:p w14:paraId="157ED20A" w14:textId="77777777" w:rsidR="001B333D" w:rsidRDefault="001B333D" w:rsidP="007E5C21">
            <w:pPr>
              <w:rPr>
                <w:rFonts w:ascii="Arial" w:hAnsi="Arial"/>
              </w:rPr>
            </w:pPr>
          </w:p>
        </w:tc>
      </w:tr>
      <w:tr w:rsidR="001B333D" w14:paraId="346EF8DA" w14:textId="77777777" w:rsidTr="00FD555F">
        <w:tc>
          <w:tcPr>
            <w:tcW w:w="9243" w:type="dxa"/>
            <w:tcBorders>
              <w:top w:val="single" w:sz="4" w:space="0" w:color="auto"/>
              <w:bottom w:val="single" w:sz="4" w:space="0" w:color="auto"/>
            </w:tcBorders>
          </w:tcPr>
          <w:p w14:paraId="3E1182AF" w14:textId="5F998C9D" w:rsidR="004A16BA" w:rsidRDefault="004A16BA" w:rsidP="004A16BA">
            <w:pPr>
              <w:pStyle w:val="Heading3"/>
              <w:rPr>
                <w:sz w:val="20"/>
              </w:rPr>
            </w:pPr>
            <w:r>
              <w:rPr>
                <w:sz w:val="20"/>
              </w:rPr>
              <w:t>1</w:t>
            </w:r>
            <w:r w:rsidR="00204A4C">
              <w:rPr>
                <w:sz w:val="20"/>
              </w:rPr>
              <w:t>6</w:t>
            </w:r>
            <w:r>
              <w:rPr>
                <w:sz w:val="20"/>
              </w:rPr>
              <w:t xml:space="preserve">.1.2 </w:t>
            </w:r>
            <w:r w:rsidRPr="004A16BA">
              <w:rPr>
                <w:sz w:val="20"/>
              </w:rPr>
              <w:t>Natural gas</w:t>
            </w:r>
          </w:p>
          <w:p w14:paraId="40CF4C37" w14:textId="77777777" w:rsidR="004A16BA" w:rsidRPr="004A16BA" w:rsidRDefault="004A16BA" w:rsidP="004A16BA"/>
          <w:p w14:paraId="6BABAF3F" w14:textId="77777777" w:rsidR="001B333D" w:rsidRPr="00E71774" w:rsidRDefault="004A16BA" w:rsidP="00C83AAA">
            <w:pPr>
              <w:pStyle w:val="BodyText"/>
              <w:jc w:val="both"/>
            </w:pPr>
            <w:r w:rsidRPr="00C83AAA">
              <w:rPr>
                <w:rFonts w:ascii="Arial" w:hAnsi="Arial"/>
                <w:b w:val="0"/>
                <w:bCs w:val="0"/>
                <w:sz w:val="20"/>
                <w:szCs w:val="20"/>
                <w:lang w:eastAsia="en-AU"/>
              </w:rPr>
              <w:t>Natural gas requirements are estimated at 50 gigajoules per hour (GJ/h). Subject to study outcomes, the Project may require construction of a new gas pipeline (approximately 33-45 km long) connected to the existing pipeline at Horsham.</w:t>
            </w:r>
            <w:r w:rsidRPr="00E71774">
              <w:t xml:space="preserve"> </w:t>
            </w:r>
          </w:p>
        </w:tc>
      </w:tr>
      <w:tr w:rsidR="001B333D" w14:paraId="710A0553" w14:textId="77777777" w:rsidTr="00FD555F">
        <w:tc>
          <w:tcPr>
            <w:tcW w:w="9243" w:type="dxa"/>
            <w:tcBorders>
              <w:top w:val="single" w:sz="4" w:space="0" w:color="auto"/>
              <w:bottom w:val="single" w:sz="4" w:space="0" w:color="auto"/>
            </w:tcBorders>
          </w:tcPr>
          <w:p w14:paraId="6C5A4D7D" w14:textId="3D5F513F" w:rsidR="007E5C21" w:rsidRDefault="007E5C21" w:rsidP="004A16BA">
            <w:pPr>
              <w:pStyle w:val="Heading3"/>
              <w:keepLines/>
              <w:numPr>
                <w:ilvl w:val="2"/>
                <w:numId w:val="0"/>
              </w:numPr>
              <w:spacing w:before="240" w:after="240"/>
              <w:ind w:left="851" w:hanging="851"/>
              <w:jc w:val="both"/>
              <w:rPr>
                <w:sz w:val="20"/>
              </w:rPr>
            </w:pPr>
            <w:r>
              <w:rPr>
                <w:sz w:val="20"/>
              </w:rPr>
              <w:t>1</w:t>
            </w:r>
            <w:r w:rsidR="00204A4C">
              <w:rPr>
                <w:sz w:val="20"/>
              </w:rPr>
              <w:t>6</w:t>
            </w:r>
            <w:r>
              <w:rPr>
                <w:sz w:val="20"/>
              </w:rPr>
              <w:t>.1.3. Generated on-site</w:t>
            </w:r>
          </w:p>
          <w:p w14:paraId="09F80537" w14:textId="77777777" w:rsidR="007E5C21" w:rsidRPr="00E71774" w:rsidRDefault="007E5C21" w:rsidP="007E5C21">
            <w:pPr>
              <w:rPr>
                <w:rFonts w:ascii="Arial" w:hAnsi="Arial" w:cs="Arial"/>
              </w:rPr>
            </w:pPr>
            <w:r w:rsidRPr="00E71774">
              <w:rPr>
                <w:rFonts w:ascii="Arial" w:hAnsi="Arial" w:cs="Arial"/>
              </w:rPr>
              <w:t xml:space="preserve">The Project will not include any generation of electricity. </w:t>
            </w:r>
          </w:p>
          <w:p w14:paraId="204D8B81" w14:textId="3DD01887" w:rsidR="004A16BA" w:rsidRPr="004A16BA" w:rsidRDefault="004A16BA" w:rsidP="004A16BA">
            <w:pPr>
              <w:pStyle w:val="Heading3"/>
              <w:keepLines/>
              <w:numPr>
                <w:ilvl w:val="2"/>
                <w:numId w:val="0"/>
              </w:numPr>
              <w:spacing w:before="240" w:after="240"/>
              <w:ind w:left="851" w:hanging="851"/>
              <w:jc w:val="both"/>
              <w:rPr>
                <w:sz w:val="20"/>
              </w:rPr>
            </w:pPr>
            <w:r>
              <w:rPr>
                <w:sz w:val="20"/>
              </w:rPr>
              <w:t>1</w:t>
            </w:r>
            <w:r w:rsidR="00204A4C">
              <w:rPr>
                <w:sz w:val="20"/>
              </w:rPr>
              <w:t>6</w:t>
            </w:r>
            <w:r>
              <w:rPr>
                <w:sz w:val="20"/>
              </w:rPr>
              <w:t>.1.</w:t>
            </w:r>
            <w:r w:rsidR="007E5C21">
              <w:rPr>
                <w:sz w:val="20"/>
              </w:rPr>
              <w:t>4</w:t>
            </w:r>
            <w:r>
              <w:rPr>
                <w:sz w:val="20"/>
              </w:rPr>
              <w:t xml:space="preserve"> </w:t>
            </w:r>
            <w:r w:rsidRPr="004A16BA">
              <w:rPr>
                <w:sz w:val="20"/>
              </w:rPr>
              <w:t>Other</w:t>
            </w:r>
          </w:p>
          <w:p w14:paraId="59ED9234" w14:textId="3BFDF8D0" w:rsidR="004A16BA" w:rsidRP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t xml:space="preserve">Diesel will be used to fuel Project vehicles. </w:t>
            </w:r>
            <w:r w:rsidR="00036063">
              <w:rPr>
                <w:rFonts w:ascii="Arial" w:hAnsi="Arial"/>
                <w:b w:val="0"/>
                <w:bCs w:val="0"/>
                <w:sz w:val="20"/>
                <w:szCs w:val="20"/>
                <w:lang w:eastAsia="en-AU"/>
              </w:rPr>
              <w:t>Upon finalisation of the mine layout design and the mining method a list of all required mining and supporting plant will be developed</w:t>
            </w:r>
            <w:r w:rsidR="00D81B80">
              <w:rPr>
                <w:rFonts w:ascii="Arial" w:hAnsi="Arial"/>
                <w:b w:val="0"/>
                <w:bCs w:val="0"/>
                <w:sz w:val="20"/>
                <w:szCs w:val="20"/>
                <w:lang w:eastAsia="en-AU"/>
              </w:rPr>
              <w:t xml:space="preserve"> and estimates of annual diesel usage will be </w:t>
            </w:r>
            <w:r w:rsidR="00AF6943">
              <w:rPr>
                <w:rFonts w:ascii="Arial" w:hAnsi="Arial"/>
                <w:b w:val="0"/>
                <w:bCs w:val="0"/>
                <w:sz w:val="20"/>
                <w:szCs w:val="20"/>
                <w:lang w:eastAsia="en-AU"/>
              </w:rPr>
              <w:t>prepared</w:t>
            </w:r>
            <w:r w:rsidR="00D81B80">
              <w:rPr>
                <w:rFonts w:ascii="Arial" w:hAnsi="Arial"/>
                <w:b w:val="0"/>
                <w:bCs w:val="0"/>
                <w:sz w:val="20"/>
                <w:szCs w:val="20"/>
                <w:lang w:eastAsia="en-AU"/>
              </w:rPr>
              <w:t>.</w:t>
            </w:r>
          </w:p>
          <w:p w14:paraId="0A0EB387" w14:textId="77777777" w:rsidR="001B333D" w:rsidRDefault="001B333D" w:rsidP="004A16BA">
            <w:pPr>
              <w:jc w:val="both"/>
              <w:rPr>
                <w:rFonts w:ascii="Arial" w:hAnsi="Arial"/>
              </w:rPr>
            </w:pPr>
          </w:p>
        </w:tc>
      </w:tr>
      <w:tr w:rsidR="001B333D" w14:paraId="23B6E9DB" w14:textId="77777777" w:rsidTr="00FD555F">
        <w:tc>
          <w:tcPr>
            <w:tcW w:w="9243" w:type="dxa"/>
            <w:tcBorders>
              <w:top w:val="single" w:sz="4" w:space="0" w:color="auto"/>
              <w:bottom w:val="nil"/>
            </w:tcBorders>
          </w:tcPr>
          <w:p w14:paraId="287B45B4" w14:textId="72625EF8" w:rsidR="004A16BA" w:rsidRDefault="004A16BA" w:rsidP="004A16BA">
            <w:pPr>
              <w:pStyle w:val="Heading2"/>
              <w:ind w:left="0"/>
            </w:pPr>
            <w:bookmarkStart w:id="160" w:name="_Toc7770315"/>
            <w:r>
              <w:t>1</w:t>
            </w:r>
            <w:r w:rsidR="00204A4C">
              <w:t>6</w:t>
            </w:r>
            <w:r>
              <w:t xml:space="preserve">.2 </w:t>
            </w:r>
            <w:r w:rsidRPr="00550F0F">
              <w:t xml:space="preserve">What are the main forms of waste that would be generated by the </w:t>
            </w:r>
            <w:r>
              <w:t>Project</w:t>
            </w:r>
            <w:r w:rsidRPr="00550F0F">
              <w:t xml:space="preserve"> facility?</w:t>
            </w:r>
            <w:bookmarkEnd w:id="160"/>
          </w:p>
          <w:p w14:paraId="1C2DCA4F" w14:textId="77777777" w:rsidR="001B333D" w:rsidRDefault="001B333D">
            <w:pPr>
              <w:rPr>
                <w:rFonts w:ascii="Arial" w:hAnsi="Arial"/>
              </w:rPr>
            </w:pPr>
          </w:p>
        </w:tc>
      </w:tr>
      <w:tr w:rsidR="004A16BA" w14:paraId="0C4B4FA4" w14:textId="77777777" w:rsidTr="00FD555F">
        <w:tc>
          <w:tcPr>
            <w:tcW w:w="9243" w:type="dxa"/>
            <w:tcBorders>
              <w:top w:val="nil"/>
              <w:bottom w:val="single" w:sz="4" w:space="0" w:color="auto"/>
            </w:tcBorders>
          </w:tcPr>
          <w:p w14:paraId="3B363007" w14:textId="7B7AB008" w:rsidR="004A16BA" w:rsidRPr="004A16BA" w:rsidRDefault="004A16BA" w:rsidP="00087D32">
            <w:pPr>
              <w:pStyle w:val="Heading3"/>
              <w:keepLines/>
              <w:numPr>
                <w:ilvl w:val="2"/>
                <w:numId w:val="0"/>
              </w:numPr>
              <w:spacing w:before="240" w:after="240"/>
              <w:jc w:val="both"/>
              <w:rPr>
                <w:sz w:val="20"/>
              </w:rPr>
            </w:pPr>
            <w:r>
              <w:rPr>
                <w:sz w:val="20"/>
              </w:rPr>
              <w:t>1</w:t>
            </w:r>
            <w:r w:rsidR="00204A4C">
              <w:rPr>
                <w:sz w:val="20"/>
              </w:rPr>
              <w:t>6</w:t>
            </w:r>
            <w:r>
              <w:rPr>
                <w:sz w:val="20"/>
              </w:rPr>
              <w:t xml:space="preserve">.2.1 </w:t>
            </w:r>
            <w:r w:rsidRPr="004A16BA">
              <w:rPr>
                <w:sz w:val="20"/>
              </w:rPr>
              <w:t>Wastewater</w:t>
            </w:r>
          </w:p>
          <w:p w14:paraId="28DD6299" w14:textId="21FFB6F6" w:rsidR="001E1151" w:rsidRDefault="001E1151" w:rsidP="001E1151">
            <w:pPr>
              <w:pStyle w:val="Heading3"/>
              <w:keepLines/>
              <w:numPr>
                <w:ilvl w:val="2"/>
                <w:numId w:val="0"/>
              </w:numPr>
              <w:spacing w:before="240" w:after="240"/>
              <w:jc w:val="both"/>
              <w:rPr>
                <w:b w:val="0"/>
                <w:sz w:val="20"/>
              </w:rPr>
            </w:pPr>
            <w:r>
              <w:rPr>
                <w:b w:val="0"/>
                <w:sz w:val="20"/>
              </w:rPr>
              <w:t>P</w:t>
            </w:r>
            <w:r w:rsidR="004A16BA" w:rsidRPr="001E1151">
              <w:rPr>
                <w:b w:val="0"/>
                <w:sz w:val="20"/>
              </w:rPr>
              <w:t>roject</w:t>
            </w:r>
            <w:r>
              <w:rPr>
                <w:b w:val="0"/>
                <w:sz w:val="20"/>
              </w:rPr>
              <w:t xml:space="preserve">-related </w:t>
            </w:r>
            <w:r w:rsidRPr="00B84067">
              <w:rPr>
                <w:b w:val="0"/>
                <w:sz w:val="20"/>
              </w:rPr>
              <w:t xml:space="preserve">domestic sewage will be </w:t>
            </w:r>
            <w:r w:rsidR="00D81B80" w:rsidRPr="00B84067">
              <w:rPr>
                <w:b w:val="0"/>
                <w:sz w:val="20"/>
              </w:rPr>
              <w:t xml:space="preserve">treated using a small </w:t>
            </w:r>
            <w:r w:rsidR="00D02516">
              <w:rPr>
                <w:b w:val="0"/>
                <w:sz w:val="20"/>
              </w:rPr>
              <w:t>onsite</w:t>
            </w:r>
            <w:r w:rsidR="00D81B80" w:rsidRPr="00B84067">
              <w:rPr>
                <w:b w:val="0"/>
                <w:sz w:val="20"/>
              </w:rPr>
              <w:t xml:space="preserve"> wastewater treatment plant</w:t>
            </w:r>
            <w:r w:rsidRPr="00B84067">
              <w:rPr>
                <w:b w:val="0"/>
                <w:sz w:val="20"/>
              </w:rPr>
              <w:t>.</w:t>
            </w:r>
          </w:p>
          <w:p w14:paraId="501C4A31" w14:textId="1DA99B05" w:rsidR="00760D5F" w:rsidRPr="00C856DE" w:rsidRDefault="00760D5F" w:rsidP="00C856DE">
            <w:pPr>
              <w:pStyle w:val="BodyText"/>
              <w:jc w:val="both"/>
              <w:rPr>
                <w:b w:val="0"/>
                <w:sz w:val="20"/>
              </w:rPr>
            </w:pPr>
            <w:r>
              <w:rPr>
                <w:rFonts w:ascii="Arial" w:hAnsi="Arial"/>
                <w:b w:val="0"/>
                <w:bCs w:val="0"/>
                <w:sz w:val="20"/>
                <w:szCs w:val="20"/>
                <w:lang w:eastAsia="en-AU"/>
              </w:rPr>
              <w:t xml:space="preserve">Mine affected surface water runoff will be captured within a system of drains, sumps, pumps, pipes and dams, and stored </w:t>
            </w:r>
            <w:r w:rsidR="00D02516">
              <w:rPr>
                <w:rFonts w:ascii="Arial" w:hAnsi="Arial"/>
                <w:b w:val="0"/>
                <w:bCs w:val="0"/>
                <w:sz w:val="20"/>
                <w:szCs w:val="20"/>
                <w:lang w:eastAsia="en-AU"/>
              </w:rPr>
              <w:t>onsite</w:t>
            </w:r>
            <w:r>
              <w:rPr>
                <w:rFonts w:ascii="Arial" w:hAnsi="Arial"/>
                <w:b w:val="0"/>
                <w:bCs w:val="0"/>
                <w:sz w:val="20"/>
                <w:szCs w:val="20"/>
                <w:lang w:eastAsia="en-AU"/>
              </w:rPr>
              <w:t xml:space="preserve"> to prevent </w:t>
            </w:r>
            <w:r w:rsidR="00D02516">
              <w:rPr>
                <w:rFonts w:ascii="Arial" w:hAnsi="Arial"/>
                <w:b w:val="0"/>
                <w:bCs w:val="0"/>
                <w:sz w:val="20"/>
                <w:szCs w:val="20"/>
                <w:lang w:eastAsia="en-AU"/>
              </w:rPr>
              <w:t>offsite</w:t>
            </w:r>
            <w:r>
              <w:rPr>
                <w:rFonts w:ascii="Arial" w:hAnsi="Arial"/>
                <w:b w:val="0"/>
                <w:bCs w:val="0"/>
                <w:sz w:val="20"/>
                <w:szCs w:val="20"/>
                <w:lang w:eastAsia="en-AU"/>
              </w:rPr>
              <w:t xml:space="preserve"> discharge.</w:t>
            </w:r>
          </w:p>
          <w:p w14:paraId="685725FF" w14:textId="77777777" w:rsidR="00760D5F" w:rsidRPr="00760D5F" w:rsidRDefault="00760D5F" w:rsidP="00C856DE"/>
          <w:p w14:paraId="72598C90" w14:textId="6F2E3A40" w:rsidR="001E1151" w:rsidRDefault="001E1151" w:rsidP="001E1151">
            <w:pPr>
              <w:pStyle w:val="BodyText"/>
              <w:jc w:val="both"/>
              <w:rPr>
                <w:rFonts w:ascii="Arial" w:hAnsi="Arial"/>
                <w:b w:val="0"/>
                <w:bCs w:val="0"/>
                <w:sz w:val="20"/>
                <w:szCs w:val="20"/>
                <w:lang w:eastAsia="en-AU"/>
              </w:rPr>
            </w:pPr>
            <w:r>
              <w:rPr>
                <w:rFonts w:ascii="Arial" w:hAnsi="Arial"/>
                <w:b w:val="0"/>
                <w:bCs w:val="0"/>
                <w:sz w:val="20"/>
                <w:szCs w:val="20"/>
                <w:lang w:eastAsia="en-AU"/>
              </w:rPr>
              <w:t xml:space="preserve">To minimise water demand, processing plant wastewater will be treated and recirculated before it is eventually </w:t>
            </w:r>
            <w:r w:rsidR="00760D5F">
              <w:rPr>
                <w:rFonts w:ascii="Arial" w:hAnsi="Arial"/>
                <w:b w:val="0"/>
                <w:bCs w:val="0"/>
                <w:sz w:val="20"/>
                <w:szCs w:val="20"/>
                <w:lang w:eastAsia="en-AU"/>
              </w:rPr>
              <w:t xml:space="preserve">disposed </w:t>
            </w:r>
            <w:r>
              <w:rPr>
                <w:rFonts w:ascii="Arial" w:hAnsi="Arial"/>
                <w:b w:val="0"/>
                <w:bCs w:val="0"/>
                <w:sz w:val="20"/>
                <w:szCs w:val="20"/>
                <w:lang w:eastAsia="en-AU"/>
              </w:rPr>
              <w:t xml:space="preserve">as part of the saline brine by-product. </w:t>
            </w:r>
            <w:r w:rsidR="00760D5F">
              <w:rPr>
                <w:rFonts w:ascii="Arial" w:hAnsi="Arial"/>
                <w:b w:val="0"/>
                <w:bCs w:val="0"/>
                <w:sz w:val="20"/>
                <w:szCs w:val="20"/>
                <w:lang w:eastAsia="en-AU"/>
              </w:rPr>
              <w:t>The disposal methodology will be informed by impact assessments to be undertaken during the second half of 2019.</w:t>
            </w:r>
          </w:p>
          <w:p w14:paraId="707263D9" w14:textId="77777777" w:rsidR="001E1151" w:rsidRDefault="001E1151" w:rsidP="001E1151">
            <w:pPr>
              <w:pStyle w:val="BodyText"/>
              <w:jc w:val="both"/>
              <w:rPr>
                <w:rFonts w:ascii="Arial" w:hAnsi="Arial"/>
                <w:b w:val="0"/>
                <w:bCs w:val="0"/>
                <w:sz w:val="20"/>
                <w:szCs w:val="20"/>
                <w:lang w:eastAsia="en-AU"/>
              </w:rPr>
            </w:pPr>
          </w:p>
          <w:p w14:paraId="6F6D7FA1" w14:textId="4F444831" w:rsidR="004A16BA" w:rsidRDefault="005C32FF" w:rsidP="005C32FF">
            <w:pPr>
              <w:pStyle w:val="BodyText"/>
              <w:spacing w:after="120"/>
              <w:jc w:val="both"/>
              <w:rPr>
                <w:rFonts w:ascii="Arial" w:hAnsi="Arial"/>
                <w:b w:val="0"/>
                <w:bCs w:val="0"/>
                <w:sz w:val="20"/>
                <w:szCs w:val="20"/>
                <w:lang w:eastAsia="en-AU"/>
              </w:rPr>
            </w:pPr>
            <w:r w:rsidRPr="005C32FF">
              <w:rPr>
                <w:rFonts w:ascii="Arial" w:hAnsi="Arial"/>
                <w:b w:val="0"/>
                <w:bCs w:val="0"/>
                <w:sz w:val="20"/>
                <w:szCs w:val="20"/>
                <w:lang w:eastAsia="en-AU"/>
              </w:rPr>
              <w:t>Dewatering of the mine pits will be required to allow mining of ore below the groundwater table. Any excess groundwater not utilised for processing or dust suppression will be returned to the aquifer via infiltration or, if the need is determined, via re-injection, and will offset total water demand.</w:t>
            </w:r>
          </w:p>
          <w:p w14:paraId="56C630CF" w14:textId="77777777" w:rsidR="001E1151" w:rsidRPr="001E1151" w:rsidRDefault="001E1151" w:rsidP="001E1151">
            <w:pPr>
              <w:pStyle w:val="BodyText"/>
              <w:jc w:val="both"/>
              <w:rPr>
                <w:rFonts w:ascii="Arial" w:hAnsi="Arial"/>
                <w:b w:val="0"/>
                <w:bCs w:val="0"/>
                <w:sz w:val="20"/>
                <w:szCs w:val="20"/>
                <w:lang w:eastAsia="en-AU"/>
              </w:rPr>
            </w:pPr>
          </w:p>
        </w:tc>
      </w:tr>
      <w:tr w:rsidR="004A16BA" w14:paraId="3ADCB566" w14:textId="77777777" w:rsidTr="00FD555F">
        <w:tc>
          <w:tcPr>
            <w:tcW w:w="9243" w:type="dxa"/>
            <w:tcBorders>
              <w:top w:val="single" w:sz="4" w:space="0" w:color="auto"/>
              <w:bottom w:val="nil"/>
            </w:tcBorders>
          </w:tcPr>
          <w:p w14:paraId="403B0345" w14:textId="5FDF3410" w:rsidR="004A16BA" w:rsidRDefault="004A16BA" w:rsidP="004A16BA">
            <w:pPr>
              <w:pStyle w:val="BodyText"/>
              <w:jc w:val="both"/>
              <w:rPr>
                <w:rFonts w:ascii="Arial" w:hAnsi="Arial"/>
                <w:bCs w:val="0"/>
                <w:sz w:val="20"/>
                <w:szCs w:val="20"/>
                <w:lang w:eastAsia="en-AU"/>
              </w:rPr>
            </w:pPr>
            <w:r>
              <w:rPr>
                <w:rFonts w:ascii="Arial" w:hAnsi="Arial"/>
                <w:bCs w:val="0"/>
                <w:sz w:val="20"/>
                <w:szCs w:val="20"/>
                <w:lang w:eastAsia="en-AU"/>
              </w:rPr>
              <w:t>1</w:t>
            </w:r>
            <w:r w:rsidR="00204A4C">
              <w:rPr>
                <w:rFonts w:ascii="Arial" w:hAnsi="Arial"/>
                <w:bCs w:val="0"/>
                <w:sz w:val="20"/>
                <w:szCs w:val="20"/>
                <w:lang w:eastAsia="en-AU"/>
              </w:rPr>
              <w:t>6</w:t>
            </w:r>
            <w:r>
              <w:rPr>
                <w:rFonts w:ascii="Arial" w:hAnsi="Arial"/>
                <w:bCs w:val="0"/>
                <w:sz w:val="20"/>
                <w:szCs w:val="20"/>
                <w:lang w:eastAsia="en-AU"/>
              </w:rPr>
              <w:t xml:space="preserve">.2.2 </w:t>
            </w:r>
            <w:r w:rsidRPr="004A16BA">
              <w:rPr>
                <w:rFonts w:ascii="Arial" w:hAnsi="Arial"/>
                <w:bCs w:val="0"/>
                <w:sz w:val="20"/>
                <w:szCs w:val="20"/>
                <w:lang w:eastAsia="en-AU"/>
              </w:rPr>
              <w:t xml:space="preserve">Solid </w:t>
            </w:r>
            <w:r w:rsidR="007E5C21">
              <w:rPr>
                <w:rFonts w:ascii="Arial" w:hAnsi="Arial"/>
                <w:bCs w:val="0"/>
                <w:sz w:val="20"/>
                <w:szCs w:val="20"/>
                <w:lang w:eastAsia="en-AU"/>
              </w:rPr>
              <w:t xml:space="preserve">chemical </w:t>
            </w:r>
            <w:r w:rsidRPr="004A16BA">
              <w:rPr>
                <w:rFonts w:ascii="Arial" w:hAnsi="Arial"/>
                <w:bCs w:val="0"/>
                <w:sz w:val="20"/>
                <w:szCs w:val="20"/>
                <w:lang w:eastAsia="en-AU"/>
              </w:rPr>
              <w:t>wastes</w:t>
            </w:r>
          </w:p>
          <w:p w14:paraId="32F94CDA" w14:textId="77777777" w:rsidR="004A16BA" w:rsidRPr="004A16BA" w:rsidRDefault="004A16BA" w:rsidP="004A16BA">
            <w:pPr>
              <w:pStyle w:val="BodyText"/>
              <w:jc w:val="both"/>
              <w:rPr>
                <w:rFonts w:ascii="Arial" w:hAnsi="Arial"/>
                <w:bCs w:val="0"/>
                <w:sz w:val="20"/>
                <w:szCs w:val="20"/>
                <w:lang w:eastAsia="en-AU"/>
              </w:rPr>
            </w:pPr>
          </w:p>
          <w:p w14:paraId="2106186B" w14:textId="0C89BC78" w:rsid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t>Approximately 9</w:t>
            </w:r>
            <w:r w:rsidR="009A5315">
              <w:rPr>
                <w:rFonts w:ascii="Arial" w:hAnsi="Arial"/>
                <w:b w:val="0"/>
                <w:bCs w:val="0"/>
                <w:sz w:val="20"/>
                <w:szCs w:val="20"/>
                <w:lang w:eastAsia="en-AU"/>
              </w:rPr>
              <w:t>.6</w:t>
            </w:r>
            <w:r w:rsidRPr="004A16BA">
              <w:rPr>
                <w:rFonts w:ascii="Arial" w:hAnsi="Arial"/>
                <w:b w:val="0"/>
                <w:bCs w:val="0"/>
                <w:sz w:val="20"/>
                <w:szCs w:val="20"/>
                <w:lang w:eastAsia="en-AU"/>
              </w:rPr>
              <w:t xml:space="preserve"> </w:t>
            </w:r>
            <w:proofErr w:type="spellStart"/>
            <w:r w:rsidR="0090562B">
              <w:rPr>
                <w:rFonts w:ascii="Arial" w:hAnsi="Arial"/>
                <w:b w:val="0"/>
                <w:bCs w:val="0"/>
                <w:sz w:val="20"/>
                <w:szCs w:val="20"/>
                <w:lang w:eastAsia="en-AU"/>
              </w:rPr>
              <w:t>Mtpa</w:t>
            </w:r>
            <w:proofErr w:type="spellEnd"/>
            <w:r w:rsidRPr="004A16BA">
              <w:rPr>
                <w:rFonts w:ascii="Arial" w:hAnsi="Arial"/>
                <w:b w:val="0"/>
                <w:bCs w:val="0"/>
                <w:sz w:val="20"/>
                <w:szCs w:val="20"/>
                <w:lang w:eastAsia="en-AU"/>
              </w:rPr>
              <w:t xml:space="preserve"> of </w:t>
            </w:r>
            <w:r w:rsidR="009A5315">
              <w:rPr>
                <w:rFonts w:ascii="Arial" w:hAnsi="Arial"/>
                <w:b w:val="0"/>
                <w:bCs w:val="0"/>
                <w:sz w:val="20"/>
                <w:szCs w:val="20"/>
                <w:lang w:eastAsia="en-AU"/>
              </w:rPr>
              <w:t>combined tailings</w:t>
            </w:r>
            <w:r w:rsidRPr="004A16BA">
              <w:rPr>
                <w:rFonts w:ascii="Arial" w:hAnsi="Arial"/>
                <w:b w:val="0"/>
                <w:bCs w:val="0"/>
                <w:sz w:val="20"/>
                <w:szCs w:val="20"/>
                <w:lang w:eastAsia="en-AU"/>
              </w:rPr>
              <w:t xml:space="preserve"> will be generated as a by-product from </w:t>
            </w:r>
            <w:r w:rsidR="009A5315">
              <w:rPr>
                <w:rFonts w:ascii="Arial" w:hAnsi="Arial"/>
                <w:b w:val="0"/>
                <w:bCs w:val="0"/>
                <w:sz w:val="20"/>
                <w:szCs w:val="20"/>
                <w:lang w:eastAsia="en-AU"/>
              </w:rPr>
              <w:t>ore processing and</w:t>
            </w:r>
            <w:r w:rsidRPr="004A16BA">
              <w:rPr>
                <w:rFonts w:ascii="Arial" w:hAnsi="Arial"/>
                <w:b w:val="0"/>
                <w:bCs w:val="0"/>
                <w:sz w:val="20"/>
                <w:szCs w:val="20"/>
                <w:lang w:eastAsia="en-AU"/>
              </w:rPr>
              <w:t xml:space="preserve"> mineral separation plant. Initially, some </w:t>
            </w:r>
            <w:r w:rsidR="009A5315">
              <w:rPr>
                <w:rFonts w:ascii="Arial" w:hAnsi="Arial"/>
                <w:b w:val="0"/>
                <w:bCs w:val="0"/>
                <w:sz w:val="20"/>
                <w:szCs w:val="20"/>
                <w:lang w:eastAsia="en-AU"/>
              </w:rPr>
              <w:t>combined tailings</w:t>
            </w:r>
            <w:r w:rsidRPr="004A16BA">
              <w:rPr>
                <w:rFonts w:ascii="Arial" w:hAnsi="Arial"/>
                <w:b w:val="0"/>
                <w:bCs w:val="0"/>
                <w:sz w:val="20"/>
                <w:szCs w:val="20"/>
                <w:lang w:eastAsia="en-AU"/>
              </w:rPr>
              <w:t xml:space="preserve"> will be placed into a surface tailing storage facility (or facilities) prior to the mine void space being available. Thereafter, the </w:t>
            </w:r>
            <w:r w:rsidR="009A5315">
              <w:rPr>
                <w:rFonts w:ascii="Arial" w:hAnsi="Arial"/>
                <w:b w:val="0"/>
                <w:bCs w:val="0"/>
                <w:sz w:val="20"/>
                <w:szCs w:val="20"/>
                <w:lang w:eastAsia="en-AU"/>
              </w:rPr>
              <w:t>combined tailings</w:t>
            </w:r>
            <w:r w:rsidRPr="004A16BA">
              <w:rPr>
                <w:rFonts w:ascii="Arial" w:hAnsi="Arial"/>
                <w:b w:val="0"/>
                <w:bCs w:val="0"/>
                <w:sz w:val="20"/>
                <w:szCs w:val="20"/>
                <w:lang w:eastAsia="en-AU"/>
              </w:rPr>
              <w:t xml:space="preserve"> will be placed within tailings cells within the mine void (and the tailing storage facility). Once each cell is complete it will be made geotechnically stable, and then will be capped with overburden, subsoil and topsoil. </w:t>
            </w:r>
          </w:p>
          <w:p w14:paraId="01E396D1" w14:textId="77777777" w:rsidR="004A16BA" w:rsidRPr="004A16BA" w:rsidRDefault="004A16BA" w:rsidP="004A16BA">
            <w:pPr>
              <w:pStyle w:val="BodyText"/>
              <w:jc w:val="both"/>
              <w:rPr>
                <w:rFonts w:ascii="Arial" w:hAnsi="Arial"/>
                <w:b w:val="0"/>
                <w:bCs w:val="0"/>
                <w:sz w:val="20"/>
                <w:szCs w:val="20"/>
                <w:lang w:eastAsia="en-AU"/>
              </w:rPr>
            </w:pPr>
          </w:p>
          <w:p w14:paraId="131D9084" w14:textId="4FB52C7C" w:rsid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t xml:space="preserve">The </w:t>
            </w:r>
            <w:r w:rsidR="009A5315">
              <w:rPr>
                <w:rFonts w:ascii="Arial" w:hAnsi="Arial"/>
                <w:b w:val="0"/>
                <w:bCs w:val="0"/>
                <w:sz w:val="20"/>
                <w:szCs w:val="20"/>
                <w:lang w:eastAsia="en-AU"/>
              </w:rPr>
              <w:t>HMC</w:t>
            </w:r>
            <w:r w:rsidRPr="004A16BA">
              <w:rPr>
                <w:rFonts w:ascii="Arial" w:hAnsi="Arial"/>
                <w:b w:val="0"/>
                <w:bCs w:val="0"/>
                <w:sz w:val="20"/>
                <w:szCs w:val="20"/>
                <w:lang w:eastAsia="en-AU"/>
              </w:rPr>
              <w:t xml:space="preserve"> will be treated in the refinery to produce zircon product and rare earth product. The refinery will generate approximately 260 </w:t>
            </w:r>
            <w:proofErr w:type="spellStart"/>
            <w:r w:rsidRPr="004A16BA">
              <w:rPr>
                <w:rFonts w:ascii="Arial" w:hAnsi="Arial"/>
                <w:b w:val="0"/>
                <w:bCs w:val="0"/>
                <w:sz w:val="20"/>
                <w:szCs w:val="20"/>
                <w:lang w:eastAsia="en-AU"/>
              </w:rPr>
              <w:t>ktpa</w:t>
            </w:r>
            <w:proofErr w:type="spellEnd"/>
            <w:r w:rsidRPr="004A16BA">
              <w:rPr>
                <w:rFonts w:ascii="Arial" w:hAnsi="Arial"/>
                <w:b w:val="0"/>
                <w:bCs w:val="0"/>
                <w:sz w:val="20"/>
                <w:szCs w:val="20"/>
                <w:lang w:eastAsia="en-AU"/>
              </w:rPr>
              <w:t xml:space="preserve"> of </w:t>
            </w:r>
            <w:r w:rsidR="009A5315">
              <w:rPr>
                <w:rFonts w:ascii="Arial" w:hAnsi="Arial"/>
                <w:b w:val="0"/>
                <w:bCs w:val="0"/>
                <w:sz w:val="20"/>
                <w:szCs w:val="20"/>
                <w:lang w:eastAsia="en-AU"/>
              </w:rPr>
              <w:t>refinery waste material</w:t>
            </w:r>
            <w:r w:rsidRPr="004A16BA">
              <w:rPr>
                <w:rFonts w:ascii="Arial" w:hAnsi="Arial"/>
                <w:b w:val="0"/>
                <w:bCs w:val="0"/>
                <w:sz w:val="20"/>
                <w:szCs w:val="20"/>
                <w:lang w:eastAsia="en-AU"/>
              </w:rPr>
              <w:t>, largely comprising:</w:t>
            </w:r>
          </w:p>
          <w:p w14:paraId="703DE175" w14:textId="77777777" w:rsidR="004A16BA" w:rsidRP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lastRenderedPageBreak/>
              <w:t xml:space="preserve"> </w:t>
            </w:r>
          </w:p>
          <w:p w14:paraId="10FF3D9E" w14:textId="77777777" w:rsidR="004A16BA" w:rsidRDefault="004A16BA" w:rsidP="00C83AAA">
            <w:pPr>
              <w:pStyle w:val="BodyText"/>
              <w:numPr>
                <w:ilvl w:val="0"/>
                <w:numId w:val="57"/>
              </w:numPr>
              <w:spacing w:after="120"/>
              <w:jc w:val="both"/>
              <w:rPr>
                <w:rFonts w:ascii="Arial" w:hAnsi="Arial"/>
                <w:b w:val="0"/>
                <w:bCs w:val="0"/>
                <w:sz w:val="20"/>
                <w:szCs w:val="20"/>
                <w:lang w:eastAsia="en-AU"/>
              </w:rPr>
            </w:pPr>
            <w:r w:rsidRPr="004A16BA">
              <w:rPr>
                <w:rFonts w:ascii="Arial" w:hAnsi="Arial"/>
                <w:b w:val="0"/>
                <w:bCs w:val="0"/>
                <w:sz w:val="20"/>
                <w:szCs w:val="20"/>
                <w:lang w:eastAsia="en-AU"/>
              </w:rPr>
              <w:t xml:space="preserve">100 </w:t>
            </w:r>
            <w:proofErr w:type="spellStart"/>
            <w:r w:rsidRPr="004A16BA">
              <w:rPr>
                <w:rFonts w:ascii="Arial" w:hAnsi="Arial"/>
                <w:b w:val="0"/>
                <w:bCs w:val="0"/>
                <w:sz w:val="20"/>
                <w:szCs w:val="20"/>
                <w:lang w:eastAsia="en-AU"/>
              </w:rPr>
              <w:t>ktpa</w:t>
            </w:r>
            <w:proofErr w:type="spellEnd"/>
            <w:r w:rsidRPr="004A16BA">
              <w:rPr>
                <w:rFonts w:ascii="Arial" w:hAnsi="Arial"/>
                <w:b w:val="0"/>
                <w:bCs w:val="0"/>
                <w:sz w:val="20"/>
                <w:szCs w:val="20"/>
                <w:lang w:eastAsia="en-AU"/>
              </w:rPr>
              <w:t xml:space="preserve"> of salt brine - the remnant salt (predominantly sodium sulphate) remaining after desalination water recovery and evaporation of the saline discharge; and </w:t>
            </w:r>
          </w:p>
          <w:p w14:paraId="2A121CAB" w14:textId="77777777" w:rsidR="004A16BA" w:rsidRDefault="004A16BA" w:rsidP="00C83AAA">
            <w:pPr>
              <w:pStyle w:val="BodyText"/>
              <w:numPr>
                <w:ilvl w:val="0"/>
                <w:numId w:val="57"/>
              </w:numPr>
              <w:spacing w:after="120"/>
              <w:jc w:val="both"/>
              <w:rPr>
                <w:rFonts w:ascii="Arial" w:hAnsi="Arial"/>
                <w:b w:val="0"/>
                <w:bCs w:val="0"/>
                <w:sz w:val="20"/>
                <w:szCs w:val="20"/>
                <w:lang w:eastAsia="en-AU"/>
              </w:rPr>
            </w:pPr>
            <w:r w:rsidRPr="004A16BA">
              <w:rPr>
                <w:rFonts w:ascii="Arial" w:hAnsi="Arial"/>
                <w:b w:val="0"/>
                <w:bCs w:val="0"/>
                <w:sz w:val="20"/>
                <w:szCs w:val="20"/>
                <w:lang w:eastAsia="en-AU"/>
              </w:rPr>
              <w:t xml:space="preserve">160 </w:t>
            </w:r>
            <w:proofErr w:type="spellStart"/>
            <w:r w:rsidRPr="004A16BA">
              <w:rPr>
                <w:rFonts w:ascii="Arial" w:hAnsi="Arial"/>
                <w:b w:val="0"/>
                <w:bCs w:val="0"/>
                <w:sz w:val="20"/>
                <w:szCs w:val="20"/>
                <w:lang w:eastAsia="en-AU"/>
              </w:rPr>
              <w:t>ktpa</w:t>
            </w:r>
            <w:proofErr w:type="spellEnd"/>
            <w:r w:rsidRPr="004A16BA">
              <w:rPr>
                <w:rFonts w:ascii="Arial" w:hAnsi="Arial"/>
                <w:b w:val="0"/>
                <w:bCs w:val="0"/>
                <w:sz w:val="20"/>
                <w:szCs w:val="20"/>
                <w:lang w:eastAsia="en-AU"/>
              </w:rPr>
              <w:t xml:space="preserve"> of gypsum residue - a precipitated solid predominately comprised of calcium </w:t>
            </w:r>
            <w:proofErr w:type="spellStart"/>
            <w:r w:rsidRPr="004A16BA">
              <w:rPr>
                <w:rFonts w:ascii="Arial" w:hAnsi="Arial"/>
                <w:b w:val="0"/>
                <w:bCs w:val="0"/>
                <w:sz w:val="20"/>
                <w:szCs w:val="20"/>
                <w:lang w:eastAsia="en-AU"/>
              </w:rPr>
              <w:t>sulfate</w:t>
            </w:r>
            <w:proofErr w:type="spellEnd"/>
            <w:r w:rsidRPr="004A16BA">
              <w:rPr>
                <w:rFonts w:ascii="Arial" w:hAnsi="Arial"/>
                <w:b w:val="0"/>
                <w:bCs w:val="0"/>
                <w:sz w:val="20"/>
                <w:szCs w:val="20"/>
                <w:lang w:eastAsia="en-AU"/>
              </w:rPr>
              <w:t xml:space="preserve"> dihydrate (gypsum), but also incorporating radionuclides and heavy metals. The gypsum residue will contain 300 - 500 </w:t>
            </w:r>
            <w:proofErr w:type="spellStart"/>
            <w:r w:rsidRPr="004A16BA">
              <w:rPr>
                <w:rFonts w:ascii="Arial" w:hAnsi="Arial"/>
                <w:b w:val="0"/>
                <w:bCs w:val="0"/>
                <w:sz w:val="20"/>
                <w:szCs w:val="20"/>
                <w:lang w:eastAsia="en-AU"/>
              </w:rPr>
              <w:t>Bq</w:t>
            </w:r>
            <w:proofErr w:type="spellEnd"/>
            <w:r w:rsidRPr="004A16BA">
              <w:rPr>
                <w:rFonts w:ascii="Arial" w:hAnsi="Arial"/>
                <w:b w:val="0"/>
                <w:bCs w:val="0"/>
                <w:sz w:val="20"/>
                <w:szCs w:val="20"/>
                <w:lang w:eastAsia="en-AU"/>
              </w:rPr>
              <w:t>/g total activity and is classified as low</w:t>
            </w:r>
            <w:r w:rsidR="00C62D9A">
              <w:rPr>
                <w:rFonts w:ascii="Arial" w:hAnsi="Arial"/>
                <w:b w:val="0"/>
                <w:bCs w:val="0"/>
                <w:sz w:val="20"/>
                <w:szCs w:val="20"/>
                <w:lang w:eastAsia="en-AU"/>
              </w:rPr>
              <w:t>-</w:t>
            </w:r>
            <w:r w:rsidRPr="004A16BA">
              <w:rPr>
                <w:rFonts w:ascii="Arial" w:hAnsi="Arial"/>
                <w:b w:val="0"/>
                <w:bCs w:val="0"/>
                <w:sz w:val="20"/>
                <w:szCs w:val="20"/>
                <w:lang w:eastAsia="en-AU"/>
              </w:rPr>
              <w:t xml:space="preserve">level radioactive waste, as per the International Atomic Energy Agency’s </w:t>
            </w:r>
            <w:r w:rsidRPr="00C83AAA">
              <w:rPr>
                <w:rFonts w:ascii="Arial" w:hAnsi="Arial"/>
                <w:b w:val="0"/>
                <w:bCs w:val="0"/>
                <w:i/>
                <w:iCs/>
                <w:sz w:val="20"/>
                <w:szCs w:val="20"/>
                <w:lang w:eastAsia="en-AU"/>
              </w:rPr>
              <w:t>Classification of Radioactive Waste General Safety Guide No. 1</w:t>
            </w:r>
            <w:r w:rsidRPr="004A16BA">
              <w:rPr>
                <w:rFonts w:ascii="Arial" w:hAnsi="Arial"/>
                <w:b w:val="0"/>
                <w:bCs w:val="0"/>
                <w:sz w:val="20"/>
                <w:szCs w:val="20"/>
                <w:lang w:eastAsia="en-AU"/>
              </w:rPr>
              <w:t>.</w:t>
            </w:r>
          </w:p>
          <w:p w14:paraId="13E29421" w14:textId="77777777" w:rsidR="004A16BA" w:rsidRPr="004A16BA" w:rsidRDefault="004A16BA" w:rsidP="004A16BA">
            <w:pPr>
              <w:pStyle w:val="BodyText"/>
              <w:jc w:val="both"/>
              <w:rPr>
                <w:rFonts w:ascii="Arial" w:hAnsi="Arial"/>
                <w:b w:val="0"/>
                <w:bCs w:val="0"/>
                <w:sz w:val="20"/>
                <w:szCs w:val="20"/>
                <w:lang w:eastAsia="en-AU"/>
              </w:rPr>
            </w:pPr>
          </w:p>
          <w:p w14:paraId="76597ED1" w14:textId="74787A51" w:rsid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t xml:space="preserve">The disposal method for the refinery </w:t>
            </w:r>
            <w:r w:rsidR="009A5315">
              <w:rPr>
                <w:rFonts w:ascii="Arial" w:hAnsi="Arial"/>
                <w:b w:val="0"/>
                <w:bCs w:val="0"/>
                <w:sz w:val="20"/>
                <w:szCs w:val="20"/>
                <w:lang w:eastAsia="en-AU"/>
              </w:rPr>
              <w:t>waste</w:t>
            </w:r>
            <w:r w:rsidRPr="004A16BA">
              <w:rPr>
                <w:rFonts w:ascii="Arial" w:hAnsi="Arial"/>
                <w:b w:val="0"/>
                <w:bCs w:val="0"/>
                <w:sz w:val="20"/>
                <w:szCs w:val="20"/>
                <w:lang w:eastAsia="en-AU"/>
              </w:rPr>
              <w:t xml:space="preserve"> streams is yet to be determined, pending the outcome of further hydrometallurgical studies and impact assessments which are expected to be completed during 2019. Conceptually, the two disposal options for the refinery by-product streams are:</w:t>
            </w:r>
          </w:p>
          <w:p w14:paraId="6263070B" w14:textId="77777777" w:rsidR="004A16BA" w:rsidRPr="004A16BA" w:rsidRDefault="004A16BA" w:rsidP="004A16BA">
            <w:pPr>
              <w:pStyle w:val="BodyText"/>
              <w:jc w:val="both"/>
              <w:rPr>
                <w:rFonts w:ascii="Arial" w:hAnsi="Arial"/>
                <w:b w:val="0"/>
                <w:bCs w:val="0"/>
                <w:sz w:val="20"/>
                <w:szCs w:val="20"/>
                <w:lang w:eastAsia="en-AU"/>
              </w:rPr>
            </w:pPr>
          </w:p>
          <w:p w14:paraId="0C12193A" w14:textId="2229F4AF" w:rsidR="004A16BA" w:rsidRDefault="004A16BA" w:rsidP="00C83AAA">
            <w:pPr>
              <w:pStyle w:val="BodyText"/>
              <w:numPr>
                <w:ilvl w:val="0"/>
                <w:numId w:val="57"/>
              </w:numPr>
              <w:spacing w:after="120"/>
              <w:jc w:val="both"/>
              <w:rPr>
                <w:rFonts w:ascii="Arial" w:hAnsi="Arial"/>
                <w:b w:val="0"/>
                <w:bCs w:val="0"/>
                <w:sz w:val="20"/>
                <w:szCs w:val="20"/>
                <w:lang w:eastAsia="en-AU"/>
              </w:rPr>
            </w:pPr>
            <w:r w:rsidRPr="004A16BA">
              <w:rPr>
                <w:rFonts w:ascii="Arial" w:hAnsi="Arial"/>
                <w:b w:val="0"/>
                <w:bCs w:val="0"/>
                <w:sz w:val="20"/>
                <w:szCs w:val="20"/>
                <w:lang w:eastAsia="en-AU"/>
              </w:rPr>
              <w:t xml:space="preserve">placed in engineered, lined cells within the Project site for permanent storage; (Figure </w:t>
            </w:r>
            <w:r w:rsidR="007E61D6">
              <w:rPr>
                <w:rFonts w:ascii="Arial" w:hAnsi="Arial"/>
                <w:b w:val="0"/>
                <w:bCs w:val="0"/>
                <w:sz w:val="20"/>
                <w:szCs w:val="20"/>
                <w:lang w:eastAsia="en-AU"/>
              </w:rPr>
              <w:t>5</w:t>
            </w:r>
            <w:r w:rsidRPr="004A16BA">
              <w:rPr>
                <w:rFonts w:ascii="Arial" w:hAnsi="Arial"/>
                <w:b w:val="0"/>
                <w:bCs w:val="0"/>
                <w:sz w:val="20"/>
                <w:szCs w:val="20"/>
                <w:lang w:eastAsia="en-AU"/>
              </w:rPr>
              <w:t>) or</w:t>
            </w:r>
          </w:p>
          <w:p w14:paraId="1A7877E8" w14:textId="301F6862" w:rsidR="004A16BA" w:rsidRDefault="004A16BA" w:rsidP="00C83AAA">
            <w:pPr>
              <w:pStyle w:val="BodyText"/>
              <w:numPr>
                <w:ilvl w:val="0"/>
                <w:numId w:val="57"/>
              </w:numPr>
              <w:spacing w:after="120"/>
              <w:jc w:val="both"/>
              <w:rPr>
                <w:rFonts w:ascii="Arial" w:hAnsi="Arial"/>
                <w:b w:val="0"/>
                <w:bCs w:val="0"/>
                <w:sz w:val="20"/>
                <w:szCs w:val="20"/>
                <w:lang w:eastAsia="en-AU"/>
              </w:rPr>
            </w:pPr>
            <w:r w:rsidRPr="004A16BA">
              <w:rPr>
                <w:rFonts w:ascii="Arial" w:hAnsi="Arial"/>
                <w:b w:val="0"/>
                <w:bCs w:val="0"/>
                <w:sz w:val="20"/>
                <w:szCs w:val="20"/>
                <w:lang w:eastAsia="en-AU"/>
              </w:rPr>
              <w:t xml:space="preserve">placed into the mine voids with the </w:t>
            </w:r>
            <w:r w:rsidR="009A5315">
              <w:rPr>
                <w:rFonts w:ascii="Arial" w:hAnsi="Arial"/>
                <w:b w:val="0"/>
                <w:bCs w:val="0"/>
                <w:sz w:val="20"/>
                <w:szCs w:val="20"/>
                <w:lang w:eastAsia="en-AU"/>
              </w:rPr>
              <w:t>combined ore processing/MSP</w:t>
            </w:r>
            <w:r w:rsidRPr="004A16BA">
              <w:rPr>
                <w:rFonts w:ascii="Arial" w:hAnsi="Arial"/>
                <w:b w:val="0"/>
                <w:bCs w:val="0"/>
                <w:sz w:val="20"/>
                <w:szCs w:val="20"/>
                <w:lang w:eastAsia="en-AU"/>
              </w:rPr>
              <w:t xml:space="preserve"> tailings (Figure </w:t>
            </w:r>
            <w:r w:rsidR="007E61D6">
              <w:rPr>
                <w:rFonts w:ascii="Arial" w:hAnsi="Arial"/>
                <w:b w:val="0"/>
                <w:bCs w:val="0"/>
                <w:sz w:val="20"/>
                <w:szCs w:val="20"/>
                <w:lang w:eastAsia="en-AU"/>
              </w:rPr>
              <w:t>6</w:t>
            </w:r>
            <w:r w:rsidRPr="004A16BA">
              <w:rPr>
                <w:rFonts w:ascii="Arial" w:hAnsi="Arial"/>
                <w:b w:val="0"/>
                <w:bCs w:val="0"/>
                <w:sz w:val="20"/>
                <w:szCs w:val="20"/>
                <w:lang w:eastAsia="en-AU"/>
              </w:rPr>
              <w:t>).</w:t>
            </w:r>
          </w:p>
          <w:p w14:paraId="1A9CC8B7" w14:textId="77777777" w:rsidR="004A16BA" w:rsidRPr="004A16BA" w:rsidRDefault="004A16BA" w:rsidP="004A16BA">
            <w:pPr>
              <w:pStyle w:val="BodyText"/>
              <w:ind w:left="459"/>
              <w:jc w:val="both"/>
              <w:rPr>
                <w:rFonts w:ascii="Arial" w:hAnsi="Arial"/>
                <w:b w:val="0"/>
                <w:bCs w:val="0"/>
                <w:sz w:val="20"/>
                <w:szCs w:val="20"/>
                <w:lang w:eastAsia="en-AU"/>
              </w:rPr>
            </w:pPr>
          </w:p>
          <w:p w14:paraId="0BCCC842" w14:textId="77777777" w:rsid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t xml:space="preserve">Radiation will be managed in accordance with Iluka’s Radiation Management Licence (no. 300042022) as issued by the Victorian Department of Health and Human Services, and the </w:t>
            </w:r>
            <w:r w:rsidRPr="00AF6943">
              <w:rPr>
                <w:rFonts w:ascii="Arial" w:hAnsi="Arial"/>
                <w:b w:val="0"/>
                <w:bCs w:val="0"/>
                <w:i/>
                <w:iCs/>
                <w:sz w:val="20"/>
                <w:szCs w:val="20"/>
                <w:lang w:eastAsia="en-AU"/>
              </w:rPr>
              <w:t>Murray Basin Operations Radiation Management Plan and Radioactive Waste Management Plan</w:t>
            </w:r>
            <w:r w:rsidRPr="004A16BA">
              <w:rPr>
                <w:rFonts w:ascii="Arial" w:hAnsi="Arial"/>
                <w:b w:val="0"/>
                <w:bCs w:val="0"/>
                <w:sz w:val="20"/>
                <w:szCs w:val="20"/>
                <w:lang w:eastAsia="en-AU"/>
              </w:rPr>
              <w:t xml:space="preserve"> required as a condition of licence.</w:t>
            </w:r>
          </w:p>
          <w:p w14:paraId="4A2B5328" w14:textId="77777777" w:rsidR="004A16BA" w:rsidRPr="004A16BA" w:rsidRDefault="004A16BA" w:rsidP="004A16BA">
            <w:pPr>
              <w:pStyle w:val="BodyText"/>
              <w:jc w:val="both"/>
              <w:rPr>
                <w:rFonts w:ascii="Arial" w:hAnsi="Arial"/>
                <w:b w:val="0"/>
                <w:bCs w:val="0"/>
                <w:sz w:val="20"/>
                <w:szCs w:val="20"/>
                <w:lang w:eastAsia="en-AU"/>
              </w:rPr>
            </w:pPr>
          </w:p>
          <w:p w14:paraId="7B2214CC" w14:textId="38DA2256" w:rsid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t>A</w:t>
            </w:r>
            <w:r w:rsidR="00AF6943">
              <w:rPr>
                <w:rFonts w:ascii="Arial" w:hAnsi="Arial"/>
                <w:b w:val="0"/>
                <w:bCs w:val="0"/>
                <w:sz w:val="20"/>
                <w:szCs w:val="20"/>
                <w:lang w:eastAsia="en-AU"/>
              </w:rPr>
              <w:t xml:space="preserve"> site-specific </w:t>
            </w:r>
            <w:r w:rsidRPr="004A16BA">
              <w:rPr>
                <w:rFonts w:ascii="Arial" w:hAnsi="Arial"/>
                <w:b w:val="0"/>
                <w:bCs w:val="0"/>
                <w:sz w:val="20"/>
                <w:szCs w:val="20"/>
                <w:lang w:eastAsia="en-AU"/>
              </w:rPr>
              <w:t>addendum to the existing approved radiation management plans will be prepared for the Wimmera Project, and will describe management measures such as minimising exposure time, increasing distance from exposure sources, and shielding of sources that will be used to ensure that radiation exposure to people and the environment meets prescribed statutory limits and is ALARA. These measures will be informed by:</w:t>
            </w:r>
          </w:p>
          <w:p w14:paraId="6584CC32" w14:textId="77777777" w:rsidR="004A16BA" w:rsidRPr="004A16BA" w:rsidRDefault="004A16BA" w:rsidP="004A16BA">
            <w:pPr>
              <w:pStyle w:val="BodyText"/>
              <w:jc w:val="both"/>
              <w:rPr>
                <w:rFonts w:ascii="Arial" w:hAnsi="Arial"/>
                <w:b w:val="0"/>
                <w:bCs w:val="0"/>
                <w:sz w:val="20"/>
                <w:szCs w:val="20"/>
                <w:lang w:eastAsia="en-AU"/>
              </w:rPr>
            </w:pPr>
          </w:p>
          <w:p w14:paraId="329A7E32" w14:textId="77777777" w:rsidR="004A16BA" w:rsidRDefault="004A16BA" w:rsidP="00724697">
            <w:pPr>
              <w:pStyle w:val="BodyText"/>
              <w:numPr>
                <w:ilvl w:val="0"/>
                <w:numId w:val="57"/>
              </w:numPr>
              <w:spacing w:after="120"/>
              <w:jc w:val="both"/>
              <w:rPr>
                <w:rFonts w:ascii="Arial" w:hAnsi="Arial"/>
                <w:b w:val="0"/>
                <w:bCs w:val="0"/>
                <w:sz w:val="20"/>
                <w:szCs w:val="20"/>
                <w:lang w:eastAsia="en-AU"/>
              </w:rPr>
            </w:pPr>
            <w:r w:rsidRPr="004A16BA">
              <w:rPr>
                <w:rFonts w:ascii="Arial" w:hAnsi="Arial"/>
                <w:b w:val="0"/>
                <w:bCs w:val="0"/>
                <w:sz w:val="20"/>
                <w:szCs w:val="20"/>
                <w:lang w:eastAsia="en-AU"/>
              </w:rPr>
              <w:t>a radiological assessment for the Wimmera Project to be undertaken in the second half of 2019; and</w:t>
            </w:r>
          </w:p>
          <w:p w14:paraId="3FE59FCA" w14:textId="23641FB3" w:rsidR="004A16BA" w:rsidRDefault="004A16BA" w:rsidP="00724697">
            <w:pPr>
              <w:pStyle w:val="BodyText"/>
              <w:numPr>
                <w:ilvl w:val="0"/>
                <w:numId w:val="57"/>
              </w:numPr>
              <w:spacing w:after="120"/>
              <w:jc w:val="both"/>
              <w:rPr>
                <w:rFonts w:ascii="Arial" w:hAnsi="Arial"/>
                <w:b w:val="0"/>
                <w:bCs w:val="0"/>
                <w:sz w:val="20"/>
                <w:szCs w:val="20"/>
                <w:lang w:eastAsia="en-AU"/>
              </w:rPr>
            </w:pPr>
            <w:r w:rsidRPr="004A16BA">
              <w:rPr>
                <w:rFonts w:ascii="Arial" w:hAnsi="Arial"/>
                <w:b w:val="0"/>
                <w:bCs w:val="0"/>
                <w:sz w:val="20"/>
                <w:szCs w:val="20"/>
                <w:lang w:eastAsia="en-AU"/>
              </w:rPr>
              <w:t xml:space="preserve">guidance documents such as the </w:t>
            </w:r>
            <w:r w:rsidRPr="00724697">
              <w:rPr>
                <w:rFonts w:ascii="Arial" w:hAnsi="Arial"/>
                <w:b w:val="0"/>
                <w:bCs w:val="0"/>
                <w:i/>
                <w:iCs/>
                <w:sz w:val="20"/>
                <w:szCs w:val="20"/>
                <w:lang w:eastAsia="en-AU"/>
              </w:rPr>
              <w:t>Guide for Radiation Protection of the Environment – Guide G-1</w:t>
            </w:r>
            <w:r w:rsidRPr="004A16BA">
              <w:rPr>
                <w:rFonts w:ascii="Arial" w:hAnsi="Arial"/>
                <w:b w:val="0"/>
                <w:bCs w:val="0"/>
                <w:sz w:val="20"/>
                <w:szCs w:val="20"/>
                <w:lang w:eastAsia="en-AU"/>
              </w:rPr>
              <w:t xml:space="preserve"> (ARPANSA 2015). The purpose of the Guide is to provide best practice guidance on how to assess environmental exposures and demonstrate protection of the environment from the human activities, past and present, that give rise to such exposures.</w:t>
            </w:r>
          </w:p>
          <w:p w14:paraId="332EB492" w14:textId="77777777" w:rsidR="004A16BA" w:rsidRPr="004A16BA" w:rsidRDefault="004A16BA" w:rsidP="004A16BA">
            <w:pPr>
              <w:pStyle w:val="BodyText"/>
              <w:jc w:val="both"/>
              <w:rPr>
                <w:rFonts w:ascii="Arial" w:hAnsi="Arial"/>
                <w:b w:val="0"/>
                <w:bCs w:val="0"/>
                <w:sz w:val="20"/>
                <w:szCs w:val="20"/>
                <w:lang w:eastAsia="en-AU"/>
              </w:rPr>
            </w:pPr>
            <w:r w:rsidRPr="004A16BA">
              <w:rPr>
                <w:rFonts w:ascii="Arial" w:hAnsi="Arial"/>
                <w:b w:val="0"/>
                <w:bCs w:val="0"/>
                <w:sz w:val="20"/>
                <w:szCs w:val="20"/>
                <w:lang w:eastAsia="en-AU"/>
              </w:rPr>
              <w:t xml:space="preserve">Iluka’s licence and radiation management plans are regulatory documents approved by the Victorian Government under the </w:t>
            </w:r>
            <w:r w:rsidRPr="00087D32">
              <w:rPr>
                <w:rFonts w:ascii="Arial" w:hAnsi="Arial"/>
                <w:b w:val="0"/>
                <w:bCs w:val="0"/>
                <w:i/>
                <w:sz w:val="20"/>
                <w:szCs w:val="20"/>
                <w:lang w:eastAsia="en-AU"/>
              </w:rPr>
              <w:t>Radiation Act 2005</w:t>
            </w:r>
            <w:r w:rsidRPr="004A16BA">
              <w:rPr>
                <w:rFonts w:ascii="Arial" w:hAnsi="Arial"/>
                <w:b w:val="0"/>
                <w:bCs w:val="0"/>
                <w:sz w:val="20"/>
                <w:szCs w:val="20"/>
                <w:lang w:eastAsia="en-AU"/>
              </w:rPr>
              <w:t>.</w:t>
            </w:r>
          </w:p>
          <w:p w14:paraId="1200918E" w14:textId="5320E36D" w:rsidR="00A737F4" w:rsidRPr="004A16BA" w:rsidRDefault="00A737F4" w:rsidP="00D02516">
            <w:pPr>
              <w:pStyle w:val="BodyText"/>
              <w:pBdr>
                <w:bottom w:val="single" w:sz="4" w:space="1" w:color="auto"/>
              </w:pBdr>
              <w:jc w:val="both"/>
              <w:rPr>
                <w:rFonts w:ascii="Arial" w:hAnsi="Arial"/>
                <w:b w:val="0"/>
                <w:bCs w:val="0"/>
                <w:sz w:val="20"/>
                <w:szCs w:val="20"/>
                <w:lang w:eastAsia="en-AU"/>
              </w:rPr>
            </w:pPr>
          </w:p>
        </w:tc>
      </w:tr>
      <w:tr w:rsidR="004A16BA" w14:paraId="7008C801" w14:textId="77777777" w:rsidTr="00FD555F">
        <w:tc>
          <w:tcPr>
            <w:tcW w:w="9243" w:type="dxa"/>
            <w:tcBorders>
              <w:top w:val="nil"/>
              <w:bottom w:val="single" w:sz="4" w:space="0" w:color="auto"/>
            </w:tcBorders>
          </w:tcPr>
          <w:p w14:paraId="4027E877" w14:textId="0E4EB39C" w:rsidR="004A16BA" w:rsidRPr="004A16BA" w:rsidRDefault="004A16BA" w:rsidP="00087D32">
            <w:pPr>
              <w:pStyle w:val="Heading3"/>
              <w:keepLines/>
              <w:numPr>
                <w:ilvl w:val="2"/>
                <w:numId w:val="0"/>
              </w:numPr>
              <w:spacing w:before="240" w:after="240"/>
              <w:ind w:left="851" w:hanging="851"/>
              <w:rPr>
                <w:sz w:val="20"/>
              </w:rPr>
            </w:pPr>
            <w:r>
              <w:rPr>
                <w:sz w:val="20"/>
              </w:rPr>
              <w:lastRenderedPageBreak/>
              <w:t>1</w:t>
            </w:r>
            <w:r w:rsidR="00204A4C">
              <w:rPr>
                <w:sz w:val="20"/>
              </w:rPr>
              <w:t>6</w:t>
            </w:r>
            <w:r>
              <w:rPr>
                <w:sz w:val="20"/>
              </w:rPr>
              <w:t xml:space="preserve">.2.3 </w:t>
            </w:r>
            <w:r w:rsidRPr="004A16BA">
              <w:rPr>
                <w:sz w:val="20"/>
              </w:rPr>
              <w:t>Excavated material</w:t>
            </w:r>
          </w:p>
          <w:p w14:paraId="560DF1F9" w14:textId="1A52B565" w:rsidR="004A16BA" w:rsidRDefault="004A16BA" w:rsidP="00C856DE">
            <w:pPr>
              <w:pStyle w:val="BodyText"/>
              <w:jc w:val="both"/>
              <w:rPr>
                <w:rFonts w:ascii="Arial" w:hAnsi="Arial"/>
              </w:rPr>
            </w:pPr>
            <w:r w:rsidRPr="004A16BA">
              <w:rPr>
                <w:rFonts w:ascii="Arial" w:hAnsi="Arial"/>
                <w:b w:val="0"/>
                <w:bCs w:val="0"/>
                <w:sz w:val="20"/>
                <w:szCs w:val="20"/>
                <w:lang w:eastAsia="en-AU"/>
              </w:rPr>
              <w:t xml:space="preserve">The </w:t>
            </w:r>
            <w:r w:rsidR="00686EA5">
              <w:rPr>
                <w:rFonts w:ascii="Arial" w:hAnsi="Arial"/>
                <w:b w:val="0"/>
                <w:bCs w:val="0"/>
                <w:sz w:val="20"/>
                <w:szCs w:val="20"/>
                <w:lang w:eastAsia="en-AU"/>
              </w:rPr>
              <w:t>M</w:t>
            </w:r>
            <w:r w:rsidRPr="004A16BA">
              <w:rPr>
                <w:rFonts w:ascii="Arial" w:hAnsi="Arial"/>
                <w:b w:val="0"/>
                <w:bCs w:val="0"/>
                <w:sz w:val="20"/>
                <w:szCs w:val="20"/>
                <w:lang w:eastAsia="en-AU"/>
              </w:rPr>
              <w:t xml:space="preserve">ineral </w:t>
            </w:r>
            <w:r w:rsidR="00686EA5">
              <w:rPr>
                <w:rFonts w:ascii="Arial" w:hAnsi="Arial"/>
                <w:b w:val="0"/>
                <w:bCs w:val="0"/>
                <w:sz w:val="20"/>
                <w:szCs w:val="20"/>
                <w:lang w:eastAsia="en-AU"/>
              </w:rPr>
              <w:t>S</w:t>
            </w:r>
            <w:r w:rsidRPr="004A16BA">
              <w:rPr>
                <w:rFonts w:ascii="Arial" w:hAnsi="Arial"/>
                <w:b w:val="0"/>
                <w:bCs w:val="0"/>
                <w:sz w:val="20"/>
                <w:szCs w:val="20"/>
                <w:lang w:eastAsia="en-AU"/>
              </w:rPr>
              <w:t xml:space="preserve">eparation </w:t>
            </w:r>
            <w:r w:rsidR="00686EA5">
              <w:rPr>
                <w:rFonts w:ascii="Arial" w:hAnsi="Arial"/>
                <w:b w:val="0"/>
                <w:bCs w:val="0"/>
                <w:sz w:val="20"/>
                <w:szCs w:val="20"/>
                <w:lang w:eastAsia="en-AU"/>
              </w:rPr>
              <w:t>P</w:t>
            </w:r>
            <w:r w:rsidRPr="004A16BA">
              <w:rPr>
                <w:rFonts w:ascii="Arial" w:hAnsi="Arial"/>
                <w:b w:val="0"/>
                <w:bCs w:val="0"/>
                <w:sz w:val="20"/>
                <w:szCs w:val="20"/>
                <w:lang w:eastAsia="en-AU"/>
              </w:rPr>
              <w:t xml:space="preserve">lant </w:t>
            </w:r>
            <w:r w:rsidR="00686EA5">
              <w:rPr>
                <w:rFonts w:ascii="Arial" w:hAnsi="Arial"/>
                <w:b w:val="0"/>
                <w:bCs w:val="0"/>
                <w:sz w:val="20"/>
                <w:szCs w:val="20"/>
                <w:lang w:eastAsia="en-AU"/>
              </w:rPr>
              <w:t xml:space="preserve">(MSP) </w:t>
            </w:r>
            <w:r w:rsidRPr="004A16BA">
              <w:rPr>
                <w:rFonts w:ascii="Arial" w:hAnsi="Arial"/>
                <w:b w:val="0"/>
                <w:bCs w:val="0"/>
                <w:sz w:val="20"/>
                <w:szCs w:val="20"/>
                <w:lang w:eastAsia="en-AU"/>
              </w:rPr>
              <w:t xml:space="preserve">will produce approximately 150 </w:t>
            </w:r>
            <w:proofErr w:type="spellStart"/>
            <w:r w:rsidRPr="004A16BA">
              <w:rPr>
                <w:rFonts w:ascii="Arial" w:hAnsi="Arial"/>
                <w:b w:val="0"/>
                <w:bCs w:val="0"/>
                <w:sz w:val="20"/>
                <w:szCs w:val="20"/>
                <w:lang w:eastAsia="en-AU"/>
              </w:rPr>
              <w:t>ktpa</w:t>
            </w:r>
            <w:proofErr w:type="spellEnd"/>
            <w:r w:rsidRPr="004A16BA">
              <w:rPr>
                <w:rFonts w:ascii="Arial" w:hAnsi="Arial"/>
                <w:b w:val="0"/>
                <w:bCs w:val="0"/>
                <w:sz w:val="20"/>
                <w:szCs w:val="20"/>
                <w:lang w:eastAsia="en-AU"/>
              </w:rPr>
              <w:t xml:space="preserve"> of barren oversize waste rock. This will be placed into the mine void. </w:t>
            </w:r>
          </w:p>
        </w:tc>
      </w:tr>
      <w:tr w:rsidR="004A16BA" w14:paraId="39CAE8A2" w14:textId="77777777" w:rsidTr="00FD555F">
        <w:tc>
          <w:tcPr>
            <w:tcW w:w="9243" w:type="dxa"/>
            <w:tcBorders>
              <w:top w:val="single" w:sz="4" w:space="0" w:color="auto"/>
              <w:bottom w:val="single" w:sz="4" w:space="0" w:color="auto"/>
            </w:tcBorders>
          </w:tcPr>
          <w:p w14:paraId="1BEDB372" w14:textId="38280F2C" w:rsidR="004A16BA" w:rsidRPr="004A16BA" w:rsidRDefault="004A16BA" w:rsidP="00087D32">
            <w:pPr>
              <w:pStyle w:val="Heading3"/>
              <w:keepLines/>
              <w:numPr>
                <w:ilvl w:val="2"/>
                <w:numId w:val="0"/>
              </w:numPr>
              <w:spacing w:before="240" w:after="240"/>
              <w:ind w:left="851" w:hanging="851"/>
              <w:rPr>
                <w:sz w:val="20"/>
              </w:rPr>
            </w:pPr>
            <w:r>
              <w:rPr>
                <w:sz w:val="20"/>
              </w:rPr>
              <w:t>1</w:t>
            </w:r>
            <w:r w:rsidR="00204A4C">
              <w:rPr>
                <w:sz w:val="20"/>
              </w:rPr>
              <w:t>6</w:t>
            </w:r>
            <w:r>
              <w:rPr>
                <w:sz w:val="20"/>
              </w:rPr>
              <w:t xml:space="preserve">.2.4 </w:t>
            </w:r>
            <w:r w:rsidRPr="004A16BA">
              <w:rPr>
                <w:sz w:val="20"/>
              </w:rPr>
              <w:t>Other wastes</w:t>
            </w:r>
          </w:p>
          <w:p w14:paraId="0909D13E" w14:textId="77777777" w:rsidR="004A16BA" w:rsidRDefault="004A16BA" w:rsidP="00C856DE">
            <w:pPr>
              <w:pStyle w:val="BodyText"/>
              <w:jc w:val="both"/>
              <w:rPr>
                <w:rFonts w:ascii="Arial" w:hAnsi="Arial"/>
                <w:b w:val="0"/>
                <w:bCs w:val="0"/>
                <w:sz w:val="20"/>
                <w:szCs w:val="20"/>
                <w:lang w:eastAsia="en-AU"/>
              </w:rPr>
            </w:pPr>
            <w:bookmarkStart w:id="161" w:name="_Hlk8974480"/>
            <w:r w:rsidRPr="004A16BA">
              <w:rPr>
                <w:rFonts w:ascii="Arial" w:hAnsi="Arial"/>
                <w:b w:val="0"/>
                <w:bCs w:val="0"/>
                <w:sz w:val="20"/>
                <w:szCs w:val="20"/>
                <w:lang w:eastAsia="en-AU"/>
              </w:rPr>
              <w:t>No onsite landfill is proposed. Non-hazardous waste (</w:t>
            </w:r>
            <w:proofErr w:type="spellStart"/>
            <w:r w:rsidRPr="004A16BA">
              <w:rPr>
                <w:rFonts w:ascii="Arial" w:hAnsi="Arial"/>
                <w:b w:val="0"/>
                <w:bCs w:val="0"/>
                <w:sz w:val="20"/>
                <w:szCs w:val="20"/>
                <w:lang w:eastAsia="en-AU"/>
              </w:rPr>
              <w:t>eg</w:t>
            </w:r>
            <w:proofErr w:type="spellEnd"/>
            <w:r w:rsidRPr="004A16BA">
              <w:rPr>
                <w:rFonts w:ascii="Arial" w:hAnsi="Arial"/>
                <w:b w:val="0"/>
                <w:bCs w:val="0"/>
                <w:sz w:val="20"/>
                <w:szCs w:val="20"/>
                <w:lang w:eastAsia="en-AU"/>
              </w:rPr>
              <w:t xml:space="preserve"> construction and domestic waste) will be collected for recycling where practicable</w:t>
            </w:r>
            <w:r w:rsidR="00087D32">
              <w:rPr>
                <w:rFonts w:ascii="Arial" w:hAnsi="Arial"/>
                <w:b w:val="0"/>
                <w:bCs w:val="0"/>
                <w:sz w:val="20"/>
                <w:szCs w:val="20"/>
                <w:lang w:eastAsia="en-AU"/>
              </w:rPr>
              <w:t xml:space="preserve"> </w:t>
            </w:r>
            <w:r w:rsidRPr="004A16BA">
              <w:rPr>
                <w:rFonts w:ascii="Arial" w:hAnsi="Arial"/>
                <w:b w:val="0"/>
                <w:bCs w:val="0"/>
                <w:sz w:val="20"/>
                <w:szCs w:val="20"/>
                <w:lang w:eastAsia="en-AU"/>
              </w:rPr>
              <w:t>or collected and disposed of offsite by a licensed contractor.</w:t>
            </w:r>
          </w:p>
          <w:p w14:paraId="58ACED2C" w14:textId="77777777" w:rsidR="004A16BA" w:rsidRPr="004A16BA" w:rsidRDefault="004A16BA" w:rsidP="00C856DE">
            <w:pPr>
              <w:pStyle w:val="BodyText"/>
              <w:jc w:val="both"/>
              <w:rPr>
                <w:rFonts w:ascii="Arial" w:hAnsi="Arial"/>
                <w:b w:val="0"/>
                <w:bCs w:val="0"/>
                <w:sz w:val="20"/>
                <w:szCs w:val="20"/>
                <w:lang w:eastAsia="en-AU"/>
              </w:rPr>
            </w:pPr>
            <w:r w:rsidRPr="004A16BA">
              <w:rPr>
                <w:rFonts w:ascii="Arial" w:hAnsi="Arial"/>
                <w:b w:val="0"/>
                <w:bCs w:val="0"/>
                <w:sz w:val="20"/>
                <w:szCs w:val="20"/>
                <w:lang w:eastAsia="en-AU"/>
              </w:rPr>
              <w:t xml:space="preserve"> </w:t>
            </w:r>
          </w:p>
          <w:p w14:paraId="72120EB3" w14:textId="52CF4DBF" w:rsidR="004A16BA" w:rsidRDefault="004A16BA" w:rsidP="00C856DE">
            <w:pPr>
              <w:pStyle w:val="BodyText"/>
              <w:jc w:val="both"/>
              <w:rPr>
                <w:rFonts w:ascii="Arial" w:hAnsi="Arial"/>
              </w:rPr>
            </w:pPr>
            <w:r w:rsidRPr="004A16BA">
              <w:rPr>
                <w:rFonts w:ascii="Arial" w:hAnsi="Arial"/>
                <w:b w:val="0"/>
                <w:bCs w:val="0"/>
                <w:sz w:val="20"/>
                <w:szCs w:val="20"/>
                <w:lang w:eastAsia="en-AU"/>
              </w:rPr>
              <w:t>Hazardous and liquid waste (</w:t>
            </w:r>
            <w:proofErr w:type="spellStart"/>
            <w:r w:rsidRPr="004A16BA">
              <w:rPr>
                <w:rFonts w:ascii="Arial" w:hAnsi="Arial"/>
                <w:b w:val="0"/>
                <w:bCs w:val="0"/>
                <w:sz w:val="20"/>
                <w:szCs w:val="20"/>
                <w:lang w:eastAsia="en-AU"/>
              </w:rPr>
              <w:t>eg</w:t>
            </w:r>
            <w:proofErr w:type="spellEnd"/>
            <w:r w:rsidRPr="004A16BA">
              <w:rPr>
                <w:rFonts w:ascii="Arial" w:hAnsi="Arial"/>
                <w:b w:val="0"/>
                <w:bCs w:val="0"/>
                <w:sz w:val="20"/>
                <w:szCs w:val="20"/>
                <w:lang w:eastAsia="en-AU"/>
              </w:rPr>
              <w:t xml:space="preserve"> hydrocarbons and waste oils) will be transported offsite for disposal by licensed contractors.</w:t>
            </w:r>
            <w:bookmarkEnd w:id="161"/>
          </w:p>
        </w:tc>
      </w:tr>
      <w:tr w:rsidR="004A16BA" w14:paraId="4D8B00AD" w14:textId="77777777" w:rsidTr="00FD555F">
        <w:tc>
          <w:tcPr>
            <w:tcW w:w="9243" w:type="dxa"/>
            <w:tcBorders>
              <w:top w:val="single" w:sz="4" w:space="0" w:color="auto"/>
              <w:bottom w:val="single" w:sz="4" w:space="0" w:color="auto"/>
            </w:tcBorders>
          </w:tcPr>
          <w:p w14:paraId="384B4F37" w14:textId="2D9ADA92" w:rsidR="004A16BA" w:rsidRPr="00550F0F" w:rsidRDefault="002A1AFA" w:rsidP="00087D32">
            <w:pPr>
              <w:pStyle w:val="Heading2"/>
              <w:keepLines/>
              <w:numPr>
                <w:ilvl w:val="1"/>
                <w:numId w:val="0"/>
              </w:numPr>
              <w:tabs>
                <w:tab w:val="clear" w:pos="2904"/>
                <w:tab w:val="clear" w:pos="3907"/>
                <w:tab w:val="clear" w:pos="4910"/>
                <w:tab w:val="clear" w:pos="5913"/>
                <w:tab w:val="clear" w:pos="6916"/>
              </w:tabs>
              <w:spacing w:before="240" w:after="240"/>
              <w:ind w:left="851" w:hanging="851"/>
            </w:pPr>
            <w:bookmarkStart w:id="162" w:name="_Toc7770316"/>
            <w:r>
              <w:t>1</w:t>
            </w:r>
            <w:r w:rsidR="00204A4C">
              <w:t>6</w:t>
            </w:r>
            <w:r>
              <w:t xml:space="preserve">.3 </w:t>
            </w:r>
            <w:r w:rsidR="004A16BA" w:rsidRPr="00550F0F">
              <w:t xml:space="preserve">What level of greenhouse gas emissions is expected to result directly from operation of the </w:t>
            </w:r>
            <w:r w:rsidR="004A16BA">
              <w:t>Project</w:t>
            </w:r>
            <w:r w:rsidR="004A16BA" w:rsidRPr="00550F0F">
              <w:t xml:space="preserve"> facility?</w:t>
            </w:r>
            <w:bookmarkEnd w:id="162"/>
          </w:p>
          <w:p w14:paraId="68ACD877" w14:textId="77777777" w:rsidR="007E5C21" w:rsidRPr="007E5C21" w:rsidRDefault="007E5C21" w:rsidP="007E5C21">
            <w:pPr>
              <w:pStyle w:val="BodyText"/>
              <w:jc w:val="both"/>
              <w:rPr>
                <w:rFonts w:ascii="Arial" w:hAnsi="Arial"/>
                <w:b w:val="0"/>
                <w:bCs w:val="0"/>
                <w:sz w:val="20"/>
                <w:szCs w:val="20"/>
                <w:lang w:eastAsia="en-AU"/>
              </w:rPr>
            </w:pPr>
            <w:r w:rsidRPr="007E5C21">
              <w:rPr>
                <w:rFonts w:ascii="Arial" w:hAnsi="Arial"/>
                <w:b w:val="0"/>
                <w:bCs w:val="0"/>
                <w:color w:val="E7E6E6" w:themeColor="background2"/>
                <w:sz w:val="20"/>
                <w:szCs w:val="20"/>
                <w:lang w:eastAsia="en-AU"/>
              </w:rPr>
              <w:sym w:font="Webdings" w:char="F072"/>
            </w:r>
            <w:r w:rsidRPr="007E5C21">
              <w:rPr>
                <w:rFonts w:ascii="Arial" w:hAnsi="Arial"/>
                <w:b w:val="0"/>
                <w:bCs w:val="0"/>
                <w:sz w:val="20"/>
                <w:szCs w:val="20"/>
                <w:lang w:eastAsia="en-AU"/>
              </w:rPr>
              <w:t xml:space="preserve">  Less than 50,000 tonnes of CO</w:t>
            </w:r>
            <w:r w:rsidRPr="007E5C21">
              <w:rPr>
                <w:rFonts w:ascii="Arial" w:hAnsi="Arial"/>
                <w:b w:val="0"/>
                <w:bCs w:val="0"/>
                <w:sz w:val="20"/>
                <w:szCs w:val="20"/>
                <w:vertAlign w:val="subscript"/>
                <w:lang w:eastAsia="en-AU"/>
              </w:rPr>
              <w:t>2</w:t>
            </w:r>
            <w:r w:rsidRPr="007E5C21">
              <w:rPr>
                <w:rFonts w:ascii="Arial" w:hAnsi="Arial"/>
                <w:b w:val="0"/>
                <w:bCs w:val="0"/>
                <w:sz w:val="20"/>
                <w:szCs w:val="20"/>
                <w:lang w:eastAsia="en-AU"/>
              </w:rPr>
              <w:t xml:space="preserve"> equivalent per annum</w:t>
            </w:r>
          </w:p>
          <w:p w14:paraId="49F936E1" w14:textId="5CA7B81F" w:rsidR="007E5C21" w:rsidRPr="007E5C21" w:rsidRDefault="007E5C21" w:rsidP="007E5C21">
            <w:pPr>
              <w:pStyle w:val="BodyText"/>
              <w:jc w:val="both"/>
              <w:rPr>
                <w:rFonts w:ascii="Arial" w:hAnsi="Arial"/>
                <w:b w:val="0"/>
                <w:bCs w:val="0"/>
                <w:sz w:val="20"/>
                <w:szCs w:val="20"/>
                <w:lang w:eastAsia="en-AU"/>
              </w:rPr>
            </w:pPr>
            <w:r w:rsidRPr="007E5C21">
              <w:rPr>
                <w:rFonts w:ascii="Arial" w:hAnsi="Arial"/>
                <w:b w:val="0"/>
                <w:bCs w:val="0"/>
                <w:sz w:val="20"/>
                <w:szCs w:val="20"/>
                <w:lang w:eastAsia="en-AU"/>
              </w:rPr>
              <w:sym w:font="Webdings" w:char="F072"/>
            </w:r>
            <w:r w:rsidRPr="007E5C21">
              <w:rPr>
                <w:rFonts w:ascii="Arial" w:hAnsi="Arial"/>
                <w:b w:val="0"/>
                <w:bCs w:val="0"/>
                <w:sz w:val="20"/>
                <w:szCs w:val="20"/>
                <w:lang w:eastAsia="en-AU"/>
              </w:rPr>
              <w:t xml:space="preserve">  Between 50,000 and 100,000 tonnes of CO</w:t>
            </w:r>
            <w:r w:rsidRPr="007E5C21">
              <w:rPr>
                <w:rFonts w:ascii="Arial" w:hAnsi="Arial"/>
                <w:b w:val="0"/>
                <w:bCs w:val="0"/>
                <w:sz w:val="20"/>
                <w:szCs w:val="20"/>
                <w:vertAlign w:val="subscript"/>
                <w:lang w:eastAsia="en-AU"/>
              </w:rPr>
              <w:t>2</w:t>
            </w:r>
            <w:r w:rsidRPr="007E5C21">
              <w:rPr>
                <w:rFonts w:ascii="Arial" w:hAnsi="Arial"/>
                <w:b w:val="0"/>
                <w:bCs w:val="0"/>
                <w:sz w:val="20"/>
                <w:szCs w:val="20"/>
                <w:lang w:eastAsia="en-AU"/>
              </w:rPr>
              <w:t xml:space="preserve"> equivalent per annum</w:t>
            </w:r>
          </w:p>
          <w:p w14:paraId="78BB33EC" w14:textId="6583CFB4" w:rsidR="007E5C21" w:rsidRPr="007E5C21" w:rsidRDefault="007E5C21" w:rsidP="007E5C21">
            <w:pPr>
              <w:pStyle w:val="BodyText"/>
              <w:jc w:val="both"/>
              <w:rPr>
                <w:rFonts w:ascii="Arial" w:hAnsi="Arial"/>
                <w:b w:val="0"/>
                <w:bCs w:val="0"/>
                <w:sz w:val="20"/>
                <w:szCs w:val="20"/>
                <w:lang w:eastAsia="en-AU"/>
              </w:rPr>
            </w:pPr>
            <w:r w:rsidRPr="007E5C21">
              <w:rPr>
                <w:rFonts w:ascii="Arial" w:hAnsi="Arial"/>
                <w:b w:val="0"/>
                <w:bCs w:val="0"/>
                <w:color w:val="E7E6E6" w:themeColor="background2"/>
                <w:sz w:val="20"/>
                <w:szCs w:val="20"/>
                <w:lang w:eastAsia="en-AU"/>
              </w:rPr>
              <w:sym w:font="Webdings" w:char="F072"/>
            </w:r>
            <w:r w:rsidRPr="007E5C21">
              <w:rPr>
                <w:rFonts w:ascii="Arial" w:hAnsi="Arial"/>
                <w:b w:val="0"/>
                <w:bCs w:val="0"/>
                <w:sz w:val="20"/>
                <w:szCs w:val="20"/>
                <w:lang w:eastAsia="en-AU"/>
              </w:rPr>
              <w:t xml:space="preserve">  Between 100,000 and 200,000 tonnes of CO</w:t>
            </w:r>
            <w:r w:rsidRPr="007E5C21">
              <w:rPr>
                <w:rFonts w:ascii="Arial" w:hAnsi="Arial"/>
                <w:b w:val="0"/>
                <w:bCs w:val="0"/>
                <w:sz w:val="20"/>
                <w:szCs w:val="20"/>
                <w:vertAlign w:val="subscript"/>
                <w:lang w:eastAsia="en-AU"/>
              </w:rPr>
              <w:t>2</w:t>
            </w:r>
            <w:r w:rsidRPr="007E5C21">
              <w:rPr>
                <w:rFonts w:ascii="Arial" w:hAnsi="Arial"/>
                <w:b w:val="0"/>
                <w:bCs w:val="0"/>
                <w:sz w:val="20"/>
                <w:szCs w:val="20"/>
                <w:lang w:eastAsia="en-AU"/>
              </w:rPr>
              <w:t xml:space="preserve"> equivalent per annum</w:t>
            </w:r>
          </w:p>
          <w:p w14:paraId="59C4F6EA" w14:textId="67AD057F" w:rsidR="007E5C21" w:rsidRDefault="007E5C21" w:rsidP="007E5C21">
            <w:pPr>
              <w:pStyle w:val="BodyText"/>
              <w:jc w:val="both"/>
              <w:rPr>
                <w:rFonts w:ascii="Arial" w:hAnsi="Arial"/>
                <w:b w:val="0"/>
                <w:bCs w:val="0"/>
                <w:sz w:val="20"/>
                <w:szCs w:val="20"/>
                <w:lang w:eastAsia="en-AU"/>
              </w:rPr>
            </w:pPr>
            <w:r w:rsidRPr="007E5C21">
              <w:rPr>
                <w:rFonts w:ascii="Arial" w:hAnsi="Arial"/>
                <w:b w:val="0"/>
                <w:bCs w:val="0"/>
                <w:color w:val="E7E6E6" w:themeColor="background2"/>
                <w:sz w:val="20"/>
                <w:szCs w:val="20"/>
                <w:lang w:eastAsia="en-AU"/>
              </w:rPr>
              <w:sym w:font="Webdings" w:char="F072"/>
            </w:r>
            <w:r w:rsidRPr="007E5C21">
              <w:rPr>
                <w:rFonts w:ascii="Arial" w:hAnsi="Arial"/>
                <w:b w:val="0"/>
                <w:bCs w:val="0"/>
                <w:sz w:val="20"/>
                <w:szCs w:val="20"/>
                <w:lang w:eastAsia="en-AU"/>
              </w:rPr>
              <w:t xml:space="preserve">  More than 200,000 tonnes of CO</w:t>
            </w:r>
            <w:r w:rsidRPr="007E5C21">
              <w:rPr>
                <w:rFonts w:ascii="Arial" w:hAnsi="Arial"/>
                <w:b w:val="0"/>
                <w:bCs w:val="0"/>
                <w:sz w:val="20"/>
                <w:szCs w:val="20"/>
                <w:vertAlign w:val="subscript"/>
                <w:lang w:eastAsia="en-AU"/>
              </w:rPr>
              <w:t>2</w:t>
            </w:r>
            <w:r w:rsidRPr="007E5C21">
              <w:rPr>
                <w:rFonts w:ascii="Arial" w:hAnsi="Arial"/>
                <w:b w:val="0"/>
                <w:bCs w:val="0"/>
                <w:sz w:val="20"/>
                <w:szCs w:val="20"/>
                <w:lang w:eastAsia="en-AU"/>
              </w:rPr>
              <w:t xml:space="preserve"> equivalent per annum</w:t>
            </w:r>
          </w:p>
          <w:p w14:paraId="07FBF9DA" w14:textId="77777777" w:rsidR="007E5C21" w:rsidRDefault="007E5C21" w:rsidP="00C856DE">
            <w:pPr>
              <w:pStyle w:val="BodyText"/>
              <w:jc w:val="both"/>
              <w:rPr>
                <w:rFonts w:ascii="Arial" w:hAnsi="Arial"/>
                <w:b w:val="0"/>
                <w:bCs w:val="0"/>
                <w:sz w:val="20"/>
                <w:szCs w:val="20"/>
                <w:lang w:eastAsia="en-AU"/>
              </w:rPr>
            </w:pPr>
          </w:p>
          <w:p w14:paraId="0DF90A1F" w14:textId="14826DCB" w:rsidR="004A16BA" w:rsidRPr="004A16BA" w:rsidRDefault="000F7F33" w:rsidP="00C856DE">
            <w:pPr>
              <w:pStyle w:val="BodyText"/>
              <w:jc w:val="both"/>
              <w:rPr>
                <w:rFonts w:ascii="Arial" w:hAnsi="Arial"/>
                <w:b w:val="0"/>
                <w:bCs w:val="0"/>
                <w:sz w:val="20"/>
                <w:szCs w:val="20"/>
                <w:lang w:eastAsia="en-AU"/>
              </w:rPr>
            </w:pPr>
            <w:r>
              <w:rPr>
                <w:rFonts w:ascii="Arial" w:hAnsi="Arial"/>
                <w:b w:val="0"/>
                <w:bCs w:val="0"/>
                <w:sz w:val="20"/>
                <w:szCs w:val="20"/>
                <w:lang w:eastAsia="en-AU"/>
              </w:rPr>
              <w:t xml:space="preserve">Approximately </w:t>
            </w:r>
            <w:r w:rsidR="004A16BA" w:rsidRPr="004A16BA">
              <w:rPr>
                <w:rFonts w:ascii="Arial" w:hAnsi="Arial"/>
                <w:b w:val="0"/>
                <w:bCs w:val="0"/>
                <w:sz w:val="20"/>
                <w:szCs w:val="20"/>
                <w:lang w:eastAsia="en-AU"/>
              </w:rPr>
              <w:t>50,000 to 100,000 tonnes per annum of carbon dioxide (CO</w:t>
            </w:r>
            <w:r w:rsidR="004A16BA" w:rsidRPr="00B84067">
              <w:rPr>
                <w:rFonts w:ascii="Arial" w:hAnsi="Arial"/>
                <w:b w:val="0"/>
                <w:bCs w:val="0"/>
                <w:vertAlign w:val="subscript"/>
              </w:rPr>
              <w:t>2</w:t>
            </w:r>
            <w:r>
              <w:rPr>
                <w:rFonts w:ascii="Arial" w:hAnsi="Arial"/>
                <w:b w:val="0"/>
                <w:bCs w:val="0"/>
                <w:sz w:val="20"/>
                <w:szCs w:val="20"/>
                <w:lang w:eastAsia="en-AU"/>
              </w:rPr>
              <w:t>-e</w:t>
            </w:r>
            <w:r w:rsidR="004A16BA" w:rsidRPr="004A16BA">
              <w:rPr>
                <w:rFonts w:ascii="Arial" w:hAnsi="Arial"/>
                <w:b w:val="0"/>
                <w:bCs w:val="0"/>
                <w:sz w:val="20"/>
                <w:szCs w:val="20"/>
                <w:lang w:eastAsia="en-AU"/>
              </w:rPr>
              <w:t>) are estimated to be emitted from the Project operations. This estimate does not include onsite diesel use</w:t>
            </w:r>
            <w:r w:rsidR="00D81B80">
              <w:rPr>
                <w:rFonts w:ascii="Arial" w:hAnsi="Arial"/>
                <w:b w:val="0"/>
                <w:bCs w:val="0"/>
                <w:sz w:val="20"/>
                <w:szCs w:val="20"/>
                <w:lang w:eastAsia="en-AU"/>
              </w:rPr>
              <w:t>, which will be calculated one the required plant list is known</w:t>
            </w:r>
            <w:r w:rsidR="000236A5">
              <w:rPr>
                <w:rFonts w:ascii="Arial" w:hAnsi="Arial"/>
                <w:b w:val="0"/>
                <w:bCs w:val="0"/>
                <w:sz w:val="20"/>
                <w:szCs w:val="20"/>
                <w:lang w:eastAsia="en-AU"/>
              </w:rPr>
              <w:t>.</w:t>
            </w:r>
          </w:p>
          <w:p w14:paraId="2605F4BF" w14:textId="77777777" w:rsidR="004A16BA" w:rsidRDefault="004A16BA" w:rsidP="00087D32">
            <w:pPr>
              <w:rPr>
                <w:rFonts w:ascii="Arial" w:hAnsi="Arial"/>
              </w:rPr>
            </w:pPr>
          </w:p>
        </w:tc>
      </w:tr>
      <w:tr w:rsidR="004A16BA" w14:paraId="27D7087F" w14:textId="77777777" w:rsidTr="00FD555F">
        <w:tc>
          <w:tcPr>
            <w:tcW w:w="9243" w:type="dxa"/>
            <w:tcBorders>
              <w:top w:val="single" w:sz="4" w:space="0" w:color="auto"/>
              <w:bottom w:val="single" w:sz="4" w:space="0" w:color="auto"/>
            </w:tcBorders>
          </w:tcPr>
          <w:p w14:paraId="56A71DBC" w14:textId="77777777" w:rsidR="00204A4C" w:rsidRDefault="00204A4C" w:rsidP="00087D32">
            <w:pPr>
              <w:pStyle w:val="Heading2"/>
              <w:ind w:left="0"/>
            </w:pPr>
            <w:bookmarkStart w:id="163" w:name="_Toc7770317"/>
            <w:r>
              <w:t>17 Other environmental issues</w:t>
            </w:r>
          </w:p>
          <w:p w14:paraId="1F89E036" w14:textId="77777777" w:rsidR="00204A4C" w:rsidRDefault="00204A4C" w:rsidP="00087D32">
            <w:pPr>
              <w:pStyle w:val="Heading2"/>
              <w:ind w:left="0"/>
            </w:pPr>
          </w:p>
          <w:p w14:paraId="68A5DD03" w14:textId="6D2B42F5" w:rsidR="002A1AFA" w:rsidRDefault="00204A4C" w:rsidP="00087D32">
            <w:pPr>
              <w:pStyle w:val="Heading2"/>
              <w:ind w:left="0"/>
            </w:pPr>
            <w:r>
              <w:t>17.1</w:t>
            </w:r>
            <w:r w:rsidR="002A1AFA">
              <w:t xml:space="preserve"> Are there any other environmental issues arising from the proposed Project?</w:t>
            </w:r>
            <w:bookmarkEnd w:id="163"/>
          </w:p>
          <w:p w14:paraId="3E1CB912" w14:textId="77777777" w:rsidR="002A1AFA" w:rsidRPr="002A1AFA" w:rsidRDefault="002A1AFA" w:rsidP="00087D32"/>
          <w:p w14:paraId="6EF4C07A" w14:textId="1CE02F4A" w:rsidR="004A16BA" w:rsidRDefault="00204A4C" w:rsidP="00204A4C">
            <w:pPr>
              <w:pStyle w:val="BodyText"/>
              <w:jc w:val="both"/>
              <w:rPr>
                <w:rFonts w:ascii="Arial" w:hAnsi="Arial"/>
              </w:rPr>
            </w:pPr>
            <w:r w:rsidRPr="00204A4C">
              <w:rPr>
                <w:rFonts w:ascii="Arial" w:hAnsi="Arial"/>
                <w:b w:val="0"/>
                <w:bCs w:val="0"/>
                <w:sz w:val="20"/>
                <w:szCs w:val="20"/>
                <w:lang w:eastAsia="en-AU"/>
              </w:rPr>
              <w:sym w:font="Webdings" w:char="F072"/>
            </w:r>
            <w:r w:rsidRPr="00EC6C73">
              <w:rPr>
                <w:rFonts w:ascii="Arial" w:hAnsi="Arial"/>
                <w:b w:val="0"/>
                <w:bCs w:val="0"/>
                <w:sz w:val="20"/>
                <w:szCs w:val="20"/>
                <w:lang w:eastAsia="en-AU"/>
              </w:rPr>
              <w:t xml:space="preserve"> No    </w:t>
            </w:r>
            <w:r w:rsidRPr="00204A4C">
              <w:rPr>
                <w:rFonts w:ascii="Arial" w:hAnsi="Arial"/>
                <w:b w:val="0"/>
                <w:bCs w:val="0"/>
                <w:color w:val="E7E6E6" w:themeColor="background2"/>
                <w:sz w:val="20"/>
                <w:szCs w:val="20"/>
                <w:lang w:eastAsia="en-AU"/>
              </w:rPr>
              <w:sym w:font="Webdings" w:char="F072"/>
            </w:r>
            <w:r w:rsidRPr="00EC6C73">
              <w:rPr>
                <w:rFonts w:ascii="Arial" w:hAnsi="Arial"/>
                <w:b w:val="0"/>
                <w:bCs w:val="0"/>
                <w:sz w:val="20"/>
                <w:szCs w:val="20"/>
                <w:lang w:eastAsia="en-AU"/>
              </w:rPr>
              <w:t xml:space="preserve">  Yes   </w:t>
            </w:r>
            <w:r w:rsidR="002A1AFA">
              <w:rPr>
                <w:rFonts w:ascii="Arial" w:hAnsi="Arial"/>
              </w:rPr>
              <w:tab/>
            </w:r>
          </w:p>
          <w:p w14:paraId="3E88F976" w14:textId="77777777" w:rsidR="00087D32" w:rsidRDefault="00087D32" w:rsidP="00087D32">
            <w:pPr>
              <w:rPr>
                <w:rFonts w:ascii="Arial" w:hAnsi="Arial"/>
              </w:rPr>
            </w:pPr>
          </w:p>
        </w:tc>
      </w:tr>
      <w:tr w:rsidR="004A16BA" w14:paraId="06B1B56A" w14:textId="77777777" w:rsidTr="00FD555F">
        <w:tc>
          <w:tcPr>
            <w:tcW w:w="9243" w:type="dxa"/>
            <w:tcBorders>
              <w:top w:val="single" w:sz="4" w:space="0" w:color="auto"/>
              <w:bottom w:val="nil"/>
            </w:tcBorders>
          </w:tcPr>
          <w:p w14:paraId="7F6DC7CD" w14:textId="3EF0B05D" w:rsidR="00DA306B" w:rsidRPr="00DA306B" w:rsidRDefault="00DA306B" w:rsidP="00DA306B">
            <w:pPr>
              <w:pStyle w:val="Heading1"/>
              <w:ind w:left="0"/>
              <w:rPr>
                <w:sz w:val="22"/>
                <w:szCs w:val="22"/>
              </w:rPr>
            </w:pPr>
            <w:bookmarkStart w:id="164" w:name="_Toc5611096"/>
            <w:bookmarkStart w:id="165" w:name="_Toc7770318"/>
            <w:bookmarkStart w:id="166" w:name="_Toc7787932"/>
            <w:bookmarkStart w:id="167" w:name="_Toc8384827"/>
            <w:bookmarkStart w:id="168" w:name="_Hlk2157640"/>
            <w:r w:rsidRPr="00DA306B">
              <w:rPr>
                <w:sz w:val="22"/>
                <w:szCs w:val="22"/>
              </w:rPr>
              <w:t>1</w:t>
            </w:r>
            <w:r w:rsidR="00204A4C">
              <w:rPr>
                <w:sz w:val="22"/>
                <w:szCs w:val="22"/>
              </w:rPr>
              <w:t>8</w:t>
            </w:r>
            <w:r w:rsidRPr="00DA306B">
              <w:rPr>
                <w:sz w:val="22"/>
                <w:szCs w:val="22"/>
              </w:rPr>
              <w:t xml:space="preserve"> Environmental management</w:t>
            </w:r>
            <w:bookmarkEnd w:id="164"/>
            <w:bookmarkEnd w:id="165"/>
            <w:bookmarkEnd w:id="166"/>
            <w:bookmarkEnd w:id="167"/>
          </w:p>
          <w:bookmarkEnd w:id="168"/>
          <w:p w14:paraId="3196F13E" w14:textId="77777777" w:rsidR="004A16BA" w:rsidRDefault="004A16BA">
            <w:pPr>
              <w:rPr>
                <w:rFonts w:ascii="Arial" w:hAnsi="Arial"/>
              </w:rPr>
            </w:pPr>
          </w:p>
        </w:tc>
      </w:tr>
      <w:tr w:rsidR="004A16BA" w14:paraId="07F6455F" w14:textId="77777777" w:rsidTr="00FD555F">
        <w:tc>
          <w:tcPr>
            <w:tcW w:w="9243" w:type="dxa"/>
            <w:tcBorders>
              <w:top w:val="nil"/>
              <w:bottom w:val="single" w:sz="4" w:space="0" w:color="auto"/>
            </w:tcBorders>
          </w:tcPr>
          <w:p w14:paraId="6A894779" w14:textId="3E4666C1" w:rsidR="00DA306B" w:rsidRDefault="00DA306B" w:rsidP="00DA306B">
            <w:pPr>
              <w:pStyle w:val="Heading2"/>
              <w:ind w:left="0"/>
            </w:pPr>
            <w:bookmarkStart w:id="169" w:name="_Toc7770319"/>
            <w:r>
              <w:t>1</w:t>
            </w:r>
            <w:r w:rsidR="00204A4C">
              <w:t>7</w:t>
            </w:r>
            <w:r>
              <w:t>.1 What measures are currently proposed to avoid, minimise or manage the main potential adverse environmental effects?</w:t>
            </w:r>
            <w:bookmarkEnd w:id="169"/>
          </w:p>
          <w:p w14:paraId="2F87CDFE" w14:textId="77777777" w:rsidR="004A16BA" w:rsidRDefault="004A16BA">
            <w:pPr>
              <w:rPr>
                <w:rFonts w:ascii="Arial" w:hAnsi="Arial"/>
              </w:rPr>
            </w:pPr>
          </w:p>
        </w:tc>
      </w:tr>
      <w:tr w:rsidR="004A16BA" w14:paraId="6AFA72AA" w14:textId="77777777" w:rsidTr="00FD555F">
        <w:tc>
          <w:tcPr>
            <w:tcW w:w="9243" w:type="dxa"/>
            <w:tcBorders>
              <w:top w:val="single" w:sz="4" w:space="0" w:color="auto"/>
              <w:bottom w:val="single" w:sz="4" w:space="0" w:color="auto"/>
            </w:tcBorders>
          </w:tcPr>
          <w:p w14:paraId="0DCFF48E" w14:textId="5ABCBF81" w:rsidR="00DA306B" w:rsidRPr="00DA306B" w:rsidRDefault="00DA306B" w:rsidP="00DA306B">
            <w:pPr>
              <w:pStyle w:val="Heading3"/>
              <w:keepLines/>
              <w:numPr>
                <w:ilvl w:val="2"/>
                <w:numId w:val="0"/>
              </w:numPr>
              <w:spacing w:before="240" w:after="240"/>
              <w:ind w:left="851" w:hanging="851"/>
              <w:jc w:val="both"/>
              <w:rPr>
                <w:sz w:val="20"/>
              </w:rPr>
            </w:pPr>
            <w:r>
              <w:rPr>
                <w:sz w:val="20"/>
              </w:rPr>
              <w:t>1</w:t>
            </w:r>
            <w:r w:rsidR="00204A4C">
              <w:rPr>
                <w:sz w:val="20"/>
              </w:rPr>
              <w:t>8</w:t>
            </w:r>
            <w:r>
              <w:rPr>
                <w:sz w:val="20"/>
              </w:rPr>
              <w:t xml:space="preserve">.1.1 </w:t>
            </w:r>
            <w:r w:rsidRPr="00DA306B">
              <w:rPr>
                <w:sz w:val="20"/>
              </w:rPr>
              <w:t>Siting</w:t>
            </w:r>
          </w:p>
          <w:p w14:paraId="7F748C4E" w14:textId="4A79F08F" w:rsidR="00DA306B" w:rsidRDefault="00DA306B" w:rsidP="00686EA5">
            <w:pPr>
              <w:pStyle w:val="BodyText"/>
              <w:jc w:val="both"/>
              <w:rPr>
                <w:rFonts w:ascii="Arial" w:hAnsi="Arial"/>
                <w:b w:val="0"/>
                <w:bCs w:val="0"/>
                <w:sz w:val="20"/>
                <w:szCs w:val="20"/>
                <w:lang w:eastAsia="en-AU"/>
              </w:rPr>
            </w:pPr>
            <w:r w:rsidRPr="00DA306B">
              <w:rPr>
                <w:rFonts w:ascii="Arial" w:hAnsi="Arial"/>
                <w:b w:val="0"/>
                <w:bCs w:val="0"/>
                <w:sz w:val="20"/>
                <w:szCs w:val="20"/>
                <w:lang w:eastAsia="en-AU"/>
              </w:rPr>
              <w:t xml:space="preserve">The Project layout will be designed to recover the mineral sand resources as efficiently as possible whilst minimising environmental impacts, informed by baseline environmental studies. For example, as previously noted, </w:t>
            </w:r>
            <w:r w:rsidR="00686EA5">
              <w:rPr>
                <w:rFonts w:ascii="Arial" w:hAnsi="Arial"/>
                <w:b w:val="0"/>
                <w:bCs w:val="0"/>
                <w:sz w:val="20"/>
                <w:szCs w:val="20"/>
                <w:lang w:eastAsia="en-AU"/>
              </w:rPr>
              <w:t>although t</w:t>
            </w:r>
            <w:r w:rsidR="00686EA5" w:rsidRPr="00686EA5">
              <w:rPr>
                <w:rFonts w:ascii="Arial" w:hAnsi="Arial"/>
                <w:b w:val="0"/>
                <w:bCs w:val="0"/>
                <w:sz w:val="20"/>
                <w:szCs w:val="20"/>
                <w:lang w:eastAsia="en-AU"/>
              </w:rPr>
              <w:t xml:space="preserve">he indicative mineralised extent includes portions of the </w:t>
            </w:r>
            <w:proofErr w:type="spellStart"/>
            <w:r w:rsidR="00686EA5" w:rsidRPr="00686EA5">
              <w:rPr>
                <w:rFonts w:ascii="Arial" w:hAnsi="Arial"/>
                <w:b w:val="0"/>
                <w:bCs w:val="0"/>
                <w:sz w:val="20"/>
                <w:szCs w:val="20"/>
                <w:lang w:eastAsia="en-AU"/>
              </w:rPr>
              <w:t>Jallumba</w:t>
            </w:r>
            <w:proofErr w:type="spellEnd"/>
            <w:r w:rsidR="00686EA5" w:rsidRPr="00686EA5">
              <w:rPr>
                <w:rFonts w:ascii="Arial" w:hAnsi="Arial"/>
                <w:b w:val="0"/>
                <w:bCs w:val="0"/>
                <w:sz w:val="20"/>
                <w:szCs w:val="20"/>
                <w:lang w:eastAsia="en-AU"/>
              </w:rPr>
              <w:t xml:space="preserve"> Marsh Flora Reserve and the Red Gum Swamp. Iluka has chosen to exclude these areas from the mine layout development envelope </w:t>
            </w:r>
            <w:r w:rsidRPr="00DA306B">
              <w:rPr>
                <w:rFonts w:ascii="Arial" w:hAnsi="Arial"/>
                <w:b w:val="0"/>
                <w:bCs w:val="0"/>
                <w:sz w:val="20"/>
                <w:szCs w:val="20"/>
                <w:lang w:eastAsia="en-AU"/>
              </w:rPr>
              <w:t>and there</w:t>
            </w:r>
            <w:r w:rsidR="00D03EE4">
              <w:rPr>
                <w:rFonts w:ascii="Arial" w:hAnsi="Arial"/>
                <w:b w:val="0"/>
                <w:bCs w:val="0"/>
                <w:sz w:val="20"/>
                <w:szCs w:val="20"/>
                <w:lang w:eastAsia="en-AU"/>
              </w:rPr>
              <w:t>by</w:t>
            </w:r>
            <w:r w:rsidRPr="00DA306B">
              <w:rPr>
                <w:rFonts w:ascii="Arial" w:hAnsi="Arial"/>
                <w:b w:val="0"/>
                <w:bCs w:val="0"/>
                <w:sz w:val="20"/>
                <w:szCs w:val="20"/>
                <w:lang w:eastAsia="en-AU"/>
              </w:rPr>
              <w:t xml:space="preserve"> avoid impact associated with these areas.</w:t>
            </w:r>
          </w:p>
          <w:p w14:paraId="7DE5910C" w14:textId="2B6FEA19" w:rsidR="00686EA5" w:rsidRPr="00DA306B" w:rsidRDefault="00686EA5" w:rsidP="00686EA5">
            <w:pPr>
              <w:pStyle w:val="BodyText"/>
              <w:jc w:val="both"/>
              <w:rPr>
                <w:rFonts w:ascii="Arial" w:hAnsi="Arial"/>
                <w:b w:val="0"/>
                <w:bCs w:val="0"/>
                <w:sz w:val="20"/>
                <w:szCs w:val="20"/>
                <w:lang w:eastAsia="en-AU"/>
              </w:rPr>
            </w:pPr>
          </w:p>
        </w:tc>
      </w:tr>
      <w:tr w:rsidR="004A16BA" w14:paraId="1C6FF360" w14:textId="77777777" w:rsidTr="00FD555F">
        <w:tc>
          <w:tcPr>
            <w:tcW w:w="9243" w:type="dxa"/>
            <w:tcBorders>
              <w:top w:val="single" w:sz="4" w:space="0" w:color="auto"/>
              <w:bottom w:val="single" w:sz="4" w:space="0" w:color="auto"/>
            </w:tcBorders>
          </w:tcPr>
          <w:p w14:paraId="250DE6F6" w14:textId="5462FDC0" w:rsidR="00DA306B" w:rsidRPr="00DA306B" w:rsidRDefault="00DA306B" w:rsidP="00DA306B">
            <w:pPr>
              <w:pStyle w:val="Heading3"/>
              <w:keepLines/>
              <w:numPr>
                <w:ilvl w:val="2"/>
                <w:numId w:val="0"/>
              </w:numPr>
              <w:spacing w:before="240" w:after="240"/>
              <w:ind w:left="851" w:hanging="851"/>
              <w:jc w:val="both"/>
              <w:rPr>
                <w:sz w:val="20"/>
              </w:rPr>
            </w:pPr>
            <w:r>
              <w:rPr>
                <w:sz w:val="20"/>
              </w:rPr>
              <w:t>1</w:t>
            </w:r>
            <w:r w:rsidR="00204A4C">
              <w:rPr>
                <w:sz w:val="20"/>
              </w:rPr>
              <w:t>8</w:t>
            </w:r>
            <w:r>
              <w:rPr>
                <w:sz w:val="20"/>
              </w:rPr>
              <w:t xml:space="preserve">.1.2 </w:t>
            </w:r>
            <w:r w:rsidRPr="00DA306B">
              <w:rPr>
                <w:sz w:val="20"/>
              </w:rPr>
              <w:t>Design</w:t>
            </w:r>
          </w:p>
          <w:p w14:paraId="216220F1" w14:textId="77777777" w:rsidR="00DA306B" w:rsidRDefault="00DA306B" w:rsidP="00C856DE">
            <w:pPr>
              <w:pStyle w:val="BodyText"/>
              <w:spacing w:after="120"/>
              <w:jc w:val="both"/>
              <w:rPr>
                <w:rFonts w:ascii="Arial" w:hAnsi="Arial"/>
                <w:b w:val="0"/>
                <w:bCs w:val="0"/>
                <w:sz w:val="20"/>
                <w:szCs w:val="20"/>
                <w:lang w:eastAsia="en-AU"/>
              </w:rPr>
            </w:pPr>
            <w:r w:rsidRPr="00DA306B">
              <w:rPr>
                <w:rFonts w:ascii="Arial" w:hAnsi="Arial"/>
                <w:b w:val="0"/>
                <w:bCs w:val="0"/>
                <w:sz w:val="20"/>
                <w:szCs w:val="20"/>
                <w:lang w:eastAsia="en-AU"/>
              </w:rPr>
              <w:t>All infrastructure will be designed and managed to comply with applicable technical specifications, legislation and guidelines.</w:t>
            </w:r>
          </w:p>
          <w:p w14:paraId="4C969285" w14:textId="77777777" w:rsidR="00DA306B" w:rsidRDefault="00DA306B" w:rsidP="00C856DE">
            <w:pPr>
              <w:pStyle w:val="BodyText"/>
              <w:spacing w:after="120"/>
              <w:jc w:val="both"/>
              <w:rPr>
                <w:rFonts w:ascii="Arial" w:hAnsi="Arial"/>
                <w:b w:val="0"/>
                <w:bCs w:val="0"/>
                <w:sz w:val="20"/>
                <w:szCs w:val="20"/>
                <w:lang w:eastAsia="en-AU"/>
              </w:rPr>
            </w:pPr>
            <w:r w:rsidRPr="00DA306B">
              <w:rPr>
                <w:rFonts w:ascii="Arial" w:hAnsi="Arial"/>
                <w:b w:val="0"/>
                <w:bCs w:val="0"/>
                <w:sz w:val="20"/>
                <w:szCs w:val="20"/>
                <w:lang w:eastAsia="en-AU"/>
              </w:rPr>
              <w:t xml:space="preserve">Tailings storage facilities will be designed in accordance with Department of Economic Development, Jobs, Transport and Resources </w:t>
            </w:r>
            <w:r w:rsidRPr="000F7F33">
              <w:rPr>
                <w:rFonts w:ascii="Arial" w:hAnsi="Arial"/>
                <w:b w:val="0"/>
                <w:bCs w:val="0"/>
                <w:i/>
                <w:sz w:val="20"/>
                <w:szCs w:val="20"/>
                <w:lang w:eastAsia="en-AU"/>
              </w:rPr>
              <w:t>Technical Guideline - Design and Management of Tailings Storage Facilities</w:t>
            </w:r>
            <w:r w:rsidRPr="00DA306B">
              <w:rPr>
                <w:rFonts w:ascii="Arial" w:hAnsi="Arial"/>
                <w:b w:val="0"/>
                <w:bCs w:val="0"/>
                <w:sz w:val="20"/>
                <w:szCs w:val="20"/>
                <w:lang w:eastAsia="en-AU"/>
              </w:rPr>
              <w:t xml:space="preserve"> (April 2017). As part of the rehabilitation process, the tailings storage facilities will be made geotechnically stable then capped with overburden, subsoil and topsoil, with the final land surface in harmony with the surrounding environment. </w:t>
            </w:r>
          </w:p>
          <w:p w14:paraId="0D915B80" w14:textId="15EED870" w:rsidR="004A16BA" w:rsidRDefault="005522EF" w:rsidP="00FD555F">
            <w:pPr>
              <w:pStyle w:val="BodyText"/>
              <w:spacing w:after="120"/>
              <w:jc w:val="both"/>
              <w:rPr>
                <w:rFonts w:ascii="Arial" w:hAnsi="Arial"/>
              </w:rPr>
            </w:pPr>
            <w:r w:rsidRPr="005522EF">
              <w:rPr>
                <w:rFonts w:ascii="Arial" w:hAnsi="Arial"/>
                <w:b w:val="0"/>
                <w:bCs w:val="0"/>
                <w:sz w:val="20"/>
                <w:szCs w:val="20"/>
                <w:lang w:eastAsia="en-AU"/>
              </w:rPr>
              <w:t xml:space="preserve">To </w:t>
            </w:r>
            <w:r w:rsidR="00760D5F">
              <w:rPr>
                <w:rFonts w:ascii="Arial" w:hAnsi="Arial"/>
                <w:b w:val="0"/>
                <w:bCs w:val="0"/>
                <w:sz w:val="20"/>
                <w:szCs w:val="20"/>
                <w:lang w:eastAsia="en-AU"/>
              </w:rPr>
              <w:t>minimise</w:t>
            </w:r>
            <w:r w:rsidR="00760D5F" w:rsidRPr="005522EF">
              <w:rPr>
                <w:rFonts w:ascii="Arial" w:hAnsi="Arial"/>
                <w:b w:val="0"/>
                <w:bCs w:val="0"/>
                <w:sz w:val="20"/>
                <w:szCs w:val="20"/>
                <w:lang w:eastAsia="en-AU"/>
              </w:rPr>
              <w:t xml:space="preserve"> </w:t>
            </w:r>
            <w:r w:rsidRPr="005522EF">
              <w:rPr>
                <w:rFonts w:ascii="Arial" w:hAnsi="Arial"/>
                <w:b w:val="0"/>
                <w:bCs w:val="0"/>
                <w:sz w:val="20"/>
                <w:szCs w:val="20"/>
                <w:lang w:eastAsia="en-AU"/>
              </w:rPr>
              <w:t xml:space="preserve">demand for water, processing plant wastewater will be treated onsite and recirculated until it is eventually </w:t>
            </w:r>
            <w:r w:rsidR="00760D5F" w:rsidRPr="005522EF">
              <w:rPr>
                <w:rFonts w:ascii="Arial" w:hAnsi="Arial"/>
                <w:b w:val="0"/>
                <w:bCs w:val="0"/>
                <w:sz w:val="20"/>
                <w:szCs w:val="20"/>
                <w:lang w:eastAsia="en-AU"/>
              </w:rPr>
              <w:t>dis</w:t>
            </w:r>
            <w:r w:rsidR="00760D5F">
              <w:rPr>
                <w:rFonts w:ascii="Arial" w:hAnsi="Arial"/>
                <w:b w:val="0"/>
                <w:bCs w:val="0"/>
                <w:sz w:val="20"/>
                <w:szCs w:val="20"/>
                <w:lang w:eastAsia="en-AU"/>
              </w:rPr>
              <w:t>pos</w:t>
            </w:r>
            <w:r w:rsidR="00760D5F" w:rsidRPr="005522EF">
              <w:rPr>
                <w:rFonts w:ascii="Arial" w:hAnsi="Arial"/>
                <w:b w:val="0"/>
                <w:bCs w:val="0"/>
                <w:sz w:val="20"/>
                <w:szCs w:val="20"/>
                <w:lang w:eastAsia="en-AU"/>
              </w:rPr>
              <w:t xml:space="preserve">ed </w:t>
            </w:r>
            <w:r w:rsidRPr="005522EF">
              <w:rPr>
                <w:rFonts w:ascii="Arial" w:hAnsi="Arial"/>
                <w:b w:val="0"/>
                <w:bCs w:val="0"/>
                <w:sz w:val="20"/>
                <w:szCs w:val="20"/>
                <w:lang w:eastAsia="en-AU"/>
              </w:rPr>
              <w:t>as part of the saline brine by-product.</w:t>
            </w:r>
            <w:r w:rsidR="00760D5F">
              <w:rPr>
                <w:rFonts w:ascii="Arial" w:hAnsi="Arial"/>
                <w:b w:val="0"/>
                <w:bCs w:val="0"/>
                <w:sz w:val="20"/>
                <w:szCs w:val="20"/>
                <w:lang w:eastAsia="en-AU"/>
              </w:rPr>
              <w:t xml:space="preserve"> The disposal methodology will be informed by impact assessments to be undertaken during the second half of 2019</w:t>
            </w:r>
            <w:r w:rsidR="000F7A66">
              <w:rPr>
                <w:rFonts w:ascii="Arial" w:hAnsi="Arial"/>
                <w:b w:val="0"/>
                <w:bCs w:val="0"/>
                <w:sz w:val="20"/>
                <w:szCs w:val="20"/>
                <w:lang w:eastAsia="en-AU"/>
              </w:rPr>
              <w:t xml:space="preserve"> and early 2020</w:t>
            </w:r>
            <w:r w:rsidR="00760D5F">
              <w:rPr>
                <w:rFonts w:ascii="Arial" w:hAnsi="Arial"/>
                <w:b w:val="0"/>
                <w:bCs w:val="0"/>
                <w:sz w:val="20"/>
                <w:szCs w:val="20"/>
                <w:lang w:eastAsia="en-AU"/>
              </w:rPr>
              <w:t>.</w:t>
            </w:r>
            <w:r w:rsidRPr="005522EF">
              <w:rPr>
                <w:rFonts w:ascii="Arial" w:hAnsi="Arial"/>
                <w:b w:val="0"/>
                <w:bCs w:val="0"/>
                <w:sz w:val="20"/>
                <w:szCs w:val="20"/>
                <w:lang w:eastAsia="en-AU"/>
              </w:rPr>
              <w:t xml:space="preserve"> </w:t>
            </w:r>
          </w:p>
        </w:tc>
      </w:tr>
    </w:tbl>
    <w:p w14:paraId="0DD8745B" w14:textId="77777777" w:rsidR="00760D5F" w:rsidRDefault="00760D5F">
      <w:r>
        <w:rPr>
          <w:b/>
        </w:rPr>
        <w:lastRenderedPageBreak/>
        <w:br w:type="page"/>
      </w:r>
    </w:p>
    <w:tbl>
      <w:tblPr>
        <w:tblW w:w="924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243"/>
      </w:tblGrid>
      <w:tr w:rsidR="004A16BA" w14:paraId="42078C9C" w14:textId="77777777" w:rsidTr="00E96A1F">
        <w:tc>
          <w:tcPr>
            <w:tcW w:w="9243" w:type="dxa"/>
          </w:tcPr>
          <w:p w14:paraId="43F48FAA" w14:textId="4171468B" w:rsidR="00DA306B" w:rsidRPr="00DA306B" w:rsidRDefault="00DA306B" w:rsidP="00DA306B">
            <w:pPr>
              <w:pStyle w:val="Heading3"/>
              <w:rPr>
                <w:sz w:val="20"/>
              </w:rPr>
            </w:pPr>
            <w:r>
              <w:rPr>
                <w:sz w:val="20"/>
              </w:rPr>
              <w:lastRenderedPageBreak/>
              <w:t>1</w:t>
            </w:r>
            <w:r w:rsidR="00204A4C">
              <w:rPr>
                <w:sz w:val="20"/>
              </w:rPr>
              <w:t>8</w:t>
            </w:r>
            <w:r>
              <w:rPr>
                <w:sz w:val="20"/>
              </w:rPr>
              <w:t xml:space="preserve">.1.3 </w:t>
            </w:r>
            <w:r w:rsidR="00204A4C">
              <w:rPr>
                <w:sz w:val="20"/>
              </w:rPr>
              <w:t>E</w:t>
            </w:r>
            <w:r w:rsidRPr="00DA306B">
              <w:rPr>
                <w:sz w:val="20"/>
              </w:rPr>
              <w:t>nvironmental management</w:t>
            </w:r>
          </w:p>
          <w:p w14:paraId="183846F9" w14:textId="77777777" w:rsidR="004A16BA" w:rsidRDefault="004A16BA">
            <w:pPr>
              <w:rPr>
                <w:rFonts w:ascii="Arial" w:hAnsi="Arial"/>
              </w:rPr>
            </w:pPr>
          </w:p>
        </w:tc>
      </w:tr>
      <w:tr w:rsidR="004A16BA" w14:paraId="67A54CC3" w14:textId="77777777" w:rsidTr="00E71774">
        <w:tc>
          <w:tcPr>
            <w:tcW w:w="9243" w:type="dxa"/>
            <w:tcBorders>
              <w:bottom w:val="single" w:sz="4" w:space="0" w:color="auto"/>
            </w:tcBorders>
          </w:tcPr>
          <w:p w14:paraId="3306B59A" w14:textId="21A69143" w:rsidR="00DA306B" w:rsidRPr="00087D32" w:rsidRDefault="00D03EE4" w:rsidP="00C856DE">
            <w:pPr>
              <w:pStyle w:val="BodyText"/>
              <w:spacing w:after="120"/>
              <w:jc w:val="both"/>
              <w:rPr>
                <w:rFonts w:ascii="Arial" w:hAnsi="Arial"/>
                <w:b w:val="0"/>
                <w:bCs w:val="0"/>
                <w:i/>
                <w:sz w:val="20"/>
                <w:szCs w:val="20"/>
                <w:lang w:eastAsia="en-AU"/>
              </w:rPr>
            </w:pPr>
            <w:r>
              <w:rPr>
                <w:rFonts w:ascii="Arial" w:hAnsi="Arial"/>
                <w:b w:val="0"/>
                <w:bCs w:val="0"/>
                <w:sz w:val="20"/>
                <w:szCs w:val="20"/>
                <w:lang w:eastAsia="en-AU"/>
              </w:rPr>
              <w:t>A</w:t>
            </w:r>
            <w:r w:rsidR="00DA306B" w:rsidRPr="00DA306B">
              <w:rPr>
                <w:rFonts w:ascii="Arial" w:hAnsi="Arial"/>
                <w:b w:val="0"/>
                <w:bCs w:val="0"/>
                <w:sz w:val="20"/>
                <w:szCs w:val="20"/>
                <w:lang w:eastAsia="en-AU"/>
              </w:rPr>
              <w:t>ll Iluka sites operate under an environmental management plan (EMP), which is a key component of a</w:t>
            </w:r>
            <w:r w:rsidR="00D81B80">
              <w:rPr>
                <w:rFonts w:ascii="Arial" w:hAnsi="Arial"/>
                <w:b w:val="0"/>
                <w:bCs w:val="0"/>
                <w:sz w:val="20"/>
                <w:szCs w:val="20"/>
                <w:lang w:eastAsia="en-AU"/>
              </w:rPr>
              <w:t>n approved</w:t>
            </w:r>
            <w:r w:rsidR="00DA306B" w:rsidRPr="00DA306B">
              <w:rPr>
                <w:rFonts w:ascii="Arial" w:hAnsi="Arial"/>
                <w:b w:val="0"/>
                <w:bCs w:val="0"/>
                <w:sz w:val="20"/>
                <w:szCs w:val="20"/>
                <w:lang w:eastAsia="en-AU"/>
              </w:rPr>
              <w:t xml:space="preserve"> Mine Work Plan </w:t>
            </w:r>
            <w:r w:rsidR="00D81B80">
              <w:rPr>
                <w:rFonts w:ascii="Arial" w:hAnsi="Arial"/>
                <w:b w:val="0"/>
                <w:bCs w:val="0"/>
                <w:sz w:val="20"/>
                <w:szCs w:val="20"/>
                <w:lang w:eastAsia="en-AU"/>
              </w:rPr>
              <w:t xml:space="preserve">required </w:t>
            </w:r>
            <w:r w:rsidR="00DA306B" w:rsidRPr="00DA306B">
              <w:rPr>
                <w:rFonts w:ascii="Arial" w:hAnsi="Arial"/>
                <w:b w:val="0"/>
                <w:bCs w:val="0"/>
                <w:sz w:val="20"/>
                <w:szCs w:val="20"/>
                <w:lang w:eastAsia="en-AU"/>
              </w:rPr>
              <w:t xml:space="preserve">under the </w:t>
            </w:r>
            <w:r w:rsidR="00DA306B" w:rsidRPr="00087D32">
              <w:rPr>
                <w:rFonts w:ascii="Arial" w:hAnsi="Arial"/>
                <w:b w:val="0"/>
                <w:bCs w:val="0"/>
                <w:i/>
                <w:sz w:val="20"/>
                <w:szCs w:val="20"/>
                <w:lang w:eastAsia="en-AU"/>
              </w:rPr>
              <w:t xml:space="preserve">Mineral Resources (Sustainable Development) Act 1990. </w:t>
            </w:r>
          </w:p>
          <w:p w14:paraId="2371B574" w14:textId="6C031788" w:rsidR="00DA306B" w:rsidRDefault="00DA306B" w:rsidP="00C856DE">
            <w:pPr>
              <w:pStyle w:val="BodyText"/>
              <w:spacing w:after="120"/>
              <w:jc w:val="both"/>
              <w:rPr>
                <w:rFonts w:ascii="Arial" w:hAnsi="Arial"/>
                <w:b w:val="0"/>
                <w:bCs w:val="0"/>
                <w:sz w:val="20"/>
                <w:szCs w:val="20"/>
                <w:lang w:eastAsia="en-AU"/>
              </w:rPr>
            </w:pPr>
            <w:r w:rsidRPr="00DA306B">
              <w:rPr>
                <w:rFonts w:ascii="Arial" w:hAnsi="Arial"/>
                <w:b w:val="0"/>
                <w:bCs w:val="0"/>
                <w:sz w:val="20"/>
                <w:szCs w:val="20"/>
                <w:lang w:eastAsia="en-AU"/>
              </w:rPr>
              <w:t xml:space="preserve">A site-specific EMP will be prepared for the Wimmera Project covering the construction, operational, closure, rehabilitation and post-closure phases. The EMP will outline </w:t>
            </w:r>
            <w:r w:rsidR="00C856DE" w:rsidRPr="00DA306B">
              <w:rPr>
                <w:rFonts w:ascii="Arial" w:hAnsi="Arial"/>
                <w:b w:val="0"/>
                <w:bCs w:val="0"/>
                <w:sz w:val="20"/>
                <w:szCs w:val="20"/>
                <w:lang w:eastAsia="en-AU"/>
              </w:rPr>
              <w:t xml:space="preserve">mitigation measures </w:t>
            </w:r>
            <w:r w:rsidR="00C856DE">
              <w:rPr>
                <w:rFonts w:ascii="Arial" w:hAnsi="Arial"/>
                <w:b w:val="0"/>
                <w:bCs w:val="0"/>
                <w:sz w:val="20"/>
                <w:szCs w:val="20"/>
                <w:lang w:eastAsia="en-AU"/>
              </w:rPr>
              <w:t xml:space="preserve">and </w:t>
            </w:r>
            <w:r w:rsidRPr="00DA306B">
              <w:rPr>
                <w:rFonts w:ascii="Arial" w:hAnsi="Arial"/>
                <w:b w:val="0"/>
                <w:bCs w:val="0"/>
                <w:sz w:val="20"/>
                <w:szCs w:val="20"/>
                <w:lang w:eastAsia="en-AU"/>
              </w:rPr>
              <w:t xml:space="preserve">environmental performance criteria (where relevant) for the following aspects: </w:t>
            </w:r>
          </w:p>
          <w:p w14:paraId="5C4AFB2E"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air quality;</w:t>
            </w:r>
          </w:p>
          <w:p w14:paraId="4392FDF6"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biodiversity; </w:t>
            </w:r>
          </w:p>
          <w:p w14:paraId="79258F92"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contaminated land management; </w:t>
            </w:r>
          </w:p>
          <w:p w14:paraId="3101BFA3"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erosion management;</w:t>
            </w:r>
          </w:p>
          <w:p w14:paraId="2B21A3C3"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groundwater quality and management;</w:t>
            </w:r>
          </w:p>
          <w:p w14:paraId="4494379F"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heritage;</w:t>
            </w:r>
          </w:p>
          <w:p w14:paraId="0526A90E"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noise;</w:t>
            </w:r>
          </w:p>
          <w:p w14:paraId="37302CD8" w14:textId="0E1F6E1E"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radiation; </w:t>
            </w:r>
          </w:p>
          <w:p w14:paraId="66D01FE8" w14:textId="06051305" w:rsidR="00D03EE4" w:rsidRPr="00724697" w:rsidRDefault="00D03EE4"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rehabilitation;</w:t>
            </w:r>
          </w:p>
          <w:p w14:paraId="4E351B22"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soil quality;</w:t>
            </w:r>
          </w:p>
          <w:p w14:paraId="665EB7D3"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spill prevention and management; </w:t>
            </w:r>
          </w:p>
          <w:p w14:paraId="5ABEF6A3"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surface water quality and management; </w:t>
            </w:r>
          </w:p>
          <w:p w14:paraId="6B08B503"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traffic and transport;</w:t>
            </w:r>
          </w:p>
          <w:p w14:paraId="48152036"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visual amenity; and </w:t>
            </w:r>
          </w:p>
          <w:p w14:paraId="1F56FFF0" w14:textId="66DC4127" w:rsidR="004A16BA" w:rsidRPr="00724697" w:rsidRDefault="00DA306B" w:rsidP="00724697">
            <w:pPr>
              <w:pStyle w:val="BodyText"/>
              <w:numPr>
                <w:ilvl w:val="0"/>
                <w:numId w:val="57"/>
              </w:numPr>
              <w:spacing w:after="120"/>
              <w:jc w:val="both"/>
              <w:rPr>
                <w:b w:val="0"/>
                <w:bCs w:val="0"/>
              </w:rPr>
            </w:pPr>
            <w:r w:rsidRPr="00724697">
              <w:rPr>
                <w:rFonts w:ascii="Arial" w:hAnsi="Arial"/>
                <w:b w:val="0"/>
                <w:bCs w:val="0"/>
                <w:sz w:val="20"/>
                <w:szCs w:val="20"/>
                <w:lang w:eastAsia="en-AU"/>
              </w:rPr>
              <w:t>waste disposal and management</w:t>
            </w:r>
            <w:r w:rsidR="00724697" w:rsidRPr="00724697">
              <w:rPr>
                <w:rFonts w:ascii="Arial" w:hAnsi="Arial"/>
                <w:b w:val="0"/>
                <w:bCs w:val="0"/>
                <w:sz w:val="20"/>
                <w:szCs w:val="20"/>
                <w:lang w:eastAsia="en-AU"/>
              </w:rPr>
              <w:t>.</w:t>
            </w:r>
          </w:p>
        </w:tc>
      </w:tr>
      <w:tr w:rsidR="004A16BA" w14:paraId="5CE5C0ED" w14:textId="77777777" w:rsidTr="00E71774">
        <w:tc>
          <w:tcPr>
            <w:tcW w:w="9243" w:type="dxa"/>
            <w:tcBorders>
              <w:top w:val="single" w:sz="4" w:space="0" w:color="auto"/>
              <w:bottom w:val="single" w:sz="4" w:space="0" w:color="auto"/>
            </w:tcBorders>
          </w:tcPr>
          <w:p w14:paraId="655FB4ED" w14:textId="00574EEF" w:rsidR="00204A4C" w:rsidRDefault="00204A4C" w:rsidP="00204A4C">
            <w:pPr>
              <w:pStyle w:val="BodyText"/>
              <w:jc w:val="both"/>
              <w:rPr>
                <w:rFonts w:ascii="Arial" w:hAnsi="Arial"/>
                <w:bCs w:val="0"/>
                <w:sz w:val="20"/>
                <w:szCs w:val="20"/>
                <w:lang w:eastAsia="en-AU"/>
              </w:rPr>
            </w:pPr>
            <w:r>
              <w:rPr>
                <w:rFonts w:ascii="Arial" w:hAnsi="Arial"/>
                <w:bCs w:val="0"/>
                <w:sz w:val="20"/>
                <w:szCs w:val="20"/>
                <w:lang w:eastAsia="en-AU"/>
              </w:rPr>
              <w:t>18.1.</w:t>
            </w:r>
            <w:r>
              <w:rPr>
                <w:rFonts w:ascii="Arial" w:hAnsi="Arial"/>
                <w:bCs w:val="0"/>
                <w:sz w:val="20"/>
                <w:szCs w:val="20"/>
                <w:lang w:eastAsia="en-AU"/>
              </w:rPr>
              <w:t>4</w:t>
            </w:r>
            <w:r>
              <w:rPr>
                <w:rFonts w:ascii="Arial" w:hAnsi="Arial"/>
                <w:bCs w:val="0"/>
                <w:sz w:val="20"/>
                <w:szCs w:val="20"/>
                <w:lang w:eastAsia="en-AU"/>
              </w:rPr>
              <w:t xml:space="preserve"> </w:t>
            </w:r>
            <w:r w:rsidRPr="00DA306B">
              <w:rPr>
                <w:rFonts w:ascii="Arial" w:hAnsi="Arial"/>
                <w:bCs w:val="0"/>
                <w:sz w:val="20"/>
                <w:szCs w:val="20"/>
                <w:lang w:eastAsia="en-AU"/>
              </w:rPr>
              <w:t>Other</w:t>
            </w:r>
            <w:r>
              <w:rPr>
                <w:rFonts w:ascii="Arial" w:hAnsi="Arial"/>
                <w:bCs w:val="0"/>
                <w:sz w:val="20"/>
                <w:szCs w:val="20"/>
                <w:lang w:eastAsia="en-AU"/>
              </w:rPr>
              <w:t xml:space="preserve"> (radiation)</w:t>
            </w:r>
          </w:p>
          <w:p w14:paraId="7BA789D5" w14:textId="77777777" w:rsidR="00204A4C" w:rsidRPr="00204A4C" w:rsidRDefault="00204A4C" w:rsidP="00204A4C"/>
          <w:p w14:paraId="597E12A9" w14:textId="7823BE09" w:rsidR="00DA306B" w:rsidRDefault="00DA306B" w:rsidP="00DA306B">
            <w:pPr>
              <w:pStyle w:val="BodyText"/>
              <w:jc w:val="both"/>
              <w:rPr>
                <w:rFonts w:ascii="Arial" w:hAnsi="Arial"/>
                <w:b w:val="0"/>
                <w:bCs w:val="0"/>
                <w:sz w:val="20"/>
                <w:szCs w:val="20"/>
                <w:lang w:eastAsia="en-AU"/>
              </w:rPr>
            </w:pPr>
            <w:r w:rsidRPr="00DA306B">
              <w:rPr>
                <w:rFonts w:ascii="Arial" w:hAnsi="Arial"/>
                <w:b w:val="0"/>
                <w:bCs w:val="0"/>
                <w:sz w:val="20"/>
                <w:szCs w:val="20"/>
                <w:lang w:eastAsia="en-AU"/>
              </w:rPr>
              <w:t>As summarised in Section 3.6.</w:t>
            </w:r>
            <w:r w:rsidR="00D03EE4">
              <w:rPr>
                <w:rFonts w:ascii="Arial" w:hAnsi="Arial"/>
                <w:b w:val="0"/>
                <w:bCs w:val="0"/>
                <w:sz w:val="20"/>
                <w:szCs w:val="20"/>
                <w:lang w:eastAsia="en-AU"/>
              </w:rPr>
              <w:t>7, 1</w:t>
            </w:r>
            <w:r w:rsidR="005267B3">
              <w:rPr>
                <w:rFonts w:ascii="Arial" w:hAnsi="Arial"/>
                <w:b w:val="0"/>
                <w:bCs w:val="0"/>
                <w:sz w:val="20"/>
                <w:szCs w:val="20"/>
                <w:lang w:eastAsia="en-AU"/>
              </w:rPr>
              <w:t xml:space="preserve">1.2 </w:t>
            </w:r>
            <w:r w:rsidR="00D03EE4">
              <w:rPr>
                <w:rFonts w:ascii="Arial" w:hAnsi="Arial"/>
                <w:b w:val="0"/>
                <w:bCs w:val="0"/>
                <w:sz w:val="20"/>
                <w:szCs w:val="20"/>
                <w:lang w:eastAsia="en-AU"/>
              </w:rPr>
              <w:t>and 1</w:t>
            </w:r>
            <w:r w:rsidR="005267B3">
              <w:rPr>
                <w:rFonts w:ascii="Arial" w:hAnsi="Arial"/>
                <w:b w:val="0"/>
                <w:bCs w:val="0"/>
                <w:sz w:val="20"/>
                <w:szCs w:val="20"/>
                <w:lang w:eastAsia="en-AU"/>
              </w:rPr>
              <w:t>6</w:t>
            </w:r>
            <w:r w:rsidR="00D03EE4">
              <w:rPr>
                <w:rFonts w:ascii="Arial" w:hAnsi="Arial"/>
                <w:b w:val="0"/>
                <w:bCs w:val="0"/>
                <w:sz w:val="20"/>
                <w:szCs w:val="20"/>
                <w:lang w:eastAsia="en-AU"/>
              </w:rPr>
              <w:t xml:space="preserve">.2.2, </w:t>
            </w:r>
            <w:r w:rsidRPr="00DA306B">
              <w:rPr>
                <w:rFonts w:ascii="Arial" w:hAnsi="Arial"/>
                <w:b w:val="0"/>
                <w:bCs w:val="0"/>
                <w:sz w:val="20"/>
                <w:szCs w:val="20"/>
                <w:lang w:eastAsia="en-AU"/>
              </w:rPr>
              <w:t>the disposal method for the low</w:t>
            </w:r>
            <w:r w:rsidR="00C62D9A">
              <w:rPr>
                <w:rFonts w:ascii="Arial" w:hAnsi="Arial"/>
                <w:b w:val="0"/>
                <w:bCs w:val="0"/>
                <w:sz w:val="20"/>
                <w:szCs w:val="20"/>
                <w:lang w:eastAsia="en-AU"/>
              </w:rPr>
              <w:t>-</w:t>
            </w:r>
            <w:r w:rsidRPr="00DA306B">
              <w:rPr>
                <w:rFonts w:ascii="Arial" w:hAnsi="Arial"/>
                <w:b w:val="0"/>
                <w:bCs w:val="0"/>
                <w:sz w:val="20"/>
                <w:szCs w:val="20"/>
                <w:lang w:eastAsia="en-AU"/>
              </w:rPr>
              <w:t xml:space="preserve">level radioactive waste from the refinery </w:t>
            </w:r>
            <w:r w:rsidR="007832E5">
              <w:rPr>
                <w:rFonts w:ascii="Arial" w:hAnsi="Arial"/>
                <w:b w:val="0"/>
                <w:bCs w:val="0"/>
                <w:sz w:val="20"/>
                <w:szCs w:val="20"/>
                <w:lang w:eastAsia="en-AU"/>
              </w:rPr>
              <w:t>waste</w:t>
            </w:r>
            <w:r w:rsidRPr="00DA306B">
              <w:rPr>
                <w:rFonts w:ascii="Arial" w:hAnsi="Arial"/>
                <w:b w:val="0"/>
                <w:bCs w:val="0"/>
                <w:sz w:val="20"/>
                <w:szCs w:val="20"/>
                <w:lang w:eastAsia="en-AU"/>
              </w:rPr>
              <w:t xml:space="preserve"> streams is yet to be determined. Conceptually, the two disposal options for the refinery </w:t>
            </w:r>
            <w:r w:rsidR="007832E5">
              <w:rPr>
                <w:rFonts w:ascii="Arial" w:hAnsi="Arial"/>
                <w:b w:val="0"/>
                <w:bCs w:val="0"/>
                <w:sz w:val="20"/>
                <w:szCs w:val="20"/>
                <w:lang w:eastAsia="en-AU"/>
              </w:rPr>
              <w:t>waste</w:t>
            </w:r>
            <w:r w:rsidRPr="00DA306B">
              <w:rPr>
                <w:rFonts w:ascii="Arial" w:hAnsi="Arial"/>
                <w:b w:val="0"/>
                <w:bCs w:val="0"/>
                <w:sz w:val="20"/>
                <w:szCs w:val="20"/>
                <w:lang w:eastAsia="en-AU"/>
              </w:rPr>
              <w:t xml:space="preserve"> streams are:</w:t>
            </w:r>
          </w:p>
          <w:p w14:paraId="2AE41F84" w14:textId="77777777" w:rsidR="00724697" w:rsidRPr="00DA306B" w:rsidRDefault="00724697" w:rsidP="00DA306B">
            <w:pPr>
              <w:pStyle w:val="BodyText"/>
              <w:jc w:val="both"/>
              <w:rPr>
                <w:rFonts w:ascii="Arial" w:hAnsi="Arial"/>
                <w:b w:val="0"/>
                <w:bCs w:val="0"/>
                <w:sz w:val="20"/>
                <w:szCs w:val="20"/>
                <w:lang w:eastAsia="en-AU"/>
              </w:rPr>
            </w:pPr>
          </w:p>
          <w:p w14:paraId="549ECD7C" w14:textId="1778752B"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placed in engineered, lined cells within the Project site for permanent storage; (Figure </w:t>
            </w:r>
            <w:r w:rsidR="007E61D6" w:rsidRPr="00724697">
              <w:rPr>
                <w:rFonts w:ascii="Arial" w:hAnsi="Arial"/>
                <w:b w:val="0"/>
                <w:bCs w:val="0"/>
                <w:sz w:val="20"/>
                <w:szCs w:val="20"/>
                <w:lang w:eastAsia="en-AU"/>
              </w:rPr>
              <w:t>5</w:t>
            </w:r>
            <w:r w:rsidRPr="00724697">
              <w:rPr>
                <w:rFonts w:ascii="Arial" w:hAnsi="Arial"/>
                <w:b w:val="0"/>
                <w:bCs w:val="0"/>
                <w:sz w:val="20"/>
                <w:szCs w:val="20"/>
                <w:lang w:eastAsia="en-AU"/>
              </w:rPr>
              <w:t>) or</w:t>
            </w:r>
          </w:p>
          <w:p w14:paraId="6B3E040E" w14:textId="3C8EAB69"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placed into the mine voids with the mineral separation plant tailings (Figure </w:t>
            </w:r>
            <w:r w:rsidR="007E61D6" w:rsidRPr="00724697">
              <w:rPr>
                <w:rFonts w:ascii="Arial" w:hAnsi="Arial"/>
                <w:b w:val="0"/>
                <w:bCs w:val="0"/>
                <w:sz w:val="20"/>
                <w:szCs w:val="20"/>
                <w:lang w:eastAsia="en-AU"/>
              </w:rPr>
              <w:t>6</w:t>
            </w:r>
            <w:r w:rsidRPr="00724697">
              <w:rPr>
                <w:rFonts w:ascii="Arial" w:hAnsi="Arial"/>
                <w:b w:val="0"/>
                <w:bCs w:val="0"/>
                <w:sz w:val="20"/>
                <w:szCs w:val="20"/>
                <w:lang w:eastAsia="en-AU"/>
              </w:rPr>
              <w:t>).</w:t>
            </w:r>
          </w:p>
          <w:p w14:paraId="452E9083" w14:textId="6BC3CDF2" w:rsidR="00DA306B" w:rsidRDefault="00DA306B" w:rsidP="007832E5">
            <w:pPr>
              <w:pStyle w:val="BodyText"/>
              <w:spacing w:after="120"/>
              <w:jc w:val="both"/>
              <w:rPr>
                <w:rFonts w:ascii="Arial" w:hAnsi="Arial"/>
                <w:b w:val="0"/>
                <w:bCs w:val="0"/>
                <w:sz w:val="20"/>
                <w:szCs w:val="20"/>
                <w:lang w:eastAsia="en-AU"/>
              </w:rPr>
            </w:pPr>
            <w:bookmarkStart w:id="170" w:name="_Hlk5881590"/>
            <w:r w:rsidRPr="00DA306B">
              <w:rPr>
                <w:rFonts w:ascii="Arial" w:hAnsi="Arial"/>
                <w:b w:val="0"/>
                <w:bCs w:val="0"/>
                <w:sz w:val="20"/>
                <w:szCs w:val="20"/>
                <w:lang w:eastAsia="en-AU"/>
              </w:rPr>
              <w:t xml:space="preserve">The zircon and rare earth products produced at the refinery are expected to have an activity content over 1 </w:t>
            </w:r>
            <w:proofErr w:type="spellStart"/>
            <w:r w:rsidRPr="00DA306B">
              <w:rPr>
                <w:rFonts w:ascii="Arial" w:hAnsi="Arial"/>
                <w:b w:val="0"/>
                <w:bCs w:val="0"/>
                <w:sz w:val="20"/>
                <w:szCs w:val="20"/>
                <w:lang w:eastAsia="en-AU"/>
              </w:rPr>
              <w:t>Bq</w:t>
            </w:r>
            <w:proofErr w:type="spellEnd"/>
            <w:r w:rsidRPr="00DA306B">
              <w:rPr>
                <w:rFonts w:ascii="Arial" w:hAnsi="Arial"/>
                <w:b w:val="0"/>
                <w:bCs w:val="0"/>
                <w:sz w:val="20"/>
                <w:szCs w:val="20"/>
                <w:lang w:eastAsia="en-AU"/>
              </w:rPr>
              <w:t>/g and would therefore be considered radioactive. These products will be temporar</w:t>
            </w:r>
            <w:r w:rsidR="007832E5">
              <w:rPr>
                <w:rFonts w:ascii="Arial" w:hAnsi="Arial"/>
                <w:b w:val="0"/>
                <w:bCs w:val="0"/>
                <w:sz w:val="20"/>
                <w:szCs w:val="20"/>
                <w:lang w:eastAsia="en-AU"/>
              </w:rPr>
              <w:t>il</w:t>
            </w:r>
            <w:r w:rsidRPr="00DA306B">
              <w:rPr>
                <w:rFonts w:ascii="Arial" w:hAnsi="Arial"/>
                <w:b w:val="0"/>
                <w:bCs w:val="0"/>
                <w:sz w:val="20"/>
                <w:szCs w:val="20"/>
                <w:lang w:eastAsia="en-AU"/>
              </w:rPr>
              <w:t xml:space="preserve">y stored at site prior to transport. </w:t>
            </w:r>
          </w:p>
          <w:p w14:paraId="67C0A703" w14:textId="77777777" w:rsidR="00DA306B" w:rsidRDefault="00DA306B" w:rsidP="007832E5">
            <w:pPr>
              <w:pStyle w:val="BodyText"/>
              <w:spacing w:after="120"/>
              <w:jc w:val="both"/>
              <w:rPr>
                <w:rFonts w:ascii="Arial" w:hAnsi="Arial"/>
                <w:b w:val="0"/>
                <w:bCs w:val="0"/>
                <w:sz w:val="20"/>
                <w:szCs w:val="20"/>
                <w:lang w:eastAsia="en-AU"/>
              </w:rPr>
            </w:pPr>
            <w:bookmarkStart w:id="171" w:name="_Hlk7704519"/>
            <w:r w:rsidRPr="00DA306B">
              <w:rPr>
                <w:rFonts w:ascii="Arial" w:hAnsi="Arial"/>
                <w:b w:val="0"/>
                <w:bCs w:val="0"/>
                <w:sz w:val="20"/>
                <w:szCs w:val="20"/>
                <w:lang w:eastAsia="en-AU"/>
              </w:rPr>
              <w:t>Radioactive materials will be handled, stored, transported and disposed in accordance with international best practice and applicable Australian legislation.</w:t>
            </w:r>
          </w:p>
          <w:p w14:paraId="1AF107F5" w14:textId="77777777" w:rsidR="004A16BA" w:rsidRDefault="00DA306B" w:rsidP="00FD555F">
            <w:pPr>
              <w:pStyle w:val="BodyText"/>
              <w:spacing w:after="120"/>
              <w:jc w:val="both"/>
              <w:rPr>
                <w:rFonts w:ascii="Arial" w:hAnsi="Arial"/>
                <w:b w:val="0"/>
                <w:bCs w:val="0"/>
                <w:sz w:val="20"/>
                <w:szCs w:val="20"/>
                <w:lang w:eastAsia="en-AU"/>
              </w:rPr>
            </w:pPr>
            <w:r w:rsidRPr="00DA306B">
              <w:rPr>
                <w:rFonts w:ascii="Arial" w:hAnsi="Arial"/>
                <w:b w:val="0"/>
                <w:bCs w:val="0"/>
                <w:sz w:val="20"/>
                <w:szCs w:val="20"/>
                <w:lang w:eastAsia="en-AU"/>
              </w:rPr>
              <w:t xml:space="preserve">Radiation will be managed in accordance with Iluka’s Murray Basin Operations Radiation Management Plan. A site-specific addendum to the Radiation Management Plan will be prepared for the Wimmera Project to ensure that exposure to radiation meets prescribed statutory limits and is as low as is reasonably achievable. </w:t>
            </w:r>
            <w:bookmarkEnd w:id="170"/>
            <w:bookmarkEnd w:id="171"/>
          </w:p>
          <w:p w14:paraId="0C7B411C" w14:textId="77777777" w:rsidR="00204A4C" w:rsidRPr="00204A4C" w:rsidRDefault="00204A4C" w:rsidP="00204A4C">
            <w:pPr>
              <w:rPr>
                <w:lang w:eastAsia="en-US"/>
              </w:rPr>
            </w:pPr>
          </w:p>
          <w:p w14:paraId="3B5ABF60" w14:textId="77777777" w:rsidR="00204A4C" w:rsidRPr="00204A4C" w:rsidRDefault="00204A4C" w:rsidP="00204A4C">
            <w:pPr>
              <w:rPr>
                <w:lang w:eastAsia="en-US"/>
              </w:rPr>
            </w:pPr>
          </w:p>
          <w:p w14:paraId="19CD7A6E" w14:textId="77777777" w:rsidR="00204A4C" w:rsidRPr="00204A4C" w:rsidRDefault="00204A4C" w:rsidP="00204A4C">
            <w:pPr>
              <w:rPr>
                <w:lang w:eastAsia="en-US"/>
              </w:rPr>
            </w:pPr>
          </w:p>
          <w:p w14:paraId="47689CB8" w14:textId="77777777" w:rsidR="00204A4C" w:rsidRPr="00204A4C" w:rsidRDefault="00204A4C" w:rsidP="00204A4C">
            <w:pPr>
              <w:rPr>
                <w:lang w:eastAsia="en-US"/>
              </w:rPr>
            </w:pPr>
          </w:p>
          <w:p w14:paraId="285DCC8F" w14:textId="77777777" w:rsidR="00204A4C" w:rsidRPr="00204A4C" w:rsidRDefault="00204A4C" w:rsidP="00204A4C">
            <w:pPr>
              <w:rPr>
                <w:lang w:eastAsia="en-US"/>
              </w:rPr>
            </w:pPr>
          </w:p>
          <w:p w14:paraId="30D1E06C" w14:textId="77777777" w:rsidR="00204A4C" w:rsidRPr="00204A4C" w:rsidRDefault="00204A4C" w:rsidP="00204A4C">
            <w:pPr>
              <w:rPr>
                <w:lang w:eastAsia="en-US"/>
              </w:rPr>
            </w:pPr>
          </w:p>
          <w:p w14:paraId="26BF81C1" w14:textId="77777777" w:rsidR="00204A4C" w:rsidRPr="00204A4C" w:rsidRDefault="00204A4C" w:rsidP="00204A4C">
            <w:pPr>
              <w:rPr>
                <w:lang w:eastAsia="en-US"/>
              </w:rPr>
            </w:pPr>
          </w:p>
          <w:p w14:paraId="3852520A" w14:textId="77777777" w:rsidR="00204A4C" w:rsidRPr="00204A4C" w:rsidRDefault="00204A4C" w:rsidP="00204A4C">
            <w:pPr>
              <w:rPr>
                <w:lang w:eastAsia="en-US"/>
              </w:rPr>
            </w:pPr>
          </w:p>
          <w:p w14:paraId="21F2063B" w14:textId="492224D2" w:rsidR="00204A4C" w:rsidRPr="00204A4C" w:rsidRDefault="00204A4C" w:rsidP="00204A4C">
            <w:pPr>
              <w:tabs>
                <w:tab w:val="left" w:pos="5347"/>
              </w:tabs>
              <w:rPr>
                <w:lang w:eastAsia="en-US"/>
              </w:rPr>
            </w:pPr>
            <w:r>
              <w:rPr>
                <w:lang w:eastAsia="en-US"/>
              </w:rPr>
              <w:tab/>
            </w:r>
          </w:p>
        </w:tc>
      </w:tr>
      <w:tr w:rsidR="004A16BA" w14:paraId="63FE8AB2" w14:textId="77777777" w:rsidTr="00FD555F">
        <w:tc>
          <w:tcPr>
            <w:tcW w:w="9243" w:type="dxa"/>
            <w:tcBorders>
              <w:bottom w:val="nil"/>
            </w:tcBorders>
          </w:tcPr>
          <w:p w14:paraId="017F216C" w14:textId="6D0A53E1" w:rsidR="00DA306B" w:rsidRPr="00DA306B" w:rsidRDefault="00DA306B" w:rsidP="00DA306B">
            <w:pPr>
              <w:pStyle w:val="Heading1"/>
              <w:ind w:left="0"/>
              <w:rPr>
                <w:sz w:val="22"/>
                <w:szCs w:val="22"/>
              </w:rPr>
            </w:pPr>
            <w:bookmarkStart w:id="172" w:name="_Toc5611097"/>
            <w:bookmarkStart w:id="173" w:name="_Toc7770320"/>
            <w:bookmarkStart w:id="174" w:name="_Toc7787933"/>
            <w:bookmarkStart w:id="175" w:name="_Toc8384828"/>
            <w:r w:rsidRPr="00DA306B">
              <w:rPr>
                <w:sz w:val="22"/>
                <w:szCs w:val="22"/>
              </w:rPr>
              <w:lastRenderedPageBreak/>
              <w:t>1</w:t>
            </w:r>
            <w:r w:rsidR="00204A4C">
              <w:rPr>
                <w:sz w:val="22"/>
                <w:szCs w:val="22"/>
              </w:rPr>
              <w:t>9</w:t>
            </w:r>
            <w:r w:rsidRPr="00DA306B">
              <w:rPr>
                <w:sz w:val="22"/>
                <w:szCs w:val="22"/>
              </w:rPr>
              <w:t xml:space="preserve"> Other activities</w:t>
            </w:r>
            <w:bookmarkEnd w:id="172"/>
            <w:bookmarkEnd w:id="173"/>
            <w:bookmarkEnd w:id="174"/>
            <w:bookmarkEnd w:id="175"/>
          </w:p>
          <w:p w14:paraId="0531D67F" w14:textId="77777777" w:rsidR="004A16BA" w:rsidRDefault="004A16BA">
            <w:pPr>
              <w:rPr>
                <w:rFonts w:ascii="Arial" w:hAnsi="Arial"/>
              </w:rPr>
            </w:pPr>
          </w:p>
        </w:tc>
      </w:tr>
      <w:tr w:rsidR="00DA306B" w14:paraId="2265990E" w14:textId="77777777" w:rsidTr="00FD555F">
        <w:tc>
          <w:tcPr>
            <w:tcW w:w="9243" w:type="dxa"/>
            <w:tcBorders>
              <w:top w:val="nil"/>
              <w:bottom w:val="single" w:sz="4" w:space="0" w:color="auto"/>
            </w:tcBorders>
          </w:tcPr>
          <w:p w14:paraId="371BBBB8" w14:textId="13C3F494" w:rsidR="00DA306B" w:rsidRPr="00DA306B" w:rsidRDefault="00DA306B" w:rsidP="00DA306B">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76" w:name="_Toc7770321"/>
            <w:r>
              <w:t>1</w:t>
            </w:r>
            <w:r w:rsidR="00204A4C">
              <w:t>9</w:t>
            </w:r>
            <w:r>
              <w:t xml:space="preserve">.1 </w:t>
            </w:r>
            <w:r w:rsidRPr="00DA306B">
              <w:t>Are there any other activities in the vicinity of the proposed Project that have a potential for cumulative effects?</w:t>
            </w:r>
            <w:bookmarkEnd w:id="176"/>
          </w:p>
          <w:p w14:paraId="68AA05F8" w14:textId="77777777" w:rsidR="00204A4C" w:rsidRPr="00204A4C" w:rsidRDefault="00204A4C" w:rsidP="00DA306B">
            <w:pPr>
              <w:pStyle w:val="BodyText"/>
              <w:jc w:val="both"/>
              <w:rPr>
                <w:rFonts w:ascii="Arial" w:hAnsi="Arial"/>
                <w:b w:val="0"/>
                <w:bCs w:val="0"/>
                <w:sz w:val="20"/>
                <w:szCs w:val="20"/>
                <w:lang w:eastAsia="en-AU"/>
              </w:rPr>
            </w:pPr>
            <w:r w:rsidRPr="00204A4C">
              <w:rPr>
                <w:rFonts w:ascii="Arial" w:hAnsi="Arial"/>
                <w:b w:val="0"/>
                <w:bCs w:val="0"/>
                <w:sz w:val="20"/>
                <w:szCs w:val="20"/>
                <w:lang w:eastAsia="en-AU"/>
              </w:rPr>
              <w:sym w:font="Webdings" w:char="F072"/>
            </w:r>
            <w:r w:rsidRPr="00204A4C">
              <w:rPr>
                <w:rFonts w:ascii="Arial" w:hAnsi="Arial"/>
                <w:b w:val="0"/>
                <w:bCs w:val="0"/>
                <w:sz w:val="20"/>
                <w:szCs w:val="20"/>
                <w:lang w:eastAsia="en-AU"/>
              </w:rPr>
              <w:t xml:space="preserve">  NYD    </w:t>
            </w:r>
            <w:r w:rsidRPr="00204A4C">
              <w:rPr>
                <w:rFonts w:ascii="Arial" w:hAnsi="Arial"/>
                <w:b w:val="0"/>
                <w:bCs w:val="0"/>
                <w:color w:val="E7E6E6" w:themeColor="background2"/>
                <w:sz w:val="20"/>
                <w:szCs w:val="20"/>
                <w:lang w:eastAsia="en-AU"/>
              </w:rPr>
              <w:sym w:font="Webdings" w:char="F072"/>
            </w:r>
            <w:r w:rsidRPr="00204A4C">
              <w:rPr>
                <w:rFonts w:ascii="Arial" w:hAnsi="Arial"/>
                <w:b w:val="0"/>
                <w:bCs w:val="0"/>
                <w:sz w:val="20"/>
                <w:szCs w:val="20"/>
                <w:lang w:eastAsia="en-AU"/>
              </w:rPr>
              <w:t xml:space="preserve">  No    </w:t>
            </w:r>
            <w:r w:rsidRPr="00204A4C">
              <w:rPr>
                <w:rFonts w:ascii="Arial" w:hAnsi="Arial"/>
                <w:b w:val="0"/>
                <w:bCs w:val="0"/>
                <w:color w:val="E7E6E6" w:themeColor="background2"/>
                <w:sz w:val="20"/>
                <w:szCs w:val="20"/>
                <w:lang w:eastAsia="en-AU"/>
              </w:rPr>
              <w:sym w:font="Webdings" w:char="F072"/>
            </w:r>
            <w:r w:rsidRPr="00204A4C">
              <w:rPr>
                <w:rFonts w:ascii="Arial" w:hAnsi="Arial"/>
                <w:b w:val="0"/>
                <w:bCs w:val="0"/>
                <w:sz w:val="20"/>
                <w:szCs w:val="20"/>
                <w:lang w:eastAsia="en-AU"/>
              </w:rPr>
              <w:t xml:space="preserve">  Yes   </w:t>
            </w:r>
          </w:p>
          <w:p w14:paraId="5B803281" w14:textId="77777777" w:rsidR="00204A4C" w:rsidRDefault="00204A4C" w:rsidP="00DA306B">
            <w:pPr>
              <w:pStyle w:val="BodyText"/>
              <w:jc w:val="both"/>
              <w:rPr>
                <w:rFonts w:ascii="Arial" w:hAnsi="Arial"/>
                <w:b w:val="0"/>
              </w:rPr>
            </w:pPr>
          </w:p>
          <w:p w14:paraId="082475BA" w14:textId="5DB3F30D" w:rsidR="009A3FC9" w:rsidRDefault="009A3FC9" w:rsidP="00DA306B">
            <w:pPr>
              <w:pStyle w:val="BodyText"/>
              <w:jc w:val="both"/>
              <w:rPr>
                <w:rFonts w:ascii="Arial" w:hAnsi="Arial"/>
                <w:b w:val="0"/>
                <w:bCs w:val="0"/>
                <w:sz w:val="20"/>
                <w:szCs w:val="20"/>
                <w:lang w:eastAsia="en-AU"/>
              </w:rPr>
            </w:pPr>
            <w:r>
              <w:rPr>
                <w:rFonts w:ascii="Arial" w:hAnsi="Arial"/>
                <w:b w:val="0"/>
                <w:bCs w:val="0"/>
                <w:sz w:val="20"/>
                <w:szCs w:val="20"/>
                <w:lang w:eastAsia="en-AU"/>
              </w:rPr>
              <w:t>Other activities in the local region that have a potential for cumulative effects include:</w:t>
            </w:r>
          </w:p>
          <w:p w14:paraId="70725372" w14:textId="77777777" w:rsidR="009A3FC9" w:rsidRDefault="009A3FC9" w:rsidP="00DA306B">
            <w:pPr>
              <w:pStyle w:val="BodyText"/>
              <w:jc w:val="both"/>
              <w:rPr>
                <w:rFonts w:ascii="Arial" w:hAnsi="Arial"/>
                <w:b w:val="0"/>
                <w:bCs w:val="0"/>
                <w:sz w:val="20"/>
                <w:szCs w:val="20"/>
                <w:lang w:eastAsia="en-AU"/>
              </w:rPr>
            </w:pPr>
          </w:p>
          <w:p w14:paraId="0487CF6C" w14:textId="2F5E88C0" w:rsidR="009A3FC9" w:rsidRPr="00E71774" w:rsidRDefault="009A3FC9" w:rsidP="00724697">
            <w:pPr>
              <w:pStyle w:val="BodyText"/>
              <w:numPr>
                <w:ilvl w:val="0"/>
                <w:numId w:val="57"/>
              </w:numPr>
              <w:spacing w:after="120"/>
              <w:jc w:val="both"/>
              <w:rPr>
                <w:rFonts w:ascii="Arial" w:hAnsi="Arial"/>
                <w:b w:val="0"/>
                <w:bCs w:val="0"/>
                <w:sz w:val="20"/>
                <w:szCs w:val="20"/>
                <w:lang w:eastAsia="en-AU"/>
              </w:rPr>
            </w:pPr>
            <w:r>
              <w:rPr>
                <w:rFonts w:ascii="Arial" w:hAnsi="Arial"/>
                <w:b w:val="0"/>
                <w:bCs w:val="0"/>
                <w:sz w:val="20"/>
                <w:szCs w:val="20"/>
                <w:lang w:eastAsia="en-AU"/>
              </w:rPr>
              <w:t>mineral exploration activities associated with the</w:t>
            </w:r>
            <w:r w:rsidRPr="007832E5">
              <w:rPr>
                <w:rFonts w:ascii="Arial" w:hAnsi="Arial"/>
                <w:b w:val="0"/>
                <w:bCs w:val="0"/>
                <w:sz w:val="20"/>
                <w:szCs w:val="20"/>
                <w:lang w:eastAsia="en-AU"/>
              </w:rPr>
              <w:t xml:space="preserve"> Stavely Arc </w:t>
            </w:r>
            <w:r>
              <w:rPr>
                <w:rFonts w:ascii="Arial" w:hAnsi="Arial"/>
                <w:b w:val="0"/>
                <w:bCs w:val="0"/>
                <w:sz w:val="20"/>
                <w:szCs w:val="20"/>
                <w:lang w:eastAsia="en-AU"/>
              </w:rPr>
              <w:t>release</w:t>
            </w:r>
            <w:r w:rsidR="007F4F42">
              <w:rPr>
                <w:rFonts w:ascii="Arial" w:hAnsi="Arial"/>
                <w:b w:val="0"/>
                <w:bCs w:val="0"/>
                <w:sz w:val="20"/>
                <w:szCs w:val="20"/>
                <w:lang w:eastAsia="en-AU"/>
              </w:rPr>
              <w:t>. Stavely Block 9 (Century Minerals) wraps around the northern, eastern and southern sides of the project area</w:t>
            </w:r>
            <w:r w:rsidR="009B0E36">
              <w:rPr>
                <w:rFonts w:ascii="Arial" w:hAnsi="Arial"/>
                <w:b w:val="0"/>
                <w:bCs w:val="0"/>
                <w:sz w:val="20"/>
                <w:szCs w:val="20"/>
                <w:lang w:eastAsia="en-AU"/>
              </w:rPr>
              <w:t xml:space="preserve">; </w:t>
            </w:r>
          </w:p>
          <w:p w14:paraId="692D218C" w14:textId="00D7A67B" w:rsidR="009A3FC9" w:rsidRPr="00E71774" w:rsidRDefault="009B0E36" w:rsidP="00724697">
            <w:pPr>
              <w:pStyle w:val="BodyText"/>
              <w:numPr>
                <w:ilvl w:val="0"/>
                <w:numId w:val="57"/>
              </w:numPr>
              <w:spacing w:after="120"/>
              <w:jc w:val="both"/>
              <w:rPr>
                <w:rFonts w:ascii="Arial" w:hAnsi="Arial"/>
                <w:b w:val="0"/>
                <w:bCs w:val="0"/>
                <w:sz w:val="20"/>
                <w:szCs w:val="20"/>
                <w:lang w:eastAsia="en-AU"/>
              </w:rPr>
            </w:pPr>
            <w:r>
              <w:rPr>
                <w:rFonts w:ascii="Arial" w:hAnsi="Arial"/>
                <w:b w:val="0"/>
                <w:bCs w:val="0"/>
                <w:sz w:val="20"/>
                <w:szCs w:val="20"/>
                <w:lang w:eastAsia="en-AU"/>
              </w:rPr>
              <w:t>t</w:t>
            </w:r>
            <w:r w:rsidR="009A3FC9" w:rsidRPr="007832E5">
              <w:rPr>
                <w:rFonts w:ascii="Arial" w:hAnsi="Arial"/>
                <w:b w:val="0"/>
                <w:bCs w:val="0"/>
                <w:sz w:val="20"/>
                <w:szCs w:val="20"/>
                <w:lang w:eastAsia="en-AU"/>
              </w:rPr>
              <w:t>he WIM Resources ‘</w:t>
            </w:r>
            <w:proofErr w:type="spellStart"/>
            <w:r w:rsidR="009A3FC9" w:rsidRPr="007832E5">
              <w:rPr>
                <w:rFonts w:ascii="Arial" w:hAnsi="Arial"/>
                <w:b w:val="0"/>
                <w:bCs w:val="0"/>
                <w:sz w:val="20"/>
                <w:szCs w:val="20"/>
                <w:lang w:eastAsia="en-AU"/>
              </w:rPr>
              <w:t>Avonbank</w:t>
            </w:r>
            <w:proofErr w:type="spellEnd"/>
            <w:r w:rsidR="009A3FC9" w:rsidRPr="007832E5">
              <w:rPr>
                <w:rFonts w:ascii="Arial" w:hAnsi="Arial"/>
                <w:b w:val="0"/>
                <w:bCs w:val="0"/>
                <w:sz w:val="20"/>
                <w:szCs w:val="20"/>
                <w:lang w:eastAsia="en-AU"/>
              </w:rPr>
              <w:t xml:space="preserve">’ </w:t>
            </w:r>
            <w:r w:rsidR="009A3FC9">
              <w:rPr>
                <w:rFonts w:ascii="Arial" w:hAnsi="Arial"/>
                <w:b w:val="0"/>
                <w:bCs w:val="0"/>
                <w:sz w:val="20"/>
                <w:szCs w:val="20"/>
                <w:lang w:eastAsia="en-AU"/>
              </w:rPr>
              <w:t xml:space="preserve">mineral sands </w:t>
            </w:r>
            <w:r w:rsidR="009A3FC9" w:rsidRPr="007832E5">
              <w:rPr>
                <w:rFonts w:ascii="Arial" w:hAnsi="Arial"/>
                <w:b w:val="0"/>
                <w:bCs w:val="0"/>
                <w:sz w:val="20"/>
                <w:szCs w:val="20"/>
                <w:lang w:eastAsia="en-AU"/>
              </w:rPr>
              <w:t xml:space="preserve">project </w:t>
            </w:r>
            <w:r w:rsidR="009A3FC9">
              <w:rPr>
                <w:rFonts w:ascii="Arial" w:hAnsi="Arial"/>
                <w:b w:val="0"/>
                <w:bCs w:val="0"/>
                <w:sz w:val="20"/>
                <w:szCs w:val="20"/>
                <w:lang w:eastAsia="en-AU"/>
              </w:rPr>
              <w:t>located at Dooen, immediately north-east of Horsham; and</w:t>
            </w:r>
          </w:p>
          <w:p w14:paraId="3DFD4F65" w14:textId="1502A7F0" w:rsidR="00DA306B" w:rsidRDefault="009B0E36" w:rsidP="00724697">
            <w:pPr>
              <w:pStyle w:val="BodyText"/>
              <w:numPr>
                <w:ilvl w:val="0"/>
                <w:numId w:val="57"/>
              </w:numPr>
              <w:spacing w:after="120"/>
              <w:jc w:val="both"/>
              <w:rPr>
                <w:rFonts w:ascii="Arial" w:hAnsi="Arial"/>
                <w:b w:val="0"/>
                <w:bCs w:val="0"/>
                <w:sz w:val="20"/>
                <w:szCs w:val="20"/>
                <w:lang w:eastAsia="en-AU"/>
              </w:rPr>
            </w:pPr>
            <w:r>
              <w:rPr>
                <w:rFonts w:ascii="Arial" w:hAnsi="Arial"/>
                <w:b w:val="0"/>
                <w:bCs w:val="0"/>
                <w:sz w:val="20"/>
                <w:szCs w:val="20"/>
                <w:lang w:eastAsia="en-AU"/>
              </w:rPr>
              <w:t>t</w:t>
            </w:r>
            <w:r w:rsidR="009A3FC9" w:rsidRPr="007832E5">
              <w:rPr>
                <w:rFonts w:ascii="Arial" w:hAnsi="Arial"/>
                <w:b w:val="0"/>
                <w:bCs w:val="0"/>
                <w:sz w:val="20"/>
                <w:szCs w:val="20"/>
                <w:lang w:eastAsia="en-AU"/>
              </w:rPr>
              <w:t>he proposed Innogy ‘Rifle Butts</w:t>
            </w:r>
            <w:r w:rsidR="009A3FC9">
              <w:rPr>
                <w:rFonts w:ascii="Arial" w:hAnsi="Arial"/>
                <w:b w:val="0"/>
                <w:bCs w:val="0"/>
                <w:sz w:val="20"/>
                <w:szCs w:val="20"/>
                <w:lang w:eastAsia="en-AU"/>
              </w:rPr>
              <w:t xml:space="preserve"> </w:t>
            </w:r>
            <w:r w:rsidR="009A3FC9" w:rsidRPr="007832E5">
              <w:rPr>
                <w:rFonts w:ascii="Arial" w:hAnsi="Arial"/>
                <w:b w:val="0"/>
                <w:bCs w:val="0"/>
                <w:sz w:val="20"/>
                <w:szCs w:val="20"/>
                <w:lang w:eastAsia="en-AU"/>
              </w:rPr>
              <w:t>Road’ windfarm</w:t>
            </w:r>
            <w:r w:rsidR="007F4F42">
              <w:rPr>
                <w:rFonts w:ascii="Arial" w:hAnsi="Arial"/>
                <w:b w:val="0"/>
                <w:bCs w:val="0"/>
                <w:sz w:val="20"/>
                <w:szCs w:val="20"/>
                <w:lang w:eastAsia="en-AU"/>
              </w:rPr>
              <w:t xml:space="preserve">, located approximately </w:t>
            </w:r>
            <w:r w:rsidR="00CE43E5">
              <w:rPr>
                <w:rFonts w:ascii="Arial" w:hAnsi="Arial"/>
                <w:b w:val="0"/>
                <w:bCs w:val="0"/>
                <w:sz w:val="20"/>
                <w:szCs w:val="20"/>
                <w:lang w:eastAsia="en-AU"/>
              </w:rPr>
              <w:t>13 k</w:t>
            </w:r>
            <w:r w:rsidR="00724697">
              <w:rPr>
                <w:rFonts w:ascii="Arial" w:hAnsi="Arial"/>
                <w:b w:val="0"/>
                <w:bCs w:val="0"/>
                <w:sz w:val="20"/>
                <w:szCs w:val="20"/>
                <w:lang w:eastAsia="en-AU"/>
              </w:rPr>
              <w:t>m</w:t>
            </w:r>
            <w:r w:rsidR="00CE43E5">
              <w:rPr>
                <w:rFonts w:ascii="Arial" w:hAnsi="Arial"/>
                <w:b w:val="0"/>
                <w:bCs w:val="0"/>
                <w:sz w:val="20"/>
                <w:szCs w:val="20"/>
                <w:lang w:eastAsia="en-AU"/>
              </w:rPr>
              <w:t xml:space="preserve"> north-east of the project area</w:t>
            </w:r>
            <w:r>
              <w:rPr>
                <w:rFonts w:ascii="Arial" w:hAnsi="Arial"/>
                <w:b w:val="0"/>
                <w:bCs w:val="0"/>
                <w:sz w:val="20"/>
                <w:szCs w:val="20"/>
                <w:lang w:eastAsia="en-AU"/>
              </w:rPr>
              <w:t>.</w:t>
            </w:r>
          </w:p>
          <w:p w14:paraId="529D7566" w14:textId="77777777" w:rsidR="00DA306B" w:rsidRDefault="00DA306B" w:rsidP="007832E5">
            <w:pPr>
              <w:pStyle w:val="Heading2"/>
              <w:ind w:left="0"/>
              <w:jc w:val="both"/>
            </w:pPr>
          </w:p>
          <w:p w14:paraId="0CD3B312" w14:textId="5CEB2E4C" w:rsidR="009B0E36" w:rsidRPr="009B0E36" w:rsidRDefault="00CE43E5" w:rsidP="009B0E36">
            <w:pPr>
              <w:pStyle w:val="BodyText"/>
              <w:jc w:val="both"/>
              <w:rPr>
                <w:rFonts w:ascii="Arial" w:hAnsi="Arial"/>
                <w:b w:val="0"/>
                <w:bCs w:val="0"/>
                <w:sz w:val="20"/>
                <w:szCs w:val="20"/>
                <w:lang w:eastAsia="en-AU"/>
              </w:rPr>
            </w:pPr>
            <w:r>
              <w:rPr>
                <w:rFonts w:ascii="Arial" w:hAnsi="Arial"/>
                <w:b w:val="0"/>
                <w:bCs w:val="0"/>
                <w:sz w:val="20"/>
                <w:szCs w:val="20"/>
                <w:lang w:eastAsia="en-AU"/>
              </w:rPr>
              <w:t>The likelihood of these projects progressing is unknown</w:t>
            </w:r>
            <w:r w:rsidR="00B447C2">
              <w:rPr>
                <w:rFonts w:ascii="Arial" w:hAnsi="Arial"/>
                <w:b w:val="0"/>
                <w:bCs w:val="0"/>
                <w:sz w:val="20"/>
                <w:szCs w:val="20"/>
                <w:lang w:eastAsia="en-AU"/>
              </w:rPr>
              <w:t xml:space="preserve">. </w:t>
            </w:r>
            <w:r w:rsidR="009B0E36" w:rsidRPr="009B0E36">
              <w:rPr>
                <w:rFonts w:ascii="Arial" w:hAnsi="Arial"/>
                <w:b w:val="0"/>
                <w:bCs w:val="0"/>
                <w:sz w:val="20"/>
                <w:szCs w:val="20"/>
                <w:lang w:eastAsia="en-AU"/>
              </w:rPr>
              <w:t xml:space="preserve">Where the projects are sufficiently developed to provide details such as traffic generation, the potential cumulative impacts of the projects and the Wimmera Project will be assessed. </w:t>
            </w:r>
          </w:p>
          <w:p w14:paraId="241A5CC4" w14:textId="7DADBA5E" w:rsidR="009B0E36" w:rsidRPr="009B0E36" w:rsidRDefault="009B0E36" w:rsidP="009B0E36"/>
        </w:tc>
      </w:tr>
      <w:tr w:rsidR="00DA306B" w14:paraId="14677897" w14:textId="77777777" w:rsidTr="00E71774">
        <w:tc>
          <w:tcPr>
            <w:tcW w:w="9243" w:type="dxa"/>
            <w:tcBorders>
              <w:top w:val="single" w:sz="4" w:space="0" w:color="auto"/>
              <w:bottom w:val="single" w:sz="4" w:space="0" w:color="auto"/>
            </w:tcBorders>
          </w:tcPr>
          <w:p w14:paraId="2EAD7D5D" w14:textId="5A42FA1F" w:rsidR="00DA306B" w:rsidRPr="00DA306B" w:rsidRDefault="00CB18A5" w:rsidP="00DA306B">
            <w:pPr>
              <w:pStyle w:val="Heading1"/>
              <w:keepLines/>
              <w:pageBreakBefore/>
              <w:spacing w:after="240"/>
              <w:ind w:left="851" w:hanging="851"/>
              <w:contextualSpacing/>
              <w:jc w:val="both"/>
              <w:rPr>
                <w:sz w:val="22"/>
                <w:szCs w:val="22"/>
              </w:rPr>
            </w:pPr>
            <w:bookmarkStart w:id="177" w:name="_Toc7770322"/>
            <w:bookmarkStart w:id="178" w:name="_Toc8384829"/>
            <w:r>
              <w:rPr>
                <w:sz w:val="22"/>
                <w:szCs w:val="22"/>
              </w:rPr>
              <w:t>20</w:t>
            </w:r>
            <w:r w:rsidR="00DA306B" w:rsidRPr="00DA306B">
              <w:rPr>
                <w:sz w:val="22"/>
                <w:szCs w:val="22"/>
              </w:rPr>
              <w:t xml:space="preserve"> Investigation program</w:t>
            </w:r>
            <w:bookmarkEnd w:id="177"/>
            <w:bookmarkEnd w:id="178"/>
          </w:p>
          <w:p w14:paraId="50AF1301" w14:textId="712DA079" w:rsidR="00DA306B" w:rsidRDefault="00DA306B" w:rsidP="00DA306B">
            <w:pPr>
              <w:pStyle w:val="BodyText"/>
              <w:jc w:val="both"/>
              <w:rPr>
                <w:rFonts w:ascii="Arial" w:hAnsi="Arial"/>
                <w:b w:val="0"/>
                <w:bCs w:val="0"/>
                <w:sz w:val="20"/>
                <w:szCs w:val="20"/>
                <w:lang w:eastAsia="en-AU"/>
              </w:rPr>
            </w:pPr>
            <w:r w:rsidRPr="00DA306B">
              <w:rPr>
                <w:rFonts w:ascii="Arial" w:hAnsi="Arial"/>
                <w:b w:val="0"/>
                <w:bCs w:val="0"/>
                <w:sz w:val="20"/>
                <w:szCs w:val="20"/>
                <w:lang w:eastAsia="en-AU"/>
              </w:rPr>
              <w:t>The following baseline environmental assessments have been undertaken to inform Project design:</w:t>
            </w:r>
          </w:p>
          <w:p w14:paraId="6778EC5F" w14:textId="77777777" w:rsidR="00DA306B" w:rsidRPr="00DA306B" w:rsidRDefault="00DA306B" w:rsidP="00DA306B">
            <w:pPr>
              <w:pStyle w:val="BodyText"/>
              <w:jc w:val="both"/>
              <w:rPr>
                <w:rFonts w:ascii="Arial" w:hAnsi="Arial"/>
                <w:b w:val="0"/>
                <w:bCs w:val="0"/>
                <w:sz w:val="20"/>
                <w:szCs w:val="20"/>
                <w:lang w:eastAsia="en-AU"/>
              </w:rPr>
            </w:pPr>
          </w:p>
          <w:p w14:paraId="2510DEA4"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bookmarkStart w:id="179" w:name="_Hlk8976670"/>
            <w:r w:rsidRPr="00724697">
              <w:rPr>
                <w:rFonts w:ascii="Arial" w:hAnsi="Arial"/>
                <w:b w:val="0"/>
                <w:bCs w:val="0"/>
                <w:sz w:val="20"/>
                <w:szCs w:val="20"/>
                <w:lang w:eastAsia="en-AU"/>
              </w:rPr>
              <w:t xml:space="preserve">Cardno 2019, </w:t>
            </w:r>
            <w:r w:rsidRPr="00724697">
              <w:rPr>
                <w:rFonts w:ascii="Arial" w:hAnsi="Arial"/>
                <w:b w:val="0"/>
                <w:bCs w:val="0"/>
                <w:i/>
                <w:iCs/>
                <w:sz w:val="20"/>
                <w:szCs w:val="20"/>
                <w:lang w:eastAsia="en-AU"/>
              </w:rPr>
              <w:t>Iluka baseline ecological assessments - WIM100 ecology report</w:t>
            </w:r>
            <w:r w:rsidRPr="00724697">
              <w:rPr>
                <w:rFonts w:ascii="Arial" w:hAnsi="Arial"/>
                <w:b w:val="0"/>
                <w:bCs w:val="0"/>
                <w:sz w:val="20"/>
                <w:szCs w:val="20"/>
                <w:lang w:eastAsia="en-AU"/>
              </w:rPr>
              <w:t>;</w:t>
            </w:r>
          </w:p>
          <w:p w14:paraId="133A0329"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GHD 2018, </w:t>
            </w:r>
            <w:r w:rsidRPr="00724697">
              <w:rPr>
                <w:rFonts w:ascii="Arial" w:hAnsi="Arial"/>
                <w:b w:val="0"/>
                <w:bCs w:val="0"/>
                <w:i/>
                <w:iCs/>
                <w:sz w:val="20"/>
                <w:szCs w:val="20"/>
                <w:lang w:eastAsia="en-AU"/>
              </w:rPr>
              <w:t>WIM100 Desktop cultural heritage assessment;</w:t>
            </w:r>
            <w:r w:rsidRPr="00724697">
              <w:rPr>
                <w:rFonts w:ascii="Arial" w:hAnsi="Arial"/>
                <w:b w:val="0"/>
                <w:bCs w:val="0"/>
                <w:sz w:val="20"/>
                <w:szCs w:val="20"/>
                <w:lang w:eastAsia="en-AU"/>
              </w:rPr>
              <w:t xml:space="preserve"> </w:t>
            </w:r>
          </w:p>
          <w:p w14:paraId="3397FD9C"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GHD 2019, </w:t>
            </w:r>
            <w:r w:rsidRPr="00724697">
              <w:rPr>
                <w:rFonts w:ascii="Arial" w:hAnsi="Arial"/>
                <w:b w:val="0"/>
                <w:bCs w:val="0"/>
                <w:i/>
                <w:iCs/>
                <w:sz w:val="20"/>
                <w:szCs w:val="20"/>
                <w:lang w:eastAsia="en-AU"/>
              </w:rPr>
              <w:t>Wimmera project baseline noise assessment</w:t>
            </w:r>
            <w:r w:rsidRPr="00724697">
              <w:rPr>
                <w:rFonts w:ascii="Arial" w:hAnsi="Arial"/>
                <w:b w:val="0"/>
                <w:bCs w:val="0"/>
                <w:sz w:val="20"/>
                <w:szCs w:val="20"/>
                <w:lang w:eastAsia="en-AU"/>
              </w:rPr>
              <w:t>;</w:t>
            </w:r>
          </w:p>
          <w:p w14:paraId="68E9089C"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GHD 2019, </w:t>
            </w:r>
            <w:r w:rsidRPr="00724697">
              <w:rPr>
                <w:rFonts w:ascii="Arial" w:hAnsi="Arial"/>
                <w:b w:val="0"/>
                <w:bCs w:val="0"/>
                <w:i/>
                <w:iCs/>
                <w:sz w:val="20"/>
                <w:szCs w:val="20"/>
                <w:lang w:eastAsia="en-AU"/>
              </w:rPr>
              <w:t>Wimmera project baseline vibration assessment</w:t>
            </w:r>
            <w:r w:rsidRPr="00724697">
              <w:rPr>
                <w:rFonts w:ascii="Arial" w:hAnsi="Arial"/>
                <w:b w:val="0"/>
                <w:bCs w:val="0"/>
                <w:sz w:val="20"/>
                <w:szCs w:val="20"/>
                <w:lang w:eastAsia="en-AU"/>
              </w:rPr>
              <w:t>;</w:t>
            </w:r>
          </w:p>
          <w:p w14:paraId="4EFC38B0"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GHD 2019, </w:t>
            </w:r>
            <w:r w:rsidRPr="00724697">
              <w:rPr>
                <w:rFonts w:ascii="Arial" w:hAnsi="Arial"/>
                <w:b w:val="0"/>
                <w:bCs w:val="0"/>
                <w:i/>
                <w:iCs/>
                <w:sz w:val="20"/>
                <w:szCs w:val="20"/>
                <w:lang w:eastAsia="en-AU"/>
              </w:rPr>
              <w:t>Wimmera project meteorological assessment</w:t>
            </w:r>
            <w:r w:rsidRPr="00724697">
              <w:rPr>
                <w:rFonts w:ascii="Arial" w:hAnsi="Arial"/>
                <w:b w:val="0"/>
                <w:bCs w:val="0"/>
                <w:sz w:val="20"/>
                <w:szCs w:val="20"/>
                <w:lang w:eastAsia="en-AU"/>
              </w:rPr>
              <w:t>;</w:t>
            </w:r>
          </w:p>
          <w:p w14:paraId="3D17A6FB"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Jacobs 2018, </w:t>
            </w:r>
            <w:r w:rsidRPr="00724697">
              <w:rPr>
                <w:rFonts w:ascii="Arial" w:hAnsi="Arial"/>
                <w:b w:val="0"/>
                <w:bCs w:val="0"/>
                <w:i/>
                <w:iCs/>
                <w:sz w:val="20"/>
                <w:szCs w:val="20"/>
                <w:lang w:eastAsia="en-AU"/>
              </w:rPr>
              <w:t>WIM100 East preliminary baseline groundwater assessment</w:t>
            </w:r>
            <w:r w:rsidRPr="00724697">
              <w:rPr>
                <w:rFonts w:ascii="Arial" w:hAnsi="Arial"/>
                <w:b w:val="0"/>
                <w:bCs w:val="0"/>
                <w:sz w:val="20"/>
                <w:szCs w:val="20"/>
                <w:lang w:eastAsia="en-AU"/>
              </w:rPr>
              <w:t>; and</w:t>
            </w:r>
          </w:p>
          <w:p w14:paraId="4F6DCC5D" w14:textId="77777777" w:rsidR="00DA306B" w:rsidRPr="00724697" w:rsidRDefault="00DA306B" w:rsidP="00724697">
            <w:pPr>
              <w:pStyle w:val="BodyText"/>
              <w:numPr>
                <w:ilvl w:val="0"/>
                <w:numId w:val="57"/>
              </w:numPr>
              <w:spacing w:after="120"/>
              <w:jc w:val="both"/>
              <w:rPr>
                <w:rFonts w:ascii="Arial" w:hAnsi="Arial"/>
                <w:b w:val="0"/>
                <w:bCs w:val="0"/>
                <w:sz w:val="20"/>
                <w:szCs w:val="20"/>
                <w:lang w:eastAsia="en-AU"/>
              </w:rPr>
            </w:pPr>
            <w:r w:rsidRPr="00724697">
              <w:rPr>
                <w:rFonts w:ascii="Arial" w:hAnsi="Arial"/>
                <w:b w:val="0"/>
                <w:bCs w:val="0"/>
                <w:sz w:val="20"/>
                <w:szCs w:val="20"/>
                <w:lang w:eastAsia="en-AU"/>
              </w:rPr>
              <w:t xml:space="preserve">Water Technology 2018, </w:t>
            </w:r>
            <w:r w:rsidRPr="00724697">
              <w:rPr>
                <w:rFonts w:ascii="Arial" w:hAnsi="Arial"/>
                <w:b w:val="0"/>
                <w:bCs w:val="0"/>
                <w:i/>
                <w:iCs/>
                <w:sz w:val="20"/>
                <w:szCs w:val="20"/>
                <w:lang w:eastAsia="en-AU"/>
              </w:rPr>
              <w:t>Baseline surface water assessments - WIM100</w:t>
            </w:r>
            <w:r w:rsidRPr="00724697">
              <w:rPr>
                <w:rFonts w:ascii="Arial" w:hAnsi="Arial"/>
                <w:b w:val="0"/>
                <w:bCs w:val="0"/>
                <w:sz w:val="20"/>
                <w:szCs w:val="20"/>
                <w:lang w:eastAsia="en-AU"/>
              </w:rPr>
              <w:t>.</w:t>
            </w:r>
          </w:p>
          <w:p w14:paraId="11E835DF" w14:textId="1F9E608F" w:rsidR="00DA306B" w:rsidRDefault="00DA306B" w:rsidP="007832E5">
            <w:pPr>
              <w:pStyle w:val="BodyText"/>
              <w:spacing w:before="120" w:after="120"/>
              <w:jc w:val="both"/>
            </w:pPr>
            <w:r w:rsidRPr="00DA306B">
              <w:rPr>
                <w:rFonts w:ascii="Arial" w:hAnsi="Arial"/>
                <w:b w:val="0"/>
                <w:bCs w:val="0"/>
                <w:sz w:val="20"/>
                <w:szCs w:val="20"/>
                <w:lang w:eastAsia="en-AU"/>
              </w:rPr>
              <w:t>Baseline assessments for radiation</w:t>
            </w:r>
            <w:r w:rsidR="009B0E36">
              <w:rPr>
                <w:rFonts w:ascii="Arial" w:hAnsi="Arial"/>
                <w:b w:val="0"/>
                <w:bCs w:val="0"/>
                <w:sz w:val="20"/>
                <w:szCs w:val="20"/>
                <w:lang w:eastAsia="en-AU"/>
              </w:rPr>
              <w:t>, air quality</w:t>
            </w:r>
            <w:r w:rsidR="001D5FB4">
              <w:rPr>
                <w:rFonts w:ascii="Arial" w:hAnsi="Arial"/>
                <w:b w:val="0"/>
                <w:bCs w:val="0"/>
                <w:sz w:val="20"/>
                <w:szCs w:val="20"/>
                <w:lang w:eastAsia="en-AU"/>
              </w:rPr>
              <w:t xml:space="preserve"> </w:t>
            </w:r>
            <w:r w:rsidRPr="00DA306B">
              <w:rPr>
                <w:rFonts w:ascii="Arial" w:hAnsi="Arial"/>
                <w:b w:val="0"/>
                <w:bCs w:val="0"/>
                <w:sz w:val="20"/>
                <w:szCs w:val="20"/>
                <w:lang w:eastAsia="en-AU"/>
              </w:rPr>
              <w:t xml:space="preserve">and soil are in progress. </w:t>
            </w:r>
            <w:r w:rsidR="00613769">
              <w:rPr>
                <w:rFonts w:ascii="Arial" w:hAnsi="Arial"/>
                <w:b w:val="0"/>
                <w:bCs w:val="0"/>
                <w:sz w:val="20"/>
                <w:szCs w:val="20"/>
                <w:lang w:eastAsia="en-AU"/>
              </w:rPr>
              <w:t xml:space="preserve">Targeted ecological assessments, based on the recommendations of the baseline ecological assessments, </w:t>
            </w:r>
            <w:r w:rsidR="00B44754" w:rsidRPr="00AD07F1">
              <w:rPr>
                <w:rFonts w:ascii="Arial" w:hAnsi="Arial"/>
                <w:b w:val="0"/>
                <w:bCs w:val="0"/>
                <w:sz w:val="20"/>
                <w:szCs w:val="20"/>
                <w:lang w:eastAsia="en-AU"/>
              </w:rPr>
              <w:t>is planned for the second half of 2019</w:t>
            </w:r>
            <w:r w:rsidR="00613769">
              <w:rPr>
                <w:rFonts w:ascii="Arial" w:hAnsi="Arial"/>
                <w:b w:val="0"/>
                <w:bCs w:val="0"/>
                <w:sz w:val="20"/>
                <w:szCs w:val="20"/>
                <w:lang w:eastAsia="en-AU"/>
              </w:rPr>
              <w:t>.</w:t>
            </w:r>
            <w:bookmarkEnd w:id="179"/>
          </w:p>
        </w:tc>
      </w:tr>
      <w:tr w:rsidR="00DA306B" w14:paraId="72BE635C" w14:textId="77777777" w:rsidTr="00E71774">
        <w:tc>
          <w:tcPr>
            <w:tcW w:w="9243" w:type="dxa"/>
            <w:tcBorders>
              <w:top w:val="single" w:sz="4" w:space="0" w:color="auto"/>
              <w:bottom w:val="single" w:sz="4" w:space="0" w:color="auto"/>
            </w:tcBorders>
          </w:tcPr>
          <w:p w14:paraId="608A04C2" w14:textId="1339DAC1" w:rsidR="00F42658" w:rsidRPr="00F42658" w:rsidRDefault="00D31C93" w:rsidP="00F42658">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80" w:name="_Toc7770323"/>
            <w:r>
              <w:t>20</w:t>
            </w:r>
            <w:r w:rsidR="00F42658">
              <w:t xml:space="preserve">.1 </w:t>
            </w:r>
            <w:r w:rsidR="00F42658" w:rsidRPr="00F42658">
              <w:t>Have any environmental studies not referred to above been conducted for the Project?</w:t>
            </w:r>
            <w:bookmarkEnd w:id="180"/>
          </w:p>
          <w:p w14:paraId="649A912E" w14:textId="77777777" w:rsidR="00D31C93" w:rsidRDefault="00D31C93" w:rsidP="00D31C93">
            <w:pPr>
              <w:pStyle w:val="BodyText"/>
              <w:jc w:val="both"/>
              <w:rPr>
                <w:rFonts w:ascii="Arial" w:hAnsi="Arial"/>
                <w:b w:val="0"/>
                <w:bCs w:val="0"/>
                <w:sz w:val="20"/>
                <w:szCs w:val="20"/>
                <w:lang w:eastAsia="en-AU"/>
              </w:rPr>
            </w:pPr>
            <w:r w:rsidRPr="00D31C93">
              <w:rPr>
                <w:rFonts w:ascii="Arial" w:hAnsi="Arial"/>
                <w:b w:val="0"/>
                <w:bCs w:val="0"/>
                <w:sz w:val="20"/>
                <w:szCs w:val="20"/>
                <w:lang w:eastAsia="en-AU"/>
              </w:rPr>
              <w:sym w:font="Webdings" w:char="F072"/>
            </w:r>
            <w:r w:rsidRPr="00204A4C">
              <w:rPr>
                <w:rFonts w:ascii="Arial" w:hAnsi="Arial"/>
                <w:b w:val="0"/>
                <w:bCs w:val="0"/>
                <w:sz w:val="20"/>
                <w:szCs w:val="20"/>
                <w:lang w:eastAsia="en-AU"/>
              </w:rPr>
              <w:t xml:space="preserve">  No    </w:t>
            </w:r>
            <w:r w:rsidRPr="00204A4C">
              <w:rPr>
                <w:rFonts w:ascii="Arial" w:hAnsi="Arial"/>
                <w:b w:val="0"/>
                <w:bCs w:val="0"/>
                <w:color w:val="E7E6E6" w:themeColor="background2"/>
                <w:sz w:val="20"/>
                <w:szCs w:val="20"/>
                <w:lang w:eastAsia="en-AU"/>
              </w:rPr>
              <w:sym w:font="Webdings" w:char="F072"/>
            </w:r>
            <w:r w:rsidRPr="00204A4C">
              <w:rPr>
                <w:rFonts w:ascii="Arial" w:hAnsi="Arial"/>
                <w:b w:val="0"/>
                <w:bCs w:val="0"/>
                <w:sz w:val="20"/>
                <w:szCs w:val="20"/>
                <w:lang w:eastAsia="en-AU"/>
              </w:rPr>
              <w:t xml:space="preserve">  Yes   </w:t>
            </w:r>
          </w:p>
          <w:p w14:paraId="5FAFB4F7" w14:textId="77777777" w:rsidR="00DA306B" w:rsidRDefault="00DA306B" w:rsidP="00F42658">
            <w:pPr>
              <w:jc w:val="both"/>
              <w:rPr>
                <w:rFonts w:ascii="Arial" w:hAnsi="Arial"/>
              </w:rPr>
            </w:pPr>
          </w:p>
        </w:tc>
      </w:tr>
      <w:tr w:rsidR="00DA306B" w14:paraId="62E786D2" w14:textId="77777777" w:rsidTr="00E71774">
        <w:tc>
          <w:tcPr>
            <w:tcW w:w="9243" w:type="dxa"/>
            <w:tcBorders>
              <w:top w:val="single" w:sz="4" w:space="0" w:color="auto"/>
              <w:bottom w:val="single" w:sz="4" w:space="0" w:color="auto"/>
            </w:tcBorders>
          </w:tcPr>
          <w:p w14:paraId="0CF6B563" w14:textId="4C738A68" w:rsidR="00F42658" w:rsidRPr="00F42658" w:rsidRDefault="00D31C93" w:rsidP="00F42658">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81" w:name="_Toc7770324"/>
            <w:r>
              <w:lastRenderedPageBreak/>
              <w:t>20</w:t>
            </w:r>
            <w:r w:rsidR="00F42658" w:rsidRPr="00F42658">
              <w:t>.2 Has a program for future environmental studies been developed?</w:t>
            </w:r>
            <w:bookmarkEnd w:id="181"/>
          </w:p>
          <w:p w14:paraId="751C62FC" w14:textId="77777777" w:rsidR="00D31C93" w:rsidRDefault="00D31C93" w:rsidP="00D31C93">
            <w:pPr>
              <w:pStyle w:val="BodyText"/>
              <w:jc w:val="both"/>
              <w:rPr>
                <w:rFonts w:ascii="Arial" w:hAnsi="Arial"/>
                <w:b w:val="0"/>
                <w:bCs w:val="0"/>
                <w:sz w:val="20"/>
                <w:szCs w:val="20"/>
                <w:lang w:eastAsia="en-AU"/>
              </w:rPr>
            </w:pPr>
            <w:r w:rsidRPr="00D31C93">
              <w:rPr>
                <w:rFonts w:ascii="Arial" w:hAnsi="Arial"/>
                <w:b w:val="0"/>
                <w:bCs w:val="0"/>
                <w:color w:val="E7E6E6" w:themeColor="background2"/>
                <w:sz w:val="20"/>
                <w:szCs w:val="20"/>
                <w:lang w:eastAsia="en-AU"/>
              </w:rPr>
              <w:sym w:font="Webdings" w:char="F072"/>
            </w:r>
            <w:r w:rsidRPr="00204A4C">
              <w:rPr>
                <w:rFonts w:ascii="Arial" w:hAnsi="Arial"/>
                <w:b w:val="0"/>
                <w:bCs w:val="0"/>
                <w:sz w:val="20"/>
                <w:szCs w:val="20"/>
                <w:lang w:eastAsia="en-AU"/>
              </w:rPr>
              <w:t xml:space="preserve">  No    </w:t>
            </w:r>
            <w:r w:rsidRPr="00D31C93">
              <w:rPr>
                <w:rFonts w:ascii="Arial" w:hAnsi="Arial"/>
                <w:b w:val="0"/>
                <w:bCs w:val="0"/>
                <w:sz w:val="20"/>
                <w:szCs w:val="20"/>
                <w:lang w:eastAsia="en-AU"/>
              </w:rPr>
              <w:sym w:font="Webdings" w:char="F072"/>
            </w:r>
            <w:r w:rsidRPr="00204A4C">
              <w:rPr>
                <w:rFonts w:ascii="Arial" w:hAnsi="Arial"/>
                <w:b w:val="0"/>
                <w:bCs w:val="0"/>
                <w:sz w:val="20"/>
                <w:szCs w:val="20"/>
                <w:lang w:eastAsia="en-AU"/>
              </w:rPr>
              <w:t xml:space="preserve">  Yes   </w:t>
            </w:r>
          </w:p>
          <w:p w14:paraId="09AE31D4" w14:textId="77777777" w:rsidR="00D31C93" w:rsidRDefault="00D31C93" w:rsidP="00B13492">
            <w:pPr>
              <w:pStyle w:val="BodyText"/>
              <w:spacing w:after="120"/>
              <w:jc w:val="both"/>
              <w:rPr>
                <w:rFonts w:ascii="Arial" w:hAnsi="Arial"/>
                <w:b w:val="0"/>
                <w:bCs w:val="0"/>
                <w:sz w:val="20"/>
                <w:szCs w:val="20"/>
                <w:lang w:eastAsia="en-AU"/>
              </w:rPr>
            </w:pPr>
          </w:p>
          <w:p w14:paraId="6F995F45" w14:textId="6A6867D7" w:rsidR="001D5FB4" w:rsidRDefault="00D31C93" w:rsidP="00B13492">
            <w:pPr>
              <w:pStyle w:val="BodyText"/>
              <w:spacing w:after="120"/>
              <w:jc w:val="both"/>
              <w:rPr>
                <w:rFonts w:ascii="Arial" w:hAnsi="Arial"/>
                <w:b w:val="0"/>
                <w:bCs w:val="0"/>
                <w:sz w:val="20"/>
                <w:szCs w:val="20"/>
                <w:lang w:eastAsia="en-AU"/>
              </w:rPr>
            </w:pPr>
            <w:r>
              <w:rPr>
                <w:rFonts w:ascii="Arial" w:hAnsi="Arial"/>
                <w:b w:val="0"/>
                <w:bCs w:val="0"/>
                <w:sz w:val="20"/>
                <w:szCs w:val="20"/>
                <w:lang w:eastAsia="en-AU"/>
              </w:rPr>
              <w:t>I</w:t>
            </w:r>
            <w:r w:rsidR="00F42658" w:rsidRPr="00F42658">
              <w:rPr>
                <w:rFonts w:ascii="Arial" w:hAnsi="Arial"/>
                <w:b w:val="0"/>
                <w:bCs w:val="0"/>
                <w:sz w:val="20"/>
                <w:szCs w:val="20"/>
                <w:lang w:eastAsia="en-AU"/>
              </w:rPr>
              <w:t xml:space="preserve">n addition to the baseline assessments outlined in Section </w:t>
            </w:r>
            <w:r>
              <w:rPr>
                <w:rFonts w:ascii="Arial" w:hAnsi="Arial"/>
                <w:b w:val="0"/>
                <w:bCs w:val="0"/>
                <w:sz w:val="20"/>
                <w:szCs w:val="20"/>
                <w:lang w:eastAsia="en-AU"/>
              </w:rPr>
              <w:t>20</w:t>
            </w:r>
            <w:r w:rsidR="00F42658" w:rsidRPr="00F42658">
              <w:rPr>
                <w:rFonts w:ascii="Arial" w:hAnsi="Arial"/>
                <w:b w:val="0"/>
                <w:bCs w:val="0"/>
                <w:sz w:val="20"/>
                <w:szCs w:val="20"/>
                <w:lang w:eastAsia="en-AU"/>
              </w:rPr>
              <w:t xml:space="preserve">, </w:t>
            </w:r>
            <w:r w:rsidR="001D5FB4">
              <w:rPr>
                <w:rFonts w:ascii="Arial" w:hAnsi="Arial"/>
                <w:b w:val="0"/>
                <w:bCs w:val="0"/>
                <w:sz w:val="20"/>
                <w:szCs w:val="20"/>
                <w:lang w:eastAsia="en-AU"/>
              </w:rPr>
              <w:t xml:space="preserve">the following investigations and </w:t>
            </w:r>
            <w:r w:rsidR="00F42658" w:rsidRPr="00F42658">
              <w:rPr>
                <w:rFonts w:ascii="Arial" w:hAnsi="Arial"/>
                <w:b w:val="0"/>
                <w:bCs w:val="0"/>
                <w:sz w:val="20"/>
                <w:szCs w:val="20"/>
                <w:lang w:eastAsia="en-AU"/>
              </w:rPr>
              <w:t xml:space="preserve">assessments </w:t>
            </w:r>
            <w:r w:rsidR="001D5FB4">
              <w:rPr>
                <w:rFonts w:ascii="Arial" w:hAnsi="Arial"/>
                <w:b w:val="0"/>
                <w:bCs w:val="0"/>
                <w:sz w:val="20"/>
                <w:szCs w:val="20"/>
                <w:lang w:eastAsia="en-AU"/>
              </w:rPr>
              <w:t xml:space="preserve">are </w:t>
            </w:r>
            <w:r w:rsidR="009B0E36">
              <w:rPr>
                <w:rFonts w:ascii="Arial" w:hAnsi="Arial"/>
                <w:b w:val="0"/>
                <w:bCs w:val="0"/>
                <w:sz w:val="20"/>
                <w:szCs w:val="20"/>
                <w:lang w:eastAsia="en-AU"/>
              </w:rPr>
              <w:t>underway or proposed</w:t>
            </w:r>
            <w:r w:rsidR="001D5FB4">
              <w:rPr>
                <w:rFonts w:ascii="Arial" w:hAnsi="Arial"/>
                <w:b w:val="0"/>
                <w:bCs w:val="0"/>
                <w:sz w:val="20"/>
                <w:szCs w:val="20"/>
                <w:lang w:eastAsia="en-AU"/>
              </w:rPr>
              <w:t>:</w:t>
            </w:r>
          </w:p>
          <w:p w14:paraId="3DE34681"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road and traffic impact assessment;</w:t>
            </w:r>
          </w:p>
          <w:p w14:paraId="5314A5D8"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air quality impact assessment;</w:t>
            </w:r>
          </w:p>
          <w:p w14:paraId="5A2B2749"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surface water impact assessment;</w:t>
            </w:r>
          </w:p>
          <w:p w14:paraId="448EF0DD"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groundwater impact assessment;</w:t>
            </w:r>
          </w:p>
          <w:p w14:paraId="3ABB23DB"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ecological impact assessment;</w:t>
            </w:r>
          </w:p>
          <w:p w14:paraId="385B4CAB"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noise and vibration impact assessment;</w:t>
            </w:r>
          </w:p>
          <w:p w14:paraId="21991A3C"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socioeconomic impact assessment;</w:t>
            </w:r>
          </w:p>
          <w:p w14:paraId="099028AC"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landscape, visual and lighting impact assessment;</w:t>
            </w:r>
          </w:p>
          <w:p w14:paraId="7A74FCC9"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hazard assessment;</w:t>
            </w:r>
          </w:p>
          <w:p w14:paraId="7512B4F6"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geotechnical assessment;</w:t>
            </w:r>
          </w:p>
          <w:p w14:paraId="69B52AA4"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radiological impact assessment; and</w:t>
            </w:r>
          </w:p>
          <w:p w14:paraId="6631B75C" w14:textId="77777777" w:rsidR="009B0E36" w:rsidRPr="00784DD5" w:rsidRDefault="009B0E36" w:rsidP="00784DD5">
            <w:pPr>
              <w:pStyle w:val="BodyText"/>
              <w:numPr>
                <w:ilvl w:val="0"/>
                <w:numId w:val="57"/>
              </w:numPr>
              <w:spacing w:after="120"/>
              <w:jc w:val="both"/>
              <w:rPr>
                <w:rFonts w:ascii="Arial" w:hAnsi="Arial"/>
                <w:b w:val="0"/>
                <w:bCs w:val="0"/>
                <w:sz w:val="20"/>
                <w:szCs w:val="20"/>
                <w:lang w:eastAsia="en-AU"/>
              </w:rPr>
            </w:pPr>
            <w:r w:rsidRPr="00784DD5">
              <w:rPr>
                <w:rFonts w:ascii="Arial" w:hAnsi="Arial"/>
                <w:b w:val="0"/>
                <w:bCs w:val="0"/>
                <w:sz w:val="20"/>
                <w:szCs w:val="20"/>
                <w:lang w:eastAsia="en-AU"/>
              </w:rPr>
              <w:t>flotation reagent impact assessment</w:t>
            </w:r>
          </w:p>
          <w:p w14:paraId="498B21AC" w14:textId="77777777" w:rsidR="00F42658" w:rsidRPr="00F42658" w:rsidRDefault="00F42658" w:rsidP="00F42658">
            <w:pPr>
              <w:pStyle w:val="BodyText"/>
              <w:jc w:val="both"/>
              <w:rPr>
                <w:rFonts w:ascii="Arial" w:hAnsi="Arial"/>
                <w:b w:val="0"/>
                <w:bCs w:val="0"/>
                <w:sz w:val="20"/>
                <w:szCs w:val="20"/>
                <w:lang w:eastAsia="en-AU"/>
              </w:rPr>
            </w:pPr>
          </w:p>
          <w:p w14:paraId="7997A9FC" w14:textId="227F6C6B" w:rsidR="00F42658" w:rsidRDefault="00F42658" w:rsidP="00F42658">
            <w:pPr>
              <w:pStyle w:val="BodyText"/>
              <w:jc w:val="both"/>
              <w:rPr>
                <w:rFonts w:ascii="Arial" w:hAnsi="Arial"/>
                <w:b w:val="0"/>
                <w:bCs w:val="0"/>
                <w:sz w:val="20"/>
                <w:szCs w:val="20"/>
                <w:lang w:eastAsia="en-AU"/>
              </w:rPr>
            </w:pPr>
            <w:r w:rsidRPr="00F42658">
              <w:rPr>
                <w:rFonts w:ascii="Arial" w:hAnsi="Arial"/>
                <w:b w:val="0"/>
                <w:bCs w:val="0"/>
                <w:sz w:val="20"/>
                <w:szCs w:val="20"/>
                <w:lang w:eastAsia="en-AU"/>
              </w:rPr>
              <w:t>These will be prepared in accordance with Victorian Government scoping requirements that are anticipated to be issued for the Project.</w:t>
            </w:r>
          </w:p>
          <w:p w14:paraId="4A6114F8" w14:textId="77777777" w:rsidR="00F42658" w:rsidRPr="00F42658" w:rsidRDefault="00F42658" w:rsidP="00F42658">
            <w:pPr>
              <w:pStyle w:val="BodyText"/>
              <w:jc w:val="both"/>
              <w:rPr>
                <w:rFonts w:ascii="Arial" w:hAnsi="Arial"/>
                <w:b w:val="0"/>
                <w:bCs w:val="0"/>
                <w:sz w:val="20"/>
                <w:szCs w:val="20"/>
                <w:lang w:eastAsia="en-AU"/>
              </w:rPr>
            </w:pPr>
          </w:p>
          <w:p w14:paraId="7CB82AE1" w14:textId="77777777" w:rsidR="00DA306B" w:rsidRDefault="00F42658" w:rsidP="007832E5">
            <w:pPr>
              <w:pStyle w:val="BodyText"/>
              <w:jc w:val="both"/>
              <w:rPr>
                <w:rFonts w:ascii="Arial" w:hAnsi="Arial"/>
                <w:b w:val="0"/>
                <w:bCs w:val="0"/>
                <w:sz w:val="20"/>
                <w:szCs w:val="20"/>
                <w:lang w:eastAsia="en-AU"/>
              </w:rPr>
            </w:pPr>
            <w:r w:rsidRPr="00F42658">
              <w:rPr>
                <w:rFonts w:ascii="Arial" w:hAnsi="Arial"/>
                <w:b w:val="0"/>
                <w:bCs w:val="0"/>
                <w:sz w:val="20"/>
                <w:szCs w:val="20"/>
                <w:lang w:eastAsia="en-AU"/>
              </w:rPr>
              <w:t xml:space="preserve">Once the </w:t>
            </w:r>
            <w:r w:rsidR="00B13492">
              <w:rPr>
                <w:rFonts w:ascii="Arial" w:hAnsi="Arial"/>
                <w:b w:val="0"/>
                <w:bCs w:val="0"/>
                <w:sz w:val="20"/>
                <w:szCs w:val="20"/>
                <w:lang w:eastAsia="en-AU"/>
              </w:rPr>
              <w:t xml:space="preserve">alignment and potential </w:t>
            </w:r>
            <w:r w:rsidRPr="00F42658">
              <w:rPr>
                <w:rFonts w:ascii="Arial" w:hAnsi="Arial"/>
                <w:b w:val="0"/>
                <w:bCs w:val="0"/>
                <w:sz w:val="20"/>
                <w:szCs w:val="20"/>
                <w:lang w:eastAsia="en-AU"/>
              </w:rPr>
              <w:t xml:space="preserve">disturbance footprints for the water pipeline, gas pipeline and electricity line are known, baseline studies and technical impact studies will be undertaken for these areas, as applicable. </w:t>
            </w:r>
          </w:p>
          <w:p w14:paraId="167A0A3D" w14:textId="34521C18" w:rsidR="00A37257" w:rsidRPr="00F42658" w:rsidRDefault="00A37257" w:rsidP="00A37257">
            <w:pPr>
              <w:jc w:val="both"/>
              <w:rPr>
                <w:rFonts w:ascii="Arial" w:hAnsi="Arial"/>
              </w:rPr>
            </w:pPr>
          </w:p>
        </w:tc>
      </w:tr>
      <w:tr w:rsidR="00DA306B" w14:paraId="41134471" w14:textId="77777777" w:rsidTr="00FD555F">
        <w:tc>
          <w:tcPr>
            <w:tcW w:w="9243" w:type="dxa"/>
            <w:tcBorders>
              <w:top w:val="single" w:sz="4" w:space="0" w:color="auto"/>
              <w:bottom w:val="single" w:sz="4" w:space="0" w:color="auto"/>
            </w:tcBorders>
          </w:tcPr>
          <w:p w14:paraId="672C1D20" w14:textId="094A0182" w:rsidR="00F42658" w:rsidRPr="00F42658" w:rsidRDefault="00D31C93" w:rsidP="00F42658">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r>
              <w:t>20</w:t>
            </w:r>
            <w:r w:rsidR="00F42658" w:rsidRPr="00F42658">
              <w:t>.3 Has a consultation program conducted to date for the Project?</w:t>
            </w:r>
          </w:p>
          <w:p w14:paraId="77288C26" w14:textId="77777777" w:rsidR="00D31C93" w:rsidRDefault="00D31C93" w:rsidP="00D31C93">
            <w:pPr>
              <w:pStyle w:val="BodyText"/>
              <w:jc w:val="both"/>
              <w:rPr>
                <w:rFonts w:ascii="Arial" w:hAnsi="Arial"/>
                <w:b w:val="0"/>
                <w:bCs w:val="0"/>
                <w:sz w:val="20"/>
                <w:szCs w:val="20"/>
                <w:lang w:eastAsia="en-AU"/>
              </w:rPr>
            </w:pPr>
            <w:r w:rsidRPr="00D31C93">
              <w:rPr>
                <w:rFonts w:ascii="Arial" w:hAnsi="Arial"/>
                <w:b w:val="0"/>
                <w:bCs w:val="0"/>
                <w:color w:val="E7E6E6" w:themeColor="background2"/>
                <w:sz w:val="20"/>
                <w:szCs w:val="20"/>
                <w:lang w:eastAsia="en-AU"/>
              </w:rPr>
              <w:sym w:font="Webdings" w:char="F072"/>
            </w:r>
            <w:r w:rsidRPr="00204A4C">
              <w:rPr>
                <w:rFonts w:ascii="Arial" w:hAnsi="Arial"/>
                <w:b w:val="0"/>
                <w:bCs w:val="0"/>
                <w:sz w:val="20"/>
                <w:szCs w:val="20"/>
                <w:lang w:eastAsia="en-AU"/>
              </w:rPr>
              <w:t xml:space="preserve">  No    </w:t>
            </w:r>
            <w:r w:rsidRPr="00D31C93">
              <w:rPr>
                <w:rFonts w:ascii="Arial" w:hAnsi="Arial"/>
                <w:b w:val="0"/>
                <w:bCs w:val="0"/>
                <w:sz w:val="20"/>
                <w:szCs w:val="20"/>
                <w:lang w:eastAsia="en-AU"/>
              </w:rPr>
              <w:sym w:font="Webdings" w:char="F072"/>
            </w:r>
            <w:r w:rsidRPr="00204A4C">
              <w:rPr>
                <w:rFonts w:ascii="Arial" w:hAnsi="Arial"/>
                <w:b w:val="0"/>
                <w:bCs w:val="0"/>
                <w:sz w:val="20"/>
                <w:szCs w:val="20"/>
                <w:lang w:eastAsia="en-AU"/>
              </w:rPr>
              <w:t xml:space="preserve">  Yes   </w:t>
            </w:r>
          </w:p>
          <w:p w14:paraId="28C09C8C" w14:textId="77777777" w:rsidR="00D31C93" w:rsidRDefault="00D31C93" w:rsidP="00F42658">
            <w:pPr>
              <w:pStyle w:val="BodyText"/>
              <w:jc w:val="both"/>
              <w:rPr>
                <w:rFonts w:ascii="Arial" w:hAnsi="Arial"/>
                <w:b w:val="0"/>
                <w:bCs w:val="0"/>
                <w:sz w:val="20"/>
                <w:szCs w:val="20"/>
                <w:lang w:eastAsia="en-AU"/>
              </w:rPr>
            </w:pPr>
          </w:p>
          <w:p w14:paraId="2266319D" w14:textId="15E56BEF" w:rsidR="00F42658" w:rsidRDefault="00F42658" w:rsidP="00F42658">
            <w:pPr>
              <w:pStyle w:val="BodyText"/>
              <w:jc w:val="both"/>
              <w:rPr>
                <w:rFonts w:ascii="Arial" w:hAnsi="Arial"/>
                <w:b w:val="0"/>
                <w:bCs w:val="0"/>
                <w:sz w:val="20"/>
                <w:szCs w:val="20"/>
                <w:lang w:eastAsia="en-AU"/>
              </w:rPr>
            </w:pPr>
            <w:r w:rsidRPr="00F42658">
              <w:rPr>
                <w:rFonts w:ascii="Arial" w:hAnsi="Arial"/>
                <w:b w:val="0"/>
                <w:bCs w:val="0"/>
                <w:sz w:val="20"/>
                <w:szCs w:val="20"/>
                <w:lang w:eastAsia="en-AU"/>
              </w:rPr>
              <w:t>Iluka is committed to high levels of community engagement. A community consultation plan is being prepared for the Wimmera Project to ensure that stakeholder interests are heard and actioned where reasonable.</w:t>
            </w:r>
          </w:p>
          <w:p w14:paraId="458A1778" w14:textId="77777777" w:rsidR="00F42658" w:rsidRPr="00F42658" w:rsidRDefault="00F42658" w:rsidP="00F42658">
            <w:pPr>
              <w:pStyle w:val="BodyText"/>
              <w:jc w:val="both"/>
              <w:rPr>
                <w:rFonts w:ascii="Arial" w:hAnsi="Arial"/>
                <w:b w:val="0"/>
                <w:bCs w:val="0"/>
                <w:sz w:val="20"/>
                <w:szCs w:val="20"/>
                <w:lang w:eastAsia="en-AU"/>
              </w:rPr>
            </w:pPr>
            <w:r w:rsidRPr="00F42658">
              <w:rPr>
                <w:rFonts w:ascii="Arial" w:hAnsi="Arial"/>
                <w:b w:val="0"/>
                <w:bCs w:val="0"/>
                <w:sz w:val="20"/>
                <w:szCs w:val="20"/>
                <w:lang w:eastAsia="en-AU"/>
              </w:rPr>
              <w:t xml:space="preserve"> </w:t>
            </w:r>
          </w:p>
          <w:p w14:paraId="5CE1645C" w14:textId="77777777" w:rsidR="00DA306B" w:rsidRDefault="00F42658" w:rsidP="00F42658">
            <w:pPr>
              <w:jc w:val="both"/>
              <w:rPr>
                <w:rFonts w:ascii="Arial" w:hAnsi="Arial"/>
              </w:rPr>
            </w:pPr>
            <w:r w:rsidRPr="00641A72">
              <w:rPr>
                <w:rFonts w:ascii="Arial" w:hAnsi="Arial"/>
              </w:rPr>
              <w:t>Consultation activity undertaken</w:t>
            </w:r>
            <w:r w:rsidR="00641A72" w:rsidRPr="00641A72">
              <w:rPr>
                <w:rFonts w:ascii="Arial" w:hAnsi="Arial"/>
              </w:rPr>
              <w:t xml:space="preserve"> to date is outlined in Section 10.</w:t>
            </w:r>
          </w:p>
          <w:p w14:paraId="5DB342B7" w14:textId="310661C4" w:rsidR="00156AEC" w:rsidRDefault="00156AEC" w:rsidP="00F42658">
            <w:pPr>
              <w:jc w:val="both"/>
              <w:rPr>
                <w:rFonts w:ascii="Arial" w:hAnsi="Arial"/>
              </w:rPr>
            </w:pPr>
          </w:p>
        </w:tc>
      </w:tr>
      <w:tr w:rsidR="00DA306B" w14:paraId="36C8C85B" w14:textId="77777777" w:rsidTr="00FD555F">
        <w:tblPrEx>
          <w:tblBorders>
            <w:insideH w:val="single" w:sz="4" w:space="0" w:color="auto"/>
          </w:tblBorders>
        </w:tblPrEx>
        <w:tc>
          <w:tcPr>
            <w:tcW w:w="9243" w:type="dxa"/>
            <w:tcBorders>
              <w:bottom w:val="single" w:sz="4" w:space="0" w:color="auto"/>
            </w:tcBorders>
          </w:tcPr>
          <w:p w14:paraId="1B35745A" w14:textId="5F018A11" w:rsidR="00F42658" w:rsidRDefault="00D54213" w:rsidP="00F42658">
            <w:pPr>
              <w:pStyle w:val="Heading2"/>
              <w:keepLines/>
              <w:numPr>
                <w:ilvl w:val="1"/>
                <w:numId w:val="0"/>
              </w:numPr>
              <w:tabs>
                <w:tab w:val="clear" w:pos="2904"/>
                <w:tab w:val="clear" w:pos="3907"/>
                <w:tab w:val="clear" w:pos="4910"/>
                <w:tab w:val="clear" w:pos="5913"/>
                <w:tab w:val="clear" w:pos="6916"/>
              </w:tabs>
              <w:spacing w:before="240" w:after="240"/>
              <w:ind w:left="851" w:hanging="851"/>
              <w:jc w:val="both"/>
            </w:pPr>
            <w:bookmarkStart w:id="182" w:name="_Toc7770326"/>
            <w:r>
              <w:t>20</w:t>
            </w:r>
            <w:r w:rsidR="00F42658">
              <w:t>.4 Has a program for future consultation been developed?</w:t>
            </w:r>
            <w:bookmarkEnd w:id="182"/>
          </w:p>
          <w:p w14:paraId="6DE5E4D3" w14:textId="77777777" w:rsidR="00D54213" w:rsidRDefault="00D54213" w:rsidP="00D54213">
            <w:pPr>
              <w:pStyle w:val="BodyText"/>
              <w:jc w:val="both"/>
              <w:rPr>
                <w:rFonts w:ascii="Arial" w:hAnsi="Arial"/>
                <w:b w:val="0"/>
                <w:bCs w:val="0"/>
                <w:sz w:val="20"/>
                <w:szCs w:val="20"/>
                <w:lang w:eastAsia="en-AU"/>
              </w:rPr>
            </w:pPr>
            <w:r w:rsidRPr="00D31C93">
              <w:rPr>
                <w:rFonts w:ascii="Arial" w:hAnsi="Arial"/>
                <w:b w:val="0"/>
                <w:bCs w:val="0"/>
                <w:color w:val="E7E6E6" w:themeColor="background2"/>
                <w:sz w:val="20"/>
                <w:szCs w:val="20"/>
                <w:lang w:eastAsia="en-AU"/>
              </w:rPr>
              <w:sym w:font="Webdings" w:char="F072"/>
            </w:r>
            <w:r w:rsidRPr="00204A4C">
              <w:rPr>
                <w:rFonts w:ascii="Arial" w:hAnsi="Arial"/>
                <w:b w:val="0"/>
                <w:bCs w:val="0"/>
                <w:sz w:val="20"/>
                <w:szCs w:val="20"/>
                <w:lang w:eastAsia="en-AU"/>
              </w:rPr>
              <w:t xml:space="preserve">  No    </w:t>
            </w:r>
            <w:r w:rsidRPr="00D31C93">
              <w:rPr>
                <w:rFonts w:ascii="Arial" w:hAnsi="Arial"/>
                <w:b w:val="0"/>
                <w:bCs w:val="0"/>
                <w:sz w:val="20"/>
                <w:szCs w:val="20"/>
                <w:lang w:eastAsia="en-AU"/>
              </w:rPr>
              <w:sym w:font="Webdings" w:char="F072"/>
            </w:r>
            <w:r w:rsidRPr="00204A4C">
              <w:rPr>
                <w:rFonts w:ascii="Arial" w:hAnsi="Arial"/>
                <w:b w:val="0"/>
                <w:bCs w:val="0"/>
                <w:sz w:val="20"/>
                <w:szCs w:val="20"/>
                <w:lang w:eastAsia="en-AU"/>
              </w:rPr>
              <w:t xml:space="preserve">  Yes   </w:t>
            </w:r>
          </w:p>
          <w:p w14:paraId="591AA2D7" w14:textId="77777777" w:rsidR="00D54213" w:rsidRPr="00D54213" w:rsidRDefault="00D54213" w:rsidP="00D54213"/>
          <w:p w14:paraId="574BBC50" w14:textId="7A314D77" w:rsidR="00DA306B" w:rsidRDefault="00D54213" w:rsidP="00B41260">
            <w:pPr>
              <w:pStyle w:val="BodyText"/>
              <w:jc w:val="both"/>
              <w:rPr>
                <w:rFonts w:ascii="Arial" w:hAnsi="Arial"/>
                <w:b w:val="0"/>
                <w:bCs w:val="0"/>
                <w:sz w:val="20"/>
                <w:szCs w:val="20"/>
                <w:lang w:eastAsia="en-AU"/>
              </w:rPr>
            </w:pPr>
            <w:r>
              <w:rPr>
                <w:rFonts w:ascii="Arial" w:hAnsi="Arial"/>
                <w:b w:val="0"/>
                <w:bCs w:val="0"/>
                <w:sz w:val="20"/>
                <w:szCs w:val="20"/>
                <w:lang w:eastAsia="en-AU"/>
              </w:rPr>
              <w:t>C</w:t>
            </w:r>
            <w:r w:rsidR="00F42658" w:rsidRPr="00F42658">
              <w:rPr>
                <w:rFonts w:ascii="Arial" w:hAnsi="Arial"/>
                <w:b w:val="0"/>
                <w:bCs w:val="0"/>
                <w:sz w:val="20"/>
                <w:szCs w:val="20"/>
                <w:lang w:eastAsia="en-AU"/>
              </w:rPr>
              <w:t xml:space="preserve">onsultation activities are outlined in the draft Wimmera </w:t>
            </w:r>
            <w:r w:rsidR="00A37257">
              <w:rPr>
                <w:rFonts w:ascii="Arial" w:hAnsi="Arial"/>
                <w:b w:val="0"/>
                <w:bCs w:val="0"/>
                <w:sz w:val="20"/>
                <w:szCs w:val="20"/>
                <w:lang w:eastAsia="en-AU"/>
              </w:rPr>
              <w:t xml:space="preserve">Project </w:t>
            </w:r>
            <w:r w:rsidR="00F42658" w:rsidRPr="00F42658">
              <w:rPr>
                <w:rFonts w:ascii="Arial" w:hAnsi="Arial"/>
                <w:b w:val="0"/>
                <w:bCs w:val="0"/>
                <w:sz w:val="20"/>
                <w:szCs w:val="20"/>
                <w:lang w:eastAsia="en-AU"/>
              </w:rPr>
              <w:t xml:space="preserve">Community Consultation Plan. </w:t>
            </w:r>
          </w:p>
          <w:p w14:paraId="6CBD573E" w14:textId="4DD3F430" w:rsidR="00156AEC" w:rsidRDefault="00156AEC" w:rsidP="00B41260">
            <w:pPr>
              <w:pStyle w:val="BodyText"/>
              <w:jc w:val="both"/>
              <w:rPr>
                <w:rFonts w:ascii="Arial" w:hAnsi="Arial"/>
              </w:rPr>
            </w:pPr>
          </w:p>
        </w:tc>
      </w:tr>
    </w:tbl>
    <w:p w14:paraId="4FBB1503" w14:textId="77777777" w:rsidR="001C34F3" w:rsidRDefault="001C34F3">
      <w:pPr>
        <w:tabs>
          <w:tab w:val="left" w:pos="2904"/>
          <w:tab w:val="left" w:pos="3907"/>
          <w:tab w:val="left" w:pos="4910"/>
          <w:tab w:val="left" w:pos="5913"/>
          <w:tab w:val="left" w:pos="6916"/>
        </w:tabs>
        <w:rPr>
          <w:rFonts w:ascii="Arial" w:hAnsi="Arial"/>
          <w:b/>
          <w:sz w:val="22"/>
        </w:rPr>
      </w:pPr>
    </w:p>
    <w:p w14:paraId="5721F8A4" w14:textId="77777777" w:rsidR="001C34F3" w:rsidRDefault="001C34F3">
      <w:pPr>
        <w:tabs>
          <w:tab w:val="left" w:pos="2904"/>
          <w:tab w:val="left" w:pos="3907"/>
          <w:tab w:val="left" w:pos="4910"/>
          <w:tab w:val="left" w:pos="5913"/>
          <w:tab w:val="left" w:pos="6916"/>
        </w:tabs>
        <w:rPr>
          <w:rFonts w:ascii="Arial" w:hAnsi="Arial"/>
          <w:b/>
          <w:sz w:val="22"/>
        </w:rPr>
      </w:pPr>
    </w:p>
    <w:p w14:paraId="4D4CA2A4" w14:textId="77777777" w:rsidR="001C34F3" w:rsidRPr="00087D32" w:rsidRDefault="001C34F3" w:rsidP="00641A72">
      <w:pPr>
        <w:tabs>
          <w:tab w:val="left" w:pos="2904"/>
          <w:tab w:val="left" w:pos="3907"/>
          <w:tab w:val="left" w:pos="4910"/>
          <w:tab w:val="left" w:pos="5913"/>
          <w:tab w:val="left" w:pos="6916"/>
        </w:tabs>
        <w:rPr>
          <w:rFonts w:ascii="Arial" w:hAnsi="Arial"/>
          <w:b/>
          <w:sz w:val="22"/>
          <w:highlight w:val="yellow"/>
        </w:rPr>
      </w:pPr>
      <w:r>
        <w:rPr>
          <w:rFonts w:ascii="Arial" w:hAnsi="Arial"/>
          <w:b/>
          <w:sz w:val="22"/>
        </w:rPr>
        <w:br w:type="page"/>
      </w:r>
    </w:p>
    <w:p w14:paraId="11B13CA9" w14:textId="6930B260" w:rsidR="001C34F3" w:rsidRDefault="001C34F3">
      <w:pPr>
        <w:rPr>
          <w:rFonts w:ascii="Arial" w:hAnsi="Arial"/>
          <w:b/>
        </w:rPr>
      </w:pPr>
      <w:r w:rsidRPr="00087D32">
        <w:rPr>
          <w:rFonts w:ascii="Arial" w:hAnsi="Arial"/>
          <w:b/>
        </w:rPr>
        <w:lastRenderedPageBreak/>
        <w:t xml:space="preserve">Authorised person for proponent:  </w:t>
      </w:r>
    </w:p>
    <w:p w14:paraId="0C37EFEF" w14:textId="77777777" w:rsidR="00156AEC" w:rsidRPr="00087D32" w:rsidRDefault="00156AEC">
      <w:pPr>
        <w:rPr>
          <w:rFonts w:ascii="Arial" w:hAnsi="Arial"/>
          <w:b/>
        </w:rPr>
      </w:pPr>
    </w:p>
    <w:p w14:paraId="2044F071" w14:textId="4F260A35" w:rsidR="001C34F3" w:rsidRPr="00087D32" w:rsidRDefault="001C34F3" w:rsidP="00156AEC">
      <w:pPr>
        <w:spacing w:before="120"/>
        <w:rPr>
          <w:rFonts w:ascii="Arial" w:hAnsi="Arial"/>
        </w:rPr>
      </w:pPr>
      <w:r w:rsidRPr="00087D32">
        <w:rPr>
          <w:rFonts w:ascii="Arial" w:hAnsi="Arial"/>
        </w:rPr>
        <w:t xml:space="preserve">I, </w:t>
      </w:r>
      <w:r w:rsidR="00156AEC">
        <w:rPr>
          <w:rFonts w:ascii="Arial" w:hAnsi="Arial"/>
        </w:rPr>
        <w:t xml:space="preserve">Marcus Little, </w:t>
      </w:r>
      <w:r w:rsidR="00156AEC" w:rsidRPr="00156AEC">
        <w:rPr>
          <w:rFonts w:ascii="Arial" w:hAnsi="Arial"/>
        </w:rPr>
        <w:t>Principal Environmental Specialist &amp; Radiation Safety Officer, Murray Basin</w:t>
      </w:r>
      <w:r w:rsidR="00F523A2">
        <w:rPr>
          <w:rFonts w:ascii="Arial" w:hAnsi="Arial"/>
        </w:rPr>
        <w:t xml:space="preserve"> (Iluka Resources Limited)</w:t>
      </w:r>
      <w:r w:rsidRPr="00087D32">
        <w:rPr>
          <w:rFonts w:ascii="Arial" w:hAnsi="Arial"/>
        </w:rPr>
        <w:t>, confirm that the information contained in this form is, to my knowledge, true and not misleading</w:t>
      </w:r>
      <w:r w:rsidR="00731F1C" w:rsidRPr="00087D32">
        <w:rPr>
          <w:rFonts w:ascii="Arial" w:hAnsi="Arial"/>
        </w:rPr>
        <w:t xml:space="preserve">.  </w:t>
      </w:r>
    </w:p>
    <w:p w14:paraId="0FC8E629" w14:textId="77777777" w:rsidR="001C34F3" w:rsidRPr="00087D32" w:rsidRDefault="001C34F3">
      <w:pPr>
        <w:pStyle w:val="BodyText"/>
        <w:jc w:val="left"/>
        <w:rPr>
          <w:rFonts w:ascii="Arial" w:hAnsi="Arial"/>
          <w:b w:val="0"/>
          <w:sz w:val="20"/>
          <w:lang w:eastAsia="en-AU"/>
        </w:rPr>
      </w:pPr>
    </w:p>
    <w:p w14:paraId="293274D5" w14:textId="02FB76B3" w:rsidR="001C34F3" w:rsidRPr="003B2655" w:rsidRDefault="001C34F3">
      <w:pPr>
        <w:pStyle w:val="BodyText"/>
        <w:jc w:val="right"/>
        <w:rPr>
          <w:rFonts w:ascii="Arial" w:hAnsi="Arial"/>
          <w:b w:val="0"/>
          <w:sz w:val="20"/>
          <w:lang w:eastAsia="en-AU"/>
        </w:rPr>
      </w:pPr>
      <w:r w:rsidRPr="003B2655">
        <w:rPr>
          <w:rFonts w:ascii="Arial" w:hAnsi="Arial"/>
          <w:b w:val="0"/>
          <w:sz w:val="20"/>
          <w:lang w:eastAsia="en-AU"/>
        </w:rPr>
        <w:t xml:space="preserve">Signature </w:t>
      </w:r>
      <w:r w:rsidR="00F9738F" w:rsidRPr="003B2655">
        <w:rPr>
          <w:rFonts w:ascii="Arial" w:hAnsi="Arial"/>
          <w:b w:val="0"/>
          <w:sz w:val="20"/>
          <w:lang w:eastAsia="en-AU"/>
        </w:rPr>
        <w:tab/>
      </w:r>
      <w:r w:rsidR="003B2655" w:rsidRPr="003B2655">
        <w:rPr>
          <w:rFonts w:ascii="Arial" w:hAnsi="Arial" w:cs="Arial"/>
          <w:noProof/>
          <w:sz w:val="20"/>
          <w:szCs w:val="20"/>
          <w:lang w:eastAsia="en-AU"/>
        </w:rPr>
        <w:drawing>
          <wp:inline distT="0" distB="0" distL="0" distR="0" wp14:anchorId="04056F12" wp14:editId="5F82C84D">
            <wp:extent cx="17811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 sig.JPG"/>
                    <pic:cNvPicPr/>
                  </pic:nvPicPr>
                  <pic:blipFill>
                    <a:blip r:embed="rId10">
                      <a:extLst>
                        <a:ext uri="{28A0092B-C50C-407E-A947-70E740481C1C}">
                          <a14:useLocalDpi xmlns:a14="http://schemas.microsoft.com/office/drawing/2010/main" val="0"/>
                        </a:ext>
                      </a:extLst>
                    </a:blip>
                    <a:stretch>
                      <a:fillRect/>
                    </a:stretch>
                  </pic:blipFill>
                  <pic:spPr>
                    <a:xfrm>
                      <a:off x="0" y="0"/>
                      <a:ext cx="1781175" cy="438150"/>
                    </a:xfrm>
                    <a:prstGeom prst="rect">
                      <a:avLst/>
                    </a:prstGeom>
                  </pic:spPr>
                </pic:pic>
              </a:graphicData>
            </a:graphic>
          </wp:inline>
        </w:drawing>
      </w:r>
    </w:p>
    <w:p w14:paraId="0FB8E33A" w14:textId="77777777" w:rsidR="001C34F3" w:rsidRPr="003B2655" w:rsidRDefault="001C34F3">
      <w:pPr>
        <w:pStyle w:val="BodyText"/>
        <w:jc w:val="left"/>
        <w:rPr>
          <w:color w:val="008000"/>
          <w:sz w:val="22"/>
        </w:rPr>
      </w:pPr>
    </w:p>
    <w:p w14:paraId="42F1E55D" w14:textId="0DF7B40F" w:rsidR="001C34F3" w:rsidRPr="003B2655" w:rsidRDefault="001C34F3">
      <w:pPr>
        <w:ind w:left="5040"/>
        <w:rPr>
          <w:rFonts w:ascii="Arial" w:hAnsi="Arial"/>
        </w:rPr>
      </w:pPr>
      <w:r w:rsidRPr="003B2655">
        <w:rPr>
          <w:rFonts w:ascii="Arial" w:hAnsi="Arial"/>
        </w:rPr>
        <w:t xml:space="preserve">   Date</w:t>
      </w:r>
      <w:r w:rsidR="00F9738F" w:rsidRPr="003B2655">
        <w:rPr>
          <w:rFonts w:ascii="Arial" w:hAnsi="Arial"/>
        </w:rPr>
        <w:tab/>
      </w:r>
      <w:r w:rsidR="00F9738F" w:rsidRPr="003B2655">
        <w:rPr>
          <w:rFonts w:ascii="Arial" w:hAnsi="Arial"/>
        </w:rPr>
        <w:tab/>
        <w:t>1</w:t>
      </w:r>
      <w:r w:rsidR="008A3A7D">
        <w:rPr>
          <w:rFonts w:ascii="Arial" w:hAnsi="Arial"/>
        </w:rPr>
        <w:t>2</w:t>
      </w:r>
      <w:r w:rsidR="00F9738F" w:rsidRPr="003B2655">
        <w:rPr>
          <w:rFonts w:ascii="Arial" w:hAnsi="Arial"/>
        </w:rPr>
        <w:t xml:space="preserve"> July 2019</w:t>
      </w:r>
    </w:p>
    <w:p w14:paraId="54F8EA97" w14:textId="77777777" w:rsidR="001C34F3" w:rsidRPr="003B2655" w:rsidRDefault="001C34F3">
      <w:pPr>
        <w:rPr>
          <w:rFonts w:ascii="Arial" w:hAnsi="Arial"/>
          <w:b/>
        </w:rPr>
      </w:pPr>
    </w:p>
    <w:p w14:paraId="6C4C7978" w14:textId="58FC5C3E" w:rsidR="001C34F3" w:rsidRPr="003B2655" w:rsidRDefault="001C34F3">
      <w:pPr>
        <w:rPr>
          <w:rFonts w:ascii="Arial" w:hAnsi="Arial"/>
          <w:b/>
        </w:rPr>
      </w:pPr>
      <w:r w:rsidRPr="003B2655">
        <w:rPr>
          <w:rFonts w:ascii="Arial" w:hAnsi="Arial"/>
          <w:b/>
        </w:rPr>
        <w:t xml:space="preserve">Person who prepared this referral: </w:t>
      </w:r>
    </w:p>
    <w:p w14:paraId="646BAE1B" w14:textId="77777777" w:rsidR="00156AEC" w:rsidRPr="003B2655" w:rsidRDefault="00156AEC">
      <w:pPr>
        <w:rPr>
          <w:rFonts w:ascii="Arial" w:hAnsi="Arial"/>
          <w:b/>
        </w:rPr>
      </w:pPr>
    </w:p>
    <w:p w14:paraId="52EC1568" w14:textId="3913DDD2" w:rsidR="001C34F3" w:rsidRPr="003B2655" w:rsidRDefault="001C34F3">
      <w:pPr>
        <w:spacing w:before="120"/>
        <w:rPr>
          <w:rFonts w:ascii="Arial" w:hAnsi="Arial"/>
        </w:rPr>
      </w:pPr>
      <w:r w:rsidRPr="003B2655">
        <w:rPr>
          <w:rFonts w:ascii="Arial" w:hAnsi="Arial"/>
        </w:rPr>
        <w:t xml:space="preserve">I, </w:t>
      </w:r>
      <w:r w:rsidR="00156AEC" w:rsidRPr="003B2655">
        <w:rPr>
          <w:rFonts w:ascii="Arial" w:hAnsi="Arial"/>
        </w:rPr>
        <w:t>Philip Towler</w:t>
      </w:r>
      <w:r w:rsidRPr="003B2655">
        <w:rPr>
          <w:rFonts w:ascii="Arial" w:hAnsi="Arial"/>
        </w:rPr>
        <w:t xml:space="preserve">, </w:t>
      </w:r>
      <w:r w:rsidR="00156AEC" w:rsidRPr="003B2655">
        <w:rPr>
          <w:rFonts w:ascii="Arial" w:hAnsi="Arial"/>
        </w:rPr>
        <w:t>Associate Director</w:t>
      </w:r>
      <w:r w:rsidR="00F523A2" w:rsidRPr="003B2655">
        <w:rPr>
          <w:rFonts w:ascii="Arial" w:hAnsi="Arial"/>
        </w:rPr>
        <w:t xml:space="preserve"> (EMM Consulting)</w:t>
      </w:r>
      <w:r w:rsidRPr="003B2655">
        <w:rPr>
          <w:rFonts w:ascii="Arial" w:hAnsi="Arial"/>
        </w:rPr>
        <w:t>, confirm that the information contained in this form is, to my knowledge, true and not misleading</w:t>
      </w:r>
      <w:r w:rsidR="00731F1C" w:rsidRPr="003B2655">
        <w:rPr>
          <w:rFonts w:ascii="Arial" w:hAnsi="Arial"/>
        </w:rPr>
        <w:t xml:space="preserve">.  </w:t>
      </w:r>
    </w:p>
    <w:p w14:paraId="45FE223A" w14:textId="77777777" w:rsidR="001C34F3" w:rsidRPr="003B2655" w:rsidRDefault="001C34F3">
      <w:pPr>
        <w:pStyle w:val="BodyText"/>
        <w:jc w:val="left"/>
        <w:rPr>
          <w:rFonts w:ascii="Arial" w:hAnsi="Arial"/>
          <w:b w:val="0"/>
          <w:sz w:val="20"/>
          <w:lang w:eastAsia="en-AU"/>
        </w:rPr>
      </w:pPr>
    </w:p>
    <w:p w14:paraId="4173F70B" w14:textId="49719540" w:rsidR="001C34F3" w:rsidRPr="003B2655" w:rsidRDefault="001C34F3" w:rsidP="009A264B">
      <w:pPr>
        <w:pStyle w:val="BodyText"/>
        <w:ind w:left="3600" w:firstLine="720"/>
        <w:rPr>
          <w:rFonts w:ascii="Arial" w:hAnsi="Arial"/>
          <w:b w:val="0"/>
          <w:sz w:val="20"/>
          <w:lang w:eastAsia="en-AU"/>
        </w:rPr>
      </w:pPr>
      <w:r w:rsidRPr="003B2655">
        <w:rPr>
          <w:rFonts w:ascii="Arial" w:hAnsi="Arial"/>
          <w:b w:val="0"/>
          <w:sz w:val="20"/>
          <w:lang w:eastAsia="en-AU"/>
        </w:rPr>
        <w:t xml:space="preserve">Signature </w:t>
      </w:r>
      <w:r w:rsidR="003B2655" w:rsidRPr="003B2655">
        <w:rPr>
          <w:noProof/>
          <w:lang w:eastAsia="en-AU"/>
        </w:rPr>
        <w:drawing>
          <wp:inline distT="0" distB="0" distL="0" distR="0" wp14:anchorId="257794DD" wp14:editId="7796A93D">
            <wp:extent cx="1067109" cy="5048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tretch>
                      <a:fillRect/>
                    </a:stretch>
                  </pic:blipFill>
                  <pic:spPr bwMode="auto">
                    <a:xfrm>
                      <a:off x="0" y="0"/>
                      <a:ext cx="1067109" cy="504825"/>
                    </a:xfrm>
                    <a:prstGeom prst="rect">
                      <a:avLst/>
                    </a:prstGeom>
                    <a:noFill/>
                    <a:ln>
                      <a:noFill/>
                    </a:ln>
                  </pic:spPr>
                </pic:pic>
              </a:graphicData>
            </a:graphic>
          </wp:inline>
        </w:drawing>
      </w:r>
    </w:p>
    <w:p w14:paraId="18D93106" w14:textId="77777777" w:rsidR="001C34F3" w:rsidRPr="003B2655" w:rsidRDefault="001C34F3">
      <w:pPr>
        <w:rPr>
          <w:rFonts w:ascii="Arial" w:hAnsi="Arial"/>
          <w:b/>
        </w:rPr>
      </w:pPr>
    </w:p>
    <w:p w14:paraId="5F3A665B" w14:textId="656294EE" w:rsidR="001C34F3" w:rsidRPr="00087D32" w:rsidRDefault="001C34F3">
      <w:pPr>
        <w:ind w:left="5040"/>
        <w:rPr>
          <w:rFonts w:ascii="Arial" w:hAnsi="Arial"/>
        </w:rPr>
      </w:pPr>
      <w:r w:rsidRPr="003B2655">
        <w:rPr>
          <w:rFonts w:ascii="Arial" w:hAnsi="Arial"/>
        </w:rPr>
        <w:t xml:space="preserve">   Date</w:t>
      </w:r>
      <w:r w:rsidR="00F9738F" w:rsidRPr="003B2655">
        <w:rPr>
          <w:rFonts w:ascii="Arial" w:hAnsi="Arial"/>
        </w:rPr>
        <w:tab/>
      </w:r>
      <w:r w:rsidR="00F9738F" w:rsidRPr="003B2655">
        <w:rPr>
          <w:rFonts w:ascii="Arial" w:hAnsi="Arial"/>
        </w:rPr>
        <w:tab/>
        <w:t>1</w:t>
      </w:r>
      <w:r w:rsidR="008A3A7D">
        <w:rPr>
          <w:rFonts w:ascii="Arial" w:hAnsi="Arial"/>
        </w:rPr>
        <w:t>2</w:t>
      </w:r>
      <w:r w:rsidR="00F9738F" w:rsidRPr="003B2655">
        <w:rPr>
          <w:rFonts w:ascii="Arial" w:hAnsi="Arial"/>
        </w:rPr>
        <w:t xml:space="preserve"> July 2019</w:t>
      </w:r>
    </w:p>
    <w:p w14:paraId="5E758D38" w14:textId="290452D1" w:rsidR="001C34F3" w:rsidRDefault="001C34F3">
      <w:pPr>
        <w:pStyle w:val="BodyText"/>
        <w:rPr>
          <w:sz w:val="18"/>
        </w:rPr>
      </w:pPr>
    </w:p>
    <w:p w14:paraId="25E9E5CF" w14:textId="1921ED6D" w:rsidR="00751588" w:rsidRDefault="00751588">
      <w:pPr>
        <w:pStyle w:val="BodyText"/>
        <w:rPr>
          <w:sz w:val="18"/>
        </w:rPr>
      </w:pPr>
    </w:p>
    <w:p w14:paraId="459E1D0E" w14:textId="5DCD6D3D" w:rsidR="00751588" w:rsidRDefault="00751588">
      <w:pPr>
        <w:pStyle w:val="BodyText"/>
        <w:rPr>
          <w:sz w:val="18"/>
        </w:rPr>
      </w:pPr>
    </w:p>
    <w:p w14:paraId="2CE49E1E" w14:textId="5992C062" w:rsidR="00751588" w:rsidRDefault="00751588">
      <w:pPr>
        <w:pStyle w:val="BodyText"/>
        <w:rPr>
          <w:sz w:val="18"/>
        </w:rPr>
      </w:pPr>
    </w:p>
    <w:p w14:paraId="6DEB677C" w14:textId="7AEDF1DC" w:rsidR="00751588" w:rsidRDefault="00751588">
      <w:pPr>
        <w:pStyle w:val="BodyText"/>
        <w:rPr>
          <w:sz w:val="18"/>
        </w:rPr>
      </w:pPr>
    </w:p>
    <w:p w14:paraId="156481D5" w14:textId="4BD57410" w:rsidR="00751588" w:rsidRDefault="00751588">
      <w:pPr>
        <w:pStyle w:val="BodyText"/>
        <w:rPr>
          <w:sz w:val="18"/>
        </w:rPr>
      </w:pPr>
    </w:p>
    <w:p w14:paraId="56D25FAE" w14:textId="7D2FF4C1" w:rsidR="00751588" w:rsidRDefault="00751588">
      <w:pPr>
        <w:rPr>
          <w:b/>
          <w:bCs/>
          <w:sz w:val="18"/>
          <w:szCs w:val="28"/>
          <w:lang w:eastAsia="en-US"/>
        </w:rPr>
      </w:pPr>
      <w:r>
        <w:rPr>
          <w:sz w:val="18"/>
        </w:rPr>
        <w:br w:type="page"/>
      </w:r>
    </w:p>
    <w:p w14:paraId="33CD83E1" w14:textId="77777777" w:rsidR="00751588" w:rsidRDefault="00751588">
      <w:pPr>
        <w:pStyle w:val="BodyText"/>
        <w:rPr>
          <w:sz w:val="18"/>
        </w:rPr>
      </w:pPr>
    </w:p>
    <w:p w14:paraId="2DFC0B1E" w14:textId="77777777" w:rsidR="00751588" w:rsidRDefault="00751588" w:rsidP="00751588">
      <w:pPr>
        <w:rPr>
          <w:rFonts w:ascii="Arial" w:hAnsi="Arial"/>
          <w:b/>
        </w:rPr>
      </w:pPr>
      <w:r w:rsidRPr="008B27BA">
        <w:rPr>
          <w:rFonts w:ascii="Arial" w:hAnsi="Arial"/>
          <w:b/>
        </w:rPr>
        <w:t>References</w:t>
      </w:r>
    </w:p>
    <w:p w14:paraId="3943447B" w14:textId="77777777" w:rsidR="00751588" w:rsidRPr="008B27BA" w:rsidRDefault="00751588" w:rsidP="00751588">
      <w:pPr>
        <w:rPr>
          <w:rFonts w:ascii="Arial" w:hAnsi="Arial"/>
          <w:b/>
        </w:rPr>
      </w:pPr>
    </w:p>
    <w:p w14:paraId="64A70091" w14:textId="77777777" w:rsidR="00751588" w:rsidRPr="006E4ACA" w:rsidRDefault="00751588" w:rsidP="00751588">
      <w:pPr>
        <w:spacing w:after="120"/>
        <w:rPr>
          <w:rFonts w:ascii="Arial" w:hAnsi="Arial" w:cs="Arial"/>
          <w:color w:val="000000" w:themeColor="text1"/>
        </w:rPr>
      </w:pPr>
      <w:r w:rsidRPr="006E4ACA">
        <w:rPr>
          <w:rFonts w:ascii="Arial" w:hAnsi="Arial" w:cs="Arial"/>
        </w:rPr>
        <w:t xml:space="preserve">AMIRA 2002, </w:t>
      </w:r>
      <w:r w:rsidRPr="006E4ACA">
        <w:rPr>
          <w:rFonts w:ascii="Arial" w:hAnsi="Arial" w:cs="Arial"/>
          <w:i/>
          <w:iCs/>
        </w:rPr>
        <w:t>Acid rock drainage test handbook,</w:t>
      </w:r>
      <w:r w:rsidRPr="006E4ACA">
        <w:rPr>
          <w:rFonts w:ascii="Arial" w:hAnsi="Arial" w:cs="Arial"/>
        </w:rPr>
        <w:t xml:space="preserve"> </w:t>
      </w:r>
      <w:r w:rsidRPr="006E4ACA">
        <w:rPr>
          <w:rFonts w:ascii="Arial" w:hAnsi="Arial" w:cs="Arial"/>
          <w:color w:val="000000" w:themeColor="text1"/>
        </w:rPr>
        <w:t>Australian Mineral Industries Research Association.</w:t>
      </w:r>
    </w:p>
    <w:p w14:paraId="75CDAB5D" w14:textId="77777777" w:rsidR="00751588" w:rsidRDefault="00751588" w:rsidP="00751588">
      <w:pPr>
        <w:spacing w:after="120"/>
        <w:rPr>
          <w:rFonts w:ascii="Arial" w:hAnsi="Arial"/>
        </w:rPr>
      </w:pPr>
      <w:r w:rsidRPr="008B27BA">
        <w:rPr>
          <w:rFonts w:ascii="Arial" w:hAnsi="Arial"/>
        </w:rPr>
        <w:t xml:space="preserve">ARPANSA 2005, </w:t>
      </w:r>
      <w:r w:rsidRPr="008B27BA">
        <w:rPr>
          <w:rFonts w:ascii="Arial" w:hAnsi="Arial"/>
          <w:i/>
        </w:rPr>
        <w:t>Code of practice and safety guide radiation protection and radioactive waste management in mining and mineral processing</w:t>
      </w:r>
      <w:r w:rsidRPr="008B27BA">
        <w:rPr>
          <w:rFonts w:ascii="Arial" w:hAnsi="Arial"/>
        </w:rPr>
        <w:t xml:space="preserve">, Australian Radiation Protection and Nuclear Safety Agency. </w:t>
      </w:r>
    </w:p>
    <w:p w14:paraId="6E34162E" w14:textId="77777777" w:rsidR="00751588" w:rsidRPr="008B27BA" w:rsidRDefault="00751588" w:rsidP="00751588">
      <w:pPr>
        <w:spacing w:after="120"/>
        <w:rPr>
          <w:rFonts w:ascii="Arial" w:hAnsi="Arial"/>
        </w:rPr>
      </w:pPr>
      <w:r w:rsidRPr="008B27BA">
        <w:rPr>
          <w:rFonts w:ascii="Arial" w:hAnsi="Arial"/>
        </w:rPr>
        <w:t xml:space="preserve">Australian stratigraphic units database. </w:t>
      </w:r>
      <w:hyperlink r:id="rId12" w:history="1">
        <w:r w:rsidRPr="008B27BA">
          <w:rPr>
            <w:rFonts w:ascii="Arial" w:hAnsi="Arial"/>
          </w:rPr>
          <w:t>https://www.ga.gov.au/data-pubs/datastandards/stratigraphic-units</w:t>
        </w:r>
      </w:hyperlink>
      <w:r w:rsidRPr="008B27BA">
        <w:rPr>
          <w:rFonts w:ascii="Arial" w:hAnsi="Arial"/>
        </w:rPr>
        <w:t xml:space="preserve"> Accessed 11/04/2019.</w:t>
      </w:r>
    </w:p>
    <w:p w14:paraId="5F43C53D" w14:textId="77777777" w:rsidR="00751588" w:rsidRDefault="00751588" w:rsidP="00751588">
      <w:pPr>
        <w:spacing w:after="120"/>
        <w:rPr>
          <w:rFonts w:ascii="Arial" w:hAnsi="Arial"/>
        </w:rPr>
      </w:pPr>
      <w:r w:rsidRPr="008B27BA">
        <w:rPr>
          <w:rFonts w:ascii="Arial" w:hAnsi="Arial"/>
        </w:rPr>
        <w:t>Cardno 2019</w:t>
      </w:r>
      <w:r>
        <w:rPr>
          <w:rFonts w:ascii="Arial" w:hAnsi="Arial"/>
        </w:rPr>
        <w:t>a</w:t>
      </w:r>
      <w:r w:rsidRPr="008B27BA">
        <w:rPr>
          <w:rFonts w:ascii="Arial" w:hAnsi="Arial"/>
        </w:rPr>
        <w:t xml:space="preserve">, </w:t>
      </w:r>
      <w:r w:rsidRPr="008B27BA">
        <w:rPr>
          <w:rFonts w:ascii="Arial" w:hAnsi="Arial"/>
          <w:i/>
        </w:rPr>
        <w:t>Iluka baseline ecological assessments - WIM100 ecology report, Murray Basin fine mineral deposits</w:t>
      </w:r>
      <w:r w:rsidRPr="008B27BA">
        <w:rPr>
          <w:rFonts w:ascii="Arial" w:hAnsi="Arial"/>
        </w:rPr>
        <w:t>, report prepared for Iluka.</w:t>
      </w:r>
    </w:p>
    <w:p w14:paraId="45F2AFF8" w14:textId="77777777" w:rsidR="00751588" w:rsidRPr="00323595" w:rsidRDefault="00751588" w:rsidP="00751588">
      <w:pPr>
        <w:spacing w:after="120"/>
        <w:rPr>
          <w:rFonts w:ascii="Arial" w:hAnsi="Arial"/>
        </w:rPr>
      </w:pPr>
      <w:r w:rsidRPr="00323595">
        <w:rPr>
          <w:rFonts w:ascii="Arial" w:hAnsi="Arial"/>
        </w:rPr>
        <w:t xml:space="preserve">Cardno 2019b, </w:t>
      </w:r>
      <w:r w:rsidRPr="00323595">
        <w:rPr>
          <w:rFonts w:ascii="Arial" w:hAnsi="Arial"/>
          <w:i/>
        </w:rPr>
        <w:t>Ecological implications of exclusions from WIM100 mining footprint</w:t>
      </w:r>
      <w:r w:rsidRPr="00323595">
        <w:rPr>
          <w:rFonts w:ascii="Arial" w:hAnsi="Arial"/>
        </w:rPr>
        <w:t>, letter of advice prepared for Iluka (21/06/2019).</w:t>
      </w:r>
    </w:p>
    <w:p w14:paraId="0A558BC6" w14:textId="77777777" w:rsidR="00751588" w:rsidRPr="008B27BA" w:rsidRDefault="00751588" w:rsidP="00751588">
      <w:pPr>
        <w:spacing w:after="120"/>
        <w:rPr>
          <w:rFonts w:ascii="Arial" w:hAnsi="Arial"/>
        </w:rPr>
      </w:pPr>
      <w:r w:rsidRPr="00323595">
        <w:rPr>
          <w:rFonts w:ascii="Arial" w:hAnsi="Arial"/>
        </w:rPr>
        <w:t xml:space="preserve">Cardno 2019c, </w:t>
      </w:r>
      <w:r w:rsidRPr="00323595">
        <w:rPr>
          <w:rFonts w:ascii="Arial" w:hAnsi="Arial"/>
          <w:i/>
        </w:rPr>
        <w:t>Offset implications for the Wimmera project – development footprint</w:t>
      </w:r>
      <w:r w:rsidRPr="00323595">
        <w:rPr>
          <w:rFonts w:ascii="Arial" w:hAnsi="Arial"/>
        </w:rPr>
        <w:t>, letter of advice prepared for Iluka (26/06/2019).</w:t>
      </w:r>
    </w:p>
    <w:p w14:paraId="0EDFD3C5" w14:textId="77777777" w:rsidR="00751588" w:rsidRDefault="00751588" w:rsidP="00751588">
      <w:pPr>
        <w:spacing w:after="120"/>
        <w:rPr>
          <w:rFonts w:ascii="Arial" w:hAnsi="Arial"/>
        </w:rPr>
      </w:pPr>
      <w:r w:rsidRPr="009B24FB">
        <w:rPr>
          <w:rFonts w:ascii="Arial" w:hAnsi="Arial"/>
        </w:rPr>
        <w:t>Commonwealth of Australia 2019,</w:t>
      </w:r>
      <w:r>
        <w:rPr>
          <w:rFonts w:ascii="Arial" w:hAnsi="Arial"/>
          <w:i/>
        </w:rPr>
        <w:t xml:space="preserve"> </w:t>
      </w:r>
      <w:r w:rsidRPr="007D2893">
        <w:rPr>
          <w:rFonts w:ascii="Arial" w:hAnsi="Arial"/>
          <w:i/>
        </w:rPr>
        <w:t>Australia’s critical mineral strategy 2019</w:t>
      </w:r>
      <w:r>
        <w:rPr>
          <w:rFonts w:ascii="Arial" w:hAnsi="Arial"/>
          <w:i/>
        </w:rPr>
        <w:t>.</w:t>
      </w:r>
      <w:r>
        <w:rPr>
          <w:rFonts w:ascii="Arial" w:hAnsi="Arial"/>
        </w:rPr>
        <w:tab/>
      </w:r>
      <w:r>
        <w:rPr>
          <w:rFonts w:ascii="Arial" w:hAnsi="Arial"/>
        </w:rPr>
        <w:tab/>
      </w:r>
    </w:p>
    <w:p w14:paraId="3BCBDFD1" w14:textId="77777777" w:rsidR="00751588" w:rsidRPr="008B27BA" w:rsidRDefault="00751588" w:rsidP="00751588">
      <w:pPr>
        <w:spacing w:after="120"/>
        <w:rPr>
          <w:rFonts w:ascii="Arial" w:hAnsi="Arial"/>
        </w:rPr>
      </w:pPr>
      <w:r w:rsidRPr="008B27BA">
        <w:rPr>
          <w:rFonts w:ascii="Arial" w:hAnsi="Arial"/>
        </w:rPr>
        <w:t xml:space="preserve">DEDJTR 2017, </w:t>
      </w:r>
      <w:r w:rsidRPr="008B27BA">
        <w:rPr>
          <w:rFonts w:ascii="Arial" w:hAnsi="Arial"/>
          <w:i/>
        </w:rPr>
        <w:t>Technical guideline - Design and management of tailings storage facilities,</w:t>
      </w:r>
      <w:r w:rsidRPr="008B27BA">
        <w:rPr>
          <w:rFonts w:ascii="Arial" w:hAnsi="Arial"/>
        </w:rPr>
        <w:t xml:space="preserve"> Department of Economic Development, Jobs, Transport and Resources.</w:t>
      </w:r>
    </w:p>
    <w:p w14:paraId="1756380F" w14:textId="77777777" w:rsidR="00751588" w:rsidRPr="008B27BA" w:rsidRDefault="00751588" w:rsidP="00751588">
      <w:pPr>
        <w:spacing w:after="120"/>
        <w:rPr>
          <w:rFonts w:ascii="Arial" w:hAnsi="Arial"/>
        </w:rPr>
      </w:pPr>
      <w:r w:rsidRPr="008B27BA">
        <w:rPr>
          <w:rFonts w:ascii="Arial" w:hAnsi="Arial"/>
        </w:rPr>
        <w:t>DELWP 2014</w:t>
      </w:r>
      <w:r>
        <w:rPr>
          <w:rFonts w:ascii="Arial" w:hAnsi="Arial"/>
        </w:rPr>
        <w:t>a</w:t>
      </w:r>
      <w:r w:rsidRPr="008B27BA">
        <w:rPr>
          <w:rFonts w:ascii="Arial" w:hAnsi="Arial"/>
        </w:rPr>
        <w:t>, Department of Environment Land Water and Planning. Victorian Department of State Development, Business and Innovation. Victoria - Water table mapping 2014.</w:t>
      </w:r>
    </w:p>
    <w:p w14:paraId="61B156D6" w14:textId="77777777" w:rsidR="00751588" w:rsidRPr="008B27BA" w:rsidRDefault="00751588" w:rsidP="00751588">
      <w:pPr>
        <w:spacing w:after="120"/>
        <w:rPr>
          <w:rFonts w:ascii="Arial" w:hAnsi="Arial"/>
        </w:rPr>
      </w:pPr>
      <w:r w:rsidRPr="008B27BA">
        <w:rPr>
          <w:rFonts w:ascii="Arial" w:hAnsi="Arial"/>
        </w:rPr>
        <w:t>DELWP 2014</w:t>
      </w:r>
      <w:r>
        <w:rPr>
          <w:rFonts w:ascii="Arial" w:hAnsi="Arial"/>
        </w:rPr>
        <w:t>b</w:t>
      </w:r>
      <w:r w:rsidRPr="008B27BA">
        <w:rPr>
          <w:rFonts w:ascii="Arial" w:hAnsi="Arial"/>
        </w:rPr>
        <w:t xml:space="preserve">, </w:t>
      </w:r>
      <w:r w:rsidRPr="008B27BA">
        <w:rPr>
          <w:rFonts w:ascii="Arial" w:hAnsi="Arial"/>
          <w:i/>
        </w:rPr>
        <w:t>Wimmera Southern Mallee regional growth plan</w:t>
      </w:r>
      <w:r w:rsidRPr="008B27BA">
        <w:rPr>
          <w:rFonts w:ascii="Arial" w:hAnsi="Arial"/>
        </w:rPr>
        <w:t>, Department of Environment, Land, Water and Planning.</w:t>
      </w:r>
    </w:p>
    <w:p w14:paraId="6B5D4334" w14:textId="77777777" w:rsidR="00751588" w:rsidRPr="008B27BA" w:rsidRDefault="00751588" w:rsidP="00751588">
      <w:pPr>
        <w:spacing w:after="120"/>
        <w:rPr>
          <w:rFonts w:ascii="Arial" w:hAnsi="Arial"/>
        </w:rPr>
      </w:pPr>
      <w:r w:rsidRPr="008B27BA">
        <w:rPr>
          <w:rFonts w:ascii="Arial" w:hAnsi="Arial"/>
        </w:rPr>
        <w:t xml:space="preserve">EPA 1997, </w:t>
      </w:r>
      <w:r w:rsidRPr="008B27BA">
        <w:rPr>
          <w:rFonts w:ascii="Arial" w:hAnsi="Arial"/>
          <w:i/>
        </w:rPr>
        <w:t>State environmental protection policy - Groundwaters of Victoria</w:t>
      </w:r>
      <w:r w:rsidRPr="008B27BA">
        <w:rPr>
          <w:rFonts w:ascii="Arial" w:hAnsi="Arial"/>
        </w:rPr>
        <w:t>, Environment Protection Authority Victoria.</w:t>
      </w:r>
    </w:p>
    <w:p w14:paraId="73E81E92" w14:textId="77777777" w:rsidR="00751588" w:rsidRPr="008B27BA" w:rsidRDefault="00751588" w:rsidP="00751588">
      <w:pPr>
        <w:spacing w:after="120"/>
        <w:rPr>
          <w:rFonts w:ascii="Arial" w:hAnsi="Arial"/>
        </w:rPr>
      </w:pPr>
      <w:r w:rsidRPr="008B27BA">
        <w:rPr>
          <w:rFonts w:ascii="Arial" w:hAnsi="Arial"/>
        </w:rPr>
        <w:t xml:space="preserve">EPA 2018, </w:t>
      </w:r>
      <w:r w:rsidRPr="008B27BA">
        <w:rPr>
          <w:rFonts w:ascii="Arial" w:hAnsi="Arial"/>
          <w:i/>
        </w:rPr>
        <w:t>State Environment Protection Policy - Waters of Victoria</w:t>
      </w:r>
      <w:r w:rsidRPr="008B27BA">
        <w:rPr>
          <w:rFonts w:ascii="Arial" w:hAnsi="Arial"/>
        </w:rPr>
        <w:t>, Environment Protection Authority Victoria.</w:t>
      </w:r>
    </w:p>
    <w:p w14:paraId="2AE9AA78" w14:textId="77777777" w:rsidR="00751588" w:rsidRPr="008B27BA" w:rsidRDefault="00751588" w:rsidP="00751588">
      <w:pPr>
        <w:spacing w:after="120"/>
        <w:rPr>
          <w:rFonts w:ascii="Arial" w:hAnsi="Arial"/>
        </w:rPr>
      </w:pPr>
      <w:r w:rsidRPr="008B27BA">
        <w:rPr>
          <w:rFonts w:ascii="Arial" w:hAnsi="Arial"/>
        </w:rPr>
        <w:t xml:space="preserve">GHD 2018, </w:t>
      </w:r>
      <w:r w:rsidRPr="008B27BA">
        <w:rPr>
          <w:rFonts w:ascii="Arial" w:hAnsi="Arial"/>
          <w:i/>
        </w:rPr>
        <w:t>WIM100 Desktop cultural heritage assessment</w:t>
      </w:r>
      <w:r w:rsidRPr="008B27BA">
        <w:rPr>
          <w:rFonts w:ascii="Arial" w:hAnsi="Arial"/>
        </w:rPr>
        <w:t>, report prepared for Iluka Resources Ltd.</w:t>
      </w:r>
    </w:p>
    <w:p w14:paraId="613D98EE" w14:textId="77777777" w:rsidR="00751588" w:rsidRPr="008B27BA" w:rsidRDefault="00751588" w:rsidP="00751588">
      <w:pPr>
        <w:spacing w:after="120"/>
        <w:rPr>
          <w:rFonts w:ascii="Arial" w:hAnsi="Arial"/>
        </w:rPr>
      </w:pPr>
      <w:r w:rsidRPr="008B27BA">
        <w:rPr>
          <w:rFonts w:ascii="Arial" w:hAnsi="Arial"/>
        </w:rPr>
        <w:t xml:space="preserve">GHD 2019, </w:t>
      </w:r>
      <w:r w:rsidRPr="008B27BA">
        <w:rPr>
          <w:rFonts w:ascii="Arial" w:hAnsi="Arial"/>
          <w:i/>
        </w:rPr>
        <w:t>Wimmera project baseline noise assessmen</w:t>
      </w:r>
      <w:r w:rsidRPr="008B27BA">
        <w:rPr>
          <w:rFonts w:ascii="Arial" w:hAnsi="Arial"/>
        </w:rPr>
        <w:t>t, report prepared for Iluka Resources Ltd.</w:t>
      </w:r>
    </w:p>
    <w:p w14:paraId="1320CC6A" w14:textId="77777777" w:rsidR="00751588" w:rsidRPr="008B27BA" w:rsidRDefault="00751588" w:rsidP="00751588">
      <w:pPr>
        <w:spacing w:after="120"/>
        <w:rPr>
          <w:rFonts w:ascii="Arial" w:hAnsi="Arial"/>
        </w:rPr>
      </w:pPr>
      <w:r w:rsidRPr="008B27BA">
        <w:rPr>
          <w:rFonts w:ascii="Arial" w:hAnsi="Arial"/>
        </w:rPr>
        <w:t xml:space="preserve">GHD 2019, </w:t>
      </w:r>
      <w:r w:rsidRPr="008B27BA">
        <w:rPr>
          <w:rFonts w:ascii="Arial" w:hAnsi="Arial"/>
          <w:i/>
        </w:rPr>
        <w:t>Wimmera project baseline vibration assessment,</w:t>
      </w:r>
      <w:r w:rsidRPr="008B27BA">
        <w:rPr>
          <w:rFonts w:ascii="Arial" w:hAnsi="Arial"/>
        </w:rPr>
        <w:t xml:space="preserve"> report prepared for Iluka Resources Ltd.</w:t>
      </w:r>
    </w:p>
    <w:p w14:paraId="6C4EABD6" w14:textId="77777777" w:rsidR="00751588" w:rsidRPr="008B27BA" w:rsidRDefault="00751588" w:rsidP="00751588">
      <w:pPr>
        <w:spacing w:after="120"/>
        <w:rPr>
          <w:rFonts w:ascii="Arial" w:hAnsi="Arial"/>
        </w:rPr>
      </w:pPr>
      <w:r w:rsidRPr="008B27BA">
        <w:rPr>
          <w:rFonts w:ascii="Arial" w:hAnsi="Arial"/>
        </w:rPr>
        <w:t>GHD 2019, Wimmera project meteorological assessment, report prepared for Iluka Resources Ltd.</w:t>
      </w:r>
    </w:p>
    <w:p w14:paraId="21232CD3" w14:textId="77777777" w:rsidR="00751588" w:rsidRPr="008B27BA" w:rsidRDefault="00751588" w:rsidP="00751588">
      <w:pPr>
        <w:spacing w:after="120"/>
        <w:rPr>
          <w:rFonts w:ascii="Arial" w:hAnsi="Arial"/>
        </w:rPr>
      </w:pPr>
      <w:r w:rsidRPr="008B27BA">
        <w:rPr>
          <w:rFonts w:ascii="Arial" w:hAnsi="Arial"/>
        </w:rPr>
        <w:t xml:space="preserve">Horsham planning scheme, </w:t>
      </w:r>
      <w:hyperlink r:id="rId13" w:history="1">
        <w:r w:rsidRPr="008B27BA">
          <w:rPr>
            <w:rFonts w:ascii="Arial" w:hAnsi="Arial"/>
          </w:rPr>
          <w:t>http://planning-schemes.delwp.vic.gov.au/schemes/horsham</w:t>
        </w:r>
      </w:hyperlink>
      <w:r w:rsidRPr="008B27BA">
        <w:rPr>
          <w:rFonts w:ascii="Arial" w:hAnsi="Arial"/>
        </w:rPr>
        <w:t>, viewed April 2019.</w:t>
      </w:r>
    </w:p>
    <w:p w14:paraId="5D7B6CB3" w14:textId="77777777" w:rsidR="00751588" w:rsidRPr="008B27BA" w:rsidRDefault="00751588" w:rsidP="00751588">
      <w:pPr>
        <w:spacing w:after="120"/>
        <w:rPr>
          <w:rFonts w:ascii="Arial" w:hAnsi="Arial"/>
        </w:rPr>
      </w:pPr>
      <w:r w:rsidRPr="008B27BA">
        <w:rPr>
          <w:rFonts w:ascii="Arial" w:hAnsi="Arial"/>
        </w:rPr>
        <w:t xml:space="preserve">International Atomic Energy Agency 2009, </w:t>
      </w:r>
      <w:r w:rsidRPr="008B27BA">
        <w:rPr>
          <w:rFonts w:ascii="Arial" w:hAnsi="Arial"/>
          <w:i/>
        </w:rPr>
        <w:t xml:space="preserve">Classification of radioactive waste general safety guide no. </w:t>
      </w:r>
      <w:r w:rsidRPr="008B27BA">
        <w:rPr>
          <w:rFonts w:ascii="Arial" w:hAnsi="Arial"/>
        </w:rPr>
        <w:t xml:space="preserve">1. </w:t>
      </w:r>
      <w:hyperlink r:id="rId14" w:history="1">
        <w:r w:rsidRPr="008B27BA">
          <w:rPr>
            <w:rFonts w:ascii="Arial" w:hAnsi="Arial"/>
          </w:rPr>
          <w:t>https://www-pub.iaea.org/MTCD/publications/PDF/Pub1419_web.pdf</w:t>
        </w:r>
      </w:hyperlink>
      <w:r w:rsidRPr="008B27BA">
        <w:rPr>
          <w:rFonts w:ascii="Arial" w:hAnsi="Arial"/>
        </w:rPr>
        <w:t xml:space="preserve"> Accessed 18/03/2019.</w:t>
      </w:r>
    </w:p>
    <w:p w14:paraId="6305E4E5" w14:textId="77777777" w:rsidR="00751588" w:rsidRPr="008B27BA" w:rsidRDefault="00751588" w:rsidP="00751588">
      <w:pPr>
        <w:spacing w:after="120"/>
        <w:rPr>
          <w:rFonts w:ascii="Arial" w:hAnsi="Arial"/>
        </w:rPr>
      </w:pPr>
      <w:r w:rsidRPr="008B27BA">
        <w:rPr>
          <w:rFonts w:ascii="Arial" w:hAnsi="Arial"/>
        </w:rPr>
        <w:t xml:space="preserve">Jacobs 2018a, </w:t>
      </w:r>
      <w:r w:rsidRPr="008B27BA">
        <w:rPr>
          <w:rFonts w:ascii="Arial" w:hAnsi="Arial"/>
          <w:i/>
        </w:rPr>
        <w:t>WIM 100 East: Preliminary baseline groundwater assessment</w:t>
      </w:r>
      <w:r w:rsidRPr="008B27BA">
        <w:rPr>
          <w:rFonts w:ascii="Arial" w:hAnsi="Arial"/>
        </w:rPr>
        <w:t>, report prepared for Iluka.</w:t>
      </w:r>
    </w:p>
    <w:p w14:paraId="742B052C" w14:textId="77777777" w:rsidR="00751588" w:rsidRPr="008B27BA" w:rsidRDefault="00751588" w:rsidP="00751588">
      <w:pPr>
        <w:spacing w:after="120"/>
        <w:rPr>
          <w:rFonts w:ascii="Arial" w:hAnsi="Arial"/>
        </w:rPr>
      </w:pPr>
      <w:r w:rsidRPr="008B27BA">
        <w:rPr>
          <w:rFonts w:ascii="Arial" w:hAnsi="Arial"/>
        </w:rPr>
        <w:t xml:space="preserve">Jacobs 2018b, </w:t>
      </w:r>
      <w:r w:rsidRPr="008B27BA">
        <w:rPr>
          <w:rFonts w:ascii="Arial" w:hAnsi="Arial"/>
          <w:i/>
        </w:rPr>
        <w:t>Phase 2 dewatering assessment</w:t>
      </w:r>
      <w:r w:rsidRPr="008B27BA">
        <w:rPr>
          <w:rFonts w:ascii="Arial" w:hAnsi="Arial"/>
        </w:rPr>
        <w:t>, report prepared for Iluka Resources.</w:t>
      </w:r>
    </w:p>
    <w:p w14:paraId="31725CF9" w14:textId="77777777" w:rsidR="00751588" w:rsidRPr="008B27BA" w:rsidRDefault="00751588" w:rsidP="00751588">
      <w:pPr>
        <w:spacing w:after="120"/>
        <w:rPr>
          <w:rFonts w:ascii="Arial" w:hAnsi="Arial"/>
        </w:rPr>
      </w:pPr>
      <w:r w:rsidRPr="008B27BA">
        <w:rPr>
          <w:rFonts w:ascii="Arial" w:hAnsi="Arial"/>
        </w:rPr>
        <w:t xml:space="preserve">Victoria Government 2018, </w:t>
      </w:r>
      <w:r w:rsidRPr="008B27BA">
        <w:rPr>
          <w:rFonts w:ascii="Arial" w:hAnsi="Arial"/>
          <w:i/>
        </w:rPr>
        <w:t>Conservation Action Plan for Parks and Reserves Managed by Parks Victoria - Wimmera</w:t>
      </w:r>
      <w:r w:rsidRPr="008B27BA">
        <w:rPr>
          <w:rFonts w:ascii="Arial" w:hAnsi="Arial"/>
        </w:rPr>
        <w:t>.</w:t>
      </w:r>
    </w:p>
    <w:p w14:paraId="0B659D31" w14:textId="77777777" w:rsidR="00751588" w:rsidRPr="008B27BA" w:rsidRDefault="00751588" w:rsidP="00751588">
      <w:pPr>
        <w:spacing w:after="120"/>
        <w:rPr>
          <w:rFonts w:ascii="Arial" w:hAnsi="Arial"/>
        </w:rPr>
      </w:pPr>
      <w:r w:rsidRPr="008B27BA">
        <w:rPr>
          <w:rFonts w:ascii="Arial" w:hAnsi="Arial"/>
        </w:rPr>
        <w:t xml:space="preserve">Victoria Government 2018, </w:t>
      </w:r>
      <w:r w:rsidRPr="008B27BA">
        <w:rPr>
          <w:rFonts w:ascii="Arial" w:hAnsi="Arial"/>
          <w:i/>
        </w:rPr>
        <w:t>State of Discovery: Mineral Resources Strategy 2018-2023</w:t>
      </w:r>
      <w:r w:rsidRPr="008B27BA">
        <w:rPr>
          <w:rFonts w:ascii="Arial" w:hAnsi="Arial"/>
        </w:rPr>
        <w:t>.</w:t>
      </w:r>
    </w:p>
    <w:p w14:paraId="544C2762" w14:textId="77777777" w:rsidR="00751588" w:rsidRPr="008B27BA" w:rsidRDefault="00751588" w:rsidP="00751588">
      <w:pPr>
        <w:spacing w:after="120"/>
        <w:rPr>
          <w:rFonts w:ascii="Arial" w:hAnsi="Arial"/>
        </w:rPr>
      </w:pPr>
      <w:r w:rsidRPr="008B27BA">
        <w:rPr>
          <w:rFonts w:ascii="Arial" w:hAnsi="Arial"/>
        </w:rPr>
        <w:t xml:space="preserve">Victorian Government 2014, </w:t>
      </w:r>
      <w:r w:rsidRPr="008B27BA">
        <w:rPr>
          <w:rFonts w:ascii="Arial" w:hAnsi="Arial"/>
          <w:i/>
        </w:rPr>
        <w:t>Wimmera Southern Mallee Regional Growth Plan</w:t>
      </w:r>
      <w:r w:rsidRPr="008B27BA">
        <w:rPr>
          <w:rFonts w:ascii="Arial" w:hAnsi="Arial"/>
        </w:rPr>
        <w:t>.</w:t>
      </w:r>
    </w:p>
    <w:p w14:paraId="088FB87E" w14:textId="77777777" w:rsidR="00751588" w:rsidRPr="008B27BA" w:rsidRDefault="00751588" w:rsidP="00751588">
      <w:pPr>
        <w:spacing w:after="120"/>
        <w:rPr>
          <w:rFonts w:ascii="Arial" w:hAnsi="Arial"/>
        </w:rPr>
      </w:pPr>
      <w:bookmarkStart w:id="183" w:name="_Hlk7769558"/>
      <w:r w:rsidRPr="008B27BA">
        <w:rPr>
          <w:rFonts w:ascii="Arial" w:hAnsi="Arial"/>
        </w:rPr>
        <w:t xml:space="preserve">Water Technology 2018, </w:t>
      </w:r>
      <w:r w:rsidRPr="008B27BA">
        <w:rPr>
          <w:rFonts w:ascii="Arial" w:hAnsi="Arial"/>
          <w:i/>
        </w:rPr>
        <w:t>Baseline surface water assessments - WIM100</w:t>
      </w:r>
      <w:r w:rsidRPr="008B27BA">
        <w:rPr>
          <w:rFonts w:ascii="Arial" w:hAnsi="Arial"/>
        </w:rPr>
        <w:t>, report prepared for Iluka Resources Ltd.</w:t>
      </w:r>
      <w:bookmarkEnd w:id="183"/>
    </w:p>
    <w:p w14:paraId="0CA55DBE" w14:textId="77777777" w:rsidR="00751588" w:rsidRPr="008B27BA" w:rsidRDefault="00751588" w:rsidP="00751588">
      <w:pPr>
        <w:spacing w:after="120"/>
        <w:rPr>
          <w:rFonts w:ascii="Arial" w:hAnsi="Arial"/>
        </w:rPr>
      </w:pPr>
      <w:r w:rsidRPr="008B27BA">
        <w:rPr>
          <w:rFonts w:ascii="Arial" w:hAnsi="Arial"/>
        </w:rPr>
        <w:t xml:space="preserve">WDA 2012, </w:t>
      </w:r>
      <w:r w:rsidRPr="008B27BA">
        <w:rPr>
          <w:rFonts w:ascii="Arial" w:hAnsi="Arial"/>
          <w:i/>
        </w:rPr>
        <w:t>Wimmera Southern Mallee mining sector plan,</w:t>
      </w:r>
      <w:r w:rsidRPr="008B27BA">
        <w:rPr>
          <w:rFonts w:ascii="Arial" w:hAnsi="Arial"/>
        </w:rPr>
        <w:t xml:space="preserve"> Wimmera Development Association.</w:t>
      </w:r>
    </w:p>
    <w:p w14:paraId="3F09FCB1" w14:textId="77777777" w:rsidR="00751588" w:rsidRPr="008B27BA" w:rsidRDefault="00751588" w:rsidP="00751588">
      <w:pPr>
        <w:spacing w:after="120"/>
        <w:rPr>
          <w:rFonts w:ascii="Arial" w:hAnsi="Arial"/>
        </w:rPr>
      </w:pPr>
      <w:r w:rsidRPr="008B27BA">
        <w:rPr>
          <w:rFonts w:ascii="Arial" w:hAnsi="Arial"/>
        </w:rPr>
        <w:t>WDA 2015</w:t>
      </w:r>
      <w:r w:rsidRPr="008B27BA">
        <w:rPr>
          <w:rFonts w:ascii="Arial" w:hAnsi="Arial"/>
          <w:i/>
        </w:rPr>
        <w:t>, Wimmera Southern Mallee regional investment plan</w:t>
      </w:r>
      <w:r w:rsidRPr="008B27BA">
        <w:rPr>
          <w:rFonts w:ascii="Arial" w:hAnsi="Arial"/>
        </w:rPr>
        <w:t>, Wimmera Development Association.</w:t>
      </w:r>
    </w:p>
    <w:p w14:paraId="1C9C29CB" w14:textId="77777777" w:rsidR="00751588" w:rsidRPr="00087D32" w:rsidRDefault="00751588">
      <w:pPr>
        <w:pStyle w:val="BodyText"/>
        <w:rPr>
          <w:sz w:val="18"/>
        </w:rPr>
      </w:pPr>
    </w:p>
    <w:p w14:paraId="5EB78737" w14:textId="77777777" w:rsidR="001C34F3" w:rsidRPr="00087D32" w:rsidRDefault="001C34F3">
      <w:pPr>
        <w:pStyle w:val="BodyText"/>
        <w:rPr>
          <w:sz w:val="18"/>
        </w:rPr>
      </w:pPr>
    </w:p>
    <w:p w14:paraId="41CB3C12" w14:textId="77777777" w:rsidR="001C34F3" w:rsidRPr="00087D32" w:rsidRDefault="001C34F3">
      <w:pPr>
        <w:pStyle w:val="BodyText"/>
        <w:rPr>
          <w:rFonts w:ascii="Times" w:hAnsi="Times"/>
          <w:sz w:val="18"/>
        </w:rPr>
      </w:pPr>
    </w:p>
    <w:p w14:paraId="2CCC5861" w14:textId="77777777" w:rsidR="001C34F3" w:rsidRDefault="001C34F3">
      <w:pPr>
        <w:rPr>
          <w:sz w:val="16"/>
        </w:rPr>
      </w:pPr>
    </w:p>
    <w:p w14:paraId="366752E9" w14:textId="77777777" w:rsidR="0056585C" w:rsidRDefault="0056585C">
      <w:pPr>
        <w:rPr>
          <w:sz w:val="16"/>
        </w:rPr>
      </w:pPr>
    </w:p>
    <w:p w14:paraId="3F29BD7F" w14:textId="77777777" w:rsidR="0056585C" w:rsidRPr="00087D32" w:rsidRDefault="0056585C" w:rsidP="00784DD5">
      <w:pPr>
        <w:pStyle w:val="BodyText"/>
        <w:spacing w:after="120"/>
        <w:jc w:val="both"/>
        <w:rPr>
          <w:sz w:val="16"/>
        </w:rPr>
      </w:pPr>
    </w:p>
    <w:sectPr w:rsidR="0056585C" w:rsidRPr="00087D32">
      <w:headerReference w:type="even" r:id="rId15"/>
      <w:headerReference w:type="default" r:id="rId16"/>
      <w:footerReference w:type="default" r:id="rId17"/>
      <w:footerReference w:type="first" r:id="rId18"/>
      <w:pgSz w:w="11906" w:h="16838" w:code="9"/>
      <w:pgMar w:top="1440" w:right="1225" w:bottom="902"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D4E8B" w14:textId="77777777" w:rsidR="00287734" w:rsidRDefault="00287734">
      <w:r>
        <w:separator/>
      </w:r>
    </w:p>
  </w:endnote>
  <w:endnote w:type="continuationSeparator" w:id="0">
    <w:p w14:paraId="2B575779" w14:textId="77777777" w:rsidR="00287734" w:rsidRDefault="0028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CEE3" w14:textId="720F6A16" w:rsidR="00287734" w:rsidRPr="007A49AF" w:rsidRDefault="00287734">
    <w:pPr>
      <w:pStyle w:val="Footer"/>
      <w:jc w:val="right"/>
      <w:rPr>
        <w:rFonts w:ascii="Arial" w:hAnsi="Arial" w:cs="Arial"/>
        <w:sz w:val="18"/>
        <w:szCs w:val="18"/>
      </w:rPr>
    </w:pPr>
    <w:r>
      <w:rPr>
        <w:rFonts w:ascii="Arial" w:hAnsi="Arial" w:cs="Arial"/>
        <w:sz w:val="18"/>
        <w:szCs w:val="18"/>
      </w:rPr>
      <w:t xml:space="preserve">Wimmera Project EES Referral (Rev 2 Re-issued for Use)                                    </w:t>
    </w:r>
    <w:r w:rsidRPr="007A49AF">
      <w:rPr>
        <w:rFonts w:ascii="Arial" w:hAnsi="Arial" w:cs="Arial"/>
        <w:sz w:val="18"/>
        <w:szCs w:val="18"/>
      </w:rPr>
      <w:t xml:space="preserve">Page </w:t>
    </w:r>
    <w:r w:rsidRPr="007A49AF">
      <w:rPr>
        <w:rFonts w:ascii="Arial" w:hAnsi="Arial" w:cs="Arial"/>
        <w:bCs/>
        <w:sz w:val="18"/>
        <w:szCs w:val="18"/>
      </w:rPr>
      <w:fldChar w:fldCharType="begin"/>
    </w:r>
    <w:r w:rsidRPr="007A49AF">
      <w:rPr>
        <w:rFonts w:ascii="Arial" w:hAnsi="Arial" w:cs="Arial"/>
        <w:bCs/>
        <w:sz w:val="18"/>
        <w:szCs w:val="18"/>
      </w:rPr>
      <w:instrText xml:space="preserve"> PAGE </w:instrText>
    </w:r>
    <w:r w:rsidRPr="007A49AF">
      <w:rPr>
        <w:rFonts w:ascii="Arial" w:hAnsi="Arial" w:cs="Arial"/>
        <w:bCs/>
        <w:sz w:val="18"/>
        <w:szCs w:val="18"/>
      </w:rPr>
      <w:fldChar w:fldCharType="separate"/>
    </w:r>
    <w:r>
      <w:rPr>
        <w:rFonts w:ascii="Arial" w:hAnsi="Arial" w:cs="Arial"/>
        <w:bCs/>
        <w:noProof/>
        <w:sz w:val="18"/>
        <w:szCs w:val="18"/>
      </w:rPr>
      <w:t>21</w:t>
    </w:r>
    <w:r w:rsidRPr="007A49AF">
      <w:rPr>
        <w:rFonts w:ascii="Arial" w:hAnsi="Arial" w:cs="Arial"/>
        <w:bCs/>
        <w:sz w:val="18"/>
        <w:szCs w:val="18"/>
      </w:rPr>
      <w:fldChar w:fldCharType="end"/>
    </w:r>
    <w:r w:rsidRPr="007A49AF">
      <w:rPr>
        <w:rFonts w:ascii="Arial" w:hAnsi="Arial" w:cs="Arial"/>
        <w:sz w:val="18"/>
        <w:szCs w:val="18"/>
      </w:rPr>
      <w:t xml:space="preserve"> of </w:t>
    </w:r>
    <w:r w:rsidRPr="007A49AF">
      <w:rPr>
        <w:rFonts w:ascii="Arial" w:hAnsi="Arial" w:cs="Arial"/>
        <w:bCs/>
        <w:sz w:val="18"/>
        <w:szCs w:val="18"/>
      </w:rPr>
      <w:fldChar w:fldCharType="begin"/>
    </w:r>
    <w:r w:rsidRPr="007A49AF">
      <w:rPr>
        <w:rFonts w:ascii="Arial" w:hAnsi="Arial" w:cs="Arial"/>
        <w:bCs/>
        <w:sz w:val="18"/>
        <w:szCs w:val="18"/>
      </w:rPr>
      <w:instrText xml:space="preserve"> NUMPAGES  </w:instrText>
    </w:r>
    <w:r w:rsidRPr="007A49AF">
      <w:rPr>
        <w:rFonts w:ascii="Arial" w:hAnsi="Arial" w:cs="Arial"/>
        <w:bCs/>
        <w:sz w:val="18"/>
        <w:szCs w:val="18"/>
      </w:rPr>
      <w:fldChar w:fldCharType="separate"/>
    </w:r>
    <w:r>
      <w:rPr>
        <w:rFonts w:ascii="Arial" w:hAnsi="Arial" w:cs="Arial"/>
        <w:bCs/>
        <w:noProof/>
        <w:sz w:val="18"/>
        <w:szCs w:val="18"/>
      </w:rPr>
      <w:t>76</w:t>
    </w:r>
    <w:r w:rsidRPr="007A49AF">
      <w:rPr>
        <w:rFonts w:ascii="Arial" w:hAnsi="Arial" w:cs="Arial"/>
        <w:bCs/>
        <w:sz w:val="18"/>
        <w:szCs w:val="18"/>
      </w:rPr>
      <w:fldChar w:fldCharType="end"/>
    </w:r>
  </w:p>
  <w:p w14:paraId="1A76CCCF" w14:textId="77777777" w:rsidR="00287734" w:rsidRPr="007A49AF" w:rsidRDefault="00287734" w:rsidP="007A49A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FE09" w14:textId="1F9ABC0B" w:rsidR="00287734" w:rsidRPr="00BA0483" w:rsidRDefault="00287734" w:rsidP="00BA0483">
    <w:pPr>
      <w:pStyle w:val="Footer"/>
      <w:jc w:val="right"/>
      <w:rPr>
        <w:rFonts w:ascii="Arial" w:hAnsi="Arial" w:cs="Arial"/>
        <w:sz w:val="18"/>
        <w:szCs w:val="18"/>
      </w:rPr>
    </w:pPr>
    <w:r>
      <w:rPr>
        <w:rFonts w:ascii="Arial" w:hAnsi="Arial" w:cs="Arial"/>
        <w:sz w:val="18"/>
        <w:szCs w:val="18"/>
      </w:rPr>
      <w:t xml:space="preserve">Wimmera Project EES Referral  (Rev 2 Re-issued for Use)                                            </w:t>
    </w:r>
    <w:r w:rsidRPr="007A49AF">
      <w:rPr>
        <w:rFonts w:ascii="Arial" w:hAnsi="Arial" w:cs="Arial"/>
        <w:sz w:val="18"/>
        <w:szCs w:val="18"/>
      </w:rPr>
      <w:t xml:space="preserve">Page </w:t>
    </w:r>
    <w:r w:rsidRPr="007A49AF">
      <w:rPr>
        <w:rFonts w:ascii="Arial" w:hAnsi="Arial" w:cs="Arial"/>
        <w:bCs/>
        <w:sz w:val="18"/>
        <w:szCs w:val="18"/>
      </w:rPr>
      <w:fldChar w:fldCharType="begin"/>
    </w:r>
    <w:r w:rsidRPr="007A49AF">
      <w:rPr>
        <w:rFonts w:ascii="Arial" w:hAnsi="Arial" w:cs="Arial"/>
        <w:bCs/>
        <w:sz w:val="18"/>
        <w:szCs w:val="18"/>
      </w:rPr>
      <w:instrText xml:space="preserve"> PAGE </w:instrText>
    </w:r>
    <w:r w:rsidRPr="007A49AF">
      <w:rPr>
        <w:rFonts w:ascii="Arial" w:hAnsi="Arial" w:cs="Arial"/>
        <w:bCs/>
        <w:sz w:val="18"/>
        <w:szCs w:val="18"/>
      </w:rPr>
      <w:fldChar w:fldCharType="separate"/>
    </w:r>
    <w:r>
      <w:rPr>
        <w:rFonts w:ascii="Arial" w:hAnsi="Arial" w:cs="Arial"/>
        <w:bCs/>
        <w:noProof/>
        <w:sz w:val="18"/>
        <w:szCs w:val="18"/>
      </w:rPr>
      <w:t>1</w:t>
    </w:r>
    <w:r w:rsidRPr="007A49AF">
      <w:rPr>
        <w:rFonts w:ascii="Arial" w:hAnsi="Arial" w:cs="Arial"/>
        <w:bCs/>
        <w:sz w:val="18"/>
        <w:szCs w:val="18"/>
      </w:rPr>
      <w:fldChar w:fldCharType="end"/>
    </w:r>
    <w:r w:rsidRPr="007A49AF">
      <w:rPr>
        <w:rFonts w:ascii="Arial" w:hAnsi="Arial" w:cs="Arial"/>
        <w:sz w:val="18"/>
        <w:szCs w:val="18"/>
      </w:rPr>
      <w:t xml:space="preserve"> of </w:t>
    </w:r>
    <w:r w:rsidRPr="007A49AF">
      <w:rPr>
        <w:rFonts w:ascii="Arial" w:hAnsi="Arial" w:cs="Arial"/>
        <w:bCs/>
        <w:sz w:val="18"/>
        <w:szCs w:val="18"/>
      </w:rPr>
      <w:fldChar w:fldCharType="begin"/>
    </w:r>
    <w:r w:rsidRPr="007A49AF">
      <w:rPr>
        <w:rFonts w:ascii="Arial" w:hAnsi="Arial" w:cs="Arial"/>
        <w:bCs/>
        <w:sz w:val="18"/>
        <w:szCs w:val="18"/>
      </w:rPr>
      <w:instrText xml:space="preserve"> NUMPAGES  </w:instrText>
    </w:r>
    <w:r w:rsidRPr="007A49AF">
      <w:rPr>
        <w:rFonts w:ascii="Arial" w:hAnsi="Arial" w:cs="Arial"/>
        <w:bCs/>
        <w:sz w:val="18"/>
        <w:szCs w:val="18"/>
      </w:rPr>
      <w:fldChar w:fldCharType="separate"/>
    </w:r>
    <w:r>
      <w:rPr>
        <w:rFonts w:ascii="Arial" w:hAnsi="Arial" w:cs="Arial"/>
        <w:bCs/>
        <w:noProof/>
        <w:sz w:val="18"/>
        <w:szCs w:val="18"/>
      </w:rPr>
      <w:t>76</w:t>
    </w:r>
    <w:r w:rsidRPr="007A49AF">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AE18" w14:textId="77777777" w:rsidR="00287734" w:rsidRDefault="00287734">
      <w:r>
        <w:separator/>
      </w:r>
    </w:p>
  </w:footnote>
  <w:footnote w:type="continuationSeparator" w:id="0">
    <w:p w14:paraId="1B32E625" w14:textId="77777777" w:rsidR="00287734" w:rsidRDefault="0028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B848" w14:textId="0279A03D" w:rsidR="00287734" w:rsidRDefault="002877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29612" w14:textId="77777777" w:rsidR="00287734" w:rsidRDefault="002877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FCEA" w14:textId="0F04F158" w:rsidR="00287734" w:rsidRDefault="00287734">
    <w:pPr>
      <w:pStyle w:val="Header"/>
      <w:framePr w:wrap="around" w:vAnchor="text" w:hAnchor="margin" w:xAlign="right" w:y="1"/>
      <w:rPr>
        <w:rStyle w:val="PageNumber"/>
        <w:sz w:val="24"/>
      </w:rPr>
    </w:pPr>
  </w:p>
  <w:p w14:paraId="48995009" w14:textId="77777777" w:rsidR="00287734" w:rsidRDefault="00287734" w:rsidP="007A4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167"/>
    <w:multiLevelType w:val="hybridMultilevel"/>
    <w:tmpl w:val="F39AE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B5B00"/>
    <w:multiLevelType w:val="hybridMultilevel"/>
    <w:tmpl w:val="A420E8F8"/>
    <w:lvl w:ilvl="0" w:tplc="2004B3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02737"/>
    <w:multiLevelType w:val="hybridMultilevel"/>
    <w:tmpl w:val="AD5068EA"/>
    <w:lvl w:ilvl="0" w:tplc="4E2693C4">
      <w:start w:val="11"/>
      <w:numFmt w:val="bullet"/>
      <w:pStyle w:val="ListBullet2"/>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36873"/>
    <w:multiLevelType w:val="hybridMultilevel"/>
    <w:tmpl w:val="8E4C6F9E"/>
    <w:lvl w:ilvl="0" w:tplc="2004B3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13440"/>
    <w:multiLevelType w:val="hybridMultilevel"/>
    <w:tmpl w:val="6D2A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46922"/>
    <w:multiLevelType w:val="hybridMultilevel"/>
    <w:tmpl w:val="3050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82EDB"/>
    <w:multiLevelType w:val="hybridMultilevel"/>
    <w:tmpl w:val="522244C2"/>
    <w:lvl w:ilvl="0" w:tplc="11FA0ACA">
      <w:start w:val="1"/>
      <w:numFmt w:val="bullet"/>
      <w:pStyle w:val="List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7" w15:restartNumberingAfterBreak="0">
    <w:nsid w:val="0FE446AB"/>
    <w:multiLevelType w:val="hybridMultilevel"/>
    <w:tmpl w:val="3D78B096"/>
    <w:lvl w:ilvl="0" w:tplc="54521F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3230A"/>
    <w:multiLevelType w:val="hybridMultilevel"/>
    <w:tmpl w:val="E77E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B31AB"/>
    <w:multiLevelType w:val="multilevel"/>
    <w:tmpl w:val="CB1A2826"/>
    <w:lvl w:ilvl="0">
      <w:start w:val="1"/>
      <w:numFmt w:val="bullet"/>
      <w:pStyle w:val="TableTextBullet1"/>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lvlText w:val=""/>
      <w:lvlJc w:val="left"/>
      <w:pPr>
        <w:ind w:left="594" w:hanging="198"/>
      </w:pPr>
      <w:rPr>
        <w:rFonts w:ascii="Wingdings" w:hAnsi="Wingdings"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10" w15:restartNumberingAfterBreak="0">
    <w:nsid w:val="18E663B3"/>
    <w:multiLevelType w:val="hybridMultilevel"/>
    <w:tmpl w:val="197882E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 w15:restartNumberingAfterBreak="0">
    <w:nsid w:val="1B00775C"/>
    <w:multiLevelType w:val="hybridMultilevel"/>
    <w:tmpl w:val="9AF8C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FE640D"/>
    <w:multiLevelType w:val="hybridMultilevel"/>
    <w:tmpl w:val="BF5C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E6644"/>
    <w:multiLevelType w:val="multilevel"/>
    <w:tmpl w:val="335E1B12"/>
    <w:name w:val="Table Numbering"/>
    <w:lvl w:ilvl="0">
      <w:start w:val="1"/>
      <w:numFmt w:val="decimal"/>
      <w:lvlText w:val="%1."/>
      <w:lvlJc w:val="left"/>
      <w:pPr>
        <w:ind w:left="369" w:hanging="284"/>
      </w:pPr>
      <w:rPr>
        <w:rFonts w:hint="default"/>
        <w:color w:val="44546A"/>
      </w:rPr>
    </w:lvl>
    <w:lvl w:ilvl="1">
      <w:start w:val="1"/>
      <w:numFmt w:val="lowerLetter"/>
      <w:lvlText w:val="%2."/>
      <w:lvlJc w:val="left"/>
      <w:pPr>
        <w:ind w:left="653" w:hanging="284"/>
      </w:pPr>
      <w:rPr>
        <w:rFonts w:hint="default"/>
        <w:color w:val="44546A"/>
      </w:rPr>
    </w:lvl>
    <w:lvl w:ilvl="2">
      <w:start w:val="1"/>
      <w:numFmt w:val="lowerRoman"/>
      <w:lvlText w:val="%3."/>
      <w:lvlJc w:val="right"/>
      <w:pPr>
        <w:ind w:left="937" w:hanging="284"/>
      </w:pPr>
      <w:rPr>
        <w:rFonts w:hint="default"/>
      </w:rPr>
    </w:lvl>
    <w:lvl w:ilvl="3">
      <w:start w:val="1"/>
      <w:numFmt w:val="decimal"/>
      <w:lvlText w:val="%4."/>
      <w:lvlJc w:val="left"/>
      <w:pPr>
        <w:ind w:left="1221" w:hanging="284"/>
      </w:pPr>
      <w:rPr>
        <w:rFonts w:hint="default"/>
      </w:rPr>
    </w:lvl>
    <w:lvl w:ilvl="4">
      <w:start w:val="1"/>
      <w:numFmt w:val="lowerLetter"/>
      <w:lvlText w:val="%5."/>
      <w:lvlJc w:val="left"/>
      <w:pPr>
        <w:ind w:left="1505" w:hanging="284"/>
      </w:pPr>
      <w:rPr>
        <w:rFonts w:hint="default"/>
      </w:rPr>
    </w:lvl>
    <w:lvl w:ilvl="5">
      <w:start w:val="1"/>
      <w:numFmt w:val="lowerRoman"/>
      <w:lvlText w:val="%6."/>
      <w:lvlJc w:val="right"/>
      <w:pPr>
        <w:ind w:left="1789" w:hanging="284"/>
      </w:pPr>
      <w:rPr>
        <w:rFonts w:hint="default"/>
      </w:rPr>
    </w:lvl>
    <w:lvl w:ilvl="6">
      <w:start w:val="1"/>
      <w:numFmt w:val="decimal"/>
      <w:lvlText w:val="%7."/>
      <w:lvlJc w:val="left"/>
      <w:pPr>
        <w:ind w:left="2073" w:hanging="284"/>
      </w:pPr>
      <w:rPr>
        <w:rFonts w:hint="default"/>
      </w:rPr>
    </w:lvl>
    <w:lvl w:ilvl="7">
      <w:start w:val="1"/>
      <w:numFmt w:val="lowerLetter"/>
      <w:lvlText w:val="%8."/>
      <w:lvlJc w:val="left"/>
      <w:pPr>
        <w:ind w:left="2357" w:hanging="284"/>
      </w:pPr>
      <w:rPr>
        <w:rFonts w:hint="default"/>
      </w:rPr>
    </w:lvl>
    <w:lvl w:ilvl="8">
      <w:start w:val="1"/>
      <w:numFmt w:val="lowerRoman"/>
      <w:lvlText w:val="%9."/>
      <w:lvlJc w:val="right"/>
      <w:pPr>
        <w:ind w:left="2641" w:hanging="284"/>
      </w:pPr>
      <w:rPr>
        <w:rFonts w:hint="default"/>
      </w:rPr>
    </w:lvl>
  </w:abstractNum>
  <w:abstractNum w:abstractNumId="15" w15:restartNumberingAfterBreak="0">
    <w:nsid w:val="2523626D"/>
    <w:multiLevelType w:val="hybridMultilevel"/>
    <w:tmpl w:val="93CC7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40BF6"/>
    <w:multiLevelType w:val="hybridMultilevel"/>
    <w:tmpl w:val="063EF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9BD6540"/>
    <w:multiLevelType w:val="hybridMultilevel"/>
    <w:tmpl w:val="4828B2E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8" w15:restartNumberingAfterBreak="0">
    <w:nsid w:val="2D9E39C6"/>
    <w:multiLevelType w:val="hybridMultilevel"/>
    <w:tmpl w:val="38580C10"/>
    <w:lvl w:ilvl="0" w:tplc="4E2693C4">
      <w:start w:val="11"/>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2841C8"/>
    <w:multiLevelType w:val="hybridMultilevel"/>
    <w:tmpl w:val="7452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B3979"/>
    <w:multiLevelType w:val="hybridMultilevel"/>
    <w:tmpl w:val="C04A76EC"/>
    <w:lvl w:ilvl="0" w:tplc="4E2693C4">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CB6782"/>
    <w:multiLevelType w:val="hybridMultilevel"/>
    <w:tmpl w:val="9286B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9F3326"/>
    <w:multiLevelType w:val="hybridMultilevel"/>
    <w:tmpl w:val="E81ADFE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3" w15:restartNumberingAfterBreak="0">
    <w:nsid w:val="36B62D1F"/>
    <w:multiLevelType w:val="hybridMultilevel"/>
    <w:tmpl w:val="5CEE9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B62611"/>
    <w:multiLevelType w:val="hybridMultilevel"/>
    <w:tmpl w:val="2636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4070DA"/>
    <w:multiLevelType w:val="hybridMultilevel"/>
    <w:tmpl w:val="6ABAD430"/>
    <w:lvl w:ilvl="0" w:tplc="0C090001">
      <w:start w:val="1"/>
      <w:numFmt w:val="bullet"/>
      <w:lvlText w:val=""/>
      <w:lvlJc w:val="left"/>
      <w:pPr>
        <w:ind w:left="618" w:hanging="360"/>
      </w:pPr>
      <w:rPr>
        <w:rFonts w:ascii="Symbol" w:hAnsi="Symbol" w:hint="default"/>
      </w:rPr>
    </w:lvl>
    <w:lvl w:ilvl="1" w:tplc="0C090003" w:tentative="1">
      <w:start w:val="1"/>
      <w:numFmt w:val="bullet"/>
      <w:lvlText w:val="o"/>
      <w:lvlJc w:val="left"/>
      <w:pPr>
        <w:ind w:left="1338" w:hanging="360"/>
      </w:pPr>
      <w:rPr>
        <w:rFonts w:ascii="Courier New" w:hAnsi="Courier New" w:cs="Courier New" w:hint="default"/>
      </w:rPr>
    </w:lvl>
    <w:lvl w:ilvl="2" w:tplc="0C090005" w:tentative="1">
      <w:start w:val="1"/>
      <w:numFmt w:val="bullet"/>
      <w:lvlText w:val=""/>
      <w:lvlJc w:val="left"/>
      <w:pPr>
        <w:ind w:left="2058" w:hanging="360"/>
      </w:pPr>
      <w:rPr>
        <w:rFonts w:ascii="Wingdings" w:hAnsi="Wingdings" w:hint="default"/>
      </w:rPr>
    </w:lvl>
    <w:lvl w:ilvl="3" w:tplc="0C090001" w:tentative="1">
      <w:start w:val="1"/>
      <w:numFmt w:val="bullet"/>
      <w:lvlText w:val=""/>
      <w:lvlJc w:val="left"/>
      <w:pPr>
        <w:ind w:left="2778" w:hanging="360"/>
      </w:pPr>
      <w:rPr>
        <w:rFonts w:ascii="Symbol" w:hAnsi="Symbol" w:hint="default"/>
      </w:rPr>
    </w:lvl>
    <w:lvl w:ilvl="4" w:tplc="0C090003" w:tentative="1">
      <w:start w:val="1"/>
      <w:numFmt w:val="bullet"/>
      <w:lvlText w:val="o"/>
      <w:lvlJc w:val="left"/>
      <w:pPr>
        <w:ind w:left="3498" w:hanging="360"/>
      </w:pPr>
      <w:rPr>
        <w:rFonts w:ascii="Courier New" w:hAnsi="Courier New" w:cs="Courier New" w:hint="default"/>
      </w:rPr>
    </w:lvl>
    <w:lvl w:ilvl="5" w:tplc="0C090005" w:tentative="1">
      <w:start w:val="1"/>
      <w:numFmt w:val="bullet"/>
      <w:lvlText w:val=""/>
      <w:lvlJc w:val="left"/>
      <w:pPr>
        <w:ind w:left="4218" w:hanging="360"/>
      </w:pPr>
      <w:rPr>
        <w:rFonts w:ascii="Wingdings" w:hAnsi="Wingdings" w:hint="default"/>
      </w:rPr>
    </w:lvl>
    <w:lvl w:ilvl="6" w:tplc="0C090001" w:tentative="1">
      <w:start w:val="1"/>
      <w:numFmt w:val="bullet"/>
      <w:lvlText w:val=""/>
      <w:lvlJc w:val="left"/>
      <w:pPr>
        <w:ind w:left="4938" w:hanging="360"/>
      </w:pPr>
      <w:rPr>
        <w:rFonts w:ascii="Symbol" w:hAnsi="Symbol" w:hint="default"/>
      </w:rPr>
    </w:lvl>
    <w:lvl w:ilvl="7" w:tplc="0C090003" w:tentative="1">
      <w:start w:val="1"/>
      <w:numFmt w:val="bullet"/>
      <w:lvlText w:val="o"/>
      <w:lvlJc w:val="left"/>
      <w:pPr>
        <w:ind w:left="5658" w:hanging="360"/>
      </w:pPr>
      <w:rPr>
        <w:rFonts w:ascii="Courier New" w:hAnsi="Courier New" w:cs="Courier New" w:hint="default"/>
      </w:rPr>
    </w:lvl>
    <w:lvl w:ilvl="8" w:tplc="0C090005" w:tentative="1">
      <w:start w:val="1"/>
      <w:numFmt w:val="bullet"/>
      <w:lvlText w:val=""/>
      <w:lvlJc w:val="left"/>
      <w:pPr>
        <w:ind w:left="6378" w:hanging="360"/>
      </w:pPr>
      <w:rPr>
        <w:rFonts w:ascii="Wingdings" w:hAnsi="Wingdings" w:hint="default"/>
      </w:rPr>
    </w:lvl>
  </w:abstractNum>
  <w:abstractNum w:abstractNumId="26" w15:restartNumberingAfterBreak="0">
    <w:nsid w:val="42E33317"/>
    <w:multiLevelType w:val="hybridMultilevel"/>
    <w:tmpl w:val="5006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B21F0"/>
    <w:multiLevelType w:val="hybridMultilevel"/>
    <w:tmpl w:val="43A22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E3E2E"/>
    <w:multiLevelType w:val="hybridMultilevel"/>
    <w:tmpl w:val="57DAA994"/>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29" w15:restartNumberingAfterBreak="0">
    <w:nsid w:val="51F434C7"/>
    <w:multiLevelType w:val="hybridMultilevel"/>
    <w:tmpl w:val="0B62F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36581F"/>
    <w:multiLevelType w:val="hybridMultilevel"/>
    <w:tmpl w:val="C3EA830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1" w15:restartNumberingAfterBreak="0">
    <w:nsid w:val="55E31E06"/>
    <w:multiLevelType w:val="hybridMultilevel"/>
    <w:tmpl w:val="23E6832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2" w15:restartNumberingAfterBreak="0">
    <w:nsid w:val="5688597C"/>
    <w:multiLevelType w:val="hybridMultilevel"/>
    <w:tmpl w:val="1696F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483036"/>
    <w:multiLevelType w:val="hybridMultilevel"/>
    <w:tmpl w:val="A4584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4B25C7"/>
    <w:multiLevelType w:val="hybridMultilevel"/>
    <w:tmpl w:val="1D7A256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5" w15:restartNumberingAfterBreak="0">
    <w:nsid w:val="5DD75B08"/>
    <w:multiLevelType w:val="hybridMultilevel"/>
    <w:tmpl w:val="0926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70928"/>
    <w:multiLevelType w:val="hybridMultilevel"/>
    <w:tmpl w:val="F1865534"/>
    <w:lvl w:ilvl="0" w:tplc="C72A4E9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6042DB"/>
    <w:multiLevelType w:val="hybridMultilevel"/>
    <w:tmpl w:val="0AA46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7553AD"/>
    <w:multiLevelType w:val="hybridMultilevel"/>
    <w:tmpl w:val="95021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36076F"/>
    <w:multiLevelType w:val="hybridMultilevel"/>
    <w:tmpl w:val="CF9E9FCE"/>
    <w:lvl w:ilvl="0" w:tplc="0C090001">
      <w:start w:val="1"/>
      <w:numFmt w:val="bullet"/>
      <w:lvlText w:val=""/>
      <w:lvlJc w:val="left"/>
      <w:pPr>
        <w:ind w:left="618" w:hanging="360"/>
      </w:pPr>
      <w:rPr>
        <w:rFonts w:ascii="Symbol" w:hAnsi="Symbol" w:hint="default"/>
      </w:rPr>
    </w:lvl>
    <w:lvl w:ilvl="1" w:tplc="0C090003" w:tentative="1">
      <w:start w:val="1"/>
      <w:numFmt w:val="bullet"/>
      <w:lvlText w:val="o"/>
      <w:lvlJc w:val="left"/>
      <w:pPr>
        <w:ind w:left="1338" w:hanging="360"/>
      </w:pPr>
      <w:rPr>
        <w:rFonts w:ascii="Courier New" w:hAnsi="Courier New" w:cs="Courier New" w:hint="default"/>
      </w:rPr>
    </w:lvl>
    <w:lvl w:ilvl="2" w:tplc="0C090005" w:tentative="1">
      <w:start w:val="1"/>
      <w:numFmt w:val="bullet"/>
      <w:lvlText w:val=""/>
      <w:lvlJc w:val="left"/>
      <w:pPr>
        <w:ind w:left="2058" w:hanging="360"/>
      </w:pPr>
      <w:rPr>
        <w:rFonts w:ascii="Wingdings" w:hAnsi="Wingdings" w:hint="default"/>
      </w:rPr>
    </w:lvl>
    <w:lvl w:ilvl="3" w:tplc="0C090001" w:tentative="1">
      <w:start w:val="1"/>
      <w:numFmt w:val="bullet"/>
      <w:lvlText w:val=""/>
      <w:lvlJc w:val="left"/>
      <w:pPr>
        <w:ind w:left="2778" w:hanging="360"/>
      </w:pPr>
      <w:rPr>
        <w:rFonts w:ascii="Symbol" w:hAnsi="Symbol" w:hint="default"/>
      </w:rPr>
    </w:lvl>
    <w:lvl w:ilvl="4" w:tplc="0C090003" w:tentative="1">
      <w:start w:val="1"/>
      <w:numFmt w:val="bullet"/>
      <w:lvlText w:val="o"/>
      <w:lvlJc w:val="left"/>
      <w:pPr>
        <w:ind w:left="3498" w:hanging="360"/>
      </w:pPr>
      <w:rPr>
        <w:rFonts w:ascii="Courier New" w:hAnsi="Courier New" w:cs="Courier New" w:hint="default"/>
      </w:rPr>
    </w:lvl>
    <w:lvl w:ilvl="5" w:tplc="0C090005" w:tentative="1">
      <w:start w:val="1"/>
      <w:numFmt w:val="bullet"/>
      <w:lvlText w:val=""/>
      <w:lvlJc w:val="left"/>
      <w:pPr>
        <w:ind w:left="4218" w:hanging="360"/>
      </w:pPr>
      <w:rPr>
        <w:rFonts w:ascii="Wingdings" w:hAnsi="Wingdings" w:hint="default"/>
      </w:rPr>
    </w:lvl>
    <w:lvl w:ilvl="6" w:tplc="0C090001" w:tentative="1">
      <w:start w:val="1"/>
      <w:numFmt w:val="bullet"/>
      <w:lvlText w:val=""/>
      <w:lvlJc w:val="left"/>
      <w:pPr>
        <w:ind w:left="4938" w:hanging="360"/>
      </w:pPr>
      <w:rPr>
        <w:rFonts w:ascii="Symbol" w:hAnsi="Symbol" w:hint="default"/>
      </w:rPr>
    </w:lvl>
    <w:lvl w:ilvl="7" w:tplc="0C090003" w:tentative="1">
      <w:start w:val="1"/>
      <w:numFmt w:val="bullet"/>
      <w:lvlText w:val="o"/>
      <w:lvlJc w:val="left"/>
      <w:pPr>
        <w:ind w:left="5658" w:hanging="360"/>
      </w:pPr>
      <w:rPr>
        <w:rFonts w:ascii="Courier New" w:hAnsi="Courier New" w:cs="Courier New" w:hint="default"/>
      </w:rPr>
    </w:lvl>
    <w:lvl w:ilvl="8" w:tplc="0C090005" w:tentative="1">
      <w:start w:val="1"/>
      <w:numFmt w:val="bullet"/>
      <w:lvlText w:val=""/>
      <w:lvlJc w:val="left"/>
      <w:pPr>
        <w:ind w:left="6378" w:hanging="360"/>
      </w:pPr>
      <w:rPr>
        <w:rFonts w:ascii="Wingdings" w:hAnsi="Wingdings" w:hint="default"/>
      </w:rPr>
    </w:lvl>
  </w:abstractNum>
  <w:abstractNum w:abstractNumId="40" w15:restartNumberingAfterBreak="0">
    <w:nsid w:val="62E066C3"/>
    <w:multiLevelType w:val="multilevel"/>
    <w:tmpl w:val="AB80ED40"/>
    <w:name w:val="AppendicesNumbering"/>
    <w:lvl w:ilvl="0">
      <w:start w:val="1"/>
      <w:numFmt w:val="upperLetter"/>
      <w:pStyle w:val="Heading8"/>
      <w:suff w:val="nothing"/>
      <w:lvlText w:val="Appendix %1"/>
      <w:lvlJc w:val="left"/>
      <w:pPr>
        <w:ind w:left="0" w:firstLine="0"/>
      </w:pPr>
      <w:rPr>
        <w:rFonts w:hint="default"/>
        <w:color w:val="000000" w:themeColor="text1"/>
        <w:sz w:val="26"/>
      </w:rPr>
    </w:lvl>
    <w:lvl w:ilvl="1">
      <w:start w:val="1"/>
      <w:numFmt w:val="decimal"/>
      <w:pStyle w:val="Heading9"/>
      <w:lvlText w:val="%1.%2"/>
      <w:lvlJc w:val="left"/>
      <w:pPr>
        <w:ind w:left="851" w:hanging="851"/>
      </w:pPr>
      <w:rPr>
        <w:rFonts w:hint="default"/>
      </w:rPr>
    </w:lvl>
    <w:lvl w:ilvl="2">
      <w:start w:val="1"/>
      <w:numFmt w:val="decimal"/>
      <w:pStyle w:val="AppendixHeading2"/>
      <w:lvlText w:val="%1.%2.%3"/>
      <w:lvlJc w:val="left"/>
      <w:pPr>
        <w:ind w:left="851" w:hanging="851"/>
      </w:pPr>
      <w:rPr>
        <w:rFonts w:hint="default"/>
      </w:rPr>
    </w:lvl>
    <w:lvl w:ilvl="3">
      <w:start w:val="1"/>
      <w:numFmt w:val="lowerRoman"/>
      <w:pStyle w:val="AppendixHeading3"/>
      <w:lvlText w:val="%4"/>
      <w:lvlJc w:val="left"/>
      <w:pPr>
        <w:ind w:left="851" w:hanging="851"/>
      </w:pPr>
      <w:rPr>
        <w:rFonts w:hint="default"/>
      </w:rPr>
    </w:lvl>
    <w:lvl w:ilvl="4">
      <w:start w:val="1"/>
      <w:numFmt w:val="lowerLetter"/>
      <w:pStyle w:val="AppendixHeading4"/>
      <w:lvlText w:val="%5"/>
      <w:lvlJc w:val="left"/>
      <w:pPr>
        <w:ind w:left="851" w:hanging="851"/>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1" w15:restartNumberingAfterBreak="0">
    <w:nsid w:val="6548465A"/>
    <w:multiLevelType w:val="hybridMultilevel"/>
    <w:tmpl w:val="4B6273F8"/>
    <w:lvl w:ilvl="0" w:tplc="FEE05E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76043F"/>
    <w:multiLevelType w:val="hybridMultilevel"/>
    <w:tmpl w:val="4F0C145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3" w15:restartNumberingAfterBreak="0">
    <w:nsid w:val="68AE1AF7"/>
    <w:multiLevelType w:val="hybridMultilevel"/>
    <w:tmpl w:val="34F4F580"/>
    <w:lvl w:ilvl="0" w:tplc="4E2693C4">
      <w:start w:val="11"/>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DE3CC9"/>
    <w:multiLevelType w:val="hybridMultilevel"/>
    <w:tmpl w:val="475AB2BC"/>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5" w15:restartNumberingAfterBreak="0">
    <w:nsid w:val="710B0A46"/>
    <w:multiLevelType w:val="hybridMultilevel"/>
    <w:tmpl w:val="B844A4B8"/>
    <w:lvl w:ilvl="0" w:tplc="2004B3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243F8B"/>
    <w:multiLevelType w:val="hybridMultilevel"/>
    <w:tmpl w:val="179C2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9A61A4"/>
    <w:multiLevelType w:val="hybridMultilevel"/>
    <w:tmpl w:val="382E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016C69"/>
    <w:multiLevelType w:val="hybridMultilevel"/>
    <w:tmpl w:val="94BA1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E30EBD"/>
    <w:multiLevelType w:val="hybridMultilevel"/>
    <w:tmpl w:val="59C2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15784D"/>
    <w:multiLevelType w:val="hybridMultilevel"/>
    <w:tmpl w:val="06A41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7"/>
  </w:num>
  <w:num w:numId="4">
    <w:abstractNumId w:val="38"/>
  </w:num>
  <w:num w:numId="5">
    <w:abstractNumId w:val="15"/>
  </w:num>
  <w:num w:numId="6">
    <w:abstractNumId w:val="16"/>
  </w:num>
  <w:num w:numId="7">
    <w:abstractNumId w:val="48"/>
  </w:num>
  <w:num w:numId="8">
    <w:abstractNumId w:val="33"/>
  </w:num>
  <w:num w:numId="9">
    <w:abstractNumId w:val="5"/>
  </w:num>
  <w:num w:numId="10">
    <w:abstractNumId w:val="12"/>
  </w:num>
  <w:num w:numId="11">
    <w:abstractNumId w:val="28"/>
  </w:num>
  <w:num w:numId="12">
    <w:abstractNumId w:val="32"/>
  </w:num>
  <w:num w:numId="13">
    <w:abstractNumId w:val="43"/>
  </w:num>
  <w:num w:numId="14">
    <w:abstractNumId w:val="18"/>
  </w:num>
  <w:num w:numId="15">
    <w:abstractNumId w:val="21"/>
  </w:num>
  <w:num w:numId="16">
    <w:abstractNumId w:val="7"/>
  </w:num>
  <w:num w:numId="17">
    <w:abstractNumId w:val="13"/>
  </w:num>
  <w:num w:numId="18">
    <w:abstractNumId w:val="25"/>
  </w:num>
  <w:num w:numId="19">
    <w:abstractNumId w:val="39"/>
  </w:num>
  <w:num w:numId="20">
    <w:abstractNumId w:val="36"/>
  </w:num>
  <w:num w:numId="21">
    <w:abstractNumId w:val="41"/>
  </w:num>
  <w:num w:numId="22">
    <w:abstractNumId w:val="3"/>
  </w:num>
  <w:num w:numId="23">
    <w:abstractNumId w:val="1"/>
  </w:num>
  <w:num w:numId="24">
    <w:abstractNumId w:val="45"/>
  </w:num>
  <w:num w:numId="25">
    <w:abstractNumId w:val="10"/>
  </w:num>
  <w:num w:numId="26">
    <w:abstractNumId w:val="6"/>
  </w:num>
  <w:num w:numId="27">
    <w:abstractNumId w:val="44"/>
  </w:num>
  <w:num w:numId="28">
    <w:abstractNumId w:val="31"/>
  </w:num>
  <w:num w:numId="29">
    <w:abstractNumId w:val="42"/>
  </w:num>
  <w:num w:numId="30">
    <w:abstractNumId w:val="8"/>
  </w:num>
  <w:num w:numId="31">
    <w:abstractNumId w:val="17"/>
  </w:num>
  <w:num w:numId="32">
    <w:abstractNumId w:val="30"/>
  </w:num>
  <w:num w:numId="33">
    <w:abstractNumId w:val="22"/>
  </w:num>
  <w:num w:numId="34">
    <w:abstractNumId w:val="4"/>
  </w:num>
  <w:num w:numId="35">
    <w:abstractNumId w:val="35"/>
  </w:num>
  <w:num w:numId="36">
    <w:abstractNumId w:val="40"/>
  </w:num>
  <w:num w:numId="37">
    <w:abstractNumId w:val="34"/>
  </w:num>
  <w:num w:numId="38">
    <w:abstractNumId w:val="11"/>
  </w:num>
  <w:num w:numId="39">
    <w:abstractNumId w:val="49"/>
  </w:num>
  <w:num w:numId="40">
    <w:abstractNumId w:val="0"/>
  </w:num>
  <w:num w:numId="41">
    <w:abstractNumId w:val="23"/>
  </w:num>
  <w:num w:numId="42">
    <w:abstractNumId w:val="29"/>
  </w:num>
  <w:num w:numId="43">
    <w:abstractNumId w:val="50"/>
  </w:num>
  <w:num w:numId="44">
    <w:abstractNumId w:val="26"/>
  </w:num>
  <w:num w:numId="45">
    <w:abstractNumId w:val="24"/>
  </w:num>
  <w:num w:numId="46">
    <w:abstractNumId w:val="20"/>
  </w:num>
  <w:num w:numId="47">
    <w:abstractNumId w:val="46"/>
  </w:num>
  <w:num w:numId="48">
    <w:abstractNumId w:val="27"/>
  </w:num>
  <w:num w:numId="49">
    <w:abstractNumId w:val="37"/>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F3"/>
    <w:rsid w:val="000064CF"/>
    <w:rsid w:val="00013847"/>
    <w:rsid w:val="00015D1A"/>
    <w:rsid w:val="00016296"/>
    <w:rsid w:val="000164AA"/>
    <w:rsid w:val="00020AA8"/>
    <w:rsid w:val="000228D4"/>
    <w:rsid w:val="000236A5"/>
    <w:rsid w:val="00036063"/>
    <w:rsid w:val="000406BF"/>
    <w:rsid w:val="00040D34"/>
    <w:rsid w:val="00044334"/>
    <w:rsid w:val="0005123E"/>
    <w:rsid w:val="00051E24"/>
    <w:rsid w:val="00053B19"/>
    <w:rsid w:val="00054999"/>
    <w:rsid w:val="00054E35"/>
    <w:rsid w:val="00055608"/>
    <w:rsid w:val="00057E2D"/>
    <w:rsid w:val="000610D4"/>
    <w:rsid w:val="00061847"/>
    <w:rsid w:val="00065204"/>
    <w:rsid w:val="00080BDA"/>
    <w:rsid w:val="00086EB4"/>
    <w:rsid w:val="00087D32"/>
    <w:rsid w:val="00092A31"/>
    <w:rsid w:val="000953DC"/>
    <w:rsid w:val="00095F26"/>
    <w:rsid w:val="00096B15"/>
    <w:rsid w:val="0009772E"/>
    <w:rsid w:val="000A6CED"/>
    <w:rsid w:val="000C0670"/>
    <w:rsid w:val="000C06DC"/>
    <w:rsid w:val="000C1924"/>
    <w:rsid w:val="000C36EB"/>
    <w:rsid w:val="000C58FD"/>
    <w:rsid w:val="000C74CE"/>
    <w:rsid w:val="000D2E06"/>
    <w:rsid w:val="000E0FCB"/>
    <w:rsid w:val="000E372C"/>
    <w:rsid w:val="000F2331"/>
    <w:rsid w:val="000F2D5B"/>
    <w:rsid w:val="000F7A66"/>
    <w:rsid w:val="000F7F33"/>
    <w:rsid w:val="0010213F"/>
    <w:rsid w:val="00102A41"/>
    <w:rsid w:val="00103A3D"/>
    <w:rsid w:val="00111305"/>
    <w:rsid w:val="0011201E"/>
    <w:rsid w:val="00113BE5"/>
    <w:rsid w:val="00113DB7"/>
    <w:rsid w:val="00115C46"/>
    <w:rsid w:val="0012253F"/>
    <w:rsid w:val="00124CCE"/>
    <w:rsid w:val="00125C3C"/>
    <w:rsid w:val="00133982"/>
    <w:rsid w:val="00134F8C"/>
    <w:rsid w:val="001354B6"/>
    <w:rsid w:val="001407C5"/>
    <w:rsid w:val="0014239C"/>
    <w:rsid w:val="001506EE"/>
    <w:rsid w:val="00150C17"/>
    <w:rsid w:val="00151EA4"/>
    <w:rsid w:val="00152D2F"/>
    <w:rsid w:val="00156AEC"/>
    <w:rsid w:val="00156DE3"/>
    <w:rsid w:val="00166AB5"/>
    <w:rsid w:val="00166EF1"/>
    <w:rsid w:val="0017475D"/>
    <w:rsid w:val="001769C3"/>
    <w:rsid w:val="00177593"/>
    <w:rsid w:val="00177B40"/>
    <w:rsid w:val="00177ECC"/>
    <w:rsid w:val="00181321"/>
    <w:rsid w:val="00181C77"/>
    <w:rsid w:val="00183C0B"/>
    <w:rsid w:val="00193877"/>
    <w:rsid w:val="001967CD"/>
    <w:rsid w:val="001A5DEE"/>
    <w:rsid w:val="001A5EFF"/>
    <w:rsid w:val="001B0DB7"/>
    <w:rsid w:val="001B1475"/>
    <w:rsid w:val="001B3089"/>
    <w:rsid w:val="001B333D"/>
    <w:rsid w:val="001B4969"/>
    <w:rsid w:val="001C0EA9"/>
    <w:rsid w:val="001C2C21"/>
    <w:rsid w:val="001C34F3"/>
    <w:rsid w:val="001C62E5"/>
    <w:rsid w:val="001D5FB4"/>
    <w:rsid w:val="001E1151"/>
    <w:rsid w:val="001E301B"/>
    <w:rsid w:val="001E3FB4"/>
    <w:rsid w:val="001E4793"/>
    <w:rsid w:val="001E59A4"/>
    <w:rsid w:val="001F15B9"/>
    <w:rsid w:val="001F7A53"/>
    <w:rsid w:val="00200EA4"/>
    <w:rsid w:val="00203D5E"/>
    <w:rsid w:val="00203EE0"/>
    <w:rsid w:val="00204A4C"/>
    <w:rsid w:val="00205523"/>
    <w:rsid w:val="00211A07"/>
    <w:rsid w:val="0021304C"/>
    <w:rsid w:val="00231A8C"/>
    <w:rsid w:val="002322E9"/>
    <w:rsid w:val="0023576E"/>
    <w:rsid w:val="00237685"/>
    <w:rsid w:val="00241716"/>
    <w:rsid w:val="0024218B"/>
    <w:rsid w:val="0024228D"/>
    <w:rsid w:val="00243053"/>
    <w:rsid w:val="002467D8"/>
    <w:rsid w:val="002478D9"/>
    <w:rsid w:val="002502FC"/>
    <w:rsid w:val="00253197"/>
    <w:rsid w:val="002540A3"/>
    <w:rsid w:val="002559A5"/>
    <w:rsid w:val="00260219"/>
    <w:rsid w:val="0026285F"/>
    <w:rsid w:val="00267451"/>
    <w:rsid w:val="00276332"/>
    <w:rsid w:val="002800F8"/>
    <w:rsid w:val="0028434C"/>
    <w:rsid w:val="00284E2F"/>
    <w:rsid w:val="002851F8"/>
    <w:rsid w:val="00285D5B"/>
    <w:rsid w:val="00286647"/>
    <w:rsid w:val="002870EE"/>
    <w:rsid w:val="00287734"/>
    <w:rsid w:val="002909BF"/>
    <w:rsid w:val="002A1AFA"/>
    <w:rsid w:val="002A7FEF"/>
    <w:rsid w:val="002B10D9"/>
    <w:rsid w:val="002B1D6A"/>
    <w:rsid w:val="002B47FD"/>
    <w:rsid w:val="002B4BD8"/>
    <w:rsid w:val="002C0A59"/>
    <w:rsid w:val="002C1486"/>
    <w:rsid w:val="002C3810"/>
    <w:rsid w:val="002C5AB0"/>
    <w:rsid w:val="002D1AC0"/>
    <w:rsid w:val="002D64C0"/>
    <w:rsid w:val="002D68CC"/>
    <w:rsid w:val="002D724E"/>
    <w:rsid w:val="002E0967"/>
    <w:rsid w:val="002E2F87"/>
    <w:rsid w:val="002E52DB"/>
    <w:rsid w:val="002E7C95"/>
    <w:rsid w:val="002F1448"/>
    <w:rsid w:val="003006AE"/>
    <w:rsid w:val="00310867"/>
    <w:rsid w:val="00311AFC"/>
    <w:rsid w:val="00316DD9"/>
    <w:rsid w:val="00320DDF"/>
    <w:rsid w:val="00323595"/>
    <w:rsid w:val="00324D03"/>
    <w:rsid w:val="003273D9"/>
    <w:rsid w:val="003313CA"/>
    <w:rsid w:val="0033641C"/>
    <w:rsid w:val="003377BF"/>
    <w:rsid w:val="00346984"/>
    <w:rsid w:val="00347190"/>
    <w:rsid w:val="0035115B"/>
    <w:rsid w:val="00352BCF"/>
    <w:rsid w:val="00352C8F"/>
    <w:rsid w:val="00354660"/>
    <w:rsid w:val="0035600A"/>
    <w:rsid w:val="0036555E"/>
    <w:rsid w:val="00365621"/>
    <w:rsid w:val="00367575"/>
    <w:rsid w:val="00373EFC"/>
    <w:rsid w:val="00381A0E"/>
    <w:rsid w:val="0038309D"/>
    <w:rsid w:val="00384063"/>
    <w:rsid w:val="00384AAF"/>
    <w:rsid w:val="003872F1"/>
    <w:rsid w:val="0039002E"/>
    <w:rsid w:val="00393B42"/>
    <w:rsid w:val="00396970"/>
    <w:rsid w:val="003A2ABA"/>
    <w:rsid w:val="003A303A"/>
    <w:rsid w:val="003B2655"/>
    <w:rsid w:val="003B65B4"/>
    <w:rsid w:val="003B6B90"/>
    <w:rsid w:val="003B6D70"/>
    <w:rsid w:val="003C1A92"/>
    <w:rsid w:val="003C24C2"/>
    <w:rsid w:val="003C30BE"/>
    <w:rsid w:val="003C338B"/>
    <w:rsid w:val="003C648F"/>
    <w:rsid w:val="003C682C"/>
    <w:rsid w:val="003D3D09"/>
    <w:rsid w:val="003D5D7E"/>
    <w:rsid w:val="003E78BB"/>
    <w:rsid w:val="003F2B21"/>
    <w:rsid w:val="003F4731"/>
    <w:rsid w:val="0040053C"/>
    <w:rsid w:val="004021A7"/>
    <w:rsid w:val="004051D3"/>
    <w:rsid w:val="004062D8"/>
    <w:rsid w:val="004068E4"/>
    <w:rsid w:val="0041113C"/>
    <w:rsid w:val="00411AEE"/>
    <w:rsid w:val="00412BBF"/>
    <w:rsid w:val="00413DE1"/>
    <w:rsid w:val="0041622D"/>
    <w:rsid w:val="00417D21"/>
    <w:rsid w:val="00420279"/>
    <w:rsid w:val="004214AF"/>
    <w:rsid w:val="00423187"/>
    <w:rsid w:val="00425106"/>
    <w:rsid w:val="004319BC"/>
    <w:rsid w:val="00432BE4"/>
    <w:rsid w:val="004338AA"/>
    <w:rsid w:val="00434ECE"/>
    <w:rsid w:val="0043504E"/>
    <w:rsid w:val="00437906"/>
    <w:rsid w:val="0044477E"/>
    <w:rsid w:val="0044501F"/>
    <w:rsid w:val="00452E50"/>
    <w:rsid w:val="0045681F"/>
    <w:rsid w:val="0046138D"/>
    <w:rsid w:val="0046293E"/>
    <w:rsid w:val="00462C2A"/>
    <w:rsid w:val="0046605F"/>
    <w:rsid w:val="00477282"/>
    <w:rsid w:val="004803DF"/>
    <w:rsid w:val="0048162E"/>
    <w:rsid w:val="00483719"/>
    <w:rsid w:val="00484AD9"/>
    <w:rsid w:val="004956E7"/>
    <w:rsid w:val="004A16BA"/>
    <w:rsid w:val="004A2F60"/>
    <w:rsid w:val="004A6BE1"/>
    <w:rsid w:val="004B0B7E"/>
    <w:rsid w:val="004B184D"/>
    <w:rsid w:val="004B29CD"/>
    <w:rsid w:val="004B5E59"/>
    <w:rsid w:val="004B6DD0"/>
    <w:rsid w:val="004C243D"/>
    <w:rsid w:val="004C6895"/>
    <w:rsid w:val="004C7F04"/>
    <w:rsid w:val="004D37D4"/>
    <w:rsid w:val="004D5649"/>
    <w:rsid w:val="004E17AF"/>
    <w:rsid w:val="004E21D2"/>
    <w:rsid w:val="004E27E9"/>
    <w:rsid w:val="004E2BD4"/>
    <w:rsid w:val="004E70D4"/>
    <w:rsid w:val="004F3965"/>
    <w:rsid w:val="004F3B28"/>
    <w:rsid w:val="004F40FD"/>
    <w:rsid w:val="004F4259"/>
    <w:rsid w:val="004F5B6F"/>
    <w:rsid w:val="004F5EA3"/>
    <w:rsid w:val="005022F6"/>
    <w:rsid w:val="00505F28"/>
    <w:rsid w:val="00507C6F"/>
    <w:rsid w:val="00515151"/>
    <w:rsid w:val="0051579C"/>
    <w:rsid w:val="00515EEB"/>
    <w:rsid w:val="005230B4"/>
    <w:rsid w:val="00524782"/>
    <w:rsid w:val="005267B3"/>
    <w:rsid w:val="00527F88"/>
    <w:rsid w:val="00532E21"/>
    <w:rsid w:val="005340D0"/>
    <w:rsid w:val="00534758"/>
    <w:rsid w:val="0053659C"/>
    <w:rsid w:val="00550175"/>
    <w:rsid w:val="00550781"/>
    <w:rsid w:val="005522EF"/>
    <w:rsid w:val="00552822"/>
    <w:rsid w:val="00552B3B"/>
    <w:rsid w:val="00553214"/>
    <w:rsid w:val="00553560"/>
    <w:rsid w:val="0055700C"/>
    <w:rsid w:val="005610EC"/>
    <w:rsid w:val="00561D1B"/>
    <w:rsid w:val="0056585C"/>
    <w:rsid w:val="00572D3D"/>
    <w:rsid w:val="00587D13"/>
    <w:rsid w:val="00590D1E"/>
    <w:rsid w:val="00594D32"/>
    <w:rsid w:val="00597BD0"/>
    <w:rsid w:val="005A2FAD"/>
    <w:rsid w:val="005A4794"/>
    <w:rsid w:val="005A5704"/>
    <w:rsid w:val="005A7865"/>
    <w:rsid w:val="005B1FD2"/>
    <w:rsid w:val="005B234C"/>
    <w:rsid w:val="005B5D2E"/>
    <w:rsid w:val="005C0115"/>
    <w:rsid w:val="005C32FF"/>
    <w:rsid w:val="005C35F8"/>
    <w:rsid w:val="005D473F"/>
    <w:rsid w:val="005D4D84"/>
    <w:rsid w:val="005D53D1"/>
    <w:rsid w:val="005D7560"/>
    <w:rsid w:val="005E5103"/>
    <w:rsid w:val="005E7434"/>
    <w:rsid w:val="0060050D"/>
    <w:rsid w:val="00602383"/>
    <w:rsid w:val="00603945"/>
    <w:rsid w:val="00604A6F"/>
    <w:rsid w:val="006077E4"/>
    <w:rsid w:val="006103F6"/>
    <w:rsid w:val="00613769"/>
    <w:rsid w:val="00615F56"/>
    <w:rsid w:val="00616B06"/>
    <w:rsid w:val="00620A5E"/>
    <w:rsid w:val="00624E0A"/>
    <w:rsid w:val="00634D67"/>
    <w:rsid w:val="00640F98"/>
    <w:rsid w:val="00641A72"/>
    <w:rsid w:val="00643373"/>
    <w:rsid w:val="00643F46"/>
    <w:rsid w:val="00644760"/>
    <w:rsid w:val="006546C5"/>
    <w:rsid w:val="00660EAF"/>
    <w:rsid w:val="00661B55"/>
    <w:rsid w:val="00663A35"/>
    <w:rsid w:val="006646B0"/>
    <w:rsid w:val="00666E40"/>
    <w:rsid w:val="0066761E"/>
    <w:rsid w:val="00672931"/>
    <w:rsid w:val="00681716"/>
    <w:rsid w:val="00682C1B"/>
    <w:rsid w:val="00686EA5"/>
    <w:rsid w:val="00690A3A"/>
    <w:rsid w:val="006947E5"/>
    <w:rsid w:val="00695216"/>
    <w:rsid w:val="006960F4"/>
    <w:rsid w:val="00696687"/>
    <w:rsid w:val="00697DFF"/>
    <w:rsid w:val="006A0DC7"/>
    <w:rsid w:val="006A4A25"/>
    <w:rsid w:val="006A5945"/>
    <w:rsid w:val="006A7128"/>
    <w:rsid w:val="006A7310"/>
    <w:rsid w:val="006B0B30"/>
    <w:rsid w:val="006B1F25"/>
    <w:rsid w:val="006B3C29"/>
    <w:rsid w:val="006B7664"/>
    <w:rsid w:val="006C6CCE"/>
    <w:rsid w:val="006E03FE"/>
    <w:rsid w:val="006E1AC8"/>
    <w:rsid w:val="006E4ACA"/>
    <w:rsid w:val="006E4F06"/>
    <w:rsid w:val="006F0280"/>
    <w:rsid w:val="006F22F4"/>
    <w:rsid w:val="006F289F"/>
    <w:rsid w:val="006F55C1"/>
    <w:rsid w:val="006F6128"/>
    <w:rsid w:val="0070040A"/>
    <w:rsid w:val="00700CA5"/>
    <w:rsid w:val="00703305"/>
    <w:rsid w:val="007120A5"/>
    <w:rsid w:val="00712704"/>
    <w:rsid w:val="0071312E"/>
    <w:rsid w:val="00720B06"/>
    <w:rsid w:val="00720C7F"/>
    <w:rsid w:val="00724697"/>
    <w:rsid w:val="00731F1C"/>
    <w:rsid w:val="00732F61"/>
    <w:rsid w:val="0073558F"/>
    <w:rsid w:val="00735674"/>
    <w:rsid w:val="007357A4"/>
    <w:rsid w:val="00735C35"/>
    <w:rsid w:val="00736691"/>
    <w:rsid w:val="0073686C"/>
    <w:rsid w:val="0073776F"/>
    <w:rsid w:val="00741D5F"/>
    <w:rsid w:val="00741FEE"/>
    <w:rsid w:val="007501C1"/>
    <w:rsid w:val="00750508"/>
    <w:rsid w:val="007508CC"/>
    <w:rsid w:val="00751588"/>
    <w:rsid w:val="00760D5F"/>
    <w:rsid w:val="00763A7E"/>
    <w:rsid w:val="0076457E"/>
    <w:rsid w:val="007648EE"/>
    <w:rsid w:val="00765E9E"/>
    <w:rsid w:val="007676CC"/>
    <w:rsid w:val="00774266"/>
    <w:rsid w:val="00774F21"/>
    <w:rsid w:val="00775BB1"/>
    <w:rsid w:val="00776E21"/>
    <w:rsid w:val="007832E5"/>
    <w:rsid w:val="00783F76"/>
    <w:rsid w:val="00783F84"/>
    <w:rsid w:val="00784DD5"/>
    <w:rsid w:val="00787A6A"/>
    <w:rsid w:val="007913C4"/>
    <w:rsid w:val="007970FC"/>
    <w:rsid w:val="007A49AF"/>
    <w:rsid w:val="007B6411"/>
    <w:rsid w:val="007B66A3"/>
    <w:rsid w:val="007B7F31"/>
    <w:rsid w:val="007C1CFF"/>
    <w:rsid w:val="007C5530"/>
    <w:rsid w:val="007C7869"/>
    <w:rsid w:val="007D2893"/>
    <w:rsid w:val="007D4281"/>
    <w:rsid w:val="007D4860"/>
    <w:rsid w:val="007E3F19"/>
    <w:rsid w:val="007E4B04"/>
    <w:rsid w:val="007E5C21"/>
    <w:rsid w:val="007E61D6"/>
    <w:rsid w:val="007F004F"/>
    <w:rsid w:val="007F48D5"/>
    <w:rsid w:val="007F4F42"/>
    <w:rsid w:val="007F5924"/>
    <w:rsid w:val="00801C64"/>
    <w:rsid w:val="00805BC4"/>
    <w:rsid w:val="008064B0"/>
    <w:rsid w:val="0081231B"/>
    <w:rsid w:val="0081354D"/>
    <w:rsid w:val="008139BD"/>
    <w:rsid w:val="00815503"/>
    <w:rsid w:val="008161E9"/>
    <w:rsid w:val="00835FD9"/>
    <w:rsid w:val="0084436C"/>
    <w:rsid w:val="00846667"/>
    <w:rsid w:val="0084796B"/>
    <w:rsid w:val="00847FEA"/>
    <w:rsid w:val="00853C6F"/>
    <w:rsid w:val="008658EC"/>
    <w:rsid w:val="0087083E"/>
    <w:rsid w:val="00871457"/>
    <w:rsid w:val="00875655"/>
    <w:rsid w:val="008768CD"/>
    <w:rsid w:val="00887349"/>
    <w:rsid w:val="00890ED2"/>
    <w:rsid w:val="00891995"/>
    <w:rsid w:val="008926E8"/>
    <w:rsid w:val="00896B54"/>
    <w:rsid w:val="008A3A7D"/>
    <w:rsid w:val="008C071C"/>
    <w:rsid w:val="008C4218"/>
    <w:rsid w:val="008C57C5"/>
    <w:rsid w:val="008C7B9C"/>
    <w:rsid w:val="008D2B26"/>
    <w:rsid w:val="008D39F7"/>
    <w:rsid w:val="008D4567"/>
    <w:rsid w:val="008D49A1"/>
    <w:rsid w:val="008E1975"/>
    <w:rsid w:val="008E1C14"/>
    <w:rsid w:val="008E4A08"/>
    <w:rsid w:val="008F3B3F"/>
    <w:rsid w:val="008F4232"/>
    <w:rsid w:val="008F5053"/>
    <w:rsid w:val="008F6923"/>
    <w:rsid w:val="00900ED3"/>
    <w:rsid w:val="0090562B"/>
    <w:rsid w:val="00905792"/>
    <w:rsid w:val="0090696F"/>
    <w:rsid w:val="0091316B"/>
    <w:rsid w:val="009202E2"/>
    <w:rsid w:val="009222F7"/>
    <w:rsid w:val="00926F0E"/>
    <w:rsid w:val="0092727F"/>
    <w:rsid w:val="009273CB"/>
    <w:rsid w:val="00930FDF"/>
    <w:rsid w:val="00934074"/>
    <w:rsid w:val="00934113"/>
    <w:rsid w:val="00934205"/>
    <w:rsid w:val="00934926"/>
    <w:rsid w:val="0093699E"/>
    <w:rsid w:val="00941196"/>
    <w:rsid w:val="009423D3"/>
    <w:rsid w:val="0094667D"/>
    <w:rsid w:val="0095181A"/>
    <w:rsid w:val="00951C07"/>
    <w:rsid w:val="00952978"/>
    <w:rsid w:val="009637D0"/>
    <w:rsid w:val="00963A12"/>
    <w:rsid w:val="00966DF0"/>
    <w:rsid w:val="00971EBD"/>
    <w:rsid w:val="0097266B"/>
    <w:rsid w:val="00977DFA"/>
    <w:rsid w:val="00986786"/>
    <w:rsid w:val="0098694D"/>
    <w:rsid w:val="00987357"/>
    <w:rsid w:val="009873EA"/>
    <w:rsid w:val="009901A3"/>
    <w:rsid w:val="009A0672"/>
    <w:rsid w:val="009A264B"/>
    <w:rsid w:val="009A3FC9"/>
    <w:rsid w:val="009A5315"/>
    <w:rsid w:val="009A5B6E"/>
    <w:rsid w:val="009B0973"/>
    <w:rsid w:val="009B0E36"/>
    <w:rsid w:val="009B11EB"/>
    <w:rsid w:val="009B24FB"/>
    <w:rsid w:val="009B27D8"/>
    <w:rsid w:val="009B6538"/>
    <w:rsid w:val="009C3EA8"/>
    <w:rsid w:val="009C5CBB"/>
    <w:rsid w:val="009C60AC"/>
    <w:rsid w:val="009C6282"/>
    <w:rsid w:val="009D10AA"/>
    <w:rsid w:val="009D10B5"/>
    <w:rsid w:val="009D2339"/>
    <w:rsid w:val="009E036F"/>
    <w:rsid w:val="009E14B7"/>
    <w:rsid w:val="009E549F"/>
    <w:rsid w:val="009E6834"/>
    <w:rsid w:val="009E6948"/>
    <w:rsid w:val="009F65AA"/>
    <w:rsid w:val="00A0162D"/>
    <w:rsid w:val="00A01BC4"/>
    <w:rsid w:val="00A026FE"/>
    <w:rsid w:val="00A0448B"/>
    <w:rsid w:val="00A057E2"/>
    <w:rsid w:val="00A07FA8"/>
    <w:rsid w:val="00A1077F"/>
    <w:rsid w:val="00A11870"/>
    <w:rsid w:val="00A11CE0"/>
    <w:rsid w:val="00A141A4"/>
    <w:rsid w:val="00A16664"/>
    <w:rsid w:val="00A208D0"/>
    <w:rsid w:val="00A20F59"/>
    <w:rsid w:val="00A2344D"/>
    <w:rsid w:val="00A25341"/>
    <w:rsid w:val="00A30A96"/>
    <w:rsid w:val="00A312CA"/>
    <w:rsid w:val="00A37257"/>
    <w:rsid w:val="00A529C1"/>
    <w:rsid w:val="00A534A2"/>
    <w:rsid w:val="00A57D34"/>
    <w:rsid w:val="00A6211D"/>
    <w:rsid w:val="00A622B5"/>
    <w:rsid w:val="00A622D9"/>
    <w:rsid w:val="00A7294B"/>
    <w:rsid w:val="00A737F4"/>
    <w:rsid w:val="00A74572"/>
    <w:rsid w:val="00A77F1D"/>
    <w:rsid w:val="00A81FAD"/>
    <w:rsid w:val="00A82E8C"/>
    <w:rsid w:val="00A83C01"/>
    <w:rsid w:val="00A947C9"/>
    <w:rsid w:val="00A97D08"/>
    <w:rsid w:val="00AA1904"/>
    <w:rsid w:val="00AA47B0"/>
    <w:rsid w:val="00AA57F3"/>
    <w:rsid w:val="00AA7F70"/>
    <w:rsid w:val="00AB54FD"/>
    <w:rsid w:val="00AB557C"/>
    <w:rsid w:val="00AB6594"/>
    <w:rsid w:val="00AC461D"/>
    <w:rsid w:val="00AC481A"/>
    <w:rsid w:val="00AC5DDA"/>
    <w:rsid w:val="00AD05BE"/>
    <w:rsid w:val="00AD07F1"/>
    <w:rsid w:val="00AD1E88"/>
    <w:rsid w:val="00AD50AC"/>
    <w:rsid w:val="00AE2BB2"/>
    <w:rsid w:val="00AE3CB6"/>
    <w:rsid w:val="00AF6943"/>
    <w:rsid w:val="00B05500"/>
    <w:rsid w:val="00B065F5"/>
    <w:rsid w:val="00B06E90"/>
    <w:rsid w:val="00B130F7"/>
    <w:rsid w:val="00B13492"/>
    <w:rsid w:val="00B1449D"/>
    <w:rsid w:val="00B22300"/>
    <w:rsid w:val="00B250FB"/>
    <w:rsid w:val="00B25572"/>
    <w:rsid w:val="00B3090B"/>
    <w:rsid w:val="00B3508F"/>
    <w:rsid w:val="00B35CE3"/>
    <w:rsid w:val="00B375A6"/>
    <w:rsid w:val="00B37E0C"/>
    <w:rsid w:val="00B41260"/>
    <w:rsid w:val="00B41649"/>
    <w:rsid w:val="00B42105"/>
    <w:rsid w:val="00B44754"/>
    <w:rsid w:val="00B447C2"/>
    <w:rsid w:val="00B45E3E"/>
    <w:rsid w:val="00B53CB9"/>
    <w:rsid w:val="00B60044"/>
    <w:rsid w:val="00B60F24"/>
    <w:rsid w:val="00B61A22"/>
    <w:rsid w:val="00B65FF0"/>
    <w:rsid w:val="00B66A84"/>
    <w:rsid w:val="00B70200"/>
    <w:rsid w:val="00B70D0A"/>
    <w:rsid w:val="00B7198A"/>
    <w:rsid w:val="00B71B6F"/>
    <w:rsid w:val="00B74701"/>
    <w:rsid w:val="00B75056"/>
    <w:rsid w:val="00B82461"/>
    <w:rsid w:val="00B84057"/>
    <w:rsid w:val="00B84067"/>
    <w:rsid w:val="00B868CC"/>
    <w:rsid w:val="00B87763"/>
    <w:rsid w:val="00B87970"/>
    <w:rsid w:val="00B95A8A"/>
    <w:rsid w:val="00BA0483"/>
    <w:rsid w:val="00BA0E91"/>
    <w:rsid w:val="00BA30ED"/>
    <w:rsid w:val="00BA3A1B"/>
    <w:rsid w:val="00BA7473"/>
    <w:rsid w:val="00BA7A57"/>
    <w:rsid w:val="00BB680D"/>
    <w:rsid w:val="00BB686C"/>
    <w:rsid w:val="00BC6914"/>
    <w:rsid w:val="00BD04E8"/>
    <w:rsid w:val="00BE5275"/>
    <w:rsid w:val="00C01281"/>
    <w:rsid w:val="00C01460"/>
    <w:rsid w:val="00C05A1F"/>
    <w:rsid w:val="00C07805"/>
    <w:rsid w:val="00C20EBC"/>
    <w:rsid w:val="00C23AB9"/>
    <w:rsid w:val="00C2467A"/>
    <w:rsid w:val="00C251D2"/>
    <w:rsid w:val="00C30B45"/>
    <w:rsid w:val="00C33CD3"/>
    <w:rsid w:val="00C365A1"/>
    <w:rsid w:val="00C40C6E"/>
    <w:rsid w:val="00C41BC2"/>
    <w:rsid w:val="00C477B2"/>
    <w:rsid w:val="00C47E0D"/>
    <w:rsid w:val="00C505F0"/>
    <w:rsid w:val="00C56F35"/>
    <w:rsid w:val="00C62D9A"/>
    <w:rsid w:val="00C63DF2"/>
    <w:rsid w:val="00C66144"/>
    <w:rsid w:val="00C66BA7"/>
    <w:rsid w:val="00C70314"/>
    <w:rsid w:val="00C74055"/>
    <w:rsid w:val="00C76C60"/>
    <w:rsid w:val="00C8172E"/>
    <w:rsid w:val="00C827C9"/>
    <w:rsid w:val="00C83AAA"/>
    <w:rsid w:val="00C84340"/>
    <w:rsid w:val="00C856DE"/>
    <w:rsid w:val="00C8591C"/>
    <w:rsid w:val="00C8708F"/>
    <w:rsid w:val="00C8775E"/>
    <w:rsid w:val="00C87E21"/>
    <w:rsid w:val="00C87FAB"/>
    <w:rsid w:val="00C95F73"/>
    <w:rsid w:val="00CA11E3"/>
    <w:rsid w:val="00CB038D"/>
    <w:rsid w:val="00CB18A5"/>
    <w:rsid w:val="00CB254A"/>
    <w:rsid w:val="00CC642F"/>
    <w:rsid w:val="00CD2658"/>
    <w:rsid w:val="00CD266F"/>
    <w:rsid w:val="00CD2CF9"/>
    <w:rsid w:val="00CD346F"/>
    <w:rsid w:val="00CE0C02"/>
    <w:rsid w:val="00CE43E5"/>
    <w:rsid w:val="00CE43EB"/>
    <w:rsid w:val="00CE4FA0"/>
    <w:rsid w:val="00CE60B7"/>
    <w:rsid w:val="00CE7B3A"/>
    <w:rsid w:val="00CF0F35"/>
    <w:rsid w:val="00CF6164"/>
    <w:rsid w:val="00CF6EC7"/>
    <w:rsid w:val="00D00BD4"/>
    <w:rsid w:val="00D010F9"/>
    <w:rsid w:val="00D0190B"/>
    <w:rsid w:val="00D02516"/>
    <w:rsid w:val="00D03EE4"/>
    <w:rsid w:val="00D111ED"/>
    <w:rsid w:val="00D1596F"/>
    <w:rsid w:val="00D20F9F"/>
    <w:rsid w:val="00D253DE"/>
    <w:rsid w:val="00D2659C"/>
    <w:rsid w:val="00D27504"/>
    <w:rsid w:val="00D31C93"/>
    <w:rsid w:val="00D33C77"/>
    <w:rsid w:val="00D34899"/>
    <w:rsid w:val="00D349EB"/>
    <w:rsid w:val="00D35513"/>
    <w:rsid w:val="00D42C0E"/>
    <w:rsid w:val="00D44649"/>
    <w:rsid w:val="00D45B1B"/>
    <w:rsid w:val="00D46EF9"/>
    <w:rsid w:val="00D5316A"/>
    <w:rsid w:val="00D54213"/>
    <w:rsid w:val="00D554FC"/>
    <w:rsid w:val="00D55D9A"/>
    <w:rsid w:val="00D60B6F"/>
    <w:rsid w:val="00D61948"/>
    <w:rsid w:val="00D6349E"/>
    <w:rsid w:val="00D73243"/>
    <w:rsid w:val="00D75397"/>
    <w:rsid w:val="00D75DA0"/>
    <w:rsid w:val="00D75E95"/>
    <w:rsid w:val="00D76A77"/>
    <w:rsid w:val="00D77F03"/>
    <w:rsid w:val="00D81B80"/>
    <w:rsid w:val="00D838E9"/>
    <w:rsid w:val="00D85635"/>
    <w:rsid w:val="00D87784"/>
    <w:rsid w:val="00D942B4"/>
    <w:rsid w:val="00D953DA"/>
    <w:rsid w:val="00D9640C"/>
    <w:rsid w:val="00DA306B"/>
    <w:rsid w:val="00DB44CA"/>
    <w:rsid w:val="00DB6782"/>
    <w:rsid w:val="00DC2452"/>
    <w:rsid w:val="00DC2F8E"/>
    <w:rsid w:val="00DC42D6"/>
    <w:rsid w:val="00DD3CDD"/>
    <w:rsid w:val="00DD46CE"/>
    <w:rsid w:val="00DE4549"/>
    <w:rsid w:val="00DE6F34"/>
    <w:rsid w:val="00E05BE5"/>
    <w:rsid w:val="00E11893"/>
    <w:rsid w:val="00E12CA9"/>
    <w:rsid w:val="00E17629"/>
    <w:rsid w:val="00E254A9"/>
    <w:rsid w:val="00E258BE"/>
    <w:rsid w:val="00E2667A"/>
    <w:rsid w:val="00E32DAA"/>
    <w:rsid w:val="00E356A3"/>
    <w:rsid w:val="00E37680"/>
    <w:rsid w:val="00E4149D"/>
    <w:rsid w:val="00E463E9"/>
    <w:rsid w:val="00E52BBD"/>
    <w:rsid w:val="00E56771"/>
    <w:rsid w:val="00E63D35"/>
    <w:rsid w:val="00E670D3"/>
    <w:rsid w:val="00E71774"/>
    <w:rsid w:val="00E7348A"/>
    <w:rsid w:val="00E769B7"/>
    <w:rsid w:val="00E83992"/>
    <w:rsid w:val="00E86911"/>
    <w:rsid w:val="00E92946"/>
    <w:rsid w:val="00E92D09"/>
    <w:rsid w:val="00E95F9A"/>
    <w:rsid w:val="00E96A1F"/>
    <w:rsid w:val="00E97312"/>
    <w:rsid w:val="00EA57B9"/>
    <w:rsid w:val="00EA72FC"/>
    <w:rsid w:val="00EB0590"/>
    <w:rsid w:val="00EC26DC"/>
    <w:rsid w:val="00EC601C"/>
    <w:rsid w:val="00EC6471"/>
    <w:rsid w:val="00EC6789"/>
    <w:rsid w:val="00EC6C73"/>
    <w:rsid w:val="00ED4BA7"/>
    <w:rsid w:val="00ED5B16"/>
    <w:rsid w:val="00ED7B22"/>
    <w:rsid w:val="00EE01CC"/>
    <w:rsid w:val="00EE5A6C"/>
    <w:rsid w:val="00EE6D67"/>
    <w:rsid w:val="00EF07E1"/>
    <w:rsid w:val="00EF0D24"/>
    <w:rsid w:val="00EF29D6"/>
    <w:rsid w:val="00EF39A0"/>
    <w:rsid w:val="00EF39CB"/>
    <w:rsid w:val="00EF530F"/>
    <w:rsid w:val="00F01FF5"/>
    <w:rsid w:val="00F062D8"/>
    <w:rsid w:val="00F06B68"/>
    <w:rsid w:val="00F07E75"/>
    <w:rsid w:val="00F1036B"/>
    <w:rsid w:val="00F1150E"/>
    <w:rsid w:val="00F12BB8"/>
    <w:rsid w:val="00F13AEE"/>
    <w:rsid w:val="00F1591D"/>
    <w:rsid w:val="00F163AB"/>
    <w:rsid w:val="00F25264"/>
    <w:rsid w:val="00F26AE5"/>
    <w:rsid w:val="00F30772"/>
    <w:rsid w:val="00F4236D"/>
    <w:rsid w:val="00F42658"/>
    <w:rsid w:val="00F474E9"/>
    <w:rsid w:val="00F523A2"/>
    <w:rsid w:val="00F55A0D"/>
    <w:rsid w:val="00F562A1"/>
    <w:rsid w:val="00F62679"/>
    <w:rsid w:val="00F6303B"/>
    <w:rsid w:val="00F665D8"/>
    <w:rsid w:val="00F73203"/>
    <w:rsid w:val="00F74F58"/>
    <w:rsid w:val="00F939B5"/>
    <w:rsid w:val="00F959A1"/>
    <w:rsid w:val="00F9738F"/>
    <w:rsid w:val="00FA09D6"/>
    <w:rsid w:val="00FA2F27"/>
    <w:rsid w:val="00FA3977"/>
    <w:rsid w:val="00FB3AB9"/>
    <w:rsid w:val="00FB5EEA"/>
    <w:rsid w:val="00FC3654"/>
    <w:rsid w:val="00FC6D91"/>
    <w:rsid w:val="00FD1C75"/>
    <w:rsid w:val="00FD555F"/>
    <w:rsid w:val="00FD5A26"/>
    <w:rsid w:val="00FD7C6C"/>
    <w:rsid w:val="00FE225C"/>
    <w:rsid w:val="00FE3EBE"/>
    <w:rsid w:val="00FF24CB"/>
    <w:rsid w:val="00FF3DAD"/>
    <w:rsid w:val="00FF7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2E4BB8"/>
  <w15:chartTrackingRefBased/>
  <w15:docId w15:val="{9C60C752-73BF-4B88-A518-5CB7B614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qFormat="1"/>
    <w:lsdException w:name="heading 9" w:semiHidden="1" w:uiPriority="3"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0"/>
      <w:outlineLvl w:val="0"/>
    </w:pPr>
    <w:rPr>
      <w:rFonts w:ascii="Arial" w:hAnsi="Arial"/>
      <w:b/>
    </w:rPr>
  </w:style>
  <w:style w:type="paragraph" w:styleId="Heading2">
    <w:name w:val="heading 2"/>
    <w:basedOn w:val="Normal"/>
    <w:next w:val="Normal"/>
    <w:qFormat/>
    <w:pPr>
      <w:keepNext/>
      <w:tabs>
        <w:tab w:val="left" w:pos="2904"/>
        <w:tab w:val="left" w:pos="3907"/>
        <w:tab w:val="left" w:pos="4910"/>
        <w:tab w:val="left" w:pos="5913"/>
        <w:tab w:val="left" w:pos="6916"/>
      </w:tabs>
      <w:ind w:left="331"/>
      <w:outlineLvl w:val="1"/>
    </w:pPr>
    <w:rPr>
      <w:rFonts w:ascii="Arial" w:hAnsi="Arial"/>
      <w:b/>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link w:val="Heading4Char"/>
    <w:semiHidden/>
    <w:unhideWhenUsed/>
    <w:qFormat/>
    <w:rsid w:val="00DA306B"/>
    <w:pPr>
      <w:keepNext/>
      <w:spacing w:before="240" w:after="60"/>
      <w:outlineLvl w:val="3"/>
    </w:pPr>
    <w:rPr>
      <w:rFonts w:ascii="Calibri" w:hAnsi="Calibri"/>
      <w:b/>
      <w:bCs/>
      <w:sz w:val="28"/>
      <w:szCs w:val="28"/>
    </w:rPr>
  </w:style>
  <w:style w:type="paragraph" w:styleId="Heading8">
    <w:name w:val="heading 8"/>
    <w:aliases w:val="Appendix Title"/>
    <w:basedOn w:val="Normal"/>
    <w:next w:val="BodyText"/>
    <w:link w:val="Heading8Char"/>
    <w:uiPriority w:val="3"/>
    <w:rsid w:val="00253197"/>
    <w:pPr>
      <w:numPr>
        <w:numId w:val="36"/>
      </w:numPr>
      <w:tabs>
        <w:tab w:val="left" w:pos="2977"/>
        <w:tab w:val="right" w:pos="9639"/>
      </w:tabs>
      <w:spacing w:before="240" w:after="380"/>
      <w:contextualSpacing/>
      <w:outlineLvl w:val="7"/>
    </w:pPr>
    <w:rPr>
      <w:rFonts w:asciiTheme="minorHAnsi" w:eastAsiaTheme="majorEastAsia" w:hAnsiTheme="minorHAnsi" w:cs="Arial"/>
      <w:color w:val="5B9BD5" w:themeColor="accent1"/>
      <w:spacing w:val="-1"/>
      <w:sz w:val="56"/>
      <w:szCs w:val="21"/>
      <w:lang w:eastAsia="en-US"/>
    </w:rPr>
  </w:style>
  <w:style w:type="paragraph" w:styleId="Heading9">
    <w:name w:val="heading 9"/>
    <w:aliases w:val="Appendix Heading 1"/>
    <w:basedOn w:val="Normal"/>
    <w:next w:val="BodyText"/>
    <w:link w:val="Heading9Char"/>
    <w:uiPriority w:val="3"/>
    <w:rsid w:val="00253197"/>
    <w:pPr>
      <w:keepNext/>
      <w:keepLines/>
      <w:numPr>
        <w:ilvl w:val="1"/>
        <w:numId w:val="36"/>
      </w:numPr>
      <w:spacing w:before="240" w:after="240"/>
      <w:jc w:val="both"/>
      <w:outlineLvl w:val="8"/>
    </w:pPr>
    <w:rPr>
      <w:rFonts w:asciiTheme="minorHAnsi" w:hAnsiTheme="minorHAnsi" w:cs="Arial"/>
      <w:color w:val="5B9BD5" w:themeColor="accent1"/>
      <w:spacing w:val="-1"/>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hAnsi="Arial"/>
      <w:b/>
    </w:rPr>
  </w:style>
  <w:style w:type="paragraph" w:styleId="ListBullet">
    <w:name w:val="List Bullet"/>
    <w:basedOn w:val="Normal"/>
    <w:autoRedefine/>
    <w:rsid w:val="00515EEB"/>
    <w:pPr>
      <w:numPr>
        <w:numId w:val="26"/>
      </w:numPr>
      <w:spacing w:before="120" w:after="120"/>
    </w:pPr>
    <w:rPr>
      <w:rFonts w:ascii="Arial" w:hAnsi="Arial"/>
      <w:b/>
      <w:bCs/>
    </w:rPr>
  </w:style>
  <w:style w:type="paragraph" w:styleId="BalloonText">
    <w:name w:val="Balloon Text"/>
    <w:basedOn w:val="Normal"/>
    <w:semiHidden/>
    <w:rPr>
      <w:rFonts w:ascii="Tahoma" w:hAnsi="Tahoma" w:cs="Tahoma"/>
      <w:sz w:val="16"/>
      <w:szCs w:val="16"/>
      <w:lang w:eastAsia="en-US"/>
    </w:rPr>
  </w:style>
  <w:style w:type="paragraph" w:styleId="BodyText">
    <w:name w:val="Body Text"/>
    <w:basedOn w:val="Normal"/>
    <w:link w:val="BodyTextChar"/>
    <w:qFormat/>
    <w:pPr>
      <w:jc w:val="center"/>
    </w:pPr>
    <w:rPr>
      <w:b/>
      <w:bCs/>
      <w:sz w:val="28"/>
      <w:szCs w:val="28"/>
      <w:lang w:eastAsia="en-US"/>
    </w:rPr>
  </w:style>
  <w:style w:type="paragraph" w:customStyle="1" w:styleId="DraftHeading3">
    <w:name w:val="Draft Heading 3"/>
    <w:basedOn w:val="Normal"/>
    <w:next w:val="Normal"/>
    <w:pPr>
      <w:overflowPunct w:val="0"/>
      <w:autoSpaceDE w:val="0"/>
      <w:autoSpaceDN w:val="0"/>
      <w:adjustRightInd w:val="0"/>
      <w:spacing w:before="120"/>
      <w:textAlignment w:val="baseline"/>
    </w:pPr>
    <w:rPr>
      <w:sz w:val="24"/>
      <w:szCs w:val="24"/>
      <w:lang w:eastAsia="en-US"/>
    </w:rPr>
  </w:style>
  <w:style w:type="paragraph" w:styleId="BodyText2">
    <w:name w:val="Body Text 2"/>
    <w:basedOn w:val="Normal"/>
    <w:pPr>
      <w:jc w:val="both"/>
    </w:pPr>
    <w:rPr>
      <w:sz w:val="24"/>
      <w:szCs w:val="24"/>
      <w:lang w:eastAsia="en-US"/>
    </w:rPr>
  </w:style>
  <w:style w:type="paragraph" w:styleId="ListBullet2">
    <w:name w:val="List Bullet 2"/>
    <w:basedOn w:val="Normal"/>
    <w:autoRedefine/>
    <w:rsid w:val="009E6948"/>
    <w:pPr>
      <w:numPr>
        <w:numId w:val="2"/>
      </w:numPr>
      <w:jc w:val="both"/>
    </w:pPr>
    <w:rPr>
      <w:rFonts w:ascii="Arial" w:hAnsi="Arial"/>
    </w:rPr>
  </w:style>
  <w:style w:type="paragraph" w:styleId="BodyTextIndent">
    <w:name w:val="Body Text Indent"/>
    <w:basedOn w:val="Normal"/>
    <w:pPr>
      <w:spacing w:line="240" w:lineRule="atLeast"/>
      <w:ind w:left="720"/>
    </w:pPr>
    <w:rPr>
      <w:rFonts w:ascii="Arial" w:hAnsi="Arial"/>
      <w:b/>
    </w:rPr>
  </w:style>
  <w:style w:type="character" w:styleId="CommentReference">
    <w:name w:val="annotation reference"/>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1">
    <w:name w:val="P1"/>
    <w:aliases w:val="(a),note(para),na,paragraph (a)"/>
    <w:basedOn w:val="Normal"/>
    <w:pPr>
      <w:tabs>
        <w:tab w:val="right" w:pos="1191"/>
        <w:tab w:val="left" w:pos="1644"/>
      </w:tabs>
      <w:spacing w:before="60" w:line="260" w:lineRule="exact"/>
      <w:ind w:left="1418" w:hanging="1418"/>
      <w:jc w:val="both"/>
    </w:pPr>
    <w:rPr>
      <w:sz w:val="24"/>
      <w:lang w:eastAsia="en-US"/>
    </w:rPr>
  </w:style>
  <w:style w:type="character" w:styleId="PageNumber">
    <w:name w:val="page number"/>
    <w:basedOn w:val="DefaultParagraphFont"/>
  </w:style>
  <w:style w:type="character" w:styleId="Hyperlink">
    <w:name w:val="Hyperlink"/>
    <w:rPr>
      <w:color w:val="0000FF"/>
      <w:u w:val="single"/>
    </w:rPr>
  </w:style>
  <w:style w:type="paragraph" w:customStyle="1" w:styleId="TableText">
    <w:name w:val="Table Text"/>
    <w:basedOn w:val="Normal"/>
    <w:qFormat/>
    <w:rsid w:val="00013847"/>
    <w:pPr>
      <w:spacing w:before="60"/>
    </w:pPr>
    <w:rPr>
      <w:rFonts w:ascii="Calibri" w:hAnsi="Calibri"/>
      <w:color w:val="262626"/>
      <w:spacing w:val="-1"/>
      <w:sz w:val="18"/>
      <w:szCs w:val="21"/>
    </w:rPr>
  </w:style>
  <w:style w:type="table" w:customStyle="1" w:styleId="EMMTable">
    <w:name w:val="EMM Table"/>
    <w:basedOn w:val="TableNormal"/>
    <w:uiPriority w:val="99"/>
    <w:rsid w:val="00013847"/>
    <w:pPr>
      <w:spacing w:before="60"/>
    </w:pPr>
    <w:rPr>
      <w:rFonts w:ascii="Calibri" w:hAnsi="Calibri"/>
      <w:color w:val="262626"/>
      <w:sz w:val="18"/>
      <w:szCs w:val="21"/>
    </w:rPr>
    <w:tblPr>
      <w:tblBorders>
        <w:top w:val="single" w:sz="2" w:space="0" w:color="262626"/>
        <w:bottom w:val="single" w:sz="2" w:space="0" w:color="262626"/>
      </w:tblBorders>
      <w:tblCellMar>
        <w:top w:w="28" w:type="dxa"/>
        <w:left w:w="0" w:type="dxa"/>
        <w:bottom w:w="28" w:type="dxa"/>
        <w:right w:w="85" w:type="dxa"/>
      </w:tblCellMar>
    </w:tblPr>
    <w:tblStylePr w:type="firstRow">
      <w:rPr>
        <w:b w:val="0"/>
        <w:color w:val="262626"/>
        <w:sz w:val="21"/>
      </w:rPr>
      <w:tblPr/>
      <w:trPr>
        <w:cantSplit/>
      </w:trPr>
      <w:tcPr>
        <w:tcBorders>
          <w:top w:val="nil"/>
          <w:left w:val="nil"/>
          <w:bottom w:val="nil"/>
          <w:right w:val="nil"/>
          <w:insideH w:val="nil"/>
          <w:insideV w:val="nil"/>
          <w:tl2br w:val="nil"/>
          <w:tr2bl w:val="nil"/>
        </w:tcBorders>
      </w:tcPr>
    </w:tblStylePr>
  </w:style>
  <w:style w:type="paragraph" w:customStyle="1" w:styleId="TableTextBullet1">
    <w:name w:val="Table Text Bullet 1"/>
    <w:basedOn w:val="TableText"/>
    <w:qFormat/>
    <w:rsid w:val="00013847"/>
    <w:pPr>
      <w:numPr>
        <w:numId w:val="1"/>
      </w:numPr>
      <w:tabs>
        <w:tab w:val="num" w:pos="495"/>
      </w:tabs>
      <w:ind w:left="495" w:hanging="495"/>
    </w:pPr>
  </w:style>
  <w:style w:type="paragraph" w:customStyle="1" w:styleId="TableHeading">
    <w:name w:val="Table Heading"/>
    <w:basedOn w:val="Normal"/>
    <w:qFormat/>
    <w:rsid w:val="00013847"/>
    <w:pPr>
      <w:spacing w:before="60"/>
    </w:pPr>
    <w:rPr>
      <w:rFonts w:ascii="Calibri" w:hAnsi="Calibri"/>
      <w:b/>
      <w:color w:val="262626"/>
      <w:spacing w:val="-1"/>
      <w:sz w:val="18"/>
      <w:szCs w:val="21"/>
    </w:rPr>
  </w:style>
  <w:style w:type="paragraph" w:customStyle="1" w:styleId="TableTextBullet2">
    <w:name w:val="Table Text Bullet 2"/>
    <w:basedOn w:val="TableText"/>
    <w:qFormat/>
    <w:rsid w:val="00013847"/>
    <w:pPr>
      <w:numPr>
        <w:ilvl w:val="1"/>
        <w:numId w:val="1"/>
      </w:numPr>
      <w:tabs>
        <w:tab w:val="num" w:pos="510"/>
      </w:tabs>
      <w:ind w:left="510" w:hanging="360"/>
    </w:pPr>
  </w:style>
  <w:style w:type="paragraph" w:customStyle="1" w:styleId="TableCaption">
    <w:name w:val="Table_Caption"/>
    <w:basedOn w:val="Caption"/>
    <w:next w:val="BodyText"/>
    <w:uiPriority w:val="4"/>
    <w:qFormat/>
    <w:rsid w:val="00013847"/>
    <w:pPr>
      <w:tabs>
        <w:tab w:val="left" w:pos="1418"/>
      </w:tabs>
      <w:spacing w:before="240" w:after="240"/>
      <w:ind w:left="1418" w:hanging="1418"/>
    </w:pPr>
    <w:rPr>
      <w:rFonts w:ascii="Calibri" w:hAnsi="Calibri"/>
      <w:bCs w:val="0"/>
      <w:iCs/>
      <w:color w:val="00B4E5"/>
      <w:sz w:val="21"/>
      <w:szCs w:val="18"/>
      <w:lang w:eastAsia="en-US"/>
    </w:rPr>
  </w:style>
  <w:style w:type="paragraph" w:styleId="Caption">
    <w:name w:val="caption"/>
    <w:basedOn w:val="Normal"/>
    <w:next w:val="Normal"/>
    <w:semiHidden/>
    <w:unhideWhenUsed/>
    <w:qFormat/>
    <w:rsid w:val="00013847"/>
    <w:rPr>
      <w:b/>
      <w:bCs/>
    </w:rPr>
  </w:style>
  <w:style w:type="paragraph" w:styleId="CommentText">
    <w:name w:val="annotation text"/>
    <w:basedOn w:val="Normal"/>
    <w:link w:val="CommentTextChar"/>
    <w:unhideWhenUsed/>
    <w:rsid w:val="00013847"/>
    <w:pPr>
      <w:spacing w:before="240" w:after="240"/>
      <w:jc w:val="both"/>
    </w:pPr>
    <w:rPr>
      <w:rFonts w:ascii="Calibri" w:hAnsi="Calibri"/>
      <w:color w:val="262626"/>
      <w:spacing w:val="-1"/>
    </w:rPr>
  </w:style>
  <w:style w:type="character" w:customStyle="1" w:styleId="CommentTextChar">
    <w:name w:val="Comment Text Char"/>
    <w:link w:val="CommentText"/>
    <w:rsid w:val="00013847"/>
    <w:rPr>
      <w:rFonts w:ascii="Calibri" w:hAnsi="Calibri"/>
      <w:color w:val="262626"/>
      <w:spacing w:val="-1"/>
    </w:rPr>
  </w:style>
  <w:style w:type="paragraph" w:customStyle="1" w:styleId="FigureCaption">
    <w:name w:val="Figure_Caption"/>
    <w:basedOn w:val="Caption"/>
    <w:next w:val="BodyText"/>
    <w:uiPriority w:val="4"/>
    <w:qFormat/>
    <w:rsid w:val="00F062D8"/>
    <w:pPr>
      <w:keepNext/>
      <w:tabs>
        <w:tab w:val="left" w:pos="1418"/>
      </w:tabs>
      <w:spacing w:before="240" w:after="240"/>
      <w:ind w:left="1418" w:hanging="1418"/>
    </w:pPr>
    <w:rPr>
      <w:rFonts w:ascii="Calibri" w:hAnsi="Calibri"/>
      <w:bCs w:val="0"/>
      <w:iCs/>
      <w:color w:val="00B4E5"/>
      <w:sz w:val="21"/>
      <w:szCs w:val="18"/>
      <w:lang w:eastAsia="en-US"/>
    </w:rPr>
  </w:style>
  <w:style w:type="character" w:customStyle="1" w:styleId="FooterChar">
    <w:name w:val="Footer Char"/>
    <w:link w:val="Footer"/>
    <w:uiPriority w:val="99"/>
    <w:rsid w:val="00934926"/>
  </w:style>
  <w:style w:type="paragraph" w:styleId="ListParagraph">
    <w:name w:val="List Paragraph"/>
    <w:basedOn w:val="Normal"/>
    <w:uiPriority w:val="34"/>
    <w:qFormat/>
    <w:rsid w:val="009E6948"/>
    <w:pPr>
      <w:ind w:left="720"/>
    </w:pPr>
  </w:style>
  <w:style w:type="character" w:customStyle="1" w:styleId="BodyTextChar">
    <w:name w:val="Body Text Char"/>
    <w:link w:val="BodyText"/>
    <w:rsid w:val="009E6948"/>
    <w:rPr>
      <w:b/>
      <w:bCs/>
      <w:sz w:val="28"/>
      <w:szCs w:val="28"/>
      <w:lang w:eastAsia="en-US"/>
    </w:rPr>
  </w:style>
  <w:style w:type="character" w:customStyle="1" w:styleId="Heading4Char">
    <w:name w:val="Heading 4 Char"/>
    <w:link w:val="Heading4"/>
    <w:semiHidden/>
    <w:rsid w:val="00DA306B"/>
    <w:rPr>
      <w:rFonts w:ascii="Calibri" w:eastAsia="Times New Roman" w:hAnsi="Calibri" w:cs="Times New Roman"/>
      <w:b/>
      <w:bCs/>
      <w:sz w:val="28"/>
      <w:szCs w:val="28"/>
    </w:rPr>
  </w:style>
  <w:style w:type="numbering" w:customStyle="1" w:styleId="Headings">
    <w:name w:val="Headings"/>
    <w:uiPriority w:val="99"/>
    <w:rsid w:val="000F2331"/>
    <w:pPr>
      <w:numPr>
        <w:numId w:val="10"/>
      </w:numPr>
    </w:pPr>
  </w:style>
  <w:style w:type="paragraph" w:styleId="CommentSubject">
    <w:name w:val="annotation subject"/>
    <w:basedOn w:val="CommentText"/>
    <w:next w:val="CommentText"/>
    <w:link w:val="CommentSubjectChar"/>
    <w:rsid w:val="00AC481A"/>
    <w:pPr>
      <w:spacing w:before="0" w:after="0"/>
      <w:jc w:val="left"/>
    </w:pPr>
    <w:rPr>
      <w:rFonts w:ascii="Times New Roman" w:hAnsi="Times New Roman"/>
      <w:b/>
      <w:bCs/>
      <w:color w:val="auto"/>
      <w:spacing w:val="0"/>
    </w:rPr>
  </w:style>
  <w:style w:type="character" w:customStyle="1" w:styleId="CommentSubjectChar">
    <w:name w:val="Comment Subject Char"/>
    <w:link w:val="CommentSubject"/>
    <w:rsid w:val="00AC481A"/>
    <w:rPr>
      <w:rFonts w:ascii="Calibri" w:hAnsi="Calibri"/>
      <w:b/>
      <w:bCs/>
      <w:color w:val="262626"/>
      <w:spacing w:val="-1"/>
    </w:rPr>
  </w:style>
  <w:style w:type="paragraph" w:customStyle="1" w:styleId="Default">
    <w:name w:val="Default"/>
    <w:rsid w:val="00EC6471"/>
    <w:pPr>
      <w:autoSpaceDE w:val="0"/>
      <w:autoSpaceDN w:val="0"/>
      <w:adjustRightInd w:val="0"/>
    </w:pPr>
    <w:rPr>
      <w:rFonts w:ascii="Arial" w:hAnsi="Arial" w:cs="Arial"/>
      <w:color w:val="000000"/>
      <w:sz w:val="24"/>
      <w:szCs w:val="24"/>
    </w:rPr>
  </w:style>
  <w:style w:type="paragraph" w:customStyle="1" w:styleId="IlukaBodyText1">
    <w:name w:val="Iluka Body Text  1"/>
    <w:basedOn w:val="BodyTextIndent"/>
    <w:autoRedefine/>
    <w:rsid w:val="00D5316A"/>
    <w:pPr>
      <w:spacing w:after="240" w:line="276" w:lineRule="auto"/>
      <w:ind w:left="0"/>
      <w:jc w:val="both"/>
    </w:pPr>
    <w:rPr>
      <w:rFonts w:cs="Arial"/>
      <w:b w:val="0"/>
      <w:sz w:val="22"/>
      <w:szCs w:val="22"/>
    </w:rPr>
  </w:style>
  <w:style w:type="paragraph" w:styleId="Revision">
    <w:name w:val="Revision"/>
    <w:hidden/>
    <w:uiPriority w:val="99"/>
    <w:semiHidden/>
    <w:rsid w:val="00BA7473"/>
  </w:style>
  <w:style w:type="character" w:styleId="Emphasis">
    <w:name w:val="Emphasis"/>
    <w:basedOn w:val="DefaultParagraphFont"/>
    <w:uiPriority w:val="20"/>
    <w:qFormat/>
    <w:rsid w:val="004021A7"/>
    <w:rPr>
      <w:i/>
      <w:iCs/>
    </w:rPr>
  </w:style>
  <w:style w:type="character" w:customStyle="1" w:styleId="Heading8Char">
    <w:name w:val="Heading 8 Char"/>
    <w:aliases w:val="Appendix Title Char"/>
    <w:basedOn w:val="DefaultParagraphFont"/>
    <w:link w:val="Heading8"/>
    <w:uiPriority w:val="3"/>
    <w:rsid w:val="00253197"/>
    <w:rPr>
      <w:rFonts w:asciiTheme="minorHAnsi" w:eastAsiaTheme="majorEastAsia" w:hAnsiTheme="minorHAnsi" w:cs="Arial"/>
      <w:color w:val="5B9BD5" w:themeColor="accent1"/>
      <w:spacing w:val="-1"/>
      <w:sz w:val="56"/>
      <w:szCs w:val="21"/>
      <w:lang w:eastAsia="en-US"/>
    </w:rPr>
  </w:style>
  <w:style w:type="character" w:customStyle="1" w:styleId="Heading9Char">
    <w:name w:val="Heading 9 Char"/>
    <w:aliases w:val="Appendix Heading 1 Char"/>
    <w:basedOn w:val="DefaultParagraphFont"/>
    <w:link w:val="Heading9"/>
    <w:uiPriority w:val="3"/>
    <w:rsid w:val="00253197"/>
    <w:rPr>
      <w:rFonts w:asciiTheme="minorHAnsi" w:hAnsiTheme="minorHAnsi" w:cs="Arial"/>
      <w:color w:val="5B9BD5" w:themeColor="accent1"/>
      <w:spacing w:val="-1"/>
      <w:sz w:val="26"/>
      <w:szCs w:val="21"/>
    </w:rPr>
  </w:style>
  <w:style w:type="paragraph" w:customStyle="1" w:styleId="AppendixHeading2">
    <w:name w:val="Appendix Heading 2"/>
    <w:basedOn w:val="Normal"/>
    <w:next w:val="BodyText"/>
    <w:uiPriority w:val="4"/>
    <w:rsid w:val="00253197"/>
    <w:pPr>
      <w:keepNext/>
      <w:numPr>
        <w:ilvl w:val="2"/>
        <w:numId w:val="36"/>
      </w:numPr>
      <w:spacing w:before="240" w:after="240"/>
      <w:jc w:val="both"/>
    </w:pPr>
    <w:rPr>
      <w:rFonts w:asciiTheme="minorHAnsi" w:hAnsiTheme="minorHAnsi" w:cs="Arial"/>
      <w:color w:val="5B9BD5" w:themeColor="accent1"/>
      <w:spacing w:val="-1"/>
      <w:sz w:val="24"/>
      <w:szCs w:val="21"/>
    </w:rPr>
  </w:style>
  <w:style w:type="paragraph" w:customStyle="1" w:styleId="AppendixHeading3">
    <w:name w:val="Appendix Heading 3"/>
    <w:basedOn w:val="Normal"/>
    <w:next w:val="BodyText"/>
    <w:uiPriority w:val="4"/>
    <w:rsid w:val="00253197"/>
    <w:pPr>
      <w:keepNext/>
      <w:numPr>
        <w:ilvl w:val="3"/>
        <w:numId w:val="36"/>
      </w:numPr>
      <w:spacing w:before="240" w:after="240"/>
      <w:jc w:val="both"/>
    </w:pPr>
    <w:rPr>
      <w:rFonts w:asciiTheme="majorHAnsi" w:hAnsiTheme="majorHAnsi" w:cs="Arial"/>
      <w:color w:val="5B9BD5" w:themeColor="accent1"/>
      <w:spacing w:val="-1"/>
      <w:sz w:val="21"/>
      <w:szCs w:val="21"/>
      <w:lang w:eastAsia="en-US"/>
    </w:rPr>
  </w:style>
  <w:style w:type="paragraph" w:customStyle="1" w:styleId="AppendixHeading4">
    <w:name w:val="Appendix Heading 4"/>
    <w:basedOn w:val="AppendixHeading3"/>
    <w:next w:val="BodyText"/>
    <w:uiPriority w:val="4"/>
    <w:qFormat/>
    <w:rsid w:val="00253197"/>
    <w:pPr>
      <w:numPr>
        <w:ilvl w:val="4"/>
      </w:numPr>
    </w:pPr>
  </w:style>
  <w:style w:type="paragraph" w:customStyle="1" w:styleId="BodyTextaftertablelist">
    <w:name w:val="Body Text after table/list"/>
    <w:basedOn w:val="BodyText"/>
    <w:next w:val="BodyText"/>
    <w:qFormat/>
    <w:rsid w:val="0073558F"/>
    <w:pPr>
      <w:tabs>
        <w:tab w:val="left" w:pos="2268"/>
        <w:tab w:val="left" w:pos="4536"/>
        <w:tab w:val="left" w:pos="6804"/>
        <w:tab w:val="right" w:pos="9638"/>
      </w:tabs>
      <w:spacing w:before="160" w:after="160"/>
      <w:jc w:val="both"/>
    </w:pPr>
    <w:rPr>
      <w:rFonts w:asciiTheme="minorHAnsi" w:hAnsiTheme="minorHAnsi"/>
      <w:b w:val="0"/>
      <w:bCs w:val="0"/>
      <w:color w:val="000000" w:themeColor="text1"/>
      <w:spacing w:val="-1"/>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69141">
      <w:bodyDiv w:val="1"/>
      <w:marLeft w:val="0"/>
      <w:marRight w:val="0"/>
      <w:marTop w:val="0"/>
      <w:marBottom w:val="0"/>
      <w:divBdr>
        <w:top w:val="none" w:sz="0" w:space="0" w:color="auto"/>
        <w:left w:val="none" w:sz="0" w:space="0" w:color="auto"/>
        <w:bottom w:val="none" w:sz="0" w:space="0" w:color="auto"/>
        <w:right w:val="none" w:sz="0" w:space="0" w:color="auto"/>
      </w:divBdr>
    </w:div>
    <w:div w:id="617101301">
      <w:bodyDiv w:val="1"/>
      <w:marLeft w:val="0"/>
      <w:marRight w:val="0"/>
      <w:marTop w:val="0"/>
      <w:marBottom w:val="0"/>
      <w:divBdr>
        <w:top w:val="none" w:sz="0" w:space="0" w:color="auto"/>
        <w:left w:val="none" w:sz="0" w:space="0" w:color="auto"/>
        <w:bottom w:val="none" w:sz="0" w:space="0" w:color="auto"/>
        <w:right w:val="none" w:sz="0" w:space="0" w:color="auto"/>
      </w:divBdr>
    </w:div>
    <w:div w:id="989097086">
      <w:bodyDiv w:val="1"/>
      <w:marLeft w:val="0"/>
      <w:marRight w:val="0"/>
      <w:marTop w:val="0"/>
      <w:marBottom w:val="0"/>
      <w:divBdr>
        <w:top w:val="none" w:sz="0" w:space="0" w:color="auto"/>
        <w:left w:val="none" w:sz="0" w:space="0" w:color="auto"/>
        <w:bottom w:val="none" w:sz="0" w:space="0" w:color="auto"/>
        <w:right w:val="none" w:sz="0" w:space="0" w:color="auto"/>
      </w:divBdr>
    </w:div>
    <w:div w:id="1164659757">
      <w:bodyDiv w:val="1"/>
      <w:marLeft w:val="0"/>
      <w:marRight w:val="0"/>
      <w:marTop w:val="0"/>
      <w:marBottom w:val="0"/>
      <w:divBdr>
        <w:top w:val="none" w:sz="0" w:space="0" w:color="auto"/>
        <w:left w:val="none" w:sz="0" w:space="0" w:color="auto"/>
        <w:bottom w:val="none" w:sz="0" w:space="0" w:color="auto"/>
        <w:right w:val="none" w:sz="0" w:space="0" w:color="auto"/>
      </w:divBdr>
    </w:div>
    <w:div w:id="1195266715">
      <w:bodyDiv w:val="1"/>
      <w:marLeft w:val="0"/>
      <w:marRight w:val="0"/>
      <w:marTop w:val="0"/>
      <w:marBottom w:val="0"/>
      <w:divBdr>
        <w:top w:val="none" w:sz="0" w:space="0" w:color="auto"/>
        <w:left w:val="none" w:sz="0" w:space="0" w:color="auto"/>
        <w:bottom w:val="none" w:sz="0" w:space="0" w:color="auto"/>
        <w:right w:val="none" w:sz="0" w:space="0" w:color="auto"/>
      </w:divBdr>
    </w:div>
    <w:div w:id="1229725782">
      <w:bodyDiv w:val="1"/>
      <w:marLeft w:val="0"/>
      <w:marRight w:val="0"/>
      <w:marTop w:val="0"/>
      <w:marBottom w:val="0"/>
      <w:divBdr>
        <w:top w:val="none" w:sz="0" w:space="0" w:color="auto"/>
        <w:left w:val="none" w:sz="0" w:space="0" w:color="auto"/>
        <w:bottom w:val="none" w:sz="0" w:space="0" w:color="auto"/>
        <w:right w:val="none" w:sz="0" w:space="0" w:color="auto"/>
      </w:divBdr>
    </w:div>
    <w:div w:id="1536117964">
      <w:bodyDiv w:val="1"/>
      <w:marLeft w:val="0"/>
      <w:marRight w:val="0"/>
      <w:marTop w:val="0"/>
      <w:marBottom w:val="0"/>
      <w:divBdr>
        <w:top w:val="none" w:sz="0" w:space="0" w:color="auto"/>
        <w:left w:val="none" w:sz="0" w:space="0" w:color="auto"/>
        <w:bottom w:val="none" w:sz="0" w:space="0" w:color="auto"/>
        <w:right w:val="none" w:sz="0" w:space="0" w:color="auto"/>
      </w:divBdr>
    </w:div>
    <w:div w:id="1593276318">
      <w:bodyDiv w:val="1"/>
      <w:marLeft w:val="0"/>
      <w:marRight w:val="0"/>
      <w:marTop w:val="0"/>
      <w:marBottom w:val="0"/>
      <w:divBdr>
        <w:top w:val="none" w:sz="0" w:space="0" w:color="auto"/>
        <w:left w:val="none" w:sz="0" w:space="0" w:color="auto"/>
        <w:bottom w:val="none" w:sz="0" w:space="0" w:color="auto"/>
        <w:right w:val="none" w:sz="0" w:space="0" w:color="auto"/>
      </w:divBdr>
    </w:div>
    <w:div w:id="1774780719">
      <w:bodyDiv w:val="1"/>
      <w:marLeft w:val="0"/>
      <w:marRight w:val="0"/>
      <w:marTop w:val="0"/>
      <w:marBottom w:val="0"/>
      <w:divBdr>
        <w:top w:val="none" w:sz="0" w:space="0" w:color="auto"/>
        <w:left w:val="none" w:sz="0" w:space="0" w:color="auto"/>
        <w:bottom w:val="none" w:sz="0" w:space="0" w:color="auto"/>
        <w:right w:val="none" w:sz="0" w:space="0" w:color="auto"/>
      </w:divBdr>
    </w:div>
    <w:div w:id="1861747197">
      <w:bodyDiv w:val="1"/>
      <w:marLeft w:val="0"/>
      <w:marRight w:val="0"/>
      <w:marTop w:val="0"/>
      <w:marBottom w:val="0"/>
      <w:divBdr>
        <w:top w:val="none" w:sz="0" w:space="0" w:color="auto"/>
        <w:left w:val="none" w:sz="0" w:space="0" w:color="auto"/>
        <w:bottom w:val="none" w:sz="0" w:space="0" w:color="auto"/>
        <w:right w:val="none" w:sz="0" w:space="0" w:color="auto"/>
      </w:divBdr>
    </w:div>
    <w:div w:id="1950701695">
      <w:bodyDiv w:val="1"/>
      <w:marLeft w:val="0"/>
      <w:marRight w:val="0"/>
      <w:marTop w:val="0"/>
      <w:marBottom w:val="0"/>
      <w:divBdr>
        <w:top w:val="none" w:sz="0" w:space="0" w:color="auto"/>
        <w:left w:val="none" w:sz="0" w:space="0" w:color="auto"/>
        <w:bottom w:val="none" w:sz="0" w:space="0" w:color="auto"/>
        <w:right w:val="none" w:sz="0" w:space="0" w:color="auto"/>
      </w:divBdr>
    </w:div>
    <w:div w:id="1972713031">
      <w:bodyDiv w:val="1"/>
      <w:marLeft w:val="0"/>
      <w:marRight w:val="0"/>
      <w:marTop w:val="0"/>
      <w:marBottom w:val="0"/>
      <w:divBdr>
        <w:top w:val="none" w:sz="0" w:space="0" w:color="auto"/>
        <w:left w:val="none" w:sz="0" w:space="0" w:color="auto"/>
        <w:bottom w:val="none" w:sz="0" w:space="0" w:color="auto"/>
        <w:right w:val="none" w:sz="0" w:space="0" w:color="auto"/>
      </w:divBdr>
    </w:div>
    <w:div w:id="20107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towler@emmconsulting.com.au" TargetMode="External"/><Relationship Id="rId13" Type="http://schemas.openxmlformats.org/officeDocument/2006/relationships/hyperlink" Target="http://planning-schemes.delwp.vic.gov.au/schemes/horsha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gov.au/data-pubs/datastandards/stratigraphic-un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wmwater.org.au/component/edocman/719-application-for-a-new-or-amended-licence-to-use-surface-water-and-to-operate-works-tu2/download" TargetMode="External"/><Relationship Id="rId14" Type="http://schemas.openxmlformats.org/officeDocument/2006/relationships/hyperlink" Target="https://www-pub.iaea.org/MTCD/publications/PDF/Pub141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945E-DC60-4294-90A6-D862FFDE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79</Pages>
  <Words>27696</Words>
  <Characters>159333</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REFERRAL FORM</vt:lpstr>
    </vt:vector>
  </TitlesOfParts>
  <Company>CenITex</Company>
  <LinksUpToDate>false</LinksUpToDate>
  <CharactersWithSpaces>186656</CharactersWithSpaces>
  <SharedDoc>false</SharedDoc>
  <HLinks>
    <vt:vector size="30" baseType="variant">
      <vt:variant>
        <vt:i4>2162753</vt:i4>
      </vt:variant>
      <vt:variant>
        <vt:i4>24</vt:i4>
      </vt:variant>
      <vt:variant>
        <vt:i4>0</vt:i4>
      </vt:variant>
      <vt:variant>
        <vt:i4>5</vt:i4>
      </vt:variant>
      <vt:variant>
        <vt:lpwstr>https://www-pub.iaea.org/MTCD/publications/PDF/Pub1419_web.pdf</vt:lpwstr>
      </vt:variant>
      <vt:variant>
        <vt:lpwstr/>
      </vt:variant>
      <vt:variant>
        <vt:i4>983043</vt:i4>
      </vt:variant>
      <vt:variant>
        <vt:i4>21</vt:i4>
      </vt:variant>
      <vt:variant>
        <vt:i4>0</vt:i4>
      </vt:variant>
      <vt:variant>
        <vt:i4>5</vt:i4>
      </vt:variant>
      <vt:variant>
        <vt:lpwstr>http://planning-schemes.delwp.vic.gov.au/schemes/horsham</vt:lpwstr>
      </vt:variant>
      <vt:variant>
        <vt:lpwstr/>
      </vt:variant>
      <vt:variant>
        <vt:i4>5963781</vt:i4>
      </vt:variant>
      <vt:variant>
        <vt:i4>18</vt:i4>
      </vt:variant>
      <vt:variant>
        <vt:i4>0</vt:i4>
      </vt:variant>
      <vt:variant>
        <vt:i4>5</vt:i4>
      </vt:variant>
      <vt:variant>
        <vt:lpwstr>https://www.ga.gov.au/data-pubs/datastandards/stratigraphic-units</vt:lpwstr>
      </vt:variant>
      <vt:variant>
        <vt:lpwstr/>
      </vt:variant>
      <vt:variant>
        <vt:i4>917526</vt:i4>
      </vt:variant>
      <vt:variant>
        <vt:i4>15</vt:i4>
      </vt:variant>
      <vt:variant>
        <vt:i4>0</vt:i4>
      </vt:variant>
      <vt:variant>
        <vt:i4>5</vt:i4>
      </vt:variant>
      <vt:variant>
        <vt:lpwstr>https://www.gwmwater.org.au/component/edocman/719-application-for-a-new-or-amended-licence-to-use-surface-water-and-to-operate-works-tu2/download</vt:lpwstr>
      </vt:variant>
      <vt:variant>
        <vt:lpwstr/>
      </vt:variant>
      <vt:variant>
        <vt:i4>7995404</vt:i4>
      </vt:variant>
      <vt:variant>
        <vt:i4>0</vt:i4>
      </vt:variant>
      <vt:variant>
        <vt:i4>0</vt:i4>
      </vt:variant>
      <vt:variant>
        <vt:i4>5</vt:i4>
      </vt:variant>
      <vt:variant>
        <vt:lpwstr>mailto:ptowler@emmconsulting.com.au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subject/>
  <dc:creator>Alison Taylor</dc:creator>
  <cp:keywords/>
  <dc:description/>
  <cp:lastModifiedBy>Mary-Anne Siebert</cp:lastModifiedBy>
  <cp:revision>27</cp:revision>
  <cp:lastPrinted>2019-07-09T23:48:00Z</cp:lastPrinted>
  <dcterms:created xsi:type="dcterms:W3CDTF">2019-07-16T22:43:00Z</dcterms:created>
  <dcterms:modified xsi:type="dcterms:W3CDTF">2019-07-17T00:22:00Z</dcterms:modified>
</cp:coreProperties>
</file>