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3B8" w:rsidRDefault="00F310FD" w:rsidP="002A4580">
      <w:r w:rsidRPr="00F310FD">
        <w:rPr>
          <w:noProof/>
        </w:rPr>
        <w:drawing>
          <wp:anchor distT="0" distB="0" distL="114300" distR="114300" simplePos="0" relativeHeight="251709952" behindDoc="1" locked="0" layoutInCell="1" allowOverlap="1">
            <wp:simplePos x="0" y="0"/>
            <wp:positionH relativeFrom="column">
              <wp:posOffset>-793750</wp:posOffset>
            </wp:positionH>
            <wp:positionV relativeFrom="paragraph">
              <wp:posOffset>-497840</wp:posOffset>
            </wp:positionV>
            <wp:extent cx="7169150" cy="1536700"/>
            <wp:effectExtent l="19050" t="0" r="0" b="0"/>
            <wp:wrapTight wrapText="bothSides">
              <wp:wrapPolygon edited="0">
                <wp:start x="-57" y="0"/>
                <wp:lineTo x="-57" y="21215"/>
                <wp:lineTo x="21577" y="21215"/>
                <wp:lineTo x="21577" y="0"/>
                <wp:lineTo x="-57" y="0"/>
              </wp:wrapPolygon>
            </wp:wrapTight>
            <wp:docPr id="9" name="Picture 4" descr="Banner for Regional Growth Plans, A Vision for Victoria - H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ner for Regional Growth Plans, A Vision for Victoria - Hume"/>
                    <pic:cNvPicPr>
                      <a:picLocks noChangeAspect="1" noChangeArrowheads="1"/>
                    </pic:cNvPicPr>
                  </pic:nvPicPr>
                  <pic:blipFill>
                    <a:blip r:embed="rId8"/>
                    <a:srcRect/>
                    <a:stretch>
                      <a:fillRect/>
                    </a:stretch>
                  </pic:blipFill>
                  <pic:spPr bwMode="auto">
                    <a:xfrm>
                      <a:off x="0" y="0"/>
                      <a:ext cx="7170420" cy="1532255"/>
                    </a:xfrm>
                    <a:prstGeom prst="rect">
                      <a:avLst/>
                    </a:prstGeom>
                    <a:noFill/>
                  </pic:spPr>
                </pic:pic>
              </a:graphicData>
            </a:graphic>
          </wp:anchor>
        </w:drawing>
      </w:r>
    </w:p>
    <w:p w:rsidR="002A4580" w:rsidRPr="007A0CF3" w:rsidRDefault="002A4580" w:rsidP="002A4580">
      <w:r w:rsidRPr="007A0CF3">
        <w:t xml:space="preserve">This version of the </w:t>
      </w:r>
      <w:r w:rsidRPr="002A4580">
        <w:rPr>
          <w:b/>
          <w:i/>
        </w:rPr>
        <w:t xml:space="preserve">Hume </w:t>
      </w:r>
      <w:r w:rsidRPr="007A0CF3">
        <w:rPr>
          <w:b/>
          <w:i/>
        </w:rPr>
        <w:t>Regional Growth Plan</w:t>
      </w:r>
      <w:r w:rsidRPr="007A0CF3">
        <w:rPr>
          <w:b/>
          <w:i/>
          <w:iCs/>
        </w:rPr>
        <w:t xml:space="preserve"> </w:t>
      </w:r>
      <w:r w:rsidRPr="007A0CF3">
        <w:t xml:space="preserve">has been prepared for use with screen reader software. The printed publication may contain photographs, captions and design features that have been necessarily omitted from this version. In other respects this document contains identical text to that in the PDF version of the </w:t>
      </w:r>
      <w:r w:rsidRPr="00535DDD">
        <w:t>document, which</w:t>
      </w:r>
      <w:r w:rsidRPr="007A0CF3">
        <w:t xml:space="preserve"> is available at</w:t>
      </w:r>
      <w:r w:rsidR="0084479D">
        <w:t>:</w:t>
      </w:r>
      <w:r w:rsidRPr="007A0CF3">
        <w:t xml:space="preserve"> </w:t>
      </w:r>
      <w:hyperlink r:id="rId9" w:history="1">
        <w:r w:rsidR="0084479D" w:rsidRPr="00596B78">
          <w:rPr>
            <w:rStyle w:val="Hyperlink"/>
          </w:rPr>
          <w:t>www.dtpli.vic.gov.au/regionalgrowthplans</w:t>
        </w:r>
      </w:hyperlink>
      <w:r w:rsidR="0084479D">
        <w:rPr>
          <w:color w:val="1F497D" w:themeColor="text2"/>
          <w:u w:val="single"/>
        </w:rPr>
        <w:t xml:space="preserve"> </w:t>
      </w:r>
    </w:p>
    <w:p w:rsidR="002A4580" w:rsidRPr="007A0CF3" w:rsidRDefault="002A4580" w:rsidP="002A4580"/>
    <w:p w:rsidR="002A4580" w:rsidRPr="007A0CF3" w:rsidRDefault="002A4580" w:rsidP="002A4580">
      <w:pPr>
        <w:pStyle w:val="Title"/>
      </w:pPr>
      <w:r w:rsidRPr="007A0CF3">
        <w:t>Regional Growth Plan</w:t>
      </w:r>
    </w:p>
    <w:p w:rsidR="001950E0" w:rsidRPr="00B47E4E" w:rsidRDefault="001950E0" w:rsidP="001950E0">
      <w:pPr>
        <w:pStyle w:val="Title"/>
        <w:rPr>
          <w:sz w:val="28"/>
          <w:szCs w:val="28"/>
        </w:rPr>
      </w:pPr>
    </w:p>
    <w:p w:rsidR="001950E0" w:rsidRPr="00B47E4E" w:rsidRDefault="001950E0" w:rsidP="001950E0">
      <w:pPr>
        <w:pStyle w:val="Title"/>
        <w:rPr>
          <w:sz w:val="28"/>
          <w:szCs w:val="28"/>
        </w:rPr>
      </w:pPr>
      <w:r w:rsidRPr="00B47E4E">
        <w:rPr>
          <w:sz w:val="28"/>
          <w:szCs w:val="28"/>
        </w:rPr>
        <w:t>An integrated, strategic land use plan for the Hume Region</w:t>
      </w:r>
    </w:p>
    <w:p w:rsidR="001950E0" w:rsidRPr="00B47E4E" w:rsidRDefault="001950E0" w:rsidP="001950E0">
      <w:pPr>
        <w:pStyle w:val="Title"/>
        <w:rPr>
          <w:sz w:val="28"/>
          <w:szCs w:val="28"/>
        </w:rPr>
      </w:pPr>
    </w:p>
    <w:p w:rsidR="001950E0" w:rsidRPr="00A25511" w:rsidRDefault="001950E0" w:rsidP="001950E0">
      <w:pPr>
        <w:pStyle w:val="Subtitle"/>
        <w:rPr>
          <w:rFonts w:cs="Calibri"/>
        </w:rPr>
      </w:pPr>
      <w:r w:rsidRPr="00A25511">
        <w:rPr>
          <w:rFonts w:cs="Calibri"/>
        </w:rPr>
        <w:t>Prepared in partnership between local government and state agencies and authorities</w:t>
      </w:r>
    </w:p>
    <w:p w:rsidR="001950E0" w:rsidRDefault="001950E0" w:rsidP="0035255D">
      <w:pPr>
        <w:pStyle w:val="bt"/>
        <w:spacing w:before="0" w:after="0" w:line="240" w:lineRule="auto"/>
        <w:rPr>
          <w:strike/>
        </w:rPr>
      </w:pPr>
    </w:p>
    <w:p w:rsidR="001950E0" w:rsidRPr="000912B2" w:rsidRDefault="001950E0" w:rsidP="0035255D">
      <w:pPr>
        <w:pStyle w:val="bt"/>
        <w:spacing w:before="0" w:after="0" w:line="240" w:lineRule="auto"/>
        <w:rPr>
          <w:strike/>
        </w:rPr>
        <w:sectPr w:rsidR="001950E0" w:rsidRPr="000912B2" w:rsidSect="005E33B8">
          <w:headerReference w:type="even" r:id="rId10"/>
          <w:headerReference w:type="default" r:id="rId11"/>
          <w:footerReference w:type="even" r:id="rId12"/>
          <w:footerReference w:type="default" r:id="rId13"/>
          <w:headerReference w:type="first" r:id="rId14"/>
          <w:footerReference w:type="first" r:id="rId15"/>
          <w:pgSz w:w="11906" w:h="16838"/>
          <w:pgMar w:top="1484" w:right="1440" w:bottom="1440" w:left="1440" w:header="708" w:footer="708" w:gutter="0"/>
          <w:pgBorders w:offsetFrom="page">
            <w:top w:val="single" w:sz="4" w:space="24" w:color="FFFFFF"/>
            <w:bottom w:val="single" w:sz="4" w:space="24" w:color="FFFFFF"/>
          </w:pgBorders>
          <w:cols w:space="708"/>
          <w:titlePg/>
          <w:docGrid w:linePitch="360"/>
        </w:sectPr>
      </w:pPr>
    </w:p>
    <w:p w:rsidR="001D197F" w:rsidRDefault="001D197F" w:rsidP="001D197F">
      <w:pPr>
        <w:pStyle w:val="bt"/>
      </w:pPr>
      <w:r>
        <w:lastRenderedPageBreak/>
        <w:t>Authorised and published by the Victorian Government, 1 Treasury Place, Melbourne</w:t>
      </w:r>
    </w:p>
    <w:p w:rsidR="001D197F" w:rsidRDefault="001D197F" w:rsidP="001D197F">
      <w:pPr>
        <w:pStyle w:val="bt"/>
      </w:pPr>
      <w:r>
        <w:t>Printed by Finsbury Green, Melbourne</w:t>
      </w:r>
    </w:p>
    <w:p w:rsidR="001D197F" w:rsidRPr="00116E6E" w:rsidRDefault="001D197F" w:rsidP="001D197F">
      <w:pPr>
        <w:pStyle w:val="bt"/>
        <w:rPr>
          <w:sz w:val="28"/>
          <w:szCs w:val="28"/>
        </w:rPr>
      </w:pPr>
      <w:r w:rsidRPr="00116E6E">
        <w:rPr>
          <w:sz w:val="28"/>
          <w:szCs w:val="28"/>
        </w:rPr>
        <w:t>If you would like to receive this publication in an accessible format, please telephone 1300 366 356.</w:t>
      </w:r>
    </w:p>
    <w:p w:rsidR="001D197F" w:rsidRDefault="001D197F" w:rsidP="001D197F">
      <w:pPr>
        <w:pStyle w:val="bt"/>
      </w:pPr>
      <w:r>
        <w:t xml:space="preserve">This document is also available in Word format at </w:t>
      </w:r>
      <w:hyperlink r:id="rId16" w:history="1">
        <w:r>
          <w:rPr>
            <w:color w:val="0000FF"/>
            <w:u w:val="single"/>
          </w:rPr>
          <w:t>www.dtpli.vic.gov.au/regionalgrowthplans</w:t>
        </w:r>
      </w:hyperlink>
    </w:p>
    <w:p w:rsidR="001D197F" w:rsidRDefault="001D197F" w:rsidP="001D197F">
      <w:pPr>
        <w:pStyle w:val="bt"/>
      </w:pPr>
      <w:r>
        <w:t>Unless indicated otherwise, this work is made available under the terms of the Creative Commons Attribution 3.0 Australia licence.</w:t>
      </w:r>
    </w:p>
    <w:p w:rsidR="001D197F" w:rsidRDefault="001D197F" w:rsidP="001D197F">
      <w:pPr>
        <w:pStyle w:val="bt"/>
      </w:pPr>
      <w:r>
        <w:t>To view a copy of the licence, visit creativecommons.org/licences/by/3.0/au</w:t>
      </w:r>
    </w:p>
    <w:p w:rsidR="001D197F" w:rsidRDefault="001D197F" w:rsidP="001D197F">
      <w:pPr>
        <w:pStyle w:val="bt"/>
      </w:pPr>
      <w:r>
        <w:t>It is a condition of this Creative Commons Attribution 3.0 Licence that you must give credit to the original author who is the State of Victoria.</w:t>
      </w:r>
    </w:p>
    <w:p w:rsidR="001D197F" w:rsidRDefault="001D197F" w:rsidP="001D197F">
      <w:pPr>
        <w:pStyle w:val="bt"/>
        <w:rPr>
          <w:b/>
          <w:bCs/>
        </w:rPr>
      </w:pPr>
      <w:r>
        <w:rPr>
          <w:b/>
          <w:bCs/>
        </w:rPr>
        <w:t>Disclaimer</w:t>
      </w:r>
    </w:p>
    <w:p w:rsidR="001D197F" w:rsidRDefault="001D197F" w:rsidP="001D197F">
      <w:pPr>
        <w:pStyle w:val="b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1D197F" w:rsidRPr="00DD4EC4" w:rsidRDefault="009907F3" w:rsidP="001D197F">
      <w:pPr>
        <w:pStyle w:val="bt"/>
        <w:rPr>
          <w:b/>
          <w:bCs/>
        </w:rPr>
      </w:pPr>
      <w:r>
        <w:rPr>
          <w:b/>
          <w:bCs/>
        </w:rPr>
        <w:t xml:space="preserve">May </w:t>
      </w:r>
      <w:r w:rsidR="00DD4EC4" w:rsidRPr="00DD4EC4">
        <w:rPr>
          <w:b/>
          <w:bCs/>
        </w:rPr>
        <w:t>2014</w:t>
      </w:r>
    </w:p>
    <w:p w:rsidR="006D670C" w:rsidRPr="00E86D46" w:rsidRDefault="006D670C" w:rsidP="00E86D46">
      <w:pPr>
        <w:pStyle w:val="bt"/>
        <w:spacing w:after="0"/>
        <w:rPr>
          <w:rStyle w:val="Strong"/>
        </w:rPr>
      </w:pPr>
      <w:r w:rsidRPr="00E86D46">
        <w:rPr>
          <w:rStyle w:val="Strong"/>
        </w:rPr>
        <w:t>Acknowledgement</w:t>
      </w:r>
    </w:p>
    <w:p w:rsidR="00603A59" w:rsidRDefault="00124082" w:rsidP="00BB6742">
      <w:pPr>
        <w:pStyle w:val="bt"/>
        <w:spacing w:before="0"/>
        <w:rPr>
          <w:lang w:val="en-US"/>
        </w:rPr>
      </w:pPr>
      <w:r>
        <w:t>The</w:t>
      </w:r>
      <w:r w:rsidR="006D670C" w:rsidRPr="00E86D46">
        <w:t xml:space="preserve"> Hume Regional Growth Plan has been developed with input from a range of organisations, specifically those organisations represented on the Hume Regional Growth Plan Project Steering Committee and Technical Working Group, as follows:</w:t>
      </w:r>
    </w:p>
    <w:p w:rsidR="009431B4" w:rsidRDefault="009431B4" w:rsidP="009431B4">
      <w:pPr>
        <w:pStyle w:val="bt"/>
      </w:pPr>
      <w:r w:rsidRPr="009431B4">
        <w:t>Alpine Shire Council</w:t>
      </w:r>
    </w:p>
    <w:p w:rsidR="009431B4" w:rsidRPr="009431B4" w:rsidRDefault="009431B4" w:rsidP="009431B4">
      <w:pPr>
        <w:pStyle w:val="bt"/>
      </w:pPr>
      <w:r w:rsidRPr="009431B4">
        <w:t>Benalla Rural City Council</w:t>
      </w:r>
    </w:p>
    <w:p w:rsidR="009431B4" w:rsidRDefault="009431B4" w:rsidP="009431B4">
      <w:pPr>
        <w:pStyle w:val="bt"/>
      </w:pPr>
      <w:r w:rsidRPr="009431B4">
        <w:t>Greater Shepparton City Council</w:t>
      </w:r>
    </w:p>
    <w:p w:rsidR="009431B4" w:rsidRPr="009431B4" w:rsidRDefault="009431B4" w:rsidP="009431B4">
      <w:pPr>
        <w:pStyle w:val="bt"/>
      </w:pPr>
      <w:r w:rsidRPr="009431B4">
        <w:t>Indigo Shire Council</w:t>
      </w:r>
    </w:p>
    <w:p w:rsidR="009431B4" w:rsidRDefault="009431B4" w:rsidP="009431B4">
      <w:pPr>
        <w:pStyle w:val="bt"/>
      </w:pPr>
      <w:r w:rsidRPr="009431B4">
        <w:t>Mansfield Shire Council</w:t>
      </w:r>
    </w:p>
    <w:p w:rsidR="009431B4" w:rsidRDefault="009431B4" w:rsidP="009431B4">
      <w:pPr>
        <w:pStyle w:val="bt"/>
      </w:pPr>
      <w:r w:rsidRPr="009431B4">
        <w:t>Mitchell Shire Council</w:t>
      </w:r>
    </w:p>
    <w:p w:rsidR="009431B4" w:rsidRPr="009431B4" w:rsidRDefault="009431B4" w:rsidP="009431B4">
      <w:pPr>
        <w:pStyle w:val="bt"/>
      </w:pPr>
      <w:r w:rsidRPr="009431B4">
        <w:t>Moira Shire Council</w:t>
      </w:r>
    </w:p>
    <w:p w:rsidR="009431B4" w:rsidRDefault="009431B4" w:rsidP="009431B4">
      <w:pPr>
        <w:pStyle w:val="bt"/>
      </w:pPr>
      <w:r w:rsidRPr="009431B4">
        <w:t>Murrindindi Shire Council</w:t>
      </w:r>
    </w:p>
    <w:p w:rsidR="009431B4" w:rsidRPr="009431B4" w:rsidRDefault="009431B4" w:rsidP="009431B4">
      <w:pPr>
        <w:pStyle w:val="bt"/>
      </w:pPr>
      <w:r w:rsidRPr="009431B4">
        <w:t>Strathbogie Shire Council</w:t>
      </w:r>
    </w:p>
    <w:p w:rsidR="009431B4" w:rsidRDefault="009431B4" w:rsidP="009431B4">
      <w:pPr>
        <w:pStyle w:val="bt"/>
      </w:pPr>
      <w:r w:rsidRPr="009431B4">
        <w:t>Towong Shire Council</w:t>
      </w:r>
    </w:p>
    <w:p w:rsidR="009431B4" w:rsidRPr="009431B4" w:rsidRDefault="009431B4" w:rsidP="009431B4">
      <w:pPr>
        <w:pStyle w:val="bt"/>
      </w:pPr>
      <w:r w:rsidRPr="009431B4">
        <w:t>Wangaratta Rural City Council</w:t>
      </w:r>
    </w:p>
    <w:p w:rsidR="00D57118" w:rsidRDefault="009431B4" w:rsidP="001D197F">
      <w:pPr>
        <w:pStyle w:val="bt"/>
      </w:pPr>
      <w:r w:rsidRPr="009431B4">
        <w:t>Wodonga Council</w:t>
      </w:r>
    </w:p>
    <w:p w:rsidR="001D197F" w:rsidRDefault="001D197F" w:rsidP="009431B4">
      <w:pPr>
        <w:pStyle w:val="bt"/>
      </w:pPr>
    </w:p>
    <w:p w:rsidR="009431B4" w:rsidRPr="00ED22A2" w:rsidRDefault="009431B4" w:rsidP="009431B4">
      <w:pPr>
        <w:pStyle w:val="bt"/>
      </w:pPr>
      <w:r w:rsidRPr="00ED22A2">
        <w:t>Office of Aboriginal Affairs Victoria</w:t>
      </w:r>
      <w:r>
        <w:tab/>
      </w:r>
    </w:p>
    <w:p w:rsidR="009431B4" w:rsidRPr="00ED22A2" w:rsidRDefault="009431B4" w:rsidP="009431B4">
      <w:pPr>
        <w:pStyle w:val="bt"/>
      </w:pPr>
      <w:r w:rsidRPr="00ED22A2">
        <w:t>Alpine Resorts</w:t>
      </w:r>
    </w:p>
    <w:p w:rsidR="009431B4" w:rsidRDefault="009431B4" w:rsidP="009431B4">
      <w:pPr>
        <w:pStyle w:val="bt"/>
      </w:pPr>
      <w:r w:rsidRPr="00ED22A2">
        <w:t>Country Fire Authority</w:t>
      </w:r>
    </w:p>
    <w:p w:rsidR="009431B4" w:rsidRPr="00ED22A2" w:rsidRDefault="009431B4" w:rsidP="009431B4">
      <w:pPr>
        <w:pStyle w:val="bt"/>
      </w:pPr>
      <w:r w:rsidRPr="00ED22A2">
        <w:t>Department of Education and Early Childhood Development</w:t>
      </w:r>
    </w:p>
    <w:p w:rsidR="009431B4" w:rsidRPr="00ED22A2" w:rsidRDefault="009431B4" w:rsidP="009431B4">
      <w:pPr>
        <w:pStyle w:val="bt"/>
      </w:pPr>
      <w:r w:rsidRPr="00ED22A2">
        <w:t>Department of Health</w:t>
      </w:r>
    </w:p>
    <w:p w:rsidR="009431B4" w:rsidRPr="00ED22A2" w:rsidRDefault="009431B4" w:rsidP="009431B4">
      <w:pPr>
        <w:pStyle w:val="bt"/>
      </w:pPr>
      <w:r w:rsidRPr="00ED22A2">
        <w:t>Department of Human Services</w:t>
      </w:r>
    </w:p>
    <w:p w:rsidR="009431B4" w:rsidRDefault="009431B4" w:rsidP="009431B4">
      <w:pPr>
        <w:pStyle w:val="bt"/>
      </w:pPr>
      <w:r w:rsidRPr="00ED22A2">
        <w:t>Department of Environment and Primary Industries</w:t>
      </w:r>
    </w:p>
    <w:p w:rsidR="009431B4" w:rsidRDefault="009431B4" w:rsidP="009431B4">
      <w:pPr>
        <w:pStyle w:val="bt"/>
      </w:pPr>
      <w:r w:rsidRPr="00ED22A2">
        <w:t>Department of State Development, Business and Innovation</w:t>
      </w:r>
    </w:p>
    <w:p w:rsidR="009431B4" w:rsidRPr="00ED22A2" w:rsidRDefault="009431B4" w:rsidP="009431B4">
      <w:pPr>
        <w:pStyle w:val="bt"/>
      </w:pPr>
      <w:r w:rsidRPr="00ED22A2">
        <w:t>Department of Transport, Planning and Local Infrastructure</w:t>
      </w:r>
    </w:p>
    <w:p w:rsidR="009431B4" w:rsidRDefault="009431B4" w:rsidP="009431B4">
      <w:pPr>
        <w:pStyle w:val="bt"/>
      </w:pPr>
      <w:r w:rsidRPr="00ED22A2">
        <w:t>Environment Protection Authority</w:t>
      </w:r>
      <w:r w:rsidRPr="00ED22A2" w:rsidDel="00783F56">
        <w:t xml:space="preserve"> </w:t>
      </w:r>
      <w:r w:rsidRPr="00ED22A2">
        <w:t>Victoria</w:t>
      </w:r>
    </w:p>
    <w:p w:rsidR="009431B4" w:rsidRDefault="009431B4" w:rsidP="009431B4">
      <w:pPr>
        <w:pStyle w:val="bt"/>
      </w:pPr>
      <w:r w:rsidRPr="00ED22A2">
        <w:t>Goulburn Broken Catchment Management Authority</w:t>
      </w:r>
    </w:p>
    <w:p w:rsidR="009431B4" w:rsidRDefault="009431B4" w:rsidP="009431B4">
      <w:pPr>
        <w:pStyle w:val="bt"/>
      </w:pPr>
      <w:r w:rsidRPr="00ED22A2">
        <w:t>Goulburn-Murray Water</w:t>
      </w:r>
    </w:p>
    <w:p w:rsidR="009431B4" w:rsidRDefault="009431B4" w:rsidP="009431B4">
      <w:pPr>
        <w:pStyle w:val="bt"/>
      </w:pPr>
      <w:r w:rsidRPr="00ED22A2">
        <w:t>Goulburn Valley Water</w:t>
      </w:r>
    </w:p>
    <w:p w:rsidR="009431B4" w:rsidRPr="00ED22A2" w:rsidRDefault="009431B4" w:rsidP="009431B4">
      <w:pPr>
        <w:pStyle w:val="bt"/>
      </w:pPr>
      <w:proofErr w:type="spellStart"/>
      <w:r w:rsidRPr="00ED22A2">
        <w:t>NevRwaste</w:t>
      </w:r>
      <w:proofErr w:type="spellEnd"/>
      <w:r w:rsidRPr="00ED22A2">
        <w:t xml:space="preserve"> (North East Regional Waste Management Group)</w:t>
      </w:r>
    </w:p>
    <w:p w:rsidR="009431B4" w:rsidRDefault="009431B4" w:rsidP="009431B4">
      <w:pPr>
        <w:pStyle w:val="bt"/>
      </w:pPr>
      <w:r w:rsidRPr="00ED22A2">
        <w:t>North East Catchment Management Authority</w:t>
      </w:r>
    </w:p>
    <w:p w:rsidR="009431B4" w:rsidRDefault="009431B4" w:rsidP="009431B4">
      <w:pPr>
        <w:pStyle w:val="bt"/>
      </w:pPr>
      <w:r w:rsidRPr="00ED22A2">
        <w:t>North East Water</w:t>
      </w:r>
    </w:p>
    <w:p w:rsidR="009431B4" w:rsidRPr="00ED22A2" w:rsidRDefault="009431B4" w:rsidP="009431B4">
      <w:pPr>
        <w:pStyle w:val="bt"/>
      </w:pPr>
      <w:r w:rsidRPr="00ED22A2">
        <w:t>Resource GV (Goulburn Valley Regional Waste Management Group</w:t>
      </w:r>
      <w:r>
        <w:t>)</w:t>
      </w:r>
    </w:p>
    <w:p w:rsidR="009431B4" w:rsidRPr="00ED22A2" w:rsidRDefault="009431B4" w:rsidP="009431B4">
      <w:pPr>
        <w:pStyle w:val="bt"/>
      </w:pPr>
      <w:r w:rsidRPr="00ED22A2">
        <w:t>State Emergency Service</w:t>
      </w:r>
    </w:p>
    <w:p w:rsidR="009431B4" w:rsidRPr="00ED22A2" w:rsidRDefault="009431B4" w:rsidP="009431B4">
      <w:pPr>
        <w:pStyle w:val="bt"/>
      </w:pPr>
      <w:r w:rsidRPr="00ED22A2">
        <w:t>VicRoads</w:t>
      </w:r>
    </w:p>
    <w:p w:rsidR="009431B4" w:rsidRPr="00ED22A2" w:rsidRDefault="009431B4" w:rsidP="009431B4">
      <w:pPr>
        <w:pStyle w:val="bt"/>
      </w:pPr>
    </w:p>
    <w:p w:rsidR="009067A0" w:rsidRDefault="009067A0" w:rsidP="00DD3584">
      <w:pPr>
        <w:pStyle w:val="bt"/>
        <w:spacing w:before="0" w:after="120" w:line="240" w:lineRule="auto"/>
        <w:jc w:val="both"/>
        <w:rPr>
          <w:i/>
          <w:color w:val="FF0000"/>
          <w:sz w:val="18"/>
          <w:szCs w:val="18"/>
        </w:rPr>
        <w:sectPr w:rsidR="009067A0" w:rsidSect="009431B4">
          <w:headerReference w:type="default" r:id="rId17"/>
          <w:headerReference w:type="first" r:id="rId18"/>
          <w:footerReference w:type="first" r:id="rId19"/>
          <w:pgSz w:w="11906" w:h="16838"/>
          <w:pgMar w:top="1245" w:right="1440" w:bottom="1135" w:left="1440" w:header="708" w:footer="708" w:gutter="0"/>
          <w:pgBorders w:offsetFrom="page">
            <w:top w:val="single" w:sz="4" w:space="24" w:color="FFFFFF"/>
            <w:bottom w:val="single" w:sz="4" w:space="24" w:color="FFFFFF"/>
          </w:pgBorders>
          <w:cols w:space="708"/>
          <w:docGrid w:linePitch="360"/>
        </w:sectPr>
      </w:pPr>
    </w:p>
    <w:p w:rsidR="00E02F62" w:rsidRPr="00517662" w:rsidRDefault="00E02F62" w:rsidP="00517662">
      <w:pPr>
        <w:pStyle w:val="Headingorange"/>
      </w:pPr>
      <w:r w:rsidRPr="00517662">
        <w:lastRenderedPageBreak/>
        <w:t>Contents</w:t>
      </w:r>
    </w:p>
    <w:p w:rsidR="00DC3B21" w:rsidRDefault="005F523F">
      <w:pPr>
        <w:pStyle w:val="TOC1"/>
        <w:rPr>
          <w:rFonts w:asciiTheme="minorHAnsi" w:eastAsiaTheme="minorEastAsia" w:hAnsiTheme="minorHAnsi" w:cstheme="minorBidi"/>
          <w:noProof/>
        </w:rPr>
      </w:pPr>
      <w:r w:rsidRPr="005F523F">
        <w:rPr>
          <w:rFonts w:eastAsia="Calibri"/>
          <w:sz w:val="20"/>
          <w:szCs w:val="20"/>
          <w:lang w:eastAsia="en-US"/>
        </w:rPr>
        <w:fldChar w:fldCharType="begin"/>
      </w:r>
      <w:r w:rsidR="00F83971" w:rsidRPr="00ED22A2">
        <w:rPr>
          <w:rFonts w:eastAsia="Calibri"/>
          <w:sz w:val="20"/>
          <w:szCs w:val="20"/>
          <w:lang w:eastAsia="en-US"/>
        </w:rPr>
        <w:instrText xml:space="preserve"> TOC \o "1-2" \h \z \u </w:instrText>
      </w:r>
      <w:r w:rsidRPr="005F523F">
        <w:rPr>
          <w:rFonts w:eastAsia="Calibri"/>
          <w:sz w:val="20"/>
          <w:szCs w:val="20"/>
          <w:lang w:eastAsia="en-US"/>
        </w:rPr>
        <w:fldChar w:fldCharType="separate"/>
      </w:r>
      <w:hyperlink w:anchor="_Toc376945574" w:history="1">
        <w:r w:rsidR="00DC3B21" w:rsidRPr="00716AEF">
          <w:rPr>
            <w:rStyle w:val="Hyperlink"/>
            <w:noProof/>
          </w:rPr>
          <w:t>EXECUTIVE SUMMARY</w:t>
        </w:r>
        <w:r w:rsidR="00DC3B21">
          <w:rPr>
            <w:noProof/>
            <w:webHidden/>
          </w:rPr>
          <w:tab/>
        </w:r>
        <w:r>
          <w:rPr>
            <w:noProof/>
            <w:webHidden/>
          </w:rPr>
          <w:fldChar w:fldCharType="begin"/>
        </w:r>
        <w:r w:rsidR="00DC3B21">
          <w:rPr>
            <w:noProof/>
            <w:webHidden/>
          </w:rPr>
          <w:instrText xml:space="preserve"> PAGEREF _Toc376945574 \h </w:instrText>
        </w:r>
        <w:r>
          <w:rPr>
            <w:noProof/>
            <w:webHidden/>
          </w:rPr>
        </w:r>
        <w:r>
          <w:rPr>
            <w:noProof/>
            <w:webHidden/>
          </w:rPr>
          <w:fldChar w:fldCharType="separate"/>
        </w:r>
        <w:r w:rsidR="00DD4EC4">
          <w:rPr>
            <w:noProof/>
            <w:webHidden/>
          </w:rPr>
          <w:t>1</w:t>
        </w:r>
        <w:r>
          <w:rPr>
            <w:noProof/>
            <w:webHidden/>
          </w:rPr>
          <w:fldChar w:fldCharType="end"/>
        </w:r>
      </w:hyperlink>
    </w:p>
    <w:p w:rsidR="00DC3B21" w:rsidRDefault="005F523F">
      <w:pPr>
        <w:pStyle w:val="TOC1"/>
        <w:rPr>
          <w:rFonts w:asciiTheme="minorHAnsi" w:eastAsiaTheme="minorEastAsia" w:hAnsiTheme="minorHAnsi" w:cstheme="minorBidi"/>
          <w:noProof/>
        </w:rPr>
      </w:pPr>
      <w:hyperlink w:anchor="_Toc376945575" w:history="1">
        <w:r w:rsidR="00DC3B21" w:rsidRPr="00716AEF">
          <w:rPr>
            <w:rStyle w:val="Hyperlink"/>
            <w:noProof/>
          </w:rPr>
          <w:t>PART A:</w:t>
        </w:r>
        <w:r w:rsidR="00DC3B21">
          <w:rPr>
            <w:rFonts w:asciiTheme="minorHAnsi" w:eastAsiaTheme="minorEastAsia" w:hAnsiTheme="minorHAnsi" w:cstheme="minorBidi"/>
            <w:noProof/>
          </w:rPr>
          <w:tab/>
        </w:r>
        <w:r w:rsidR="00DC3B21" w:rsidRPr="00716AEF">
          <w:rPr>
            <w:rStyle w:val="Hyperlink"/>
            <w:noProof/>
          </w:rPr>
          <w:t>INTRODUCTION</w:t>
        </w:r>
        <w:r w:rsidR="00DC3B21">
          <w:rPr>
            <w:noProof/>
            <w:webHidden/>
          </w:rPr>
          <w:tab/>
        </w:r>
        <w:r>
          <w:rPr>
            <w:noProof/>
            <w:webHidden/>
          </w:rPr>
          <w:fldChar w:fldCharType="begin"/>
        </w:r>
        <w:r w:rsidR="00DC3B21">
          <w:rPr>
            <w:noProof/>
            <w:webHidden/>
          </w:rPr>
          <w:instrText xml:space="preserve"> PAGEREF _Toc376945575 \h </w:instrText>
        </w:r>
        <w:r>
          <w:rPr>
            <w:noProof/>
            <w:webHidden/>
          </w:rPr>
        </w:r>
        <w:r>
          <w:rPr>
            <w:noProof/>
            <w:webHidden/>
          </w:rPr>
          <w:fldChar w:fldCharType="separate"/>
        </w:r>
        <w:r w:rsidR="00DD4EC4">
          <w:rPr>
            <w:noProof/>
            <w:webHidden/>
          </w:rPr>
          <w:t>1</w:t>
        </w:r>
        <w:r>
          <w:rPr>
            <w:noProof/>
            <w:webHidden/>
          </w:rPr>
          <w:fldChar w:fldCharType="end"/>
        </w:r>
      </w:hyperlink>
    </w:p>
    <w:p w:rsidR="00DC3B21" w:rsidRDefault="005F523F">
      <w:pPr>
        <w:pStyle w:val="TOC1"/>
        <w:rPr>
          <w:rFonts w:asciiTheme="minorHAnsi" w:eastAsiaTheme="minorEastAsia" w:hAnsiTheme="minorHAnsi" w:cstheme="minorBidi"/>
          <w:noProof/>
        </w:rPr>
      </w:pPr>
      <w:hyperlink w:anchor="_Toc376945576" w:history="1">
        <w:r w:rsidR="00DC3B21" w:rsidRPr="00716AEF">
          <w:rPr>
            <w:rStyle w:val="Hyperlink"/>
            <w:noProof/>
          </w:rPr>
          <w:t>1.</w:t>
        </w:r>
        <w:r w:rsidR="00DC3B21">
          <w:rPr>
            <w:rFonts w:asciiTheme="minorHAnsi" w:eastAsiaTheme="minorEastAsia" w:hAnsiTheme="minorHAnsi" w:cstheme="minorBidi"/>
            <w:noProof/>
          </w:rPr>
          <w:tab/>
        </w:r>
        <w:r w:rsidR="00DC3B21" w:rsidRPr="00716AEF">
          <w:rPr>
            <w:rStyle w:val="Hyperlink"/>
            <w:noProof/>
          </w:rPr>
          <w:t>What is a regional growth plan?</w:t>
        </w:r>
        <w:r w:rsidR="00DC3B21">
          <w:rPr>
            <w:noProof/>
            <w:webHidden/>
          </w:rPr>
          <w:tab/>
        </w:r>
        <w:r>
          <w:rPr>
            <w:noProof/>
            <w:webHidden/>
          </w:rPr>
          <w:fldChar w:fldCharType="begin"/>
        </w:r>
        <w:r w:rsidR="00DC3B21">
          <w:rPr>
            <w:noProof/>
            <w:webHidden/>
          </w:rPr>
          <w:instrText xml:space="preserve"> PAGEREF _Toc376945576 \h </w:instrText>
        </w:r>
        <w:r>
          <w:rPr>
            <w:noProof/>
            <w:webHidden/>
          </w:rPr>
        </w:r>
        <w:r>
          <w:rPr>
            <w:noProof/>
            <w:webHidden/>
          </w:rPr>
          <w:fldChar w:fldCharType="separate"/>
        </w:r>
        <w:r w:rsidR="00DD4EC4">
          <w:rPr>
            <w:noProof/>
            <w:webHidden/>
          </w:rPr>
          <w:t>1</w:t>
        </w:r>
        <w:r>
          <w:rPr>
            <w:noProof/>
            <w:webHidden/>
          </w:rPr>
          <w:fldChar w:fldCharType="end"/>
        </w:r>
      </w:hyperlink>
    </w:p>
    <w:p w:rsidR="00DC3B21" w:rsidRDefault="005F523F">
      <w:pPr>
        <w:pStyle w:val="TOC1"/>
        <w:rPr>
          <w:rFonts w:asciiTheme="minorHAnsi" w:eastAsiaTheme="minorEastAsia" w:hAnsiTheme="minorHAnsi" w:cstheme="minorBidi"/>
          <w:noProof/>
        </w:rPr>
      </w:pPr>
      <w:hyperlink w:anchor="_Toc376945577" w:history="1">
        <w:r w:rsidR="00DC3B21" w:rsidRPr="00716AEF">
          <w:rPr>
            <w:rStyle w:val="Hyperlink"/>
            <w:noProof/>
          </w:rPr>
          <w:t>2.</w:t>
        </w:r>
        <w:r w:rsidR="00DC3B21">
          <w:rPr>
            <w:rFonts w:asciiTheme="minorHAnsi" w:eastAsiaTheme="minorEastAsia" w:hAnsiTheme="minorHAnsi" w:cstheme="minorBidi"/>
            <w:noProof/>
          </w:rPr>
          <w:tab/>
        </w:r>
        <w:r w:rsidR="00DC3B21" w:rsidRPr="00716AEF">
          <w:rPr>
            <w:rStyle w:val="Hyperlink"/>
            <w:noProof/>
          </w:rPr>
          <w:t>Why we need this plan</w:t>
        </w:r>
        <w:r w:rsidR="00DC3B21">
          <w:rPr>
            <w:noProof/>
            <w:webHidden/>
          </w:rPr>
          <w:tab/>
        </w:r>
        <w:r>
          <w:rPr>
            <w:noProof/>
            <w:webHidden/>
          </w:rPr>
          <w:fldChar w:fldCharType="begin"/>
        </w:r>
        <w:r w:rsidR="00DC3B21">
          <w:rPr>
            <w:noProof/>
            <w:webHidden/>
          </w:rPr>
          <w:instrText xml:space="preserve"> PAGEREF _Toc376945577 \h </w:instrText>
        </w:r>
        <w:r>
          <w:rPr>
            <w:noProof/>
            <w:webHidden/>
          </w:rPr>
        </w:r>
        <w:r>
          <w:rPr>
            <w:noProof/>
            <w:webHidden/>
          </w:rPr>
          <w:fldChar w:fldCharType="separate"/>
        </w:r>
        <w:r w:rsidR="00DD4EC4">
          <w:rPr>
            <w:noProof/>
            <w:webHidden/>
          </w:rPr>
          <w:t>2</w:t>
        </w:r>
        <w:r>
          <w:rPr>
            <w:noProof/>
            <w:webHidden/>
          </w:rPr>
          <w:fldChar w:fldCharType="end"/>
        </w:r>
      </w:hyperlink>
    </w:p>
    <w:p w:rsidR="00DC3B21" w:rsidRDefault="005F523F">
      <w:pPr>
        <w:pStyle w:val="TOC1"/>
        <w:rPr>
          <w:rFonts w:asciiTheme="minorHAnsi" w:eastAsiaTheme="minorEastAsia" w:hAnsiTheme="minorHAnsi" w:cstheme="minorBidi"/>
          <w:noProof/>
        </w:rPr>
      </w:pPr>
      <w:hyperlink w:anchor="_Toc376945578" w:history="1">
        <w:r w:rsidR="00DC3B21" w:rsidRPr="00716AEF">
          <w:rPr>
            <w:rStyle w:val="Hyperlink"/>
            <w:noProof/>
          </w:rPr>
          <w:t>3.</w:t>
        </w:r>
        <w:r w:rsidR="00DC3B21">
          <w:rPr>
            <w:rFonts w:asciiTheme="minorHAnsi" w:eastAsiaTheme="minorEastAsia" w:hAnsiTheme="minorHAnsi" w:cstheme="minorBidi"/>
            <w:noProof/>
          </w:rPr>
          <w:tab/>
        </w:r>
        <w:r w:rsidR="00DC3B21" w:rsidRPr="00716AEF">
          <w:rPr>
            <w:rStyle w:val="Hyperlink"/>
            <w:noProof/>
          </w:rPr>
          <w:t>How this plan will be used</w:t>
        </w:r>
        <w:r w:rsidR="00DC3B21">
          <w:rPr>
            <w:noProof/>
            <w:webHidden/>
          </w:rPr>
          <w:tab/>
        </w:r>
        <w:r>
          <w:rPr>
            <w:noProof/>
            <w:webHidden/>
          </w:rPr>
          <w:fldChar w:fldCharType="begin"/>
        </w:r>
        <w:r w:rsidR="00DC3B21">
          <w:rPr>
            <w:noProof/>
            <w:webHidden/>
          </w:rPr>
          <w:instrText xml:space="preserve"> PAGEREF _Toc376945578 \h </w:instrText>
        </w:r>
        <w:r>
          <w:rPr>
            <w:noProof/>
            <w:webHidden/>
          </w:rPr>
        </w:r>
        <w:r>
          <w:rPr>
            <w:noProof/>
            <w:webHidden/>
          </w:rPr>
          <w:fldChar w:fldCharType="separate"/>
        </w:r>
        <w:r w:rsidR="00DD4EC4">
          <w:rPr>
            <w:noProof/>
            <w:webHidden/>
          </w:rPr>
          <w:t>3</w:t>
        </w:r>
        <w:r>
          <w:rPr>
            <w:noProof/>
            <w:webHidden/>
          </w:rPr>
          <w:fldChar w:fldCharType="end"/>
        </w:r>
      </w:hyperlink>
    </w:p>
    <w:p w:rsidR="00DC3B21" w:rsidRDefault="005F523F">
      <w:pPr>
        <w:pStyle w:val="TOC1"/>
        <w:rPr>
          <w:rFonts w:asciiTheme="minorHAnsi" w:eastAsiaTheme="minorEastAsia" w:hAnsiTheme="minorHAnsi" w:cstheme="minorBidi"/>
          <w:noProof/>
        </w:rPr>
      </w:pPr>
      <w:hyperlink w:anchor="_Toc376945579" w:history="1">
        <w:r w:rsidR="00DC3B21" w:rsidRPr="00716AEF">
          <w:rPr>
            <w:rStyle w:val="Hyperlink"/>
            <w:noProof/>
          </w:rPr>
          <w:t>4.</w:t>
        </w:r>
        <w:r w:rsidR="00DC3B21">
          <w:rPr>
            <w:rFonts w:asciiTheme="minorHAnsi" w:eastAsiaTheme="minorEastAsia" w:hAnsiTheme="minorHAnsi" w:cstheme="minorBidi"/>
            <w:noProof/>
          </w:rPr>
          <w:tab/>
        </w:r>
        <w:r w:rsidR="00DC3B21" w:rsidRPr="00716AEF">
          <w:rPr>
            <w:rStyle w:val="Hyperlink"/>
            <w:noProof/>
          </w:rPr>
          <w:t>How the plan was prepared</w:t>
        </w:r>
        <w:r w:rsidR="00DC3B21">
          <w:rPr>
            <w:noProof/>
            <w:webHidden/>
          </w:rPr>
          <w:tab/>
        </w:r>
        <w:r>
          <w:rPr>
            <w:noProof/>
            <w:webHidden/>
          </w:rPr>
          <w:fldChar w:fldCharType="begin"/>
        </w:r>
        <w:r w:rsidR="00DC3B21">
          <w:rPr>
            <w:noProof/>
            <w:webHidden/>
          </w:rPr>
          <w:instrText xml:space="preserve"> PAGEREF _Toc376945579 \h </w:instrText>
        </w:r>
        <w:r>
          <w:rPr>
            <w:noProof/>
            <w:webHidden/>
          </w:rPr>
        </w:r>
        <w:r>
          <w:rPr>
            <w:noProof/>
            <w:webHidden/>
          </w:rPr>
          <w:fldChar w:fldCharType="separate"/>
        </w:r>
        <w:r w:rsidR="00DD4EC4">
          <w:rPr>
            <w:noProof/>
            <w:webHidden/>
          </w:rPr>
          <w:t>3</w:t>
        </w:r>
        <w:r>
          <w:rPr>
            <w:noProof/>
            <w:webHidden/>
          </w:rPr>
          <w:fldChar w:fldCharType="end"/>
        </w:r>
      </w:hyperlink>
    </w:p>
    <w:p w:rsidR="00DC3B21" w:rsidRDefault="005F523F">
      <w:pPr>
        <w:pStyle w:val="TOC1"/>
        <w:rPr>
          <w:rFonts w:asciiTheme="minorHAnsi" w:eastAsiaTheme="minorEastAsia" w:hAnsiTheme="minorHAnsi" w:cstheme="minorBidi"/>
          <w:noProof/>
        </w:rPr>
      </w:pPr>
      <w:hyperlink w:anchor="_Toc376945580" w:history="1">
        <w:r w:rsidR="00DC3B21" w:rsidRPr="00716AEF">
          <w:rPr>
            <w:rStyle w:val="Hyperlink"/>
            <w:noProof/>
          </w:rPr>
          <w:t>5.</w:t>
        </w:r>
        <w:r w:rsidR="00DC3B21">
          <w:rPr>
            <w:rFonts w:asciiTheme="minorHAnsi" w:eastAsiaTheme="minorEastAsia" w:hAnsiTheme="minorHAnsi" w:cstheme="minorBidi"/>
            <w:noProof/>
          </w:rPr>
          <w:tab/>
        </w:r>
        <w:r w:rsidR="00DC3B21" w:rsidRPr="00716AEF">
          <w:rPr>
            <w:rStyle w:val="Hyperlink"/>
            <w:noProof/>
          </w:rPr>
          <w:t>Components of this plan</w:t>
        </w:r>
        <w:r w:rsidR="00DC3B21">
          <w:rPr>
            <w:noProof/>
            <w:webHidden/>
          </w:rPr>
          <w:tab/>
        </w:r>
        <w:r>
          <w:rPr>
            <w:noProof/>
            <w:webHidden/>
          </w:rPr>
          <w:fldChar w:fldCharType="begin"/>
        </w:r>
        <w:r w:rsidR="00DC3B21">
          <w:rPr>
            <w:noProof/>
            <w:webHidden/>
          </w:rPr>
          <w:instrText xml:space="preserve"> PAGEREF _Toc376945580 \h </w:instrText>
        </w:r>
        <w:r>
          <w:rPr>
            <w:noProof/>
            <w:webHidden/>
          </w:rPr>
        </w:r>
        <w:r>
          <w:rPr>
            <w:noProof/>
            <w:webHidden/>
          </w:rPr>
          <w:fldChar w:fldCharType="separate"/>
        </w:r>
        <w:r w:rsidR="00DD4EC4">
          <w:rPr>
            <w:noProof/>
            <w:webHidden/>
          </w:rPr>
          <w:t>4</w:t>
        </w:r>
        <w:r>
          <w:rPr>
            <w:noProof/>
            <w:webHidden/>
          </w:rPr>
          <w:fldChar w:fldCharType="end"/>
        </w:r>
      </w:hyperlink>
    </w:p>
    <w:p w:rsidR="00DC3B21" w:rsidRDefault="005F523F">
      <w:pPr>
        <w:pStyle w:val="TOC1"/>
        <w:rPr>
          <w:rFonts w:asciiTheme="minorHAnsi" w:eastAsiaTheme="minorEastAsia" w:hAnsiTheme="minorHAnsi" w:cstheme="minorBidi"/>
          <w:noProof/>
        </w:rPr>
      </w:pPr>
      <w:hyperlink w:anchor="_Toc376945581" w:history="1">
        <w:r w:rsidR="00DC3B21" w:rsidRPr="00716AEF">
          <w:rPr>
            <w:rStyle w:val="Hyperlink"/>
            <w:noProof/>
          </w:rPr>
          <w:t>PART B:</w:t>
        </w:r>
        <w:r w:rsidR="00DC3B21">
          <w:rPr>
            <w:rFonts w:asciiTheme="minorHAnsi" w:eastAsiaTheme="minorEastAsia" w:hAnsiTheme="minorHAnsi" w:cstheme="minorBidi"/>
            <w:noProof/>
          </w:rPr>
          <w:tab/>
        </w:r>
        <w:r w:rsidR="00DC3B21" w:rsidRPr="00716AEF">
          <w:rPr>
            <w:rStyle w:val="Hyperlink"/>
            <w:noProof/>
          </w:rPr>
          <w:t>REGIONAL OVERVIEW</w:t>
        </w:r>
        <w:r w:rsidR="00DC3B21">
          <w:rPr>
            <w:noProof/>
            <w:webHidden/>
          </w:rPr>
          <w:tab/>
        </w:r>
        <w:r>
          <w:rPr>
            <w:noProof/>
            <w:webHidden/>
          </w:rPr>
          <w:fldChar w:fldCharType="begin"/>
        </w:r>
        <w:r w:rsidR="00DC3B21">
          <w:rPr>
            <w:noProof/>
            <w:webHidden/>
          </w:rPr>
          <w:instrText xml:space="preserve"> PAGEREF _Toc376945581 \h </w:instrText>
        </w:r>
        <w:r>
          <w:rPr>
            <w:noProof/>
            <w:webHidden/>
          </w:rPr>
        </w:r>
        <w:r>
          <w:rPr>
            <w:noProof/>
            <w:webHidden/>
          </w:rPr>
          <w:fldChar w:fldCharType="separate"/>
        </w:r>
        <w:r w:rsidR="00DD4EC4">
          <w:rPr>
            <w:noProof/>
            <w:webHidden/>
          </w:rPr>
          <w:t>6</w:t>
        </w:r>
        <w:r>
          <w:rPr>
            <w:noProof/>
            <w:webHidden/>
          </w:rPr>
          <w:fldChar w:fldCharType="end"/>
        </w:r>
      </w:hyperlink>
    </w:p>
    <w:p w:rsidR="00DC3B21" w:rsidRDefault="005F523F">
      <w:pPr>
        <w:pStyle w:val="TOC1"/>
        <w:rPr>
          <w:rFonts w:asciiTheme="minorHAnsi" w:eastAsiaTheme="minorEastAsia" w:hAnsiTheme="minorHAnsi" w:cstheme="minorBidi"/>
          <w:noProof/>
        </w:rPr>
      </w:pPr>
      <w:hyperlink w:anchor="_Toc376945582" w:history="1">
        <w:r w:rsidR="00DC3B21" w:rsidRPr="00716AEF">
          <w:rPr>
            <w:rStyle w:val="Hyperlink"/>
            <w:noProof/>
          </w:rPr>
          <w:t>6.</w:t>
        </w:r>
        <w:r w:rsidR="00DC3B21">
          <w:rPr>
            <w:rFonts w:asciiTheme="minorHAnsi" w:eastAsiaTheme="minorEastAsia" w:hAnsiTheme="minorHAnsi" w:cstheme="minorBidi"/>
            <w:noProof/>
          </w:rPr>
          <w:tab/>
        </w:r>
        <w:r w:rsidR="00DC3B21" w:rsidRPr="00716AEF">
          <w:rPr>
            <w:rStyle w:val="Hyperlink"/>
            <w:noProof/>
          </w:rPr>
          <w:t>Snapshot of the region</w:t>
        </w:r>
        <w:r w:rsidR="00DC3B21">
          <w:rPr>
            <w:noProof/>
            <w:webHidden/>
          </w:rPr>
          <w:tab/>
        </w:r>
        <w:r>
          <w:rPr>
            <w:noProof/>
            <w:webHidden/>
          </w:rPr>
          <w:fldChar w:fldCharType="begin"/>
        </w:r>
        <w:r w:rsidR="00DC3B21">
          <w:rPr>
            <w:noProof/>
            <w:webHidden/>
          </w:rPr>
          <w:instrText xml:space="preserve"> PAGEREF _Toc376945582 \h </w:instrText>
        </w:r>
        <w:r>
          <w:rPr>
            <w:noProof/>
            <w:webHidden/>
          </w:rPr>
        </w:r>
        <w:r>
          <w:rPr>
            <w:noProof/>
            <w:webHidden/>
          </w:rPr>
          <w:fldChar w:fldCharType="separate"/>
        </w:r>
        <w:r w:rsidR="00DD4EC4">
          <w:rPr>
            <w:noProof/>
            <w:webHidden/>
          </w:rPr>
          <w:t>6</w:t>
        </w:r>
        <w:r>
          <w:rPr>
            <w:noProof/>
            <w:webHidden/>
          </w:rPr>
          <w:fldChar w:fldCharType="end"/>
        </w:r>
      </w:hyperlink>
    </w:p>
    <w:p w:rsidR="00DC3B21" w:rsidRDefault="005F523F">
      <w:pPr>
        <w:pStyle w:val="TOC1"/>
        <w:rPr>
          <w:rFonts w:asciiTheme="minorHAnsi" w:eastAsiaTheme="minorEastAsia" w:hAnsiTheme="minorHAnsi" w:cstheme="minorBidi"/>
          <w:noProof/>
        </w:rPr>
      </w:pPr>
      <w:hyperlink w:anchor="_Toc376945583" w:history="1">
        <w:r w:rsidR="00DC3B21" w:rsidRPr="00716AEF">
          <w:rPr>
            <w:rStyle w:val="Hyperlink"/>
            <w:noProof/>
          </w:rPr>
          <w:t>7.</w:t>
        </w:r>
        <w:r w:rsidR="00DC3B21">
          <w:rPr>
            <w:rFonts w:asciiTheme="minorHAnsi" w:eastAsiaTheme="minorEastAsia" w:hAnsiTheme="minorHAnsi" w:cstheme="minorBidi"/>
            <w:noProof/>
          </w:rPr>
          <w:tab/>
        </w:r>
        <w:r w:rsidR="00DC3B21" w:rsidRPr="00716AEF">
          <w:rPr>
            <w:rStyle w:val="Hyperlink"/>
            <w:noProof/>
          </w:rPr>
          <w:t>Drivers of change</w:t>
        </w:r>
        <w:r w:rsidR="00DC3B21">
          <w:rPr>
            <w:noProof/>
            <w:webHidden/>
          </w:rPr>
          <w:tab/>
        </w:r>
        <w:r>
          <w:rPr>
            <w:noProof/>
            <w:webHidden/>
          </w:rPr>
          <w:fldChar w:fldCharType="begin"/>
        </w:r>
        <w:r w:rsidR="00DC3B21">
          <w:rPr>
            <w:noProof/>
            <w:webHidden/>
          </w:rPr>
          <w:instrText xml:space="preserve"> PAGEREF _Toc376945583 \h </w:instrText>
        </w:r>
        <w:r>
          <w:rPr>
            <w:noProof/>
            <w:webHidden/>
          </w:rPr>
        </w:r>
        <w:r>
          <w:rPr>
            <w:noProof/>
            <w:webHidden/>
          </w:rPr>
          <w:fldChar w:fldCharType="separate"/>
        </w:r>
        <w:r w:rsidR="00DD4EC4">
          <w:rPr>
            <w:noProof/>
            <w:webHidden/>
          </w:rPr>
          <w:t>9</w:t>
        </w:r>
        <w:r>
          <w:rPr>
            <w:noProof/>
            <w:webHidden/>
          </w:rPr>
          <w:fldChar w:fldCharType="end"/>
        </w:r>
      </w:hyperlink>
    </w:p>
    <w:p w:rsidR="00DC3B21" w:rsidRDefault="005F523F">
      <w:pPr>
        <w:pStyle w:val="TOC1"/>
        <w:rPr>
          <w:rFonts w:asciiTheme="minorHAnsi" w:eastAsiaTheme="minorEastAsia" w:hAnsiTheme="minorHAnsi" w:cstheme="minorBidi"/>
          <w:noProof/>
        </w:rPr>
      </w:pPr>
      <w:hyperlink w:anchor="_Toc376945584" w:history="1">
        <w:r w:rsidR="00DC3B21" w:rsidRPr="00716AEF">
          <w:rPr>
            <w:rStyle w:val="Hyperlink"/>
            <w:noProof/>
          </w:rPr>
          <w:t>8.</w:t>
        </w:r>
        <w:r w:rsidR="00DC3B21">
          <w:rPr>
            <w:rFonts w:asciiTheme="minorHAnsi" w:eastAsiaTheme="minorEastAsia" w:hAnsiTheme="minorHAnsi" w:cstheme="minorBidi"/>
            <w:noProof/>
          </w:rPr>
          <w:tab/>
        </w:r>
        <w:r w:rsidR="00DC3B21" w:rsidRPr="00716AEF">
          <w:rPr>
            <w:rStyle w:val="Hyperlink"/>
            <w:noProof/>
          </w:rPr>
          <w:t>Challenges for growth</w:t>
        </w:r>
        <w:r w:rsidR="00DC3B21">
          <w:rPr>
            <w:noProof/>
            <w:webHidden/>
          </w:rPr>
          <w:tab/>
        </w:r>
        <w:r>
          <w:rPr>
            <w:noProof/>
            <w:webHidden/>
          </w:rPr>
          <w:fldChar w:fldCharType="begin"/>
        </w:r>
        <w:r w:rsidR="00DC3B21">
          <w:rPr>
            <w:noProof/>
            <w:webHidden/>
          </w:rPr>
          <w:instrText xml:space="preserve"> PAGEREF _Toc376945584 \h </w:instrText>
        </w:r>
        <w:r>
          <w:rPr>
            <w:noProof/>
            <w:webHidden/>
          </w:rPr>
        </w:r>
        <w:r>
          <w:rPr>
            <w:noProof/>
            <w:webHidden/>
          </w:rPr>
          <w:fldChar w:fldCharType="separate"/>
        </w:r>
        <w:r w:rsidR="00DD4EC4">
          <w:rPr>
            <w:noProof/>
            <w:webHidden/>
          </w:rPr>
          <w:t>10</w:t>
        </w:r>
        <w:r>
          <w:rPr>
            <w:noProof/>
            <w:webHidden/>
          </w:rPr>
          <w:fldChar w:fldCharType="end"/>
        </w:r>
      </w:hyperlink>
    </w:p>
    <w:p w:rsidR="00DC3B21" w:rsidRDefault="005F523F">
      <w:pPr>
        <w:pStyle w:val="TOC1"/>
        <w:rPr>
          <w:rFonts w:asciiTheme="minorHAnsi" w:eastAsiaTheme="minorEastAsia" w:hAnsiTheme="minorHAnsi" w:cstheme="minorBidi"/>
          <w:noProof/>
        </w:rPr>
      </w:pPr>
      <w:hyperlink w:anchor="_Toc376945585" w:history="1">
        <w:r w:rsidR="00DC3B21" w:rsidRPr="00716AEF">
          <w:rPr>
            <w:rStyle w:val="Hyperlink"/>
            <w:noProof/>
          </w:rPr>
          <w:t>9.</w:t>
        </w:r>
        <w:r w:rsidR="00DC3B21">
          <w:rPr>
            <w:rFonts w:asciiTheme="minorHAnsi" w:eastAsiaTheme="minorEastAsia" w:hAnsiTheme="minorHAnsi" w:cstheme="minorBidi"/>
            <w:noProof/>
          </w:rPr>
          <w:tab/>
        </w:r>
        <w:r w:rsidR="00DC3B21" w:rsidRPr="00716AEF">
          <w:rPr>
            <w:rStyle w:val="Hyperlink"/>
            <w:noProof/>
          </w:rPr>
          <w:t>Vision for the region</w:t>
        </w:r>
        <w:r w:rsidR="00DC3B21">
          <w:rPr>
            <w:noProof/>
            <w:webHidden/>
          </w:rPr>
          <w:tab/>
        </w:r>
        <w:r>
          <w:rPr>
            <w:noProof/>
            <w:webHidden/>
          </w:rPr>
          <w:fldChar w:fldCharType="begin"/>
        </w:r>
        <w:r w:rsidR="00DC3B21">
          <w:rPr>
            <w:noProof/>
            <w:webHidden/>
          </w:rPr>
          <w:instrText xml:space="preserve"> PAGEREF _Toc376945585 \h </w:instrText>
        </w:r>
        <w:r>
          <w:rPr>
            <w:noProof/>
            <w:webHidden/>
          </w:rPr>
        </w:r>
        <w:r>
          <w:rPr>
            <w:noProof/>
            <w:webHidden/>
          </w:rPr>
          <w:fldChar w:fldCharType="separate"/>
        </w:r>
        <w:r w:rsidR="00DD4EC4">
          <w:rPr>
            <w:noProof/>
            <w:webHidden/>
          </w:rPr>
          <w:t>10</w:t>
        </w:r>
        <w:r>
          <w:rPr>
            <w:noProof/>
            <w:webHidden/>
          </w:rPr>
          <w:fldChar w:fldCharType="end"/>
        </w:r>
      </w:hyperlink>
    </w:p>
    <w:p w:rsidR="00DC3B21" w:rsidRDefault="005F523F">
      <w:pPr>
        <w:pStyle w:val="TOC1"/>
        <w:rPr>
          <w:rFonts w:asciiTheme="minorHAnsi" w:eastAsiaTheme="minorEastAsia" w:hAnsiTheme="minorHAnsi" w:cstheme="minorBidi"/>
          <w:noProof/>
        </w:rPr>
      </w:pPr>
      <w:hyperlink w:anchor="_Toc376945586" w:history="1">
        <w:r w:rsidR="00DC3B21" w:rsidRPr="00716AEF">
          <w:rPr>
            <w:rStyle w:val="Hyperlink"/>
            <w:noProof/>
          </w:rPr>
          <w:t>10.</w:t>
        </w:r>
        <w:r w:rsidR="00DC3B21">
          <w:rPr>
            <w:rFonts w:asciiTheme="minorHAnsi" w:eastAsiaTheme="minorEastAsia" w:hAnsiTheme="minorHAnsi" w:cstheme="minorBidi"/>
            <w:noProof/>
          </w:rPr>
          <w:tab/>
        </w:r>
        <w:r w:rsidR="00DC3B21" w:rsidRPr="00716AEF">
          <w:rPr>
            <w:rStyle w:val="Hyperlink"/>
            <w:noProof/>
          </w:rPr>
          <w:t>Principles to achieve the vision</w:t>
        </w:r>
        <w:r w:rsidR="00DC3B21">
          <w:rPr>
            <w:noProof/>
            <w:webHidden/>
          </w:rPr>
          <w:tab/>
        </w:r>
        <w:r>
          <w:rPr>
            <w:noProof/>
            <w:webHidden/>
          </w:rPr>
          <w:fldChar w:fldCharType="begin"/>
        </w:r>
        <w:r w:rsidR="00DC3B21">
          <w:rPr>
            <w:noProof/>
            <w:webHidden/>
          </w:rPr>
          <w:instrText xml:space="preserve"> PAGEREF _Toc376945586 \h </w:instrText>
        </w:r>
        <w:r>
          <w:rPr>
            <w:noProof/>
            <w:webHidden/>
          </w:rPr>
        </w:r>
        <w:r>
          <w:rPr>
            <w:noProof/>
            <w:webHidden/>
          </w:rPr>
          <w:fldChar w:fldCharType="separate"/>
        </w:r>
        <w:r w:rsidR="00DD4EC4">
          <w:rPr>
            <w:noProof/>
            <w:webHidden/>
          </w:rPr>
          <w:t>13</w:t>
        </w:r>
        <w:r>
          <w:rPr>
            <w:noProof/>
            <w:webHidden/>
          </w:rPr>
          <w:fldChar w:fldCharType="end"/>
        </w:r>
      </w:hyperlink>
    </w:p>
    <w:p w:rsidR="00DC3B21" w:rsidRDefault="005F523F">
      <w:pPr>
        <w:pStyle w:val="TOC1"/>
        <w:rPr>
          <w:rFonts w:asciiTheme="minorHAnsi" w:eastAsiaTheme="minorEastAsia" w:hAnsiTheme="minorHAnsi" w:cstheme="minorBidi"/>
          <w:noProof/>
        </w:rPr>
      </w:pPr>
      <w:hyperlink w:anchor="_Toc376945587" w:history="1">
        <w:r w:rsidR="00DC3B21" w:rsidRPr="00716AEF">
          <w:rPr>
            <w:rStyle w:val="Hyperlink"/>
            <w:noProof/>
          </w:rPr>
          <w:t>PART C:</w:t>
        </w:r>
        <w:r w:rsidR="00DC3B21">
          <w:rPr>
            <w:rFonts w:asciiTheme="minorHAnsi" w:eastAsiaTheme="minorEastAsia" w:hAnsiTheme="minorHAnsi" w:cstheme="minorBidi"/>
            <w:noProof/>
          </w:rPr>
          <w:tab/>
        </w:r>
        <w:r w:rsidR="00DC3B21" w:rsidRPr="00716AEF">
          <w:rPr>
            <w:rStyle w:val="Hyperlink"/>
            <w:noProof/>
          </w:rPr>
          <w:t>TOWARDS THE REGIONAL GROWTH PLAN –REGIONAL LAND USE FRAMEWORK</w:t>
        </w:r>
        <w:r w:rsidR="00DC3B21">
          <w:rPr>
            <w:noProof/>
            <w:webHidden/>
          </w:rPr>
          <w:tab/>
        </w:r>
        <w:r>
          <w:rPr>
            <w:noProof/>
            <w:webHidden/>
          </w:rPr>
          <w:fldChar w:fldCharType="begin"/>
        </w:r>
        <w:r w:rsidR="00DC3B21">
          <w:rPr>
            <w:noProof/>
            <w:webHidden/>
          </w:rPr>
          <w:instrText xml:space="preserve"> PAGEREF _Toc376945587 \h </w:instrText>
        </w:r>
        <w:r>
          <w:rPr>
            <w:noProof/>
            <w:webHidden/>
          </w:rPr>
        </w:r>
        <w:r>
          <w:rPr>
            <w:noProof/>
            <w:webHidden/>
          </w:rPr>
          <w:fldChar w:fldCharType="separate"/>
        </w:r>
        <w:r w:rsidR="00DD4EC4">
          <w:rPr>
            <w:noProof/>
            <w:webHidden/>
          </w:rPr>
          <w:t>15</w:t>
        </w:r>
        <w:r>
          <w:rPr>
            <w:noProof/>
            <w:webHidden/>
          </w:rPr>
          <w:fldChar w:fldCharType="end"/>
        </w:r>
      </w:hyperlink>
    </w:p>
    <w:p w:rsidR="00DC3B21" w:rsidRDefault="005F523F">
      <w:pPr>
        <w:pStyle w:val="TOC1"/>
        <w:rPr>
          <w:rFonts w:asciiTheme="minorHAnsi" w:eastAsiaTheme="minorEastAsia" w:hAnsiTheme="minorHAnsi" w:cstheme="minorBidi"/>
          <w:noProof/>
        </w:rPr>
      </w:pPr>
      <w:hyperlink w:anchor="_Toc376945588" w:history="1">
        <w:r w:rsidR="00DC3B21" w:rsidRPr="00716AEF">
          <w:rPr>
            <w:rStyle w:val="Hyperlink"/>
            <w:noProof/>
          </w:rPr>
          <w:t>11.</w:t>
        </w:r>
        <w:r w:rsidR="00DC3B21">
          <w:rPr>
            <w:rFonts w:asciiTheme="minorHAnsi" w:eastAsiaTheme="minorEastAsia" w:hAnsiTheme="minorHAnsi" w:cstheme="minorBidi"/>
            <w:noProof/>
          </w:rPr>
          <w:tab/>
        </w:r>
        <w:r w:rsidR="00DC3B21" w:rsidRPr="00716AEF">
          <w:rPr>
            <w:rStyle w:val="Hyperlink"/>
            <w:noProof/>
          </w:rPr>
          <w:t>Regional economy</w:t>
        </w:r>
        <w:r w:rsidR="00DC3B21">
          <w:rPr>
            <w:noProof/>
            <w:webHidden/>
          </w:rPr>
          <w:tab/>
        </w:r>
        <w:r>
          <w:rPr>
            <w:noProof/>
            <w:webHidden/>
          </w:rPr>
          <w:fldChar w:fldCharType="begin"/>
        </w:r>
        <w:r w:rsidR="00DC3B21">
          <w:rPr>
            <w:noProof/>
            <w:webHidden/>
          </w:rPr>
          <w:instrText xml:space="preserve"> PAGEREF _Toc376945588 \h </w:instrText>
        </w:r>
        <w:r>
          <w:rPr>
            <w:noProof/>
            <w:webHidden/>
          </w:rPr>
        </w:r>
        <w:r>
          <w:rPr>
            <w:noProof/>
            <w:webHidden/>
          </w:rPr>
          <w:fldChar w:fldCharType="separate"/>
        </w:r>
        <w:r w:rsidR="00DD4EC4">
          <w:rPr>
            <w:noProof/>
            <w:webHidden/>
          </w:rPr>
          <w:t>15</w:t>
        </w:r>
        <w:r>
          <w:rPr>
            <w:noProof/>
            <w:webHidden/>
          </w:rPr>
          <w:fldChar w:fldCharType="end"/>
        </w:r>
      </w:hyperlink>
    </w:p>
    <w:p w:rsidR="00DC3B21" w:rsidRDefault="005F523F" w:rsidP="00164650">
      <w:pPr>
        <w:pStyle w:val="TOC2"/>
        <w:rPr>
          <w:rFonts w:asciiTheme="minorHAnsi" w:eastAsiaTheme="minorEastAsia" w:hAnsiTheme="minorHAnsi" w:cstheme="minorBidi"/>
          <w:noProof/>
        </w:rPr>
      </w:pPr>
      <w:hyperlink w:anchor="_Toc376945589" w:history="1">
        <w:r w:rsidR="00DC3B21" w:rsidRPr="00716AEF">
          <w:rPr>
            <w:rStyle w:val="Hyperlink"/>
            <w:noProof/>
          </w:rPr>
          <w:t>11.1</w:t>
        </w:r>
        <w:r w:rsidR="00DC3B21">
          <w:rPr>
            <w:rFonts w:asciiTheme="minorHAnsi" w:eastAsiaTheme="minorEastAsia" w:hAnsiTheme="minorHAnsi" w:cstheme="minorBidi"/>
            <w:noProof/>
          </w:rPr>
          <w:tab/>
        </w:r>
        <w:r w:rsidR="00DC3B21" w:rsidRPr="00716AEF">
          <w:rPr>
            <w:rStyle w:val="Hyperlink"/>
            <w:noProof/>
          </w:rPr>
          <w:t>Business, industry and services: working in the Hume Region</w:t>
        </w:r>
        <w:r w:rsidR="00DC3B21">
          <w:rPr>
            <w:noProof/>
            <w:webHidden/>
          </w:rPr>
          <w:tab/>
        </w:r>
        <w:r>
          <w:rPr>
            <w:noProof/>
            <w:webHidden/>
          </w:rPr>
          <w:fldChar w:fldCharType="begin"/>
        </w:r>
        <w:r w:rsidR="00DC3B21">
          <w:rPr>
            <w:noProof/>
            <w:webHidden/>
          </w:rPr>
          <w:instrText xml:space="preserve"> PAGEREF _Toc376945589 \h </w:instrText>
        </w:r>
        <w:r>
          <w:rPr>
            <w:noProof/>
            <w:webHidden/>
          </w:rPr>
        </w:r>
        <w:r>
          <w:rPr>
            <w:noProof/>
            <w:webHidden/>
          </w:rPr>
          <w:fldChar w:fldCharType="separate"/>
        </w:r>
        <w:r w:rsidR="00DD4EC4">
          <w:rPr>
            <w:noProof/>
            <w:webHidden/>
          </w:rPr>
          <w:t>16</w:t>
        </w:r>
        <w:r>
          <w:rPr>
            <w:noProof/>
            <w:webHidden/>
          </w:rPr>
          <w:fldChar w:fldCharType="end"/>
        </w:r>
      </w:hyperlink>
    </w:p>
    <w:p w:rsidR="00DC3B21" w:rsidRDefault="005F523F" w:rsidP="00164650">
      <w:pPr>
        <w:pStyle w:val="TOC2"/>
        <w:rPr>
          <w:rFonts w:asciiTheme="minorHAnsi" w:eastAsiaTheme="minorEastAsia" w:hAnsiTheme="minorHAnsi" w:cstheme="minorBidi"/>
          <w:noProof/>
        </w:rPr>
      </w:pPr>
      <w:hyperlink w:anchor="_Toc376945590" w:history="1">
        <w:r w:rsidR="00DC3B21" w:rsidRPr="00716AEF">
          <w:rPr>
            <w:rStyle w:val="Hyperlink"/>
            <w:noProof/>
          </w:rPr>
          <w:t>11.2</w:t>
        </w:r>
        <w:r w:rsidR="00DC3B21">
          <w:rPr>
            <w:rFonts w:asciiTheme="minorHAnsi" w:eastAsiaTheme="minorEastAsia" w:hAnsiTheme="minorHAnsi" w:cstheme="minorBidi"/>
            <w:noProof/>
          </w:rPr>
          <w:tab/>
        </w:r>
        <w:r w:rsidR="00DC3B21" w:rsidRPr="00716AEF">
          <w:rPr>
            <w:rStyle w:val="Hyperlink"/>
            <w:noProof/>
          </w:rPr>
          <w:t>Agriculture</w:t>
        </w:r>
        <w:r w:rsidR="00DC3B21">
          <w:rPr>
            <w:noProof/>
            <w:webHidden/>
          </w:rPr>
          <w:tab/>
        </w:r>
        <w:r>
          <w:rPr>
            <w:noProof/>
            <w:webHidden/>
          </w:rPr>
          <w:fldChar w:fldCharType="begin"/>
        </w:r>
        <w:r w:rsidR="00DC3B21">
          <w:rPr>
            <w:noProof/>
            <w:webHidden/>
          </w:rPr>
          <w:instrText xml:space="preserve"> PAGEREF _Toc376945590 \h </w:instrText>
        </w:r>
        <w:r>
          <w:rPr>
            <w:noProof/>
            <w:webHidden/>
          </w:rPr>
        </w:r>
        <w:r>
          <w:rPr>
            <w:noProof/>
            <w:webHidden/>
          </w:rPr>
          <w:fldChar w:fldCharType="separate"/>
        </w:r>
        <w:r w:rsidR="00DD4EC4">
          <w:rPr>
            <w:noProof/>
            <w:webHidden/>
          </w:rPr>
          <w:t>19</w:t>
        </w:r>
        <w:r>
          <w:rPr>
            <w:noProof/>
            <w:webHidden/>
          </w:rPr>
          <w:fldChar w:fldCharType="end"/>
        </w:r>
      </w:hyperlink>
    </w:p>
    <w:p w:rsidR="00DC3B21" w:rsidRDefault="005F523F" w:rsidP="00164650">
      <w:pPr>
        <w:pStyle w:val="TOC2"/>
        <w:rPr>
          <w:rFonts w:asciiTheme="minorHAnsi" w:eastAsiaTheme="minorEastAsia" w:hAnsiTheme="minorHAnsi" w:cstheme="minorBidi"/>
          <w:noProof/>
        </w:rPr>
      </w:pPr>
      <w:hyperlink w:anchor="_Toc376945591" w:history="1">
        <w:r w:rsidR="00DC3B21" w:rsidRPr="00716AEF">
          <w:rPr>
            <w:rStyle w:val="Hyperlink"/>
            <w:noProof/>
          </w:rPr>
          <w:t>11.3</w:t>
        </w:r>
        <w:r w:rsidR="00DC3B21">
          <w:rPr>
            <w:rFonts w:asciiTheme="minorHAnsi" w:eastAsiaTheme="minorEastAsia" w:hAnsiTheme="minorHAnsi" w:cstheme="minorBidi"/>
            <w:noProof/>
          </w:rPr>
          <w:tab/>
        </w:r>
        <w:r w:rsidR="00DC3B21" w:rsidRPr="00716AEF">
          <w:rPr>
            <w:rStyle w:val="Hyperlink"/>
            <w:noProof/>
          </w:rPr>
          <w:t>Energy and earth resources</w:t>
        </w:r>
        <w:r w:rsidR="00DC3B21">
          <w:rPr>
            <w:noProof/>
            <w:webHidden/>
          </w:rPr>
          <w:tab/>
        </w:r>
        <w:r>
          <w:rPr>
            <w:noProof/>
            <w:webHidden/>
          </w:rPr>
          <w:fldChar w:fldCharType="begin"/>
        </w:r>
        <w:r w:rsidR="00DC3B21">
          <w:rPr>
            <w:noProof/>
            <w:webHidden/>
          </w:rPr>
          <w:instrText xml:space="preserve"> PAGEREF _Toc376945591 \h </w:instrText>
        </w:r>
        <w:r>
          <w:rPr>
            <w:noProof/>
            <w:webHidden/>
          </w:rPr>
        </w:r>
        <w:r>
          <w:rPr>
            <w:noProof/>
            <w:webHidden/>
          </w:rPr>
          <w:fldChar w:fldCharType="separate"/>
        </w:r>
        <w:r w:rsidR="00DD4EC4">
          <w:rPr>
            <w:noProof/>
            <w:webHidden/>
          </w:rPr>
          <w:t>22</w:t>
        </w:r>
        <w:r>
          <w:rPr>
            <w:noProof/>
            <w:webHidden/>
          </w:rPr>
          <w:fldChar w:fldCharType="end"/>
        </w:r>
      </w:hyperlink>
    </w:p>
    <w:p w:rsidR="00DC3B21" w:rsidRDefault="005F523F">
      <w:pPr>
        <w:pStyle w:val="TOC1"/>
        <w:rPr>
          <w:rFonts w:asciiTheme="minorHAnsi" w:eastAsiaTheme="minorEastAsia" w:hAnsiTheme="minorHAnsi" w:cstheme="minorBidi"/>
          <w:noProof/>
        </w:rPr>
      </w:pPr>
      <w:hyperlink w:anchor="_Toc376945592" w:history="1">
        <w:r w:rsidR="00DC3B21" w:rsidRPr="00716AEF">
          <w:rPr>
            <w:rStyle w:val="Hyperlink"/>
            <w:noProof/>
          </w:rPr>
          <w:t>12.</w:t>
        </w:r>
        <w:r w:rsidR="00DC3B21">
          <w:rPr>
            <w:rFonts w:asciiTheme="minorHAnsi" w:eastAsiaTheme="minorEastAsia" w:hAnsiTheme="minorHAnsi" w:cstheme="minorBidi"/>
            <w:noProof/>
          </w:rPr>
          <w:tab/>
        </w:r>
        <w:r w:rsidR="00DC3B21" w:rsidRPr="00716AEF">
          <w:rPr>
            <w:rStyle w:val="Hyperlink"/>
            <w:noProof/>
          </w:rPr>
          <w:t>Environment and heritage</w:t>
        </w:r>
        <w:r w:rsidR="00DC3B21">
          <w:rPr>
            <w:noProof/>
            <w:webHidden/>
          </w:rPr>
          <w:tab/>
        </w:r>
        <w:r>
          <w:rPr>
            <w:noProof/>
            <w:webHidden/>
          </w:rPr>
          <w:fldChar w:fldCharType="begin"/>
        </w:r>
        <w:r w:rsidR="00DC3B21">
          <w:rPr>
            <w:noProof/>
            <w:webHidden/>
          </w:rPr>
          <w:instrText xml:space="preserve"> PAGEREF _Toc376945592 \h </w:instrText>
        </w:r>
        <w:r>
          <w:rPr>
            <w:noProof/>
            <w:webHidden/>
          </w:rPr>
        </w:r>
        <w:r>
          <w:rPr>
            <w:noProof/>
            <w:webHidden/>
          </w:rPr>
          <w:fldChar w:fldCharType="separate"/>
        </w:r>
        <w:r w:rsidR="00DD4EC4">
          <w:rPr>
            <w:noProof/>
            <w:webHidden/>
          </w:rPr>
          <w:t>23</w:t>
        </w:r>
        <w:r>
          <w:rPr>
            <w:noProof/>
            <w:webHidden/>
          </w:rPr>
          <w:fldChar w:fldCharType="end"/>
        </w:r>
      </w:hyperlink>
    </w:p>
    <w:p w:rsidR="00DC3B21" w:rsidRDefault="005F523F" w:rsidP="00164650">
      <w:pPr>
        <w:pStyle w:val="TOC2"/>
        <w:rPr>
          <w:rFonts w:asciiTheme="minorHAnsi" w:eastAsiaTheme="minorEastAsia" w:hAnsiTheme="minorHAnsi" w:cstheme="minorBidi"/>
          <w:noProof/>
        </w:rPr>
      </w:pPr>
      <w:hyperlink w:anchor="_Toc376945593" w:history="1">
        <w:r w:rsidR="00DC3B21" w:rsidRPr="00716AEF">
          <w:rPr>
            <w:rStyle w:val="Hyperlink"/>
            <w:noProof/>
          </w:rPr>
          <w:t>12.1</w:t>
        </w:r>
        <w:r w:rsidR="00DC3B21">
          <w:rPr>
            <w:rFonts w:asciiTheme="minorHAnsi" w:eastAsiaTheme="minorEastAsia" w:hAnsiTheme="minorHAnsi" w:cstheme="minorBidi"/>
            <w:noProof/>
          </w:rPr>
          <w:tab/>
        </w:r>
        <w:r w:rsidR="00DC3B21" w:rsidRPr="00716AEF">
          <w:rPr>
            <w:rStyle w:val="Hyperlink"/>
            <w:noProof/>
          </w:rPr>
          <w:t>Environmental assets</w:t>
        </w:r>
        <w:r w:rsidR="00DC3B21">
          <w:rPr>
            <w:noProof/>
            <w:webHidden/>
          </w:rPr>
          <w:tab/>
        </w:r>
        <w:r>
          <w:rPr>
            <w:noProof/>
            <w:webHidden/>
          </w:rPr>
          <w:fldChar w:fldCharType="begin"/>
        </w:r>
        <w:r w:rsidR="00DC3B21">
          <w:rPr>
            <w:noProof/>
            <w:webHidden/>
          </w:rPr>
          <w:instrText xml:space="preserve"> PAGEREF _Toc376945593 \h </w:instrText>
        </w:r>
        <w:r>
          <w:rPr>
            <w:noProof/>
            <w:webHidden/>
          </w:rPr>
        </w:r>
        <w:r>
          <w:rPr>
            <w:noProof/>
            <w:webHidden/>
          </w:rPr>
          <w:fldChar w:fldCharType="separate"/>
        </w:r>
        <w:r w:rsidR="00DD4EC4">
          <w:rPr>
            <w:noProof/>
            <w:webHidden/>
          </w:rPr>
          <w:t>24</w:t>
        </w:r>
        <w:r>
          <w:rPr>
            <w:noProof/>
            <w:webHidden/>
          </w:rPr>
          <w:fldChar w:fldCharType="end"/>
        </w:r>
      </w:hyperlink>
    </w:p>
    <w:p w:rsidR="00DC3B21" w:rsidRDefault="005F523F" w:rsidP="00164650">
      <w:pPr>
        <w:pStyle w:val="TOC2"/>
        <w:rPr>
          <w:rFonts w:asciiTheme="minorHAnsi" w:eastAsiaTheme="minorEastAsia" w:hAnsiTheme="minorHAnsi" w:cstheme="minorBidi"/>
          <w:noProof/>
        </w:rPr>
      </w:pPr>
      <w:hyperlink w:anchor="_Toc376945594" w:history="1">
        <w:r w:rsidR="00DC3B21" w:rsidRPr="00716AEF">
          <w:rPr>
            <w:rStyle w:val="Hyperlink"/>
            <w:noProof/>
          </w:rPr>
          <w:t>12.2</w:t>
        </w:r>
        <w:r w:rsidR="00DC3B21">
          <w:rPr>
            <w:rFonts w:asciiTheme="minorHAnsi" w:eastAsiaTheme="minorEastAsia" w:hAnsiTheme="minorHAnsi" w:cstheme="minorBidi"/>
            <w:noProof/>
          </w:rPr>
          <w:tab/>
        </w:r>
        <w:r w:rsidR="00DC3B21" w:rsidRPr="00716AEF">
          <w:rPr>
            <w:rStyle w:val="Hyperlink"/>
            <w:noProof/>
          </w:rPr>
          <w:t>Cultural heritage assets</w:t>
        </w:r>
        <w:r w:rsidR="00DC3B21">
          <w:rPr>
            <w:noProof/>
            <w:webHidden/>
          </w:rPr>
          <w:tab/>
        </w:r>
        <w:r>
          <w:rPr>
            <w:noProof/>
            <w:webHidden/>
          </w:rPr>
          <w:fldChar w:fldCharType="begin"/>
        </w:r>
        <w:r w:rsidR="00DC3B21">
          <w:rPr>
            <w:noProof/>
            <w:webHidden/>
          </w:rPr>
          <w:instrText xml:space="preserve"> PAGEREF _Toc376945594 \h </w:instrText>
        </w:r>
        <w:r>
          <w:rPr>
            <w:noProof/>
            <w:webHidden/>
          </w:rPr>
        </w:r>
        <w:r>
          <w:rPr>
            <w:noProof/>
            <w:webHidden/>
          </w:rPr>
          <w:fldChar w:fldCharType="separate"/>
        </w:r>
        <w:r w:rsidR="00DD4EC4">
          <w:rPr>
            <w:noProof/>
            <w:webHidden/>
          </w:rPr>
          <w:t>26</w:t>
        </w:r>
        <w:r>
          <w:rPr>
            <w:noProof/>
            <w:webHidden/>
          </w:rPr>
          <w:fldChar w:fldCharType="end"/>
        </w:r>
      </w:hyperlink>
    </w:p>
    <w:p w:rsidR="00DC3B21" w:rsidRDefault="005F523F" w:rsidP="00164650">
      <w:pPr>
        <w:pStyle w:val="TOC2"/>
        <w:rPr>
          <w:rFonts w:asciiTheme="minorHAnsi" w:eastAsiaTheme="minorEastAsia" w:hAnsiTheme="minorHAnsi" w:cstheme="minorBidi"/>
          <w:noProof/>
        </w:rPr>
      </w:pPr>
      <w:hyperlink w:anchor="_Toc376945595" w:history="1">
        <w:r w:rsidR="00DC3B21" w:rsidRPr="00716AEF">
          <w:rPr>
            <w:rStyle w:val="Hyperlink"/>
            <w:noProof/>
          </w:rPr>
          <w:t>12.3</w:t>
        </w:r>
        <w:r w:rsidR="00DC3B21">
          <w:rPr>
            <w:rFonts w:asciiTheme="minorHAnsi" w:eastAsiaTheme="minorEastAsia" w:hAnsiTheme="minorHAnsi" w:cstheme="minorBidi"/>
            <w:noProof/>
          </w:rPr>
          <w:tab/>
        </w:r>
        <w:r w:rsidR="00DC3B21" w:rsidRPr="00716AEF">
          <w:rPr>
            <w:rStyle w:val="Hyperlink"/>
            <w:noProof/>
          </w:rPr>
          <w:t>Natural hazards and risks</w:t>
        </w:r>
        <w:r w:rsidR="00DC3B21">
          <w:rPr>
            <w:noProof/>
            <w:webHidden/>
          </w:rPr>
          <w:tab/>
        </w:r>
        <w:r>
          <w:rPr>
            <w:noProof/>
            <w:webHidden/>
          </w:rPr>
          <w:fldChar w:fldCharType="begin"/>
        </w:r>
        <w:r w:rsidR="00DC3B21">
          <w:rPr>
            <w:noProof/>
            <w:webHidden/>
          </w:rPr>
          <w:instrText xml:space="preserve"> PAGEREF _Toc376945595 \h </w:instrText>
        </w:r>
        <w:r>
          <w:rPr>
            <w:noProof/>
            <w:webHidden/>
          </w:rPr>
        </w:r>
        <w:r>
          <w:rPr>
            <w:noProof/>
            <w:webHidden/>
          </w:rPr>
          <w:fldChar w:fldCharType="separate"/>
        </w:r>
        <w:r w:rsidR="00DD4EC4">
          <w:rPr>
            <w:noProof/>
            <w:webHidden/>
          </w:rPr>
          <w:t>27</w:t>
        </w:r>
        <w:r>
          <w:rPr>
            <w:noProof/>
            <w:webHidden/>
          </w:rPr>
          <w:fldChar w:fldCharType="end"/>
        </w:r>
      </w:hyperlink>
    </w:p>
    <w:p w:rsidR="00DC3B21" w:rsidRDefault="005F523F">
      <w:pPr>
        <w:pStyle w:val="TOC1"/>
        <w:rPr>
          <w:rFonts w:asciiTheme="minorHAnsi" w:eastAsiaTheme="minorEastAsia" w:hAnsiTheme="minorHAnsi" w:cstheme="minorBidi"/>
          <w:noProof/>
        </w:rPr>
      </w:pPr>
      <w:hyperlink w:anchor="_Toc376945596" w:history="1">
        <w:r w:rsidR="00DC3B21" w:rsidRPr="00716AEF">
          <w:rPr>
            <w:rStyle w:val="Hyperlink"/>
            <w:noProof/>
          </w:rPr>
          <w:t>13.</w:t>
        </w:r>
        <w:r w:rsidR="00DC3B21">
          <w:rPr>
            <w:rFonts w:asciiTheme="minorHAnsi" w:eastAsiaTheme="minorEastAsia" w:hAnsiTheme="minorHAnsi" w:cstheme="minorBidi"/>
            <w:noProof/>
          </w:rPr>
          <w:tab/>
        </w:r>
        <w:r w:rsidR="00DC3B21" w:rsidRPr="00716AEF">
          <w:rPr>
            <w:rStyle w:val="Hyperlink"/>
            <w:noProof/>
          </w:rPr>
          <w:t>Living in the region</w:t>
        </w:r>
        <w:r w:rsidR="00DC3B21">
          <w:rPr>
            <w:noProof/>
            <w:webHidden/>
          </w:rPr>
          <w:tab/>
        </w:r>
        <w:r>
          <w:rPr>
            <w:noProof/>
            <w:webHidden/>
          </w:rPr>
          <w:fldChar w:fldCharType="begin"/>
        </w:r>
        <w:r w:rsidR="00DC3B21">
          <w:rPr>
            <w:noProof/>
            <w:webHidden/>
          </w:rPr>
          <w:instrText xml:space="preserve"> PAGEREF _Toc376945596 \h </w:instrText>
        </w:r>
        <w:r>
          <w:rPr>
            <w:noProof/>
            <w:webHidden/>
          </w:rPr>
        </w:r>
        <w:r>
          <w:rPr>
            <w:noProof/>
            <w:webHidden/>
          </w:rPr>
          <w:fldChar w:fldCharType="separate"/>
        </w:r>
        <w:r w:rsidR="00DD4EC4">
          <w:rPr>
            <w:noProof/>
            <w:webHidden/>
          </w:rPr>
          <w:t>28</w:t>
        </w:r>
        <w:r>
          <w:rPr>
            <w:noProof/>
            <w:webHidden/>
          </w:rPr>
          <w:fldChar w:fldCharType="end"/>
        </w:r>
      </w:hyperlink>
    </w:p>
    <w:p w:rsidR="00DC3B21" w:rsidRDefault="005F523F" w:rsidP="00164650">
      <w:pPr>
        <w:pStyle w:val="TOC2"/>
        <w:rPr>
          <w:rFonts w:asciiTheme="minorHAnsi" w:eastAsiaTheme="minorEastAsia" w:hAnsiTheme="minorHAnsi" w:cstheme="minorBidi"/>
          <w:noProof/>
        </w:rPr>
      </w:pPr>
      <w:hyperlink w:anchor="_Toc376945597" w:history="1">
        <w:r w:rsidR="00DC3B21" w:rsidRPr="00716AEF">
          <w:rPr>
            <w:rStyle w:val="Hyperlink"/>
            <w:noProof/>
          </w:rPr>
          <w:t>13.1</w:t>
        </w:r>
        <w:r w:rsidR="00DC3B21">
          <w:rPr>
            <w:rFonts w:asciiTheme="minorHAnsi" w:eastAsiaTheme="minorEastAsia" w:hAnsiTheme="minorHAnsi" w:cstheme="minorBidi"/>
            <w:noProof/>
          </w:rPr>
          <w:tab/>
        </w:r>
        <w:r w:rsidR="00DC3B21" w:rsidRPr="00716AEF">
          <w:rPr>
            <w:rStyle w:val="Hyperlink"/>
            <w:noProof/>
          </w:rPr>
          <w:t>Existing settlement network</w:t>
        </w:r>
        <w:r w:rsidR="00DC3B21">
          <w:rPr>
            <w:noProof/>
            <w:webHidden/>
          </w:rPr>
          <w:tab/>
        </w:r>
        <w:r>
          <w:rPr>
            <w:noProof/>
            <w:webHidden/>
          </w:rPr>
          <w:fldChar w:fldCharType="begin"/>
        </w:r>
        <w:r w:rsidR="00DC3B21">
          <w:rPr>
            <w:noProof/>
            <w:webHidden/>
          </w:rPr>
          <w:instrText xml:space="preserve"> PAGEREF _Toc376945597 \h </w:instrText>
        </w:r>
        <w:r>
          <w:rPr>
            <w:noProof/>
            <w:webHidden/>
          </w:rPr>
        </w:r>
        <w:r>
          <w:rPr>
            <w:noProof/>
            <w:webHidden/>
          </w:rPr>
          <w:fldChar w:fldCharType="separate"/>
        </w:r>
        <w:r w:rsidR="00DD4EC4">
          <w:rPr>
            <w:noProof/>
            <w:webHidden/>
          </w:rPr>
          <w:t>28</w:t>
        </w:r>
        <w:r>
          <w:rPr>
            <w:noProof/>
            <w:webHidden/>
          </w:rPr>
          <w:fldChar w:fldCharType="end"/>
        </w:r>
      </w:hyperlink>
    </w:p>
    <w:p w:rsidR="00DC3B21" w:rsidRDefault="005F523F" w:rsidP="00164650">
      <w:pPr>
        <w:pStyle w:val="TOC2"/>
        <w:rPr>
          <w:rFonts w:asciiTheme="minorHAnsi" w:eastAsiaTheme="minorEastAsia" w:hAnsiTheme="minorHAnsi" w:cstheme="minorBidi"/>
          <w:noProof/>
        </w:rPr>
      </w:pPr>
      <w:hyperlink w:anchor="_Toc376945598" w:history="1">
        <w:r w:rsidR="00DC3B21" w:rsidRPr="00716AEF">
          <w:rPr>
            <w:rStyle w:val="Hyperlink"/>
            <w:noProof/>
          </w:rPr>
          <w:t>13.2</w:t>
        </w:r>
        <w:r w:rsidR="00DC3B21">
          <w:rPr>
            <w:rFonts w:asciiTheme="minorHAnsi" w:eastAsiaTheme="minorEastAsia" w:hAnsiTheme="minorHAnsi" w:cstheme="minorBidi"/>
            <w:noProof/>
          </w:rPr>
          <w:tab/>
        </w:r>
        <w:r w:rsidR="00DC3B21" w:rsidRPr="00716AEF">
          <w:rPr>
            <w:rStyle w:val="Hyperlink"/>
            <w:noProof/>
          </w:rPr>
          <w:t>Urban settlement framework</w:t>
        </w:r>
        <w:r w:rsidR="00DC3B21">
          <w:rPr>
            <w:noProof/>
            <w:webHidden/>
          </w:rPr>
          <w:tab/>
        </w:r>
        <w:r>
          <w:rPr>
            <w:noProof/>
            <w:webHidden/>
          </w:rPr>
          <w:fldChar w:fldCharType="begin"/>
        </w:r>
        <w:r w:rsidR="00DC3B21">
          <w:rPr>
            <w:noProof/>
            <w:webHidden/>
          </w:rPr>
          <w:instrText xml:space="preserve"> PAGEREF _Toc376945598 \h </w:instrText>
        </w:r>
        <w:r>
          <w:rPr>
            <w:noProof/>
            <w:webHidden/>
          </w:rPr>
        </w:r>
        <w:r>
          <w:rPr>
            <w:noProof/>
            <w:webHidden/>
          </w:rPr>
          <w:fldChar w:fldCharType="separate"/>
        </w:r>
        <w:r w:rsidR="00DD4EC4">
          <w:rPr>
            <w:noProof/>
            <w:webHidden/>
          </w:rPr>
          <w:t>29</w:t>
        </w:r>
        <w:r>
          <w:rPr>
            <w:noProof/>
            <w:webHidden/>
          </w:rPr>
          <w:fldChar w:fldCharType="end"/>
        </w:r>
      </w:hyperlink>
    </w:p>
    <w:p w:rsidR="00DC3B21" w:rsidRDefault="005F523F" w:rsidP="00164650">
      <w:pPr>
        <w:pStyle w:val="TOC2"/>
        <w:rPr>
          <w:rFonts w:asciiTheme="minorHAnsi" w:eastAsiaTheme="minorEastAsia" w:hAnsiTheme="minorHAnsi" w:cstheme="minorBidi"/>
          <w:noProof/>
        </w:rPr>
      </w:pPr>
      <w:hyperlink w:anchor="_Toc376945599" w:history="1">
        <w:r w:rsidR="00DC3B21" w:rsidRPr="00716AEF">
          <w:rPr>
            <w:rStyle w:val="Hyperlink"/>
            <w:noProof/>
          </w:rPr>
          <w:t>13.3</w:t>
        </w:r>
        <w:r w:rsidR="00DC3B21">
          <w:rPr>
            <w:rFonts w:asciiTheme="minorHAnsi" w:eastAsiaTheme="minorEastAsia" w:hAnsiTheme="minorHAnsi" w:cstheme="minorBidi"/>
            <w:noProof/>
          </w:rPr>
          <w:tab/>
        </w:r>
        <w:r w:rsidR="00DC3B21" w:rsidRPr="00716AEF">
          <w:rPr>
            <w:rStyle w:val="Hyperlink"/>
            <w:noProof/>
          </w:rPr>
          <w:t>Other settlement directions</w:t>
        </w:r>
        <w:r w:rsidR="00DC3B21">
          <w:rPr>
            <w:noProof/>
            <w:webHidden/>
          </w:rPr>
          <w:tab/>
        </w:r>
        <w:r>
          <w:rPr>
            <w:noProof/>
            <w:webHidden/>
          </w:rPr>
          <w:fldChar w:fldCharType="begin"/>
        </w:r>
        <w:r w:rsidR="00DC3B21">
          <w:rPr>
            <w:noProof/>
            <w:webHidden/>
          </w:rPr>
          <w:instrText xml:space="preserve"> PAGEREF _Toc376945599 \h </w:instrText>
        </w:r>
        <w:r>
          <w:rPr>
            <w:noProof/>
            <w:webHidden/>
          </w:rPr>
        </w:r>
        <w:r>
          <w:rPr>
            <w:noProof/>
            <w:webHidden/>
          </w:rPr>
          <w:fldChar w:fldCharType="separate"/>
        </w:r>
        <w:r w:rsidR="00DD4EC4">
          <w:rPr>
            <w:noProof/>
            <w:webHidden/>
          </w:rPr>
          <w:t>38</w:t>
        </w:r>
        <w:r>
          <w:rPr>
            <w:noProof/>
            <w:webHidden/>
          </w:rPr>
          <w:fldChar w:fldCharType="end"/>
        </w:r>
      </w:hyperlink>
    </w:p>
    <w:p w:rsidR="00DC3B21" w:rsidRDefault="005F523F">
      <w:pPr>
        <w:pStyle w:val="TOC1"/>
        <w:rPr>
          <w:rFonts w:asciiTheme="minorHAnsi" w:eastAsiaTheme="minorEastAsia" w:hAnsiTheme="minorHAnsi" w:cstheme="minorBidi"/>
          <w:noProof/>
        </w:rPr>
      </w:pPr>
      <w:hyperlink w:anchor="_Toc376945600" w:history="1">
        <w:r w:rsidR="00DC3B21" w:rsidRPr="00716AEF">
          <w:rPr>
            <w:rStyle w:val="Hyperlink"/>
            <w:noProof/>
          </w:rPr>
          <w:t>14.</w:t>
        </w:r>
        <w:r w:rsidR="00DC3B21">
          <w:rPr>
            <w:rFonts w:asciiTheme="minorHAnsi" w:eastAsiaTheme="minorEastAsia" w:hAnsiTheme="minorHAnsi" w:cstheme="minorBidi"/>
            <w:noProof/>
          </w:rPr>
          <w:tab/>
        </w:r>
        <w:r w:rsidR="00DC3B21" w:rsidRPr="00716AEF">
          <w:rPr>
            <w:rStyle w:val="Hyperlink"/>
            <w:noProof/>
          </w:rPr>
          <w:t>Regional infrastructure</w:t>
        </w:r>
        <w:r w:rsidR="00DC3B21">
          <w:rPr>
            <w:noProof/>
            <w:webHidden/>
          </w:rPr>
          <w:tab/>
        </w:r>
        <w:r>
          <w:rPr>
            <w:noProof/>
            <w:webHidden/>
          </w:rPr>
          <w:fldChar w:fldCharType="begin"/>
        </w:r>
        <w:r w:rsidR="00DC3B21">
          <w:rPr>
            <w:noProof/>
            <w:webHidden/>
          </w:rPr>
          <w:instrText xml:space="preserve"> PAGEREF _Toc376945600 \h </w:instrText>
        </w:r>
        <w:r>
          <w:rPr>
            <w:noProof/>
            <w:webHidden/>
          </w:rPr>
        </w:r>
        <w:r>
          <w:rPr>
            <w:noProof/>
            <w:webHidden/>
          </w:rPr>
          <w:fldChar w:fldCharType="separate"/>
        </w:r>
        <w:r w:rsidR="00DD4EC4">
          <w:rPr>
            <w:noProof/>
            <w:webHidden/>
          </w:rPr>
          <w:t>43</w:t>
        </w:r>
        <w:r>
          <w:rPr>
            <w:noProof/>
            <w:webHidden/>
          </w:rPr>
          <w:fldChar w:fldCharType="end"/>
        </w:r>
      </w:hyperlink>
    </w:p>
    <w:p w:rsidR="00DC3B21" w:rsidRDefault="005F523F" w:rsidP="00164650">
      <w:pPr>
        <w:pStyle w:val="TOC2"/>
        <w:rPr>
          <w:rFonts w:asciiTheme="minorHAnsi" w:eastAsiaTheme="minorEastAsia" w:hAnsiTheme="minorHAnsi" w:cstheme="minorBidi"/>
          <w:noProof/>
        </w:rPr>
      </w:pPr>
      <w:hyperlink w:anchor="_Toc376945601" w:history="1">
        <w:r w:rsidR="00DC3B21" w:rsidRPr="00716AEF">
          <w:rPr>
            <w:rStyle w:val="Hyperlink"/>
            <w:noProof/>
          </w:rPr>
          <w:t>14.1</w:t>
        </w:r>
        <w:r w:rsidR="00DC3B21">
          <w:rPr>
            <w:rFonts w:asciiTheme="minorHAnsi" w:eastAsiaTheme="minorEastAsia" w:hAnsiTheme="minorHAnsi" w:cstheme="minorBidi"/>
            <w:noProof/>
          </w:rPr>
          <w:tab/>
        </w:r>
        <w:r w:rsidR="00DC3B21" w:rsidRPr="00716AEF">
          <w:rPr>
            <w:rStyle w:val="Hyperlink"/>
            <w:noProof/>
          </w:rPr>
          <w:t>Transport networks</w:t>
        </w:r>
        <w:r w:rsidR="00DC3B21">
          <w:rPr>
            <w:noProof/>
            <w:webHidden/>
          </w:rPr>
          <w:tab/>
        </w:r>
        <w:r>
          <w:rPr>
            <w:noProof/>
            <w:webHidden/>
          </w:rPr>
          <w:fldChar w:fldCharType="begin"/>
        </w:r>
        <w:r w:rsidR="00DC3B21">
          <w:rPr>
            <w:noProof/>
            <w:webHidden/>
          </w:rPr>
          <w:instrText xml:space="preserve"> PAGEREF _Toc376945601 \h </w:instrText>
        </w:r>
        <w:r>
          <w:rPr>
            <w:noProof/>
            <w:webHidden/>
          </w:rPr>
        </w:r>
        <w:r>
          <w:rPr>
            <w:noProof/>
            <w:webHidden/>
          </w:rPr>
          <w:fldChar w:fldCharType="separate"/>
        </w:r>
        <w:r w:rsidR="00DD4EC4">
          <w:rPr>
            <w:noProof/>
            <w:webHidden/>
          </w:rPr>
          <w:t>43</w:t>
        </w:r>
        <w:r>
          <w:rPr>
            <w:noProof/>
            <w:webHidden/>
          </w:rPr>
          <w:fldChar w:fldCharType="end"/>
        </w:r>
      </w:hyperlink>
    </w:p>
    <w:p w:rsidR="00DC3B21" w:rsidRDefault="005F523F" w:rsidP="00164650">
      <w:pPr>
        <w:pStyle w:val="TOC2"/>
        <w:rPr>
          <w:rFonts w:asciiTheme="minorHAnsi" w:eastAsiaTheme="minorEastAsia" w:hAnsiTheme="minorHAnsi" w:cstheme="minorBidi"/>
          <w:noProof/>
        </w:rPr>
      </w:pPr>
      <w:hyperlink w:anchor="_Toc376945602" w:history="1">
        <w:r w:rsidR="00DC3B21" w:rsidRPr="00716AEF">
          <w:rPr>
            <w:rStyle w:val="Hyperlink"/>
            <w:noProof/>
          </w:rPr>
          <w:t>14.2</w:t>
        </w:r>
        <w:r w:rsidR="00DC3B21">
          <w:rPr>
            <w:rFonts w:asciiTheme="minorHAnsi" w:eastAsiaTheme="minorEastAsia" w:hAnsiTheme="minorHAnsi" w:cstheme="minorBidi"/>
            <w:noProof/>
          </w:rPr>
          <w:tab/>
        </w:r>
        <w:r w:rsidR="00DC3B21" w:rsidRPr="00716AEF">
          <w:rPr>
            <w:rStyle w:val="Hyperlink"/>
            <w:noProof/>
          </w:rPr>
          <w:t>Social infrastructure</w:t>
        </w:r>
        <w:r w:rsidR="00DC3B21">
          <w:rPr>
            <w:noProof/>
            <w:webHidden/>
          </w:rPr>
          <w:tab/>
        </w:r>
        <w:r>
          <w:rPr>
            <w:noProof/>
            <w:webHidden/>
          </w:rPr>
          <w:fldChar w:fldCharType="begin"/>
        </w:r>
        <w:r w:rsidR="00DC3B21">
          <w:rPr>
            <w:noProof/>
            <w:webHidden/>
          </w:rPr>
          <w:instrText xml:space="preserve"> PAGEREF _Toc376945602 \h </w:instrText>
        </w:r>
        <w:r>
          <w:rPr>
            <w:noProof/>
            <w:webHidden/>
          </w:rPr>
        </w:r>
        <w:r>
          <w:rPr>
            <w:noProof/>
            <w:webHidden/>
          </w:rPr>
          <w:fldChar w:fldCharType="separate"/>
        </w:r>
        <w:r w:rsidR="00DD4EC4">
          <w:rPr>
            <w:noProof/>
            <w:webHidden/>
          </w:rPr>
          <w:t>48</w:t>
        </w:r>
        <w:r>
          <w:rPr>
            <w:noProof/>
            <w:webHidden/>
          </w:rPr>
          <w:fldChar w:fldCharType="end"/>
        </w:r>
      </w:hyperlink>
    </w:p>
    <w:p w:rsidR="00DC3B21" w:rsidRDefault="005F523F" w:rsidP="00164650">
      <w:pPr>
        <w:pStyle w:val="TOC2"/>
        <w:rPr>
          <w:rFonts w:asciiTheme="minorHAnsi" w:eastAsiaTheme="minorEastAsia" w:hAnsiTheme="minorHAnsi" w:cstheme="minorBidi"/>
          <w:noProof/>
        </w:rPr>
      </w:pPr>
      <w:hyperlink w:anchor="_Toc376945603" w:history="1">
        <w:r w:rsidR="00DC3B21" w:rsidRPr="00716AEF">
          <w:rPr>
            <w:rStyle w:val="Hyperlink"/>
            <w:noProof/>
          </w:rPr>
          <w:t>14.3</w:t>
        </w:r>
        <w:r w:rsidR="00DC3B21">
          <w:rPr>
            <w:rFonts w:asciiTheme="minorHAnsi" w:eastAsiaTheme="minorEastAsia" w:hAnsiTheme="minorHAnsi" w:cstheme="minorBidi"/>
            <w:noProof/>
          </w:rPr>
          <w:tab/>
        </w:r>
        <w:r w:rsidR="00DC3B21" w:rsidRPr="00716AEF">
          <w:rPr>
            <w:rStyle w:val="Hyperlink"/>
            <w:noProof/>
          </w:rPr>
          <w:t>Energy, communications, water and waste</w:t>
        </w:r>
        <w:r w:rsidR="00DC3B21">
          <w:rPr>
            <w:noProof/>
            <w:webHidden/>
          </w:rPr>
          <w:tab/>
        </w:r>
        <w:r>
          <w:rPr>
            <w:noProof/>
            <w:webHidden/>
          </w:rPr>
          <w:fldChar w:fldCharType="begin"/>
        </w:r>
        <w:r w:rsidR="00DC3B21">
          <w:rPr>
            <w:noProof/>
            <w:webHidden/>
          </w:rPr>
          <w:instrText xml:space="preserve"> PAGEREF _Toc376945603 \h </w:instrText>
        </w:r>
        <w:r>
          <w:rPr>
            <w:noProof/>
            <w:webHidden/>
          </w:rPr>
        </w:r>
        <w:r>
          <w:rPr>
            <w:noProof/>
            <w:webHidden/>
          </w:rPr>
          <w:fldChar w:fldCharType="separate"/>
        </w:r>
        <w:r w:rsidR="00DD4EC4">
          <w:rPr>
            <w:noProof/>
            <w:webHidden/>
          </w:rPr>
          <w:t>50</w:t>
        </w:r>
        <w:r>
          <w:rPr>
            <w:noProof/>
            <w:webHidden/>
          </w:rPr>
          <w:fldChar w:fldCharType="end"/>
        </w:r>
      </w:hyperlink>
    </w:p>
    <w:p w:rsidR="00DC3B21" w:rsidRDefault="005F523F">
      <w:pPr>
        <w:pStyle w:val="TOC1"/>
        <w:rPr>
          <w:rFonts w:asciiTheme="minorHAnsi" w:eastAsiaTheme="minorEastAsia" w:hAnsiTheme="minorHAnsi" w:cstheme="minorBidi"/>
          <w:noProof/>
        </w:rPr>
      </w:pPr>
      <w:hyperlink w:anchor="_Toc376945604" w:history="1">
        <w:r w:rsidR="00DC3B21" w:rsidRPr="00716AEF">
          <w:rPr>
            <w:rStyle w:val="Hyperlink"/>
            <w:noProof/>
          </w:rPr>
          <w:t>PART D:</w:t>
        </w:r>
        <w:r w:rsidR="00DC3B21">
          <w:rPr>
            <w:rFonts w:asciiTheme="minorHAnsi" w:eastAsiaTheme="minorEastAsia" w:hAnsiTheme="minorHAnsi" w:cstheme="minorBidi"/>
            <w:noProof/>
          </w:rPr>
          <w:tab/>
        </w:r>
        <w:r w:rsidR="00DC3B21" w:rsidRPr="00716AEF">
          <w:rPr>
            <w:rStyle w:val="Hyperlink"/>
            <w:noProof/>
          </w:rPr>
          <w:t>REGIONAL GROWTH PLAN</w:t>
        </w:r>
        <w:r w:rsidR="00DC3B21">
          <w:rPr>
            <w:noProof/>
            <w:webHidden/>
          </w:rPr>
          <w:tab/>
        </w:r>
        <w:r>
          <w:rPr>
            <w:noProof/>
            <w:webHidden/>
          </w:rPr>
          <w:fldChar w:fldCharType="begin"/>
        </w:r>
        <w:r w:rsidR="00DC3B21">
          <w:rPr>
            <w:noProof/>
            <w:webHidden/>
          </w:rPr>
          <w:instrText xml:space="preserve"> PAGEREF _Toc376945604 \h </w:instrText>
        </w:r>
        <w:r>
          <w:rPr>
            <w:noProof/>
            <w:webHidden/>
          </w:rPr>
        </w:r>
        <w:r>
          <w:rPr>
            <w:noProof/>
            <w:webHidden/>
          </w:rPr>
          <w:fldChar w:fldCharType="separate"/>
        </w:r>
        <w:r w:rsidR="00DD4EC4">
          <w:rPr>
            <w:noProof/>
            <w:webHidden/>
          </w:rPr>
          <w:t>53</w:t>
        </w:r>
        <w:r>
          <w:rPr>
            <w:noProof/>
            <w:webHidden/>
          </w:rPr>
          <w:fldChar w:fldCharType="end"/>
        </w:r>
      </w:hyperlink>
    </w:p>
    <w:p w:rsidR="00DC3B21" w:rsidRDefault="005F523F">
      <w:pPr>
        <w:pStyle w:val="TOC1"/>
        <w:rPr>
          <w:rFonts w:asciiTheme="minorHAnsi" w:eastAsiaTheme="minorEastAsia" w:hAnsiTheme="minorHAnsi" w:cstheme="minorBidi"/>
          <w:noProof/>
        </w:rPr>
      </w:pPr>
      <w:hyperlink w:anchor="_Toc376945605" w:history="1">
        <w:r w:rsidR="00DC3B21" w:rsidRPr="00716AEF">
          <w:rPr>
            <w:rStyle w:val="Hyperlink"/>
            <w:noProof/>
          </w:rPr>
          <w:t>15.</w:t>
        </w:r>
        <w:r w:rsidR="00DC3B21">
          <w:rPr>
            <w:rFonts w:asciiTheme="minorHAnsi" w:eastAsiaTheme="minorEastAsia" w:hAnsiTheme="minorHAnsi" w:cstheme="minorBidi"/>
            <w:noProof/>
          </w:rPr>
          <w:tab/>
        </w:r>
        <w:r w:rsidR="00DC3B21" w:rsidRPr="00716AEF">
          <w:rPr>
            <w:rStyle w:val="Hyperlink"/>
            <w:noProof/>
          </w:rPr>
          <w:t>Future directions for regional growth</w:t>
        </w:r>
        <w:r w:rsidR="00DC3B21">
          <w:rPr>
            <w:noProof/>
            <w:webHidden/>
          </w:rPr>
          <w:tab/>
        </w:r>
        <w:r>
          <w:rPr>
            <w:noProof/>
            <w:webHidden/>
          </w:rPr>
          <w:fldChar w:fldCharType="begin"/>
        </w:r>
        <w:r w:rsidR="00DC3B21">
          <w:rPr>
            <w:noProof/>
            <w:webHidden/>
          </w:rPr>
          <w:instrText xml:space="preserve"> PAGEREF _Toc376945605 \h </w:instrText>
        </w:r>
        <w:r>
          <w:rPr>
            <w:noProof/>
            <w:webHidden/>
          </w:rPr>
        </w:r>
        <w:r>
          <w:rPr>
            <w:noProof/>
            <w:webHidden/>
          </w:rPr>
          <w:fldChar w:fldCharType="separate"/>
        </w:r>
        <w:r w:rsidR="00DD4EC4">
          <w:rPr>
            <w:noProof/>
            <w:webHidden/>
          </w:rPr>
          <w:t>53</w:t>
        </w:r>
        <w:r>
          <w:rPr>
            <w:noProof/>
            <w:webHidden/>
          </w:rPr>
          <w:fldChar w:fldCharType="end"/>
        </w:r>
      </w:hyperlink>
    </w:p>
    <w:p w:rsidR="00DC3B21" w:rsidRDefault="005F523F">
      <w:pPr>
        <w:pStyle w:val="TOC1"/>
        <w:rPr>
          <w:rFonts w:asciiTheme="minorHAnsi" w:eastAsiaTheme="minorEastAsia" w:hAnsiTheme="minorHAnsi" w:cstheme="minorBidi"/>
          <w:noProof/>
        </w:rPr>
      </w:pPr>
      <w:hyperlink w:anchor="_Toc376945606" w:history="1">
        <w:r w:rsidR="00DC3B21" w:rsidRPr="00716AEF">
          <w:rPr>
            <w:rStyle w:val="Hyperlink"/>
            <w:noProof/>
          </w:rPr>
          <w:t>PART E:</w:t>
        </w:r>
        <w:r w:rsidR="00DC3B21">
          <w:rPr>
            <w:rFonts w:asciiTheme="minorHAnsi" w:eastAsiaTheme="minorEastAsia" w:hAnsiTheme="minorHAnsi" w:cstheme="minorBidi"/>
            <w:noProof/>
          </w:rPr>
          <w:tab/>
        </w:r>
        <w:r w:rsidR="00DC3B21" w:rsidRPr="00716AEF">
          <w:rPr>
            <w:rStyle w:val="Hyperlink"/>
            <w:noProof/>
          </w:rPr>
          <w:t>DELIVERING REGIONAL GROWTH</w:t>
        </w:r>
        <w:r w:rsidR="00DC3B21">
          <w:rPr>
            <w:noProof/>
            <w:webHidden/>
          </w:rPr>
          <w:tab/>
        </w:r>
        <w:r>
          <w:rPr>
            <w:noProof/>
            <w:webHidden/>
          </w:rPr>
          <w:fldChar w:fldCharType="begin"/>
        </w:r>
        <w:r w:rsidR="00DC3B21">
          <w:rPr>
            <w:noProof/>
            <w:webHidden/>
          </w:rPr>
          <w:instrText xml:space="preserve"> PAGEREF _Toc376945606 \h </w:instrText>
        </w:r>
        <w:r>
          <w:rPr>
            <w:noProof/>
            <w:webHidden/>
          </w:rPr>
        </w:r>
        <w:r>
          <w:rPr>
            <w:noProof/>
            <w:webHidden/>
          </w:rPr>
          <w:fldChar w:fldCharType="separate"/>
        </w:r>
        <w:r w:rsidR="00DD4EC4">
          <w:rPr>
            <w:noProof/>
            <w:webHidden/>
          </w:rPr>
          <w:t>60</w:t>
        </w:r>
        <w:r>
          <w:rPr>
            <w:noProof/>
            <w:webHidden/>
          </w:rPr>
          <w:fldChar w:fldCharType="end"/>
        </w:r>
      </w:hyperlink>
    </w:p>
    <w:p w:rsidR="00DC3B21" w:rsidRDefault="005F523F">
      <w:pPr>
        <w:pStyle w:val="TOC1"/>
        <w:rPr>
          <w:rFonts w:asciiTheme="minorHAnsi" w:eastAsiaTheme="minorEastAsia" w:hAnsiTheme="minorHAnsi" w:cstheme="minorBidi"/>
          <w:noProof/>
        </w:rPr>
      </w:pPr>
      <w:hyperlink w:anchor="_Toc376945607" w:history="1">
        <w:r w:rsidR="00DC3B21" w:rsidRPr="00716AEF">
          <w:rPr>
            <w:rStyle w:val="Hyperlink"/>
            <w:noProof/>
          </w:rPr>
          <w:t>16.</w:t>
        </w:r>
        <w:r w:rsidR="00DC3B21">
          <w:rPr>
            <w:rFonts w:asciiTheme="minorHAnsi" w:eastAsiaTheme="minorEastAsia" w:hAnsiTheme="minorHAnsi" w:cstheme="minorBidi"/>
            <w:noProof/>
          </w:rPr>
          <w:tab/>
        </w:r>
        <w:r w:rsidR="00DC3B21" w:rsidRPr="00716AEF">
          <w:rPr>
            <w:rStyle w:val="Hyperlink"/>
            <w:noProof/>
          </w:rPr>
          <w:t>Implementation</w:t>
        </w:r>
        <w:r w:rsidR="00DC3B21">
          <w:rPr>
            <w:noProof/>
            <w:webHidden/>
          </w:rPr>
          <w:tab/>
        </w:r>
        <w:r>
          <w:rPr>
            <w:noProof/>
            <w:webHidden/>
          </w:rPr>
          <w:fldChar w:fldCharType="begin"/>
        </w:r>
        <w:r w:rsidR="00DC3B21">
          <w:rPr>
            <w:noProof/>
            <w:webHidden/>
          </w:rPr>
          <w:instrText xml:space="preserve"> PAGEREF _Toc376945607 \h </w:instrText>
        </w:r>
        <w:r>
          <w:rPr>
            <w:noProof/>
            <w:webHidden/>
          </w:rPr>
        </w:r>
        <w:r>
          <w:rPr>
            <w:noProof/>
            <w:webHidden/>
          </w:rPr>
          <w:fldChar w:fldCharType="separate"/>
        </w:r>
        <w:r w:rsidR="00DD4EC4">
          <w:rPr>
            <w:noProof/>
            <w:webHidden/>
          </w:rPr>
          <w:t>60</w:t>
        </w:r>
        <w:r>
          <w:rPr>
            <w:noProof/>
            <w:webHidden/>
          </w:rPr>
          <w:fldChar w:fldCharType="end"/>
        </w:r>
      </w:hyperlink>
    </w:p>
    <w:p w:rsidR="00DC3B21" w:rsidRDefault="005F523F" w:rsidP="00164650">
      <w:pPr>
        <w:pStyle w:val="TOC2"/>
        <w:rPr>
          <w:rFonts w:asciiTheme="minorHAnsi" w:eastAsiaTheme="minorEastAsia" w:hAnsiTheme="minorHAnsi" w:cstheme="minorBidi"/>
          <w:noProof/>
        </w:rPr>
      </w:pPr>
      <w:hyperlink w:anchor="_Toc376945608" w:history="1">
        <w:r w:rsidR="00DC3B21" w:rsidRPr="00716AEF">
          <w:rPr>
            <w:rStyle w:val="Hyperlink"/>
            <w:noProof/>
          </w:rPr>
          <w:t>16.1</w:t>
        </w:r>
        <w:r w:rsidR="00DC3B21">
          <w:rPr>
            <w:rFonts w:asciiTheme="minorHAnsi" w:eastAsiaTheme="minorEastAsia" w:hAnsiTheme="minorHAnsi" w:cstheme="minorBidi"/>
            <w:noProof/>
          </w:rPr>
          <w:tab/>
        </w:r>
        <w:r w:rsidR="00DC3B21" w:rsidRPr="00716AEF">
          <w:rPr>
            <w:rStyle w:val="Hyperlink"/>
            <w:noProof/>
          </w:rPr>
          <w:t>Planning schemes</w:t>
        </w:r>
        <w:r w:rsidR="00DC3B21">
          <w:rPr>
            <w:noProof/>
            <w:webHidden/>
          </w:rPr>
          <w:tab/>
        </w:r>
        <w:r>
          <w:rPr>
            <w:noProof/>
            <w:webHidden/>
          </w:rPr>
          <w:fldChar w:fldCharType="begin"/>
        </w:r>
        <w:r w:rsidR="00DC3B21">
          <w:rPr>
            <w:noProof/>
            <w:webHidden/>
          </w:rPr>
          <w:instrText xml:space="preserve"> PAGEREF _Toc376945608 \h </w:instrText>
        </w:r>
        <w:r>
          <w:rPr>
            <w:noProof/>
            <w:webHidden/>
          </w:rPr>
        </w:r>
        <w:r>
          <w:rPr>
            <w:noProof/>
            <w:webHidden/>
          </w:rPr>
          <w:fldChar w:fldCharType="separate"/>
        </w:r>
        <w:r w:rsidR="00DD4EC4">
          <w:rPr>
            <w:noProof/>
            <w:webHidden/>
          </w:rPr>
          <w:t>60</w:t>
        </w:r>
        <w:r>
          <w:rPr>
            <w:noProof/>
            <w:webHidden/>
          </w:rPr>
          <w:fldChar w:fldCharType="end"/>
        </w:r>
      </w:hyperlink>
    </w:p>
    <w:p w:rsidR="00DC3B21" w:rsidRDefault="005F523F" w:rsidP="00164650">
      <w:pPr>
        <w:pStyle w:val="TOC2"/>
        <w:rPr>
          <w:rFonts w:asciiTheme="minorHAnsi" w:eastAsiaTheme="minorEastAsia" w:hAnsiTheme="minorHAnsi" w:cstheme="minorBidi"/>
          <w:noProof/>
        </w:rPr>
      </w:pPr>
      <w:hyperlink w:anchor="_Toc376945609" w:history="1">
        <w:r w:rsidR="00DC3B21" w:rsidRPr="00716AEF">
          <w:rPr>
            <w:rStyle w:val="Hyperlink"/>
            <w:noProof/>
          </w:rPr>
          <w:t>16.2</w:t>
        </w:r>
        <w:r w:rsidR="00DC3B21">
          <w:rPr>
            <w:rFonts w:asciiTheme="minorHAnsi" w:eastAsiaTheme="minorEastAsia" w:hAnsiTheme="minorHAnsi" w:cstheme="minorBidi"/>
            <w:noProof/>
          </w:rPr>
          <w:tab/>
        </w:r>
        <w:r w:rsidR="00DC3B21" w:rsidRPr="00716AEF">
          <w:rPr>
            <w:rStyle w:val="Hyperlink"/>
            <w:noProof/>
          </w:rPr>
          <w:t>Links to Regional Strategic Plan implementation</w:t>
        </w:r>
        <w:r w:rsidR="00DC3B21">
          <w:rPr>
            <w:noProof/>
            <w:webHidden/>
          </w:rPr>
          <w:tab/>
        </w:r>
        <w:r>
          <w:rPr>
            <w:noProof/>
            <w:webHidden/>
          </w:rPr>
          <w:fldChar w:fldCharType="begin"/>
        </w:r>
        <w:r w:rsidR="00DC3B21">
          <w:rPr>
            <w:noProof/>
            <w:webHidden/>
          </w:rPr>
          <w:instrText xml:space="preserve"> PAGEREF _Toc376945609 \h </w:instrText>
        </w:r>
        <w:r>
          <w:rPr>
            <w:noProof/>
            <w:webHidden/>
          </w:rPr>
        </w:r>
        <w:r>
          <w:rPr>
            <w:noProof/>
            <w:webHidden/>
          </w:rPr>
          <w:fldChar w:fldCharType="separate"/>
        </w:r>
        <w:r w:rsidR="00DD4EC4">
          <w:rPr>
            <w:noProof/>
            <w:webHidden/>
          </w:rPr>
          <w:t>60</w:t>
        </w:r>
        <w:r>
          <w:rPr>
            <w:noProof/>
            <w:webHidden/>
          </w:rPr>
          <w:fldChar w:fldCharType="end"/>
        </w:r>
      </w:hyperlink>
    </w:p>
    <w:p w:rsidR="00DC3B21" w:rsidRDefault="005F523F" w:rsidP="00164650">
      <w:pPr>
        <w:pStyle w:val="TOC2"/>
        <w:rPr>
          <w:rFonts w:asciiTheme="minorHAnsi" w:eastAsiaTheme="minorEastAsia" w:hAnsiTheme="minorHAnsi" w:cstheme="minorBidi"/>
          <w:noProof/>
        </w:rPr>
      </w:pPr>
      <w:hyperlink w:anchor="_Toc376945610" w:history="1">
        <w:r w:rsidR="00DC3B21" w:rsidRPr="00716AEF">
          <w:rPr>
            <w:rStyle w:val="Hyperlink"/>
            <w:noProof/>
          </w:rPr>
          <w:t>16.3</w:t>
        </w:r>
        <w:r w:rsidR="00DC3B21">
          <w:rPr>
            <w:rFonts w:asciiTheme="minorHAnsi" w:eastAsiaTheme="minorEastAsia" w:hAnsiTheme="minorHAnsi" w:cstheme="minorBidi"/>
            <w:noProof/>
          </w:rPr>
          <w:tab/>
        </w:r>
        <w:r w:rsidR="00DC3B21" w:rsidRPr="00716AEF">
          <w:rPr>
            <w:rStyle w:val="Hyperlink"/>
            <w:noProof/>
          </w:rPr>
          <w:t>A plan for implementation of actions</w:t>
        </w:r>
        <w:r w:rsidR="00DC3B21">
          <w:rPr>
            <w:noProof/>
            <w:webHidden/>
          </w:rPr>
          <w:tab/>
        </w:r>
        <w:r>
          <w:rPr>
            <w:noProof/>
            <w:webHidden/>
          </w:rPr>
          <w:fldChar w:fldCharType="begin"/>
        </w:r>
        <w:r w:rsidR="00DC3B21">
          <w:rPr>
            <w:noProof/>
            <w:webHidden/>
          </w:rPr>
          <w:instrText xml:space="preserve"> PAGEREF _Toc376945610 \h </w:instrText>
        </w:r>
        <w:r>
          <w:rPr>
            <w:noProof/>
            <w:webHidden/>
          </w:rPr>
        </w:r>
        <w:r>
          <w:rPr>
            <w:noProof/>
            <w:webHidden/>
          </w:rPr>
          <w:fldChar w:fldCharType="separate"/>
        </w:r>
        <w:r w:rsidR="00DD4EC4">
          <w:rPr>
            <w:noProof/>
            <w:webHidden/>
          </w:rPr>
          <w:t>61</w:t>
        </w:r>
        <w:r>
          <w:rPr>
            <w:noProof/>
            <w:webHidden/>
          </w:rPr>
          <w:fldChar w:fldCharType="end"/>
        </w:r>
      </w:hyperlink>
    </w:p>
    <w:p w:rsidR="00DC3B21" w:rsidRDefault="005F523F" w:rsidP="00164650">
      <w:pPr>
        <w:pStyle w:val="TOC2"/>
        <w:rPr>
          <w:rFonts w:asciiTheme="minorHAnsi" w:eastAsiaTheme="minorEastAsia" w:hAnsiTheme="minorHAnsi" w:cstheme="minorBidi"/>
          <w:noProof/>
        </w:rPr>
      </w:pPr>
      <w:hyperlink w:anchor="_Toc376945611" w:history="1">
        <w:r w:rsidR="00DC3B21" w:rsidRPr="00716AEF">
          <w:rPr>
            <w:rStyle w:val="Hyperlink"/>
            <w:noProof/>
          </w:rPr>
          <w:t>16.4</w:t>
        </w:r>
        <w:r w:rsidR="00DC3B21">
          <w:rPr>
            <w:rFonts w:asciiTheme="minorHAnsi" w:eastAsiaTheme="minorEastAsia" w:hAnsiTheme="minorHAnsi" w:cstheme="minorBidi"/>
            <w:noProof/>
          </w:rPr>
          <w:tab/>
        </w:r>
        <w:r w:rsidR="00DC3B21" w:rsidRPr="00716AEF">
          <w:rPr>
            <w:rStyle w:val="Hyperlink"/>
            <w:noProof/>
          </w:rPr>
          <w:t>Review and performance</w:t>
        </w:r>
        <w:r w:rsidR="00DC3B21">
          <w:rPr>
            <w:noProof/>
            <w:webHidden/>
          </w:rPr>
          <w:tab/>
        </w:r>
        <w:r>
          <w:rPr>
            <w:noProof/>
            <w:webHidden/>
          </w:rPr>
          <w:fldChar w:fldCharType="begin"/>
        </w:r>
        <w:r w:rsidR="00DC3B21">
          <w:rPr>
            <w:noProof/>
            <w:webHidden/>
          </w:rPr>
          <w:instrText xml:space="preserve"> PAGEREF _Toc376945611 \h </w:instrText>
        </w:r>
        <w:r>
          <w:rPr>
            <w:noProof/>
            <w:webHidden/>
          </w:rPr>
        </w:r>
        <w:r>
          <w:rPr>
            <w:noProof/>
            <w:webHidden/>
          </w:rPr>
          <w:fldChar w:fldCharType="separate"/>
        </w:r>
        <w:r w:rsidR="00DD4EC4">
          <w:rPr>
            <w:noProof/>
            <w:webHidden/>
          </w:rPr>
          <w:t>66</w:t>
        </w:r>
        <w:r>
          <w:rPr>
            <w:noProof/>
            <w:webHidden/>
          </w:rPr>
          <w:fldChar w:fldCharType="end"/>
        </w:r>
      </w:hyperlink>
    </w:p>
    <w:p w:rsidR="00DC3B21" w:rsidRDefault="005F523F" w:rsidP="00164650">
      <w:pPr>
        <w:pStyle w:val="TOC2"/>
        <w:rPr>
          <w:rFonts w:asciiTheme="minorHAnsi" w:eastAsiaTheme="minorEastAsia" w:hAnsiTheme="minorHAnsi" w:cstheme="minorBidi"/>
          <w:noProof/>
        </w:rPr>
      </w:pPr>
      <w:hyperlink w:anchor="_Toc376945612" w:history="1">
        <w:r w:rsidR="00DC3B21" w:rsidRPr="00716AEF">
          <w:rPr>
            <w:rStyle w:val="Hyperlink"/>
            <w:noProof/>
          </w:rPr>
          <w:t>16.5</w:t>
        </w:r>
        <w:r w:rsidR="00DC3B21">
          <w:rPr>
            <w:rFonts w:asciiTheme="minorHAnsi" w:eastAsiaTheme="minorEastAsia" w:hAnsiTheme="minorHAnsi" w:cstheme="minorBidi"/>
            <w:noProof/>
          </w:rPr>
          <w:tab/>
        </w:r>
        <w:r w:rsidR="00DC3B21" w:rsidRPr="00716AEF">
          <w:rPr>
            <w:rStyle w:val="Hyperlink"/>
            <w:noProof/>
          </w:rPr>
          <w:t>Implementation summary</w:t>
        </w:r>
        <w:r w:rsidR="00DC3B21">
          <w:rPr>
            <w:noProof/>
            <w:webHidden/>
          </w:rPr>
          <w:tab/>
        </w:r>
        <w:r>
          <w:rPr>
            <w:noProof/>
            <w:webHidden/>
          </w:rPr>
          <w:fldChar w:fldCharType="begin"/>
        </w:r>
        <w:r w:rsidR="00DC3B21">
          <w:rPr>
            <w:noProof/>
            <w:webHidden/>
          </w:rPr>
          <w:instrText xml:space="preserve"> PAGEREF _Toc376945612 \h </w:instrText>
        </w:r>
        <w:r>
          <w:rPr>
            <w:noProof/>
            <w:webHidden/>
          </w:rPr>
        </w:r>
        <w:r>
          <w:rPr>
            <w:noProof/>
            <w:webHidden/>
          </w:rPr>
          <w:fldChar w:fldCharType="separate"/>
        </w:r>
        <w:r w:rsidR="00DD4EC4">
          <w:rPr>
            <w:noProof/>
            <w:webHidden/>
          </w:rPr>
          <w:t>66</w:t>
        </w:r>
        <w:r>
          <w:rPr>
            <w:noProof/>
            <w:webHidden/>
          </w:rPr>
          <w:fldChar w:fldCharType="end"/>
        </w:r>
      </w:hyperlink>
    </w:p>
    <w:p w:rsidR="00DC3B21" w:rsidRDefault="005F523F">
      <w:pPr>
        <w:pStyle w:val="TOC1"/>
        <w:rPr>
          <w:rFonts w:asciiTheme="minorHAnsi" w:eastAsiaTheme="minorEastAsia" w:hAnsiTheme="minorHAnsi" w:cstheme="minorBidi"/>
          <w:noProof/>
        </w:rPr>
      </w:pPr>
      <w:hyperlink w:anchor="_Toc376945613" w:history="1">
        <w:r w:rsidR="00DC3B21" w:rsidRPr="00716AEF">
          <w:rPr>
            <w:rStyle w:val="Hyperlink"/>
            <w:noProof/>
          </w:rPr>
          <w:t>Glossary</w:t>
        </w:r>
        <w:r w:rsidR="00DC3B21">
          <w:rPr>
            <w:noProof/>
            <w:webHidden/>
          </w:rPr>
          <w:tab/>
        </w:r>
        <w:r w:rsidR="00EC3FB7">
          <w:rPr>
            <w:noProof/>
            <w:webHidden/>
          </w:rPr>
          <w:tab/>
        </w:r>
        <w:r>
          <w:rPr>
            <w:noProof/>
            <w:webHidden/>
          </w:rPr>
          <w:fldChar w:fldCharType="begin"/>
        </w:r>
        <w:r w:rsidR="00DC3B21">
          <w:rPr>
            <w:noProof/>
            <w:webHidden/>
          </w:rPr>
          <w:instrText xml:space="preserve"> PAGEREF _Toc376945613 \h </w:instrText>
        </w:r>
        <w:r>
          <w:rPr>
            <w:noProof/>
            <w:webHidden/>
          </w:rPr>
        </w:r>
        <w:r>
          <w:rPr>
            <w:noProof/>
            <w:webHidden/>
          </w:rPr>
          <w:fldChar w:fldCharType="separate"/>
        </w:r>
        <w:r w:rsidR="00DD4EC4">
          <w:rPr>
            <w:noProof/>
            <w:webHidden/>
          </w:rPr>
          <w:t>68</w:t>
        </w:r>
        <w:r>
          <w:rPr>
            <w:noProof/>
            <w:webHidden/>
          </w:rPr>
          <w:fldChar w:fldCharType="end"/>
        </w:r>
      </w:hyperlink>
    </w:p>
    <w:p w:rsidR="00267EB0" w:rsidRPr="00CB54A1" w:rsidRDefault="005F523F" w:rsidP="008A4515">
      <w:pPr>
        <w:pStyle w:val="Headingorange"/>
      </w:pPr>
      <w:r w:rsidRPr="00ED22A2">
        <w:rPr>
          <w:rFonts w:eastAsia="Calibri"/>
          <w:szCs w:val="20"/>
          <w:lang w:eastAsia="en-US"/>
        </w:rPr>
        <w:fldChar w:fldCharType="end"/>
      </w:r>
      <w:r w:rsidR="00267EB0" w:rsidRPr="00CB54A1">
        <w:t>Figures</w:t>
      </w:r>
    </w:p>
    <w:p w:rsidR="007E2D02" w:rsidRDefault="005F523F">
      <w:pPr>
        <w:pStyle w:val="TableofFigures"/>
        <w:tabs>
          <w:tab w:val="right" w:leader="dot" w:pos="9016"/>
        </w:tabs>
        <w:rPr>
          <w:rFonts w:eastAsiaTheme="minorEastAsia" w:cstheme="minorBidi"/>
          <w:noProof/>
        </w:rPr>
      </w:pPr>
      <w:r w:rsidRPr="000A277C">
        <w:rPr>
          <w:szCs w:val="20"/>
        </w:rPr>
        <w:fldChar w:fldCharType="begin"/>
      </w:r>
      <w:r w:rsidR="00714875" w:rsidRPr="000A277C">
        <w:rPr>
          <w:szCs w:val="20"/>
        </w:rPr>
        <w:instrText xml:space="preserve"> TOC \c "Figure" </w:instrText>
      </w:r>
      <w:r w:rsidRPr="000A277C">
        <w:rPr>
          <w:szCs w:val="20"/>
        </w:rPr>
        <w:fldChar w:fldCharType="separate"/>
      </w:r>
      <w:r w:rsidR="007E2D02">
        <w:rPr>
          <w:noProof/>
        </w:rPr>
        <w:t xml:space="preserve">Figure 1: </w:t>
      </w:r>
      <w:r w:rsidR="007E2D02" w:rsidRPr="00EF0F2C">
        <w:rPr>
          <w:noProof/>
        </w:rPr>
        <w:t>Where does the regional growth plan fit?</w:t>
      </w:r>
      <w:r w:rsidR="007E2D02">
        <w:rPr>
          <w:noProof/>
        </w:rPr>
        <w:tab/>
      </w:r>
      <w:r>
        <w:rPr>
          <w:noProof/>
        </w:rPr>
        <w:fldChar w:fldCharType="begin"/>
      </w:r>
      <w:r w:rsidR="007E2D02">
        <w:rPr>
          <w:noProof/>
        </w:rPr>
        <w:instrText xml:space="preserve"> PAGEREF _Toc374434734 \h </w:instrText>
      </w:r>
      <w:r>
        <w:rPr>
          <w:noProof/>
        </w:rPr>
      </w:r>
      <w:r>
        <w:rPr>
          <w:noProof/>
        </w:rPr>
        <w:fldChar w:fldCharType="separate"/>
      </w:r>
      <w:r w:rsidR="00DD4EC4">
        <w:rPr>
          <w:noProof/>
        </w:rPr>
        <w:t>2</w:t>
      </w:r>
      <w:r>
        <w:rPr>
          <w:noProof/>
        </w:rPr>
        <w:fldChar w:fldCharType="end"/>
      </w:r>
    </w:p>
    <w:p w:rsidR="007E2D02" w:rsidRDefault="007E2D02">
      <w:pPr>
        <w:pStyle w:val="TableofFigures"/>
        <w:tabs>
          <w:tab w:val="right" w:leader="dot" w:pos="9016"/>
        </w:tabs>
        <w:rPr>
          <w:rFonts w:eastAsiaTheme="minorEastAsia" w:cstheme="minorBidi"/>
          <w:noProof/>
        </w:rPr>
      </w:pPr>
      <w:r>
        <w:rPr>
          <w:noProof/>
        </w:rPr>
        <w:t xml:space="preserve">Figure 2: </w:t>
      </w:r>
      <w:r w:rsidRPr="00EF0F2C">
        <w:rPr>
          <w:noProof/>
        </w:rPr>
        <w:t>Hume Regional Growth Plan process</w:t>
      </w:r>
      <w:r>
        <w:rPr>
          <w:noProof/>
        </w:rPr>
        <w:tab/>
      </w:r>
      <w:r w:rsidR="005F523F">
        <w:rPr>
          <w:noProof/>
        </w:rPr>
        <w:fldChar w:fldCharType="begin"/>
      </w:r>
      <w:r>
        <w:rPr>
          <w:noProof/>
        </w:rPr>
        <w:instrText xml:space="preserve"> PAGEREF _Toc374434735 \h </w:instrText>
      </w:r>
      <w:r w:rsidR="005F523F">
        <w:rPr>
          <w:noProof/>
        </w:rPr>
      </w:r>
      <w:r w:rsidR="005F523F">
        <w:rPr>
          <w:noProof/>
        </w:rPr>
        <w:fldChar w:fldCharType="separate"/>
      </w:r>
      <w:r w:rsidR="00DD4EC4">
        <w:rPr>
          <w:noProof/>
        </w:rPr>
        <w:t>3</w:t>
      </w:r>
      <w:r w:rsidR="005F523F">
        <w:rPr>
          <w:noProof/>
        </w:rPr>
        <w:fldChar w:fldCharType="end"/>
      </w:r>
    </w:p>
    <w:p w:rsidR="007E2D02" w:rsidRDefault="007E2D02">
      <w:pPr>
        <w:pStyle w:val="TableofFigures"/>
        <w:tabs>
          <w:tab w:val="right" w:leader="dot" w:pos="9016"/>
        </w:tabs>
        <w:rPr>
          <w:rFonts w:eastAsiaTheme="minorEastAsia" w:cstheme="minorBidi"/>
          <w:noProof/>
        </w:rPr>
      </w:pPr>
      <w:r>
        <w:rPr>
          <w:noProof/>
        </w:rPr>
        <w:t xml:space="preserve">Figure 3: </w:t>
      </w:r>
      <w:r w:rsidRPr="00EF0F2C">
        <w:rPr>
          <w:noProof/>
        </w:rPr>
        <w:t>Hume Regional Growth Plan – key products and inputs</w:t>
      </w:r>
      <w:r>
        <w:rPr>
          <w:noProof/>
        </w:rPr>
        <w:tab/>
      </w:r>
      <w:r w:rsidR="005F523F">
        <w:rPr>
          <w:noProof/>
        </w:rPr>
        <w:fldChar w:fldCharType="begin"/>
      </w:r>
      <w:r>
        <w:rPr>
          <w:noProof/>
        </w:rPr>
        <w:instrText xml:space="preserve"> PAGEREF _Toc374434736 \h </w:instrText>
      </w:r>
      <w:r w:rsidR="005F523F">
        <w:rPr>
          <w:noProof/>
        </w:rPr>
      </w:r>
      <w:r w:rsidR="005F523F">
        <w:rPr>
          <w:noProof/>
        </w:rPr>
        <w:fldChar w:fldCharType="separate"/>
      </w:r>
      <w:r w:rsidR="00DD4EC4">
        <w:rPr>
          <w:noProof/>
        </w:rPr>
        <w:t>4</w:t>
      </w:r>
      <w:r w:rsidR="005F523F">
        <w:rPr>
          <w:noProof/>
        </w:rPr>
        <w:fldChar w:fldCharType="end"/>
      </w:r>
    </w:p>
    <w:p w:rsidR="007E2D02" w:rsidRDefault="007E2D02">
      <w:pPr>
        <w:pStyle w:val="TableofFigures"/>
        <w:tabs>
          <w:tab w:val="right" w:leader="dot" w:pos="9016"/>
        </w:tabs>
        <w:rPr>
          <w:rFonts w:eastAsiaTheme="minorEastAsia" w:cstheme="minorBidi"/>
          <w:noProof/>
        </w:rPr>
      </w:pPr>
      <w:r>
        <w:rPr>
          <w:noProof/>
        </w:rPr>
        <w:t xml:space="preserve">Figure 4: </w:t>
      </w:r>
      <w:r w:rsidRPr="00EF0F2C">
        <w:rPr>
          <w:noProof/>
        </w:rPr>
        <w:t>Summary of the vision for growth in 2041</w:t>
      </w:r>
      <w:r>
        <w:rPr>
          <w:noProof/>
        </w:rPr>
        <w:tab/>
      </w:r>
      <w:r w:rsidR="005F523F">
        <w:rPr>
          <w:noProof/>
        </w:rPr>
        <w:fldChar w:fldCharType="begin"/>
      </w:r>
      <w:r>
        <w:rPr>
          <w:noProof/>
        </w:rPr>
        <w:instrText xml:space="preserve"> PAGEREF _Toc374434737 \h </w:instrText>
      </w:r>
      <w:r w:rsidR="005F523F">
        <w:rPr>
          <w:noProof/>
        </w:rPr>
      </w:r>
      <w:r w:rsidR="005F523F">
        <w:rPr>
          <w:noProof/>
        </w:rPr>
        <w:fldChar w:fldCharType="separate"/>
      </w:r>
      <w:r w:rsidR="00DD4EC4">
        <w:rPr>
          <w:noProof/>
        </w:rPr>
        <w:t>11</w:t>
      </w:r>
      <w:r w:rsidR="005F523F">
        <w:rPr>
          <w:noProof/>
        </w:rPr>
        <w:fldChar w:fldCharType="end"/>
      </w:r>
    </w:p>
    <w:p w:rsidR="007E2D02" w:rsidRDefault="007E2D02">
      <w:pPr>
        <w:pStyle w:val="TableofFigures"/>
        <w:tabs>
          <w:tab w:val="right" w:leader="dot" w:pos="9016"/>
        </w:tabs>
        <w:rPr>
          <w:rFonts w:eastAsiaTheme="minorEastAsia" w:cstheme="minorBidi"/>
          <w:noProof/>
        </w:rPr>
      </w:pPr>
      <w:r>
        <w:rPr>
          <w:noProof/>
        </w:rPr>
        <w:t xml:space="preserve">Figure 5: </w:t>
      </w:r>
      <w:r w:rsidRPr="00EF0F2C">
        <w:rPr>
          <w:noProof/>
        </w:rPr>
        <w:t>Hume Strategy partnership governance structure and regional growth plan implementation</w:t>
      </w:r>
      <w:r>
        <w:rPr>
          <w:noProof/>
        </w:rPr>
        <w:tab/>
      </w:r>
      <w:r w:rsidR="005F523F">
        <w:rPr>
          <w:noProof/>
        </w:rPr>
        <w:fldChar w:fldCharType="begin"/>
      </w:r>
      <w:r>
        <w:rPr>
          <w:noProof/>
        </w:rPr>
        <w:instrText xml:space="preserve"> PAGEREF _Toc374434738 \h </w:instrText>
      </w:r>
      <w:r w:rsidR="005F523F">
        <w:rPr>
          <w:noProof/>
        </w:rPr>
      </w:r>
      <w:r w:rsidR="005F523F">
        <w:rPr>
          <w:noProof/>
        </w:rPr>
        <w:fldChar w:fldCharType="separate"/>
      </w:r>
      <w:r w:rsidR="00DD4EC4">
        <w:rPr>
          <w:noProof/>
        </w:rPr>
        <w:t>60</w:t>
      </w:r>
      <w:r w:rsidR="005F523F">
        <w:rPr>
          <w:noProof/>
        </w:rPr>
        <w:fldChar w:fldCharType="end"/>
      </w:r>
    </w:p>
    <w:p w:rsidR="007D32F1" w:rsidRDefault="005F523F" w:rsidP="006E3B97">
      <w:pPr>
        <w:pStyle w:val="TableofFigures"/>
        <w:tabs>
          <w:tab w:val="right" w:leader="dot" w:pos="9016"/>
        </w:tabs>
        <w:rPr>
          <w:szCs w:val="20"/>
        </w:rPr>
      </w:pPr>
      <w:r w:rsidRPr="000A277C">
        <w:rPr>
          <w:szCs w:val="20"/>
        </w:rPr>
        <w:fldChar w:fldCharType="end"/>
      </w:r>
    </w:p>
    <w:p w:rsidR="00E02F62" w:rsidRPr="00CB54A1" w:rsidRDefault="00F32A1B" w:rsidP="00B06523">
      <w:pPr>
        <w:pStyle w:val="Headingorange"/>
        <w:tabs>
          <w:tab w:val="left" w:pos="2200"/>
        </w:tabs>
      </w:pPr>
      <w:r w:rsidRPr="00CB54A1">
        <w:t>Tables</w:t>
      </w:r>
    </w:p>
    <w:p w:rsidR="007D32F1" w:rsidRDefault="005F523F">
      <w:pPr>
        <w:pStyle w:val="TableofFigures"/>
        <w:tabs>
          <w:tab w:val="right" w:leader="dot" w:pos="9016"/>
        </w:tabs>
        <w:rPr>
          <w:rFonts w:eastAsiaTheme="minorEastAsia" w:cstheme="minorBidi"/>
          <w:noProof/>
        </w:rPr>
      </w:pPr>
      <w:r w:rsidRPr="005F523F">
        <w:rPr>
          <w:rFonts w:eastAsia="Calibri"/>
          <w:sz w:val="20"/>
          <w:szCs w:val="20"/>
          <w:highlight w:val="yellow"/>
          <w:lang w:eastAsia="en-US"/>
        </w:rPr>
        <w:fldChar w:fldCharType="begin"/>
      </w:r>
      <w:r w:rsidR="000C6B14">
        <w:rPr>
          <w:sz w:val="20"/>
          <w:szCs w:val="20"/>
          <w:highlight w:val="yellow"/>
        </w:rPr>
        <w:instrText xml:space="preserve"> TOC \c "Table" </w:instrText>
      </w:r>
      <w:r w:rsidRPr="005F523F">
        <w:rPr>
          <w:rFonts w:eastAsia="Calibri"/>
          <w:sz w:val="20"/>
          <w:szCs w:val="20"/>
          <w:highlight w:val="yellow"/>
          <w:lang w:eastAsia="en-US"/>
        </w:rPr>
        <w:fldChar w:fldCharType="separate"/>
      </w:r>
      <w:r w:rsidR="007D32F1">
        <w:rPr>
          <w:noProof/>
        </w:rPr>
        <w:t xml:space="preserve">Table 1: </w:t>
      </w:r>
      <w:r w:rsidR="007D32F1" w:rsidRPr="002C1B23">
        <w:rPr>
          <w:noProof/>
        </w:rPr>
        <w:t>Projected population</w:t>
      </w:r>
      <w:r w:rsidR="007D32F1">
        <w:rPr>
          <w:noProof/>
        </w:rPr>
        <w:tab/>
      </w:r>
      <w:r>
        <w:rPr>
          <w:noProof/>
        </w:rPr>
        <w:fldChar w:fldCharType="begin"/>
      </w:r>
      <w:r w:rsidR="007D32F1">
        <w:rPr>
          <w:noProof/>
        </w:rPr>
        <w:instrText xml:space="preserve"> PAGEREF _Toc373414220 \h </w:instrText>
      </w:r>
      <w:r>
        <w:rPr>
          <w:noProof/>
        </w:rPr>
      </w:r>
      <w:r>
        <w:rPr>
          <w:noProof/>
        </w:rPr>
        <w:fldChar w:fldCharType="separate"/>
      </w:r>
      <w:r w:rsidR="00DD4EC4">
        <w:rPr>
          <w:noProof/>
        </w:rPr>
        <w:t>6</w:t>
      </w:r>
      <w:r>
        <w:rPr>
          <w:noProof/>
        </w:rPr>
        <w:fldChar w:fldCharType="end"/>
      </w:r>
    </w:p>
    <w:p w:rsidR="007D32F1" w:rsidRDefault="007D32F1">
      <w:pPr>
        <w:pStyle w:val="TableofFigures"/>
        <w:tabs>
          <w:tab w:val="right" w:leader="dot" w:pos="9016"/>
        </w:tabs>
        <w:rPr>
          <w:rFonts w:eastAsiaTheme="minorEastAsia" w:cstheme="minorBidi"/>
          <w:noProof/>
        </w:rPr>
      </w:pPr>
      <w:r>
        <w:rPr>
          <w:noProof/>
        </w:rPr>
        <w:t xml:space="preserve">Table 2: </w:t>
      </w:r>
      <w:r w:rsidRPr="002C1B23">
        <w:rPr>
          <w:noProof/>
        </w:rPr>
        <w:t>Growth corridors – Shepparton</w:t>
      </w:r>
      <w:r>
        <w:rPr>
          <w:noProof/>
        </w:rPr>
        <w:tab/>
      </w:r>
      <w:r w:rsidR="005F523F">
        <w:rPr>
          <w:noProof/>
        </w:rPr>
        <w:fldChar w:fldCharType="begin"/>
      </w:r>
      <w:r>
        <w:rPr>
          <w:noProof/>
        </w:rPr>
        <w:instrText xml:space="preserve"> PAGEREF _Toc373414221 \h </w:instrText>
      </w:r>
      <w:r w:rsidR="005F523F">
        <w:rPr>
          <w:noProof/>
        </w:rPr>
      </w:r>
      <w:r w:rsidR="005F523F">
        <w:rPr>
          <w:noProof/>
        </w:rPr>
        <w:fldChar w:fldCharType="separate"/>
      </w:r>
      <w:r w:rsidR="00DD4EC4">
        <w:rPr>
          <w:noProof/>
        </w:rPr>
        <w:t>32</w:t>
      </w:r>
      <w:r w:rsidR="005F523F">
        <w:rPr>
          <w:noProof/>
        </w:rPr>
        <w:fldChar w:fldCharType="end"/>
      </w:r>
    </w:p>
    <w:p w:rsidR="007D32F1" w:rsidRDefault="007D32F1">
      <w:pPr>
        <w:pStyle w:val="TableofFigures"/>
        <w:tabs>
          <w:tab w:val="right" w:leader="dot" w:pos="9016"/>
        </w:tabs>
        <w:rPr>
          <w:rFonts w:eastAsiaTheme="minorEastAsia" w:cstheme="minorBidi"/>
          <w:noProof/>
        </w:rPr>
      </w:pPr>
      <w:r>
        <w:rPr>
          <w:noProof/>
        </w:rPr>
        <w:t xml:space="preserve">Table 3: </w:t>
      </w:r>
      <w:r w:rsidRPr="002C1B23">
        <w:rPr>
          <w:noProof/>
        </w:rPr>
        <w:t>State significant land uses present within Melbourne’s peri-urban region</w:t>
      </w:r>
      <w:r>
        <w:rPr>
          <w:noProof/>
        </w:rPr>
        <w:tab/>
      </w:r>
      <w:r w:rsidR="005F523F">
        <w:rPr>
          <w:noProof/>
        </w:rPr>
        <w:fldChar w:fldCharType="begin"/>
      </w:r>
      <w:r>
        <w:rPr>
          <w:noProof/>
        </w:rPr>
        <w:instrText xml:space="preserve"> PAGEREF _Toc373414222 \h </w:instrText>
      </w:r>
      <w:r w:rsidR="005F523F">
        <w:rPr>
          <w:noProof/>
        </w:rPr>
      </w:r>
      <w:r w:rsidR="005F523F">
        <w:rPr>
          <w:noProof/>
        </w:rPr>
        <w:fldChar w:fldCharType="separate"/>
      </w:r>
      <w:r w:rsidR="00DD4EC4">
        <w:rPr>
          <w:noProof/>
        </w:rPr>
        <w:t>41</w:t>
      </w:r>
      <w:r w:rsidR="005F523F">
        <w:rPr>
          <w:noProof/>
        </w:rPr>
        <w:fldChar w:fldCharType="end"/>
      </w:r>
    </w:p>
    <w:p w:rsidR="007D32F1" w:rsidRDefault="007D32F1">
      <w:pPr>
        <w:pStyle w:val="TableofFigures"/>
        <w:tabs>
          <w:tab w:val="right" w:leader="dot" w:pos="9016"/>
        </w:tabs>
        <w:rPr>
          <w:rFonts w:eastAsiaTheme="minorEastAsia" w:cstheme="minorBidi"/>
          <w:noProof/>
        </w:rPr>
      </w:pPr>
      <w:r>
        <w:rPr>
          <w:noProof/>
        </w:rPr>
        <w:t xml:space="preserve">Table 4: </w:t>
      </w:r>
      <w:r w:rsidRPr="002C1B23">
        <w:rPr>
          <w:noProof/>
        </w:rPr>
        <w:t>Strategies</w:t>
      </w:r>
      <w:r>
        <w:rPr>
          <w:noProof/>
        </w:rPr>
        <w:tab/>
      </w:r>
      <w:r w:rsidR="005F523F">
        <w:rPr>
          <w:noProof/>
        </w:rPr>
        <w:fldChar w:fldCharType="begin"/>
      </w:r>
      <w:r>
        <w:rPr>
          <w:noProof/>
        </w:rPr>
        <w:instrText xml:space="preserve"> PAGEREF _Toc373414223 \h </w:instrText>
      </w:r>
      <w:r w:rsidR="005F523F">
        <w:rPr>
          <w:noProof/>
        </w:rPr>
      </w:r>
      <w:r w:rsidR="005F523F">
        <w:rPr>
          <w:noProof/>
        </w:rPr>
        <w:fldChar w:fldCharType="separate"/>
      </w:r>
      <w:r w:rsidR="00DD4EC4">
        <w:rPr>
          <w:noProof/>
        </w:rPr>
        <w:t>53</w:t>
      </w:r>
      <w:r w:rsidR="005F523F">
        <w:rPr>
          <w:noProof/>
        </w:rPr>
        <w:fldChar w:fldCharType="end"/>
      </w:r>
    </w:p>
    <w:p w:rsidR="007D32F1" w:rsidRDefault="007D32F1">
      <w:pPr>
        <w:pStyle w:val="TableofFigures"/>
        <w:tabs>
          <w:tab w:val="right" w:leader="dot" w:pos="9016"/>
        </w:tabs>
        <w:rPr>
          <w:rFonts w:eastAsiaTheme="minorEastAsia" w:cstheme="minorBidi"/>
          <w:noProof/>
        </w:rPr>
      </w:pPr>
      <w:r>
        <w:rPr>
          <w:noProof/>
        </w:rPr>
        <w:t xml:space="preserve">Table 5: </w:t>
      </w:r>
      <w:r w:rsidRPr="002C1B23">
        <w:rPr>
          <w:noProof/>
        </w:rPr>
        <w:t>Actions</w:t>
      </w:r>
      <w:r>
        <w:rPr>
          <w:noProof/>
        </w:rPr>
        <w:tab/>
      </w:r>
      <w:r w:rsidR="005F523F">
        <w:rPr>
          <w:noProof/>
        </w:rPr>
        <w:fldChar w:fldCharType="begin"/>
      </w:r>
      <w:r>
        <w:rPr>
          <w:noProof/>
        </w:rPr>
        <w:instrText xml:space="preserve"> PAGEREF _Toc373414224 \h </w:instrText>
      </w:r>
      <w:r w:rsidR="005F523F">
        <w:rPr>
          <w:noProof/>
        </w:rPr>
      </w:r>
      <w:r w:rsidR="005F523F">
        <w:rPr>
          <w:noProof/>
        </w:rPr>
        <w:fldChar w:fldCharType="separate"/>
      </w:r>
      <w:r w:rsidR="00DD4EC4">
        <w:rPr>
          <w:noProof/>
        </w:rPr>
        <w:t>61</w:t>
      </w:r>
      <w:r w:rsidR="005F523F">
        <w:rPr>
          <w:noProof/>
        </w:rPr>
        <w:fldChar w:fldCharType="end"/>
      </w:r>
    </w:p>
    <w:p w:rsidR="00517662" w:rsidRDefault="005F523F" w:rsidP="006E3B97">
      <w:pPr>
        <w:pStyle w:val="TableofFigures"/>
        <w:tabs>
          <w:tab w:val="right" w:leader="dot" w:pos="9016"/>
        </w:tabs>
        <w:rPr>
          <w:szCs w:val="20"/>
          <w:highlight w:val="yellow"/>
        </w:rPr>
      </w:pPr>
      <w:r w:rsidRPr="00437D94">
        <w:rPr>
          <w:szCs w:val="20"/>
          <w:highlight w:val="yellow"/>
        </w:rPr>
        <w:fldChar w:fldCharType="end"/>
      </w:r>
    </w:p>
    <w:p w:rsidR="00517662" w:rsidRPr="00517662" w:rsidRDefault="00517662" w:rsidP="00517662"/>
    <w:p w:rsidR="0016780A" w:rsidRDefault="0016780A" w:rsidP="00A13A59">
      <w:pPr>
        <w:pStyle w:val="bt"/>
        <w:sectPr w:rsidR="0016780A" w:rsidSect="007D32F1">
          <w:headerReference w:type="default" r:id="rId20"/>
          <w:footerReference w:type="default" r:id="rId21"/>
          <w:headerReference w:type="first" r:id="rId22"/>
          <w:footerReference w:type="first" r:id="rId23"/>
          <w:pgSz w:w="11906" w:h="16838"/>
          <w:pgMar w:top="1135" w:right="1440" w:bottom="1134" w:left="1440" w:header="708" w:footer="709" w:gutter="0"/>
          <w:pgBorders w:offsetFrom="page">
            <w:top w:val="single" w:sz="4" w:space="24" w:color="FFFFFF"/>
            <w:bottom w:val="single" w:sz="4" w:space="24" w:color="FFFFFF"/>
          </w:pgBorders>
          <w:cols w:space="708"/>
          <w:docGrid w:linePitch="360"/>
        </w:sectPr>
      </w:pPr>
    </w:p>
    <w:p w:rsidR="00A13A59" w:rsidRPr="00AD7E91" w:rsidRDefault="00A13A59" w:rsidP="00CB54A1">
      <w:pPr>
        <w:pStyle w:val="Heading1"/>
      </w:pPr>
      <w:bookmarkStart w:id="0" w:name="_Toc376945574"/>
      <w:r w:rsidRPr="00AD7E91">
        <w:lastRenderedPageBreak/>
        <w:t>EXECUTIVE SUMMARY</w:t>
      </w:r>
      <w:bookmarkEnd w:id="0"/>
    </w:p>
    <w:p w:rsidR="007563A9" w:rsidRDefault="00124082" w:rsidP="00AD7E91">
      <w:pPr>
        <w:pStyle w:val="bt"/>
      </w:pPr>
      <w:r>
        <w:t>The</w:t>
      </w:r>
      <w:r w:rsidR="00714875" w:rsidRPr="006A5DC5">
        <w:t xml:space="preserve"> </w:t>
      </w:r>
      <w:r w:rsidR="00984D37" w:rsidRPr="00141FA0">
        <w:rPr>
          <w:rStyle w:val="Emphasis"/>
          <w:i w:val="0"/>
        </w:rPr>
        <w:t>Hume Regional Growth Plan</w:t>
      </w:r>
      <w:r w:rsidR="00714875" w:rsidRPr="00714875">
        <w:t xml:space="preserve"> provides a regional approach to land use planning in the Hume Region, which includes the municipalities of Alpine, Benalla, Greater Shepparton, Indigo, Mansfield, Mitchell, Moira, Murrindindi, Strathbogie, Towong, Wangaratta and Wodonga. </w:t>
      </w:r>
      <w:r w:rsidR="00B23677">
        <w:t xml:space="preserve">The </w:t>
      </w:r>
      <w:r w:rsidR="005B2DD4">
        <w:t>p</w:t>
      </w:r>
      <w:r w:rsidR="00B23677">
        <w:t xml:space="preserve">lan </w:t>
      </w:r>
      <w:r w:rsidR="00DB12A0" w:rsidRPr="00DB12A0">
        <w:t xml:space="preserve">is accompanied by a </w:t>
      </w:r>
      <w:r w:rsidR="008474E5">
        <w:t>b</w:t>
      </w:r>
      <w:r w:rsidR="00DB12A0" w:rsidRPr="00DB12A0">
        <w:t xml:space="preserve">ackground </w:t>
      </w:r>
      <w:r w:rsidR="008474E5">
        <w:t>p</w:t>
      </w:r>
      <w:r w:rsidR="00DB12A0" w:rsidRPr="00DB12A0">
        <w:t>aper</w:t>
      </w:r>
      <w:r w:rsidR="00D139BD">
        <w:t>,</w:t>
      </w:r>
      <w:r w:rsidR="00DB12A0" w:rsidRPr="00DB12A0">
        <w:t xml:space="preserve"> which documents the information and considerations that </w:t>
      </w:r>
      <w:r w:rsidR="00847EDE">
        <w:t xml:space="preserve">were </w:t>
      </w:r>
      <w:r w:rsidR="00DB12A0" w:rsidRPr="00DB12A0">
        <w:t>taken into account</w:t>
      </w:r>
      <w:r w:rsidR="00297950">
        <w:t xml:space="preserve"> </w:t>
      </w:r>
      <w:r w:rsidR="00847EDE">
        <w:t xml:space="preserve">when </w:t>
      </w:r>
      <w:r w:rsidR="00297950">
        <w:t>develop</w:t>
      </w:r>
      <w:r w:rsidR="00847EDE">
        <w:t xml:space="preserve">ing </w:t>
      </w:r>
      <w:r w:rsidR="00297950">
        <w:t xml:space="preserve">the </w:t>
      </w:r>
      <w:r w:rsidR="005B2DD4">
        <w:t>p</w:t>
      </w:r>
      <w:r w:rsidR="00297950" w:rsidRPr="00714875">
        <w:t>lan</w:t>
      </w:r>
      <w:r w:rsidR="00DB12A0">
        <w:t>.</w:t>
      </w:r>
      <w:r w:rsidR="00DB12A0" w:rsidRPr="00DB12A0">
        <w:t xml:space="preserve"> </w:t>
      </w:r>
      <w:r w:rsidR="00DB12A0">
        <w:t xml:space="preserve">The </w:t>
      </w:r>
      <w:r w:rsidR="005B2DD4">
        <w:t>p</w:t>
      </w:r>
      <w:r w:rsidR="00297950">
        <w:t>lan</w:t>
      </w:r>
      <w:r w:rsidR="00DB12A0">
        <w:t xml:space="preserve"> </w:t>
      </w:r>
      <w:r w:rsidR="00B227F6" w:rsidRPr="00345463">
        <w:t>identifies opportunities to encourage and accommodate growth and to manage change in the region over the next 30 years</w:t>
      </w:r>
      <w:r w:rsidR="00B227F6">
        <w:t>,</w:t>
      </w:r>
      <w:r w:rsidR="00B227F6" w:rsidRPr="00345463">
        <w:t xml:space="preserve"> </w:t>
      </w:r>
      <w:r w:rsidR="00714875" w:rsidRPr="00714875">
        <w:t>build</w:t>
      </w:r>
      <w:r w:rsidR="00B227F6">
        <w:t>ing</w:t>
      </w:r>
      <w:r w:rsidR="00714875" w:rsidRPr="00714875">
        <w:t xml:space="preserve"> on the</w:t>
      </w:r>
      <w:r w:rsidR="00B227F6">
        <w:t xml:space="preserve"> directions of the</w:t>
      </w:r>
      <w:r w:rsidR="00714875" w:rsidRPr="00714875">
        <w:t xml:space="preserve"> </w:t>
      </w:r>
      <w:r w:rsidR="009B4318" w:rsidRPr="00770834">
        <w:t>Hume Strategy for Sustainable Communities 2010–2020</w:t>
      </w:r>
      <w:r w:rsidR="00714875" w:rsidRPr="00714875">
        <w:rPr>
          <w:i/>
        </w:rPr>
        <w:t xml:space="preserve"> </w:t>
      </w:r>
      <w:r w:rsidR="00345463" w:rsidRPr="00345463">
        <w:t>and striv</w:t>
      </w:r>
      <w:r w:rsidR="00B227F6">
        <w:t>ing</w:t>
      </w:r>
      <w:r w:rsidR="00345463" w:rsidRPr="00345463">
        <w:t xml:space="preserve"> to help achieve the following vision for the Hume Region:</w:t>
      </w:r>
    </w:p>
    <w:p w:rsidR="005F7A47" w:rsidRPr="00AD7E91" w:rsidRDefault="005F7A47" w:rsidP="00DC3B21">
      <w:pPr>
        <w:pStyle w:val="bt"/>
        <w:shd w:val="clear" w:color="auto" w:fill="FFFFFF" w:themeFill="background1"/>
        <w:rPr>
          <w:rStyle w:val="Strong"/>
        </w:rPr>
      </w:pPr>
      <w:r w:rsidRPr="00AD7E91">
        <w:rPr>
          <w:rStyle w:val="Strong"/>
        </w:rPr>
        <w:t>Hume Strategy for Sustainable Communities 2010–2020 Vision</w:t>
      </w:r>
    </w:p>
    <w:p w:rsidR="005F7A47" w:rsidRPr="00197D74" w:rsidRDefault="005F7A47" w:rsidP="00DC3B21">
      <w:pPr>
        <w:pStyle w:val="bt"/>
        <w:shd w:val="clear" w:color="auto" w:fill="FFFFFF" w:themeFill="background1"/>
        <w:rPr>
          <w:rStyle w:val="Emphasis"/>
        </w:rPr>
      </w:pPr>
      <w:r w:rsidRPr="00197D74">
        <w:rPr>
          <w:rStyle w:val="Emphasis"/>
        </w:rPr>
        <w:t>The Hume Region will be resilient, diverse and thriving. It will capitalise on the strengths and competitive advantages of the four sub-regions, to harness growth for the benefit of the region and to develop liveab</w:t>
      </w:r>
      <w:r w:rsidR="00197D74">
        <w:rPr>
          <w:rStyle w:val="Emphasis"/>
        </w:rPr>
        <w:t>le and sustainable communities.</w:t>
      </w:r>
    </w:p>
    <w:p w:rsidR="001E35B5" w:rsidRDefault="00714875" w:rsidP="00AD7E91">
      <w:pPr>
        <w:pStyle w:val="bt"/>
        <w:rPr>
          <w:b/>
          <w:bCs/>
        </w:rPr>
      </w:pPr>
      <w:r w:rsidRPr="00714875">
        <w:t>The</w:t>
      </w:r>
      <w:r w:rsidR="00DB12A0">
        <w:t xml:space="preserve"> </w:t>
      </w:r>
      <w:r w:rsidR="005B2DD4">
        <w:t>p</w:t>
      </w:r>
      <w:r w:rsidR="00B227F6">
        <w:t>lan</w:t>
      </w:r>
      <w:r w:rsidRPr="00714875">
        <w:t xml:space="preserve"> identifies:</w:t>
      </w:r>
    </w:p>
    <w:p w:rsidR="007A28AE" w:rsidRPr="00CD2621" w:rsidRDefault="00714875" w:rsidP="002C5D3F">
      <w:pPr>
        <w:pStyle w:val="btbullet"/>
      </w:pPr>
      <w:r w:rsidRPr="00CD2621">
        <w:t>locations where future development will be supported, assessed at a regional scale</w:t>
      </w:r>
    </w:p>
    <w:p w:rsidR="007A28AE" w:rsidRPr="00CD2621" w:rsidRDefault="00714875" w:rsidP="002C5D3F">
      <w:pPr>
        <w:pStyle w:val="btbullet"/>
      </w:pPr>
      <w:r w:rsidRPr="00CD2621">
        <w:t xml:space="preserve">environmental, economic, community and </w:t>
      </w:r>
      <w:r w:rsidR="001F3017" w:rsidRPr="00CD2621">
        <w:t xml:space="preserve">heritage </w:t>
      </w:r>
      <w:r w:rsidRPr="00CD2621">
        <w:t xml:space="preserve">assets that should be </w:t>
      </w:r>
      <w:r w:rsidR="00DE5980" w:rsidRPr="00CD2621">
        <w:t>conserved</w:t>
      </w:r>
      <w:r w:rsidRPr="00CD2621">
        <w:t xml:space="preserve">, maintained or </w:t>
      </w:r>
      <w:r w:rsidR="001F3017" w:rsidRPr="00CD2621">
        <w:t>sensitively</w:t>
      </w:r>
      <w:r w:rsidR="00F056E4" w:rsidRPr="00CD2621">
        <w:t xml:space="preserve"> </w:t>
      </w:r>
      <w:r w:rsidRPr="00CD2621">
        <w:t>developed</w:t>
      </w:r>
    </w:p>
    <w:p w:rsidR="007A28AE" w:rsidRPr="00CD2621" w:rsidRDefault="00714875" w:rsidP="002C5D3F">
      <w:pPr>
        <w:pStyle w:val="btbullet"/>
      </w:pPr>
      <w:proofErr w:type="gramStart"/>
      <w:r w:rsidRPr="00CD2621">
        <w:t>key</w:t>
      </w:r>
      <w:proofErr w:type="gramEnd"/>
      <w:r w:rsidRPr="00CD2621">
        <w:t xml:space="preserve"> regional priorities for future infrastructure planning and development to support growth.</w:t>
      </w:r>
    </w:p>
    <w:p w:rsidR="00EE1BD7" w:rsidRPr="002C5D3F" w:rsidRDefault="00EE1BD7" w:rsidP="002C5D3F">
      <w:pPr>
        <w:pStyle w:val="Heading3"/>
      </w:pPr>
      <w:r w:rsidRPr="002C5D3F">
        <w:t>Regional overview</w:t>
      </w:r>
    </w:p>
    <w:p w:rsidR="007A28AE" w:rsidRDefault="00714875" w:rsidP="00AD7E91">
      <w:pPr>
        <w:pStyle w:val="bt"/>
        <w:rPr>
          <w:b/>
          <w:bCs/>
        </w:rPr>
      </w:pPr>
      <w:r w:rsidRPr="00714875">
        <w:t xml:space="preserve">The Hume Region is located strategically </w:t>
      </w:r>
      <w:r w:rsidR="00847EDE">
        <w:t xml:space="preserve">along </w:t>
      </w:r>
      <w:r w:rsidRPr="00714875">
        <w:t>major national road and rail transport routes that provide key opportunities for further growth and development.</w:t>
      </w:r>
    </w:p>
    <w:p w:rsidR="007A28AE" w:rsidRDefault="00847EDE" w:rsidP="00AD7E91">
      <w:pPr>
        <w:pStyle w:val="bt"/>
        <w:rPr>
          <w:b/>
          <w:bCs/>
        </w:rPr>
      </w:pPr>
      <w:r>
        <w:t>In 2011, t</w:t>
      </w:r>
      <w:r w:rsidR="00714875" w:rsidRPr="00714875">
        <w:t xml:space="preserve">he region had a population of 276,300 </w:t>
      </w:r>
      <w:r>
        <w:t xml:space="preserve">people </w:t>
      </w:r>
      <w:r w:rsidR="00714875" w:rsidRPr="00714875">
        <w:t xml:space="preserve">and is expected to grow to around 354,000 by 2041, an increase of approximately 80,000 people. This estimate excludes population growth in those areas </w:t>
      </w:r>
      <w:r w:rsidR="00A235EC">
        <w:t>in</w:t>
      </w:r>
      <w:r w:rsidR="00714875" w:rsidRPr="00714875">
        <w:t xml:space="preserve"> Mitchell Shire within the recently expanded urban growth boundary for metropolitan Melbourne.</w:t>
      </w:r>
    </w:p>
    <w:p w:rsidR="007A28AE" w:rsidRDefault="00714875" w:rsidP="00AD7E91">
      <w:pPr>
        <w:pStyle w:val="bt"/>
        <w:rPr>
          <w:b/>
          <w:bCs/>
        </w:rPr>
      </w:pPr>
      <w:r w:rsidRPr="00714875">
        <w:t>Unlike many other regions, Hume is not dominated by a single city. Instead, it contains three large regional cities and a number of smaller regional centres, as well as a range of other settlement types including townships and villages, alpine resorts, rural residential locations and farming areas. The southern part of the region lies within the peri-urban influence of Melbourne. The regional cities and centres act as hubs, providing services to networks of smaller settlements.</w:t>
      </w:r>
    </w:p>
    <w:p w:rsidR="001049F5" w:rsidRDefault="00714875" w:rsidP="001049F5">
      <w:pPr>
        <w:pStyle w:val="bt"/>
      </w:pPr>
      <w:r w:rsidRPr="00714875">
        <w:t>The regional economy is based on access to natural resources such as water and productive land, environmental assets and proximity to major transport links. Agriculture, manufacturing and tourism are important industry sectors.</w:t>
      </w:r>
    </w:p>
    <w:p w:rsidR="00EE1BD7" w:rsidRDefault="00EE1BD7" w:rsidP="00EE1BD7">
      <w:pPr>
        <w:pStyle w:val="Heading3"/>
      </w:pPr>
      <w:r>
        <w:t>Challenges</w:t>
      </w:r>
    </w:p>
    <w:p w:rsidR="007A28AE" w:rsidRDefault="00B227F6" w:rsidP="00AD7E91">
      <w:pPr>
        <w:pStyle w:val="bt"/>
        <w:rPr>
          <w:b/>
          <w:bCs/>
        </w:rPr>
      </w:pPr>
      <w:r>
        <w:t>Key c</w:t>
      </w:r>
      <w:r w:rsidR="00714875" w:rsidRPr="00714875">
        <w:t>hallenges for the Hume Region</w:t>
      </w:r>
      <w:r w:rsidR="00DB12A0">
        <w:t xml:space="preserve"> are summarised in </w:t>
      </w:r>
      <w:r w:rsidR="00A235EC">
        <w:t>S</w:t>
      </w:r>
      <w:r w:rsidR="00DB12A0">
        <w:t>ection</w:t>
      </w:r>
      <w:r w:rsidR="00481288">
        <w:t xml:space="preserve"> 8</w:t>
      </w:r>
      <w:r w:rsidR="00DB12A0">
        <w:t xml:space="preserve"> of this </w:t>
      </w:r>
      <w:r w:rsidR="005B2DD4">
        <w:t>p</w:t>
      </w:r>
      <w:r w:rsidR="00DB12A0">
        <w:t xml:space="preserve">lan and discussed in the </w:t>
      </w:r>
      <w:r w:rsidR="008474E5">
        <w:t>b</w:t>
      </w:r>
      <w:r w:rsidR="00DB12A0">
        <w:t xml:space="preserve">ackground </w:t>
      </w:r>
      <w:r w:rsidR="008474E5">
        <w:t>p</w:t>
      </w:r>
      <w:r w:rsidR="00DB12A0">
        <w:t>aper.</w:t>
      </w:r>
      <w:r w:rsidR="00714875" w:rsidRPr="00714875">
        <w:t xml:space="preserve"> </w:t>
      </w:r>
      <w:r w:rsidR="00DB12A0">
        <w:t xml:space="preserve">They </w:t>
      </w:r>
      <w:r w:rsidR="00714875" w:rsidRPr="00714875">
        <w:t>include finding the most effective ways to:</w:t>
      </w:r>
    </w:p>
    <w:p w:rsidR="007A28AE" w:rsidRDefault="00714875" w:rsidP="002C5D3F">
      <w:pPr>
        <w:pStyle w:val="btbullet"/>
        <w:rPr>
          <w:b/>
          <w:bCs/>
        </w:rPr>
      </w:pPr>
      <w:r w:rsidRPr="00714875">
        <w:t xml:space="preserve">adapt to the </w:t>
      </w:r>
      <w:r w:rsidR="00F3267D">
        <w:t>potential</w:t>
      </w:r>
      <w:r w:rsidR="00F3267D" w:rsidRPr="00714875">
        <w:t xml:space="preserve"> </w:t>
      </w:r>
      <w:r w:rsidRPr="00714875">
        <w:t>impacts of climate change</w:t>
      </w:r>
    </w:p>
    <w:p w:rsidR="007A28AE" w:rsidRDefault="00714875" w:rsidP="002C5D3F">
      <w:pPr>
        <w:pStyle w:val="btbullet"/>
        <w:rPr>
          <w:b/>
          <w:bCs/>
        </w:rPr>
      </w:pPr>
      <w:r w:rsidRPr="00714875">
        <w:t>support communities</w:t>
      </w:r>
    </w:p>
    <w:p w:rsidR="007A28AE" w:rsidRDefault="00714875" w:rsidP="002C5D3F">
      <w:pPr>
        <w:pStyle w:val="btbullet"/>
        <w:rPr>
          <w:b/>
          <w:bCs/>
        </w:rPr>
      </w:pPr>
      <w:r w:rsidRPr="00714875">
        <w:t>provide for residential, commercial and industrial expansion</w:t>
      </w:r>
    </w:p>
    <w:p w:rsidR="007A28AE" w:rsidRDefault="00714875" w:rsidP="002C5D3F">
      <w:pPr>
        <w:pStyle w:val="btbullet"/>
        <w:rPr>
          <w:b/>
          <w:bCs/>
        </w:rPr>
      </w:pPr>
      <w:r w:rsidRPr="00714875">
        <w:t>assist agricultural industries to remain competitive</w:t>
      </w:r>
    </w:p>
    <w:p w:rsidR="007A28AE" w:rsidRDefault="00714875" w:rsidP="002C5D3F">
      <w:pPr>
        <w:pStyle w:val="btbullet"/>
        <w:rPr>
          <w:b/>
          <w:bCs/>
        </w:rPr>
      </w:pPr>
      <w:r w:rsidRPr="00714875">
        <w:t>provide transport and other infrastructure to meet the needs of communities and industries</w:t>
      </w:r>
    </w:p>
    <w:p w:rsidR="007A28AE" w:rsidRDefault="00714875" w:rsidP="002C5D3F">
      <w:pPr>
        <w:pStyle w:val="btbullet"/>
      </w:pPr>
      <w:r w:rsidRPr="00714875">
        <w:lastRenderedPageBreak/>
        <w:t>protect and enhance environmental assets</w:t>
      </w:r>
    </w:p>
    <w:p w:rsidR="00F3267D" w:rsidRDefault="00F3267D" w:rsidP="002C5D3F">
      <w:pPr>
        <w:pStyle w:val="btbullet"/>
        <w:rPr>
          <w:b/>
          <w:bCs/>
        </w:rPr>
      </w:pPr>
      <w:r>
        <w:t>manage</w:t>
      </w:r>
      <w:r w:rsidRPr="00714875">
        <w:t xml:space="preserve"> exposure to natural hazards</w:t>
      </w:r>
    </w:p>
    <w:p w:rsidR="007A28AE" w:rsidRDefault="00714875" w:rsidP="002C5D3F">
      <w:pPr>
        <w:pStyle w:val="btbullet"/>
        <w:rPr>
          <w:b/>
          <w:bCs/>
        </w:rPr>
      </w:pPr>
      <w:proofErr w:type="gramStart"/>
      <w:r w:rsidRPr="00714875">
        <w:t>diversify</w:t>
      </w:r>
      <w:proofErr w:type="gramEnd"/>
      <w:r w:rsidRPr="00714875">
        <w:t xml:space="preserve"> the economy, increase employment and fill skills gaps.</w:t>
      </w:r>
    </w:p>
    <w:p w:rsidR="00911DD2" w:rsidRPr="00712A34" w:rsidRDefault="00911DD2" w:rsidP="00911DD2">
      <w:pPr>
        <w:pStyle w:val="Heading3"/>
        <w:rPr>
          <w:b w:val="0"/>
          <w:i/>
        </w:rPr>
      </w:pPr>
      <w:r>
        <w:t>Principles</w:t>
      </w:r>
    </w:p>
    <w:p w:rsidR="007A28AE" w:rsidRDefault="00714875" w:rsidP="00AD7E91">
      <w:pPr>
        <w:pStyle w:val="bt"/>
        <w:rPr>
          <w:b/>
          <w:bCs/>
        </w:rPr>
      </w:pPr>
      <w:r w:rsidRPr="00714875">
        <w:t xml:space="preserve">In line with the Hume Strategy, this </w:t>
      </w:r>
      <w:r w:rsidR="005B2DD4">
        <w:t>p</w:t>
      </w:r>
      <w:r w:rsidRPr="00714875">
        <w:t>lan seeks to develop:</w:t>
      </w:r>
    </w:p>
    <w:p w:rsidR="007A28AE" w:rsidRDefault="00714875" w:rsidP="002C5D3F">
      <w:pPr>
        <w:pStyle w:val="btbullet"/>
        <w:rPr>
          <w:b/>
          <w:bCs/>
        </w:rPr>
      </w:pPr>
      <w:r w:rsidRPr="00714875">
        <w:t>efficient and sustainable settlements</w:t>
      </w:r>
    </w:p>
    <w:p w:rsidR="007A28AE" w:rsidRDefault="00714875" w:rsidP="002C5D3F">
      <w:pPr>
        <w:pStyle w:val="btbullet"/>
        <w:rPr>
          <w:b/>
          <w:bCs/>
        </w:rPr>
      </w:pPr>
      <w:r w:rsidRPr="00714875">
        <w:t>sustainable rural communities</w:t>
      </w:r>
    </w:p>
    <w:p w:rsidR="007A28AE" w:rsidRDefault="00714875" w:rsidP="002C5D3F">
      <w:pPr>
        <w:pStyle w:val="btbullet"/>
        <w:rPr>
          <w:b/>
          <w:bCs/>
        </w:rPr>
      </w:pPr>
      <w:r w:rsidRPr="00714875">
        <w:t>a healthy environment and a celebrated heritage</w:t>
      </w:r>
    </w:p>
    <w:p w:rsidR="007A28AE" w:rsidRDefault="00714875" w:rsidP="002C5D3F">
      <w:pPr>
        <w:pStyle w:val="btbullet"/>
        <w:rPr>
          <w:b/>
          <w:bCs/>
        </w:rPr>
      </w:pPr>
      <w:r w:rsidRPr="00714875">
        <w:t>healthy, vibrant and resilient communities</w:t>
      </w:r>
    </w:p>
    <w:p w:rsidR="007A28AE" w:rsidRDefault="00714875" w:rsidP="002C5D3F">
      <w:pPr>
        <w:pStyle w:val="btbullet"/>
        <w:rPr>
          <w:b/>
          <w:bCs/>
        </w:rPr>
      </w:pPr>
      <w:r w:rsidRPr="00714875">
        <w:t>a thriving and dynamic economy</w:t>
      </w:r>
    </w:p>
    <w:p w:rsidR="007A28AE" w:rsidRDefault="00714875" w:rsidP="002C5D3F">
      <w:pPr>
        <w:pStyle w:val="btbullet"/>
        <w:rPr>
          <w:b/>
          <w:bCs/>
        </w:rPr>
      </w:pPr>
      <w:proofErr w:type="gramStart"/>
      <w:r w:rsidRPr="00714875">
        <w:t>a</w:t>
      </w:r>
      <w:proofErr w:type="gramEnd"/>
      <w:r w:rsidRPr="00714875">
        <w:t xml:space="preserve"> mobile and connected region.</w:t>
      </w:r>
    </w:p>
    <w:p w:rsidR="00911DD2" w:rsidRDefault="00911DD2" w:rsidP="00911DD2">
      <w:pPr>
        <w:pStyle w:val="Heading3"/>
      </w:pPr>
      <w:r>
        <w:t>Regional land use framework</w:t>
      </w:r>
    </w:p>
    <w:p w:rsidR="00B310B1" w:rsidRPr="002C5D3F" w:rsidRDefault="00714875" w:rsidP="00911DD2">
      <w:pPr>
        <w:pStyle w:val="Heading4"/>
        <w:rPr>
          <w:rStyle w:val="Strong"/>
          <w:u w:val="none"/>
        </w:rPr>
      </w:pPr>
      <w:r w:rsidRPr="002C5D3F">
        <w:rPr>
          <w:rStyle w:val="Strong"/>
          <w:u w:val="none"/>
        </w:rPr>
        <w:t xml:space="preserve">Regional </w:t>
      </w:r>
      <w:r w:rsidR="00A1432A" w:rsidRPr="002C5D3F">
        <w:rPr>
          <w:rStyle w:val="Strong"/>
          <w:u w:val="none"/>
        </w:rPr>
        <w:t>e</w:t>
      </w:r>
      <w:r w:rsidRPr="002C5D3F">
        <w:rPr>
          <w:rStyle w:val="Strong"/>
          <w:u w:val="none"/>
        </w:rPr>
        <w:t>conomy</w:t>
      </w:r>
    </w:p>
    <w:p w:rsidR="007A28AE" w:rsidRDefault="00A1432A" w:rsidP="00AD7E91">
      <w:pPr>
        <w:pStyle w:val="bt"/>
        <w:rPr>
          <w:b/>
          <w:bCs/>
        </w:rPr>
      </w:pPr>
      <w:r>
        <w:t>Hume</w:t>
      </w:r>
      <w:r w:rsidR="0029120D">
        <w:t>’s</w:t>
      </w:r>
      <w:r w:rsidR="0029120D" w:rsidRPr="00714875">
        <w:t xml:space="preserve"> </w:t>
      </w:r>
      <w:r w:rsidR="00714875" w:rsidRPr="00714875">
        <w:t xml:space="preserve">economy relies heavily on agriculture and manufacturing, including processing of farm produce. Economic forces and policy changes at international and national levels are impacting on businesses in the region, providing challenges and opportunities. This </w:t>
      </w:r>
      <w:r w:rsidR="005B2DD4">
        <w:t>p</w:t>
      </w:r>
      <w:r w:rsidR="00714875" w:rsidRPr="00714875">
        <w:t>lan seeks to assist in developing a more diverse regional economy, while maintaining and enhancing key regional economic assets.</w:t>
      </w:r>
    </w:p>
    <w:p w:rsidR="002C5D3F" w:rsidRDefault="00714875" w:rsidP="00AD7E91">
      <w:pPr>
        <w:pStyle w:val="bt"/>
      </w:pPr>
      <w:r w:rsidRPr="00714875">
        <w:t>Freight and logistics represent a major opportunity to capitalise on national and intrastate transport links. Ensuring serviced employment land is provided in proximity to urban growth areas</w:t>
      </w:r>
      <w:r w:rsidR="00A1432A">
        <w:t>,</w:t>
      </w:r>
      <w:r w:rsidRPr="00714875">
        <w:t xml:space="preserve"> and that transport and infrastructure are integrated with development</w:t>
      </w:r>
      <w:r w:rsidR="00EF325E">
        <w:t>,</w:t>
      </w:r>
      <w:r w:rsidRPr="00714875">
        <w:t xml:space="preserve"> will </w:t>
      </w:r>
      <w:r w:rsidR="00EF325E">
        <w:t xml:space="preserve">help </w:t>
      </w:r>
      <w:r w:rsidRPr="00714875">
        <w:t>facilitate economic and employment growth. Public and private</w:t>
      </w:r>
      <w:r w:rsidR="00921AD0">
        <w:t xml:space="preserve"> sector investment will ensure Central B</w:t>
      </w:r>
      <w:r w:rsidRPr="00714875">
        <w:t>usi</w:t>
      </w:r>
      <w:r w:rsidR="00921AD0">
        <w:t>ness D</w:t>
      </w:r>
      <w:r w:rsidRPr="00714875">
        <w:t>istricts are vibrant and at</w:t>
      </w:r>
      <w:r w:rsidR="002C5D3F">
        <w:t>tractive places to do business.</w:t>
      </w:r>
    </w:p>
    <w:p w:rsidR="007A28AE" w:rsidRDefault="00714875" w:rsidP="00AD7E91">
      <w:pPr>
        <w:pStyle w:val="bt"/>
        <w:rPr>
          <w:b/>
          <w:bCs/>
        </w:rPr>
      </w:pPr>
      <w:r w:rsidRPr="00714875">
        <w:t xml:space="preserve">Recent modernisation of irrigation systems in the region </w:t>
      </w:r>
      <w:r w:rsidR="00A1432A">
        <w:t xml:space="preserve">provides </w:t>
      </w:r>
      <w:r w:rsidRPr="00714875">
        <w:t xml:space="preserve">opportunities for </w:t>
      </w:r>
      <w:r w:rsidR="00A1432A">
        <w:t xml:space="preserve">additional </w:t>
      </w:r>
      <w:r w:rsidRPr="00714875">
        <w:t>investment to increase food production and attract new processing industries. Protecting strategically important agricultural land will maintain options for future changes in production in response to market demands. Alternative energy generation, mining and extractive industries are also sectors with strong growth potential. The region’s key tourism assets will be supported and enhanced.</w:t>
      </w:r>
    </w:p>
    <w:p w:rsidR="00DB1203" w:rsidRPr="007F528E" w:rsidRDefault="00714875" w:rsidP="007F528E">
      <w:pPr>
        <w:pStyle w:val="bt"/>
        <w:rPr>
          <w:b/>
          <w:bCs/>
        </w:rPr>
      </w:pPr>
      <w:r w:rsidRPr="00714875">
        <w:t xml:space="preserve">Maintaining liveability and access to transport, communications technology, education and lifestyle choices will be important to ensure the </w:t>
      </w:r>
      <w:r w:rsidR="0030729B">
        <w:t>r</w:t>
      </w:r>
      <w:r w:rsidRPr="00714875">
        <w:t>egion remains attractive to businesses and individuals.</w:t>
      </w:r>
    </w:p>
    <w:p w:rsidR="00B310B1" w:rsidRPr="002C5D3F" w:rsidRDefault="00714875" w:rsidP="00AC6C4C">
      <w:pPr>
        <w:pStyle w:val="Heading4"/>
        <w:rPr>
          <w:rStyle w:val="Strong"/>
          <w:u w:val="none"/>
        </w:rPr>
      </w:pPr>
      <w:r w:rsidRPr="002C5D3F">
        <w:rPr>
          <w:rStyle w:val="Strong"/>
          <w:u w:val="none"/>
        </w:rPr>
        <w:t xml:space="preserve">Environment and </w:t>
      </w:r>
      <w:r w:rsidR="00A1432A" w:rsidRPr="002C5D3F">
        <w:rPr>
          <w:rStyle w:val="Strong"/>
          <w:u w:val="none"/>
        </w:rPr>
        <w:t>h</w:t>
      </w:r>
      <w:r w:rsidRPr="002C5D3F">
        <w:rPr>
          <w:rStyle w:val="Strong"/>
          <w:u w:val="none"/>
        </w:rPr>
        <w:t>eritage</w:t>
      </w:r>
    </w:p>
    <w:p w:rsidR="007A28AE" w:rsidRDefault="00714875" w:rsidP="00AD7E91">
      <w:pPr>
        <w:pStyle w:val="bt"/>
        <w:rPr>
          <w:b/>
          <w:bCs/>
        </w:rPr>
      </w:pPr>
      <w:r w:rsidRPr="00714875">
        <w:t xml:space="preserve">The Hume Region contains a rich array of environments and heritage places that are important for their intrinsic </w:t>
      </w:r>
      <w:r w:rsidR="00173CDA">
        <w:t>environmental</w:t>
      </w:r>
      <w:r w:rsidR="00173CDA" w:rsidRPr="00714875">
        <w:t xml:space="preserve"> </w:t>
      </w:r>
      <w:r w:rsidRPr="00714875">
        <w:t>and cultural values and their contribution to the economy.</w:t>
      </w:r>
    </w:p>
    <w:p w:rsidR="007A28AE" w:rsidRDefault="00714875" w:rsidP="00AD7E91">
      <w:pPr>
        <w:pStyle w:val="bt"/>
        <w:rPr>
          <w:b/>
          <w:bCs/>
        </w:rPr>
      </w:pPr>
      <w:r w:rsidRPr="00714875">
        <w:t xml:space="preserve">This </w:t>
      </w:r>
      <w:r w:rsidR="005B2DD4">
        <w:t>p</w:t>
      </w:r>
      <w:r w:rsidRPr="00714875">
        <w:t xml:space="preserve">lan seeks to </w:t>
      </w:r>
      <w:r w:rsidR="00EC6A50">
        <w:t xml:space="preserve">recognise and promote </w:t>
      </w:r>
      <w:r w:rsidRPr="00714875">
        <w:t>environmental and heritage assets and maximise the regional benefit from them, while planning for the potential impacts of climate change</w:t>
      </w:r>
      <w:r w:rsidR="00EF325E" w:rsidRPr="00EF325E">
        <w:t xml:space="preserve"> </w:t>
      </w:r>
      <w:r w:rsidR="00EF325E" w:rsidRPr="00B664F4">
        <w:t>and natural hazards</w:t>
      </w:r>
      <w:r w:rsidRPr="00714875">
        <w:t xml:space="preserve">. It focuses on protecting and enhancing landscapes, terrestrial habitat, waterways, soils, the public land estate and Aboriginal </w:t>
      </w:r>
      <w:r w:rsidR="003848BB">
        <w:t xml:space="preserve">cultural heritage </w:t>
      </w:r>
      <w:r w:rsidRPr="00714875">
        <w:t xml:space="preserve">and </w:t>
      </w:r>
      <w:r w:rsidR="00DE5980">
        <w:t>historic</w:t>
      </w:r>
      <w:r w:rsidRPr="00714875">
        <w:t xml:space="preserve"> heritage.</w:t>
      </w:r>
    </w:p>
    <w:p w:rsidR="002C5D3F" w:rsidRDefault="00714875" w:rsidP="002C5D3F">
      <w:pPr>
        <w:pStyle w:val="bt"/>
      </w:pPr>
      <w:proofErr w:type="gramStart"/>
      <w:r w:rsidRPr="00714875">
        <w:t xml:space="preserve">Planning needs to </w:t>
      </w:r>
      <w:r w:rsidR="00173CDA" w:rsidRPr="00714875">
        <w:t>m</w:t>
      </w:r>
      <w:r w:rsidR="00173CDA">
        <w:t>anage</w:t>
      </w:r>
      <w:r w:rsidR="00173CDA" w:rsidRPr="00714875">
        <w:t xml:space="preserve"> </w:t>
      </w:r>
      <w:r w:rsidRPr="00714875">
        <w:t xml:space="preserve">exposure of </w:t>
      </w:r>
      <w:r w:rsidR="00173CDA">
        <w:t xml:space="preserve">communities, </w:t>
      </w:r>
      <w:r w:rsidR="001F3017">
        <w:t xml:space="preserve">heritage, </w:t>
      </w:r>
      <w:r w:rsidRPr="00714875">
        <w:t xml:space="preserve">settlements, agricultural land and infrastructure to natural hazards and risks such as </w:t>
      </w:r>
      <w:r w:rsidR="00112398">
        <w:t>flood</w:t>
      </w:r>
      <w:r w:rsidRPr="00714875">
        <w:t xml:space="preserve"> and </w:t>
      </w:r>
      <w:r w:rsidR="00112398">
        <w:t>bushfire</w:t>
      </w:r>
      <w:r w:rsidRPr="00714875">
        <w:t>.</w:t>
      </w:r>
      <w:proofErr w:type="gramEnd"/>
    </w:p>
    <w:p w:rsidR="00B310B1" w:rsidRPr="002C5D3F" w:rsidRDefault="00714875" w:rsidP="00AC6C4C">
      <w:pPr>
        <w:pStyle w:val="Heading4"/>
        <w:rPr>
          <w:rStyle w:val="Strong"/>
          <w:u w:val="none"/>
        </w:rPr>
      </w:pPr>
      <w:r w:rsidRPr="002C5D3F">
        <w:rPr>
          <w:rStyle w:val="Strong"/>
          <w:u w:val="none"/>
        </w:rPr>
        <w:t>Settlement</w:t>
      </w:r>
    </w:p>
    <w:p w:rsidR="007A28AE" w:rsidRDefault="00714875" w:rsidP="00AD7E91">
      <w:pPr>
        <w:pStyle w:val="bt"/>
        <w:rPr>
          <w:b/>
          <w:bCs/>
        </w:rPr>
      </w:pPr>
      <w:r w:rsidRPr="00714875">
        <w:lastRenderedPageBreak/>
        <w:t xml:space="preserve">This </w:t>
      </w:r>
      <w:r w:rsidR="005B2DD4">
        <w:t>p</w:t>
      </w:r>
      <w:r w:rsidRPr="00714875">
        <w:t xml:space="preserve">lan seeks to focus, manage and direct future growth and development to take advantage of regional strengths and consolidate and build on existing settlement networks. </w:t>
      </w:r>
      <w:r w:rsidR="00656688">
        <w:t>G</w:t>
      </w:r>
      <w:r w:rsidRPr="00714875">
        <w:t>rowth will be focused in the regional cities</w:t>
      </w:r>
      <w:r w:rsidR="00656688">
        <w:t xml:space="preserve"> and</w:t>
      </w:r>
      <w:r w:rsidRPr="00714875">
        <w:t xml:space="preserve"> will be supported in other settlements that can provide appropriate land, infrastructure and services. </w:t>
      </w:r>
    </w:p>
    <w:p w:rsidR="007A28AE" w:rsidRDefault="00714875" w:rsidP="00AD7E91">
      <w:pPr>
        <w:pStyle w:val="bt"/>
        <w:rPr>
          <w:b/>
          <w:bCs/>
        </w:rPr>
      </w:pPr>
      <w:r w:rsidRPr="00714875">
        <w:t xml:space="preserve">Urban growth locations outlined in this </w:t>
      </w:r>
      <w:r w:rsidR="005B2DD4">
        <w:t>p</w:t>
      </w:r>
      <w:r w:rsidRPr="00714875">
        <w:t>lan have been selected on the basis of available physical and social infrastructure, access to employment, protection of environmental assets and avoidance of natural hazards. Increasing the diversity and affordability of housing will improve choice, provide for the needs of older people and those on low incomes and help to attract new residents to the region.</w:t>
      </w:r>
    </w:p>
    <w:p w:rsidR="007A28AE" w:rsidRDefault="00714875" w:rsidP="00AD7E91">
      <w:pPr>
        <w:pStyle w:val="bt"/>
        <w:rPr>
          <w:b/>
          <w:bCs/>
        </w:rPr>
      </w:pPr>
      <w:r w:rsidRPr="00714875">
        <w:t xml:space="preserve">In the </w:t>
      </w:r>
      <w:r w:rsidR="00AB4C83" w:rsidRPr="00AD7E91">
        <w:rPr>
          <w:rStyle w:val="Strong"/>
        </w:rPr>
        <w:t xml:space="preserve">Central </w:t>
      </w:r>
      <w:r w:rsidR="00A81CE4" w:rsidRPr="00AD7E91">
        <w:rPr>
          <w:rStyle w:val="Strong"/>
        </w:rPr>
        <w:t>Hume</w:t>
      </w:r>
      <w:r w:rsidR="00A81CE4">
        <w:rPr>
          <w:rStyle w:val="Strong"/>
        </w:rPr>
        <w:t xml:space="preserve"> </w:t>
      </w:r>
      <w:r w:rsidR="00A81CE4">
        <w:t>sub</w:t>
      </w:r>
      <w:r w:rsidR="00112C95">
        <w:t>-region</w:t>
      </w:r>
      <w:r w:rsidR="00713738">
        <w:t>,</w:t>
      </w:r>
      <w:r w:rsidRPr="00714875">
        <w:t xml:space="preserve"> the links between Wangaratta and Benalla and their surrounding communities will be strengthened to improve access to employment and services. Wangaratta has sufficient land zoned or identified for future residential use to accommodate likely demand over the next 15 years. The growth frameworks developed for Wangaratta and Benalla identify strategic opportunities for urban development, including residential, commercial and industrial areas and potential infill sites. Growth is also likely in towns that have good access to Wangaratta or Benalla, including those in popular tourist areas.</w:t>
      </w:r>
      <w:r w:rsidR="003C50AD">
        <w:t xml:space="preserve"> </w:t>
      </w:r>
      <w:r w:rsidR="003C50AD" w:rsidRPr="003C50AD">
        <w:t>Key sub</w:t>
      </w:r>
      <w:r w:rsidR="0054502B">
        <w:t>-</w:t>
      </w:r>
      <w:r w:rsidR="003C50AD" w:rsidRPr="003C50AD">
        <w:t>regional settlements include</w:t>
      </w:r>
      <w:r w:rsidR="003C50AD">
        <w:t xml:space="preserve"> </w:t>
      </w:r>
      <w:r w:rsidR="003C50AD" w:rsidRPr="003C50AD">
        <w:t>Mansfield, Myrtleford and Bright (incorporating Porepunkah).</w:t>
      </w:r>
    </w:p>
    <w:p w:rsidR="007A28AE" w:rsidRDefault="00714875" w:rsidP="00AD7E91">
      <w:pPr>
        <w:pStyle w:val="bt"/>
        <w:rPr>
          <w:b/>
          <w:bCs/>
        </w:rPr>
      </w:pPr>
      <w:r w:rsidRPr="00714875">
        <w:t xml:space="preserve">In the </w:t>
      </w:r>
      <w:r w:rsidR="00AB4C83" w:rsidRPr="00AD7E91">
        <w:rPr>
          <w:rStyle w:val="Strong"/>
        </w:rPr>
        <w:t xml:space="preserve">Goulburn </w:t>
      </w:r>
      <w:r w:rsidR="00A81CE4" w:rsidRPr="00AD7E91">
        <w:rPr>
          <w:rStyle w:val="Strong"/>
        </w:rPr>
        <w:t>Valley</w:t>
      </w:r>
      <w:r w:rsidR="00A81CE4">
        <w:rPr>
          <w:rStyle w:val="Strong"/>
        </w:rPr>
        <w:t xml:space="preserve"> </w:t>
      </w:r>
      <w:r w:rsidR="00A81CE4">
        <w:t>sub</w:t>
      </w:r>
      <w:r w:rsidR="00112C95">
        <w:t>-region</w:t>
      </w:r>
      <w:r w:rsidRPr="00714875">
        <w:t>, major urban growth and development will be focused in Shepparton</w:t>
      </w:r>
      <w:r w:rsidR="0054502B">
        <w:t>,</w:t>
      </w:r>
      <w:r w:rsidRPr="00714875">
        <w:t xml:space="preserve"> including Mooroopna and Kialla. Shepparton has sufficient land zoned or designated for future residential use to meet likely demand over the next 15 years and the five residential growth corridors identified in the urban growth framework can accommodate up to 17,600 new residents. This level of population growth will require significant investment in physical and social infrastructure and increases in employment. Shepparton will continue to develop its role as a business, retail and services hub for the region, taking advantage of new opportunities in food production and processing</w:t>
      </w:r>
      <w:r w:rsidR="00713738">
        <w:t>,</w:t>
      </w:r>
      <w:r w:rsidRPr="00714875">
        <w:t xml:space="preserve"> and transport and logistics. Redevelopment of the </w:t>
      </w:r>
      <w:r w:rsidR="00921AD0">
        <w:t>C</w:t>
      </w:r>
      <w:r w:rsidRPr="00714875">
        <w:t xml:space="preserve">entral </w:t>
      </w:r>
      <w:r w:rsidR="00921AD0">
        <w:t>B</w:t>
      </w:r>
      <w:r w:rsidRPr="00714875">
        <w:t xml:space="preserve">usiness </w:t>
      </w:r>
      <w:r w:rsidR="00921AD0">
        <w:t>D</w:t>
      </w:r>
      <w:r w:rsidRPr="00714875">
        <w:t xml:space="preserve">istrict and infill housing development will reinvigorate the centre of the city. Other urban areas in the </w:t>
      </w:r>
      <w:r w:rsidR="00112C95">
        <w:t>sub-region</w:t>
      </w:r>
      <w:r w:rsidRPr="00714875">
        <w:t xml:space="preserve"> will also grow, especially those that provide lifestyle opportunities or are located near popular tourist attractions.</w:t>
      </w:r>
      <w:r w:rsidR="003C50AD">
        <w:t xml:space="preserve"> </w:t>
      </w:r>
      <w:r w:rsidR="003C50AD" w:rsidRPr="003C50AD">
        <w:t>Key sub</w:t>
      </w:r>
      <w:r w:rsidR="0054502B">
        <w:t>-</w:t>
      </w:r>
      <w:r w:rsidR="003C50AD" w:rsidRPr="003C50AD">
        <w:t>regional settlements include Tatura, Numurkah, Nagambie, Nathalia, Euroa, Yarrawonga and Cobram</w:t>
      </w:r>
      <w:r w:rsidR="003C50AD">
        <w:t>.</w:t>
      </w:r>
    </w:p>
    <w:p w:rsidR="007A28AE" w:rsidRPr="000A18FF" w:rsidRDefault="0038292E" w:rsidP="00AD7E91">
      <w:pPr>
        <w:pStyle w:val="bt"/>
        <w:rPr>
          <w:b/>
          <w:bCs/>
          <w:color w:val="FF0000"/>
        </w:rPr>
      </w:pPr>
      <w:r w:rsidRPr="006E637E">
        <w:t xml:space="preserve">The </w:t>
      </w:r>
      <w:r w:rsidRPr="006E637E">
        <w:rPr>
          <w:rStyle w:val="Strong"/>
        </w:rPr>
        <w:t>Lower Hume</w:t>
      </w:r>
      <w:r w:rsidR="00B85119" w:rsidRPr="00B85119">
        <w:t xml:space="preserve"> sub-region is close to Melbourne and has strong transport links to the metropolitan area. Melbourne’s Urban Growth Boundary now encompasses Beveridge and Wallan in the southern part of the region. Zoned residential land and infill sites can provide between nine and 15 years’ supply in different parts of the sub-region, and a further 15 years’ demand can be accommodated on land identified for future residential use in the southern part of the sub-region. Lower Hume currently lacks a major regional city or centre. Economic development in Seymour will be bolstered to improve access to employment and higher order services and to take advantage of its strategic location on the rail line. This plan contains a conceptual urban growth framework for Seymour, but further strategic planning is required. Investment in physical and social infrastructure will be needed to support increased demand. Plan Melbourne (Chapter 6 – State of C</w:t>
      </w:r>
      <w:r w:rsidR="00AF1346">
        <w:t xml:space="preserve">ities) identifies Broadford, </w:t>
      </w:r>
      <w:r w:rsidR="00B85119" w:rsidRPr="00B85119">
        <w:t xml:space="preserve">Kilmore </w:t>
      </w:r>
      <w:r w:rsidR="00AF1346">
        <w:t xml:space="preserve">and Seymour </w:t>
      </w:r>
      <w:r w:rsidR="00B85119" w:rsidRPr="00B85119">
        <w:t>as peri-urban towns with potential to attract housing and population growth out of Melbourne</w:t>
      </w:r>
      <w:r w:rsidR="00B85119" w:rsidRPr="00AF1346">
        <w:t>. It is likely that demand for housing in these centres would be accelerated in the future with the imposition of a permanent growth boundary around Melbourne. Other urban centres in the sub-region (outside metropolitan growth areas) are also expected to experience some growth and to continue to provide services to surrounding rural areas, including Yea and Alexandra.</w:t>
      </w:r>
    </w:p>
    <w:p w:rsidR="007A28AE" w:rsidRDefault="00714875" w:rsidP="00AD7E91">
      <w:pPr>
        <w:pStyle w:val="bt"/>
        <w:rPr>
          <w:b/>
          <w:bCs/>
        </w:rPr>
      </w:pPr>
      <w:r w:rsidRPr="00714875">
        <w:t xml:space="preserve">In the </w:t>
      </w:r>
      <w:r w:rsidR="00AB4C83" w:rsidRPr="00AD7E91">
        <w:rPr>
          <w:rStyle w:val="Strong"/>
        </w:rPr>
        <w:t>Upper Hume</w:t>
      </w:r>
      <w:r w:rsidRPr="00714875">
        <w:t xml:space="preserve"> </w:t>
      </w:r>
      <w:r w:rsidR="00112C95">
        <w:t>sub-region</w:t>
      </w:r>
      <w:r w:rsidRPr="00714875">
        <w:t>, major urban growth and development will be focused in Wodonga. The city has over 15 years</w:t>
      </w:r>
      <w:r w:rsidR="00600B23">
        <w:t>’</w:t>
      </w:r>
      <w:r w:rsidRPr="00714875">
        <w:t xml:space="preserve"> supply of residential land, either zoned or identified for future development, as well as substantial infill opportunities. The urban growth framework for Wodonga shows strategic opportunities for residential, industrial and commercial development. </w:t>
      </w:r>
      <w:r w:rsidR="00247A70">
        <w:t>Population growth in Wodonga will be accommodated in s</w:t>
      </w:r>
      <w:r w:rsidRPr="00714875">
        <w:t>even existing growth fronts</w:t>
      </w:r>
      <w:r w:rsidR="00247A70">
        <w:t xml:space="preserve"> and</w:t>
      </w:r>
      <w:r w:rsidRPr="00714875">
        <w:t xml:space="preserve"> medium- to long-term developments </w:t>
      </w:r>
      <w:r w:rsidR="004E5C03">
        <w:t xml:space="preserve">are </w:t>
      </w:r>
      <w:r w:rsidRPr="00714875">
        <w:t>planned for the Baranduda-Leneva area</w:t>
      </w:r>
      <w:r w:rsidR="00800921">
        <w:t>,</w:t>
      </w:r>
      <w:r w:rsidRPr="00714875">
        <w:t xml:space="preserve"> </w:t>
      </w:r>
      <w:r w:rsidR="004E5C03">
        <w:t xml:space="preserve">which </w:t>
      </w:r>
      <w:r w:rsidRPr="00714875">
        <w:t xml:space="preserve">can accommodate up to </w:t>
      </w:r>
      <w:r w:rsidR="00247A70">
        <w:t>35</w:t>
      </w:r>
      <w:r w:rsidRPr="00714875">
        <w:t xml:space="preserve">,000 additional people over the next 20 to 50 years. Wodonga will continue to be a major economic driver for the region and beyond and will build on existing strengths in freight and logistics, manufacturing, defence, education, health, business services, major sporting events and </w:t>
      </w:r>
      <w:r w:rsidRPr="00714875">
        <w:lastRenderedPageBreak/>
        <w:t xml:space="preserve">arts and culture. </w:t>
      </w:r>
      <w:r w:rsidR="00DB12A0" w:rsidRPr="00DB12A0">
        <w:t xml:space="preserve">This </w:t>
      </w:r>
      <w:r w:rsidR="005B2DD4">
        <w:t>p</w:t>
      </w:r>
      <w:r w:rsidR="00DB12A0" w:rsidRPr="00DB12A0">
        <w:t xml:space="preserve">lan also acknowledges the influence of the </w:t>
      </w:r>
      <w:r w:rsidR="00C83387">
        <w:t>combined urban area</w:t>
      </w:r>
      <w:r w:rsidR="00C83387" w:rsidRPr="00DB12A0">
        <w:t xml:space="preserve"> </w:t>
      </w:r>
      <w:r w:rsidR="00DB12A0" w:rsidRPr="00DB12A0">
        <w:t xml:space="preserve">of Albury-Wodonga (recognised as one of Australia’s 18 major cities) in the Upper Hume </w:t>
      </w:r>
      <w:r w:rsidR="00112C95">
        <w:t>sub-region</w:t>
      </w:r>
      <w:r w:rsidR="00DB12A0" w:rsidRPr="00DB12A0">
        <w:t xml:space="preserve">. </w:t>
      </w:r>
      <w:r w:rsidRPr="00714875">
        <w:t>Other urban centres in Upper Hume</w:t>
      </w:r>
      <w:r w:rsidR="00CB6EF6">
        <w:t xml:space="preserve"> will continue to grow </w:t>
      </w:r>
      <w:r w:rsidRPr="00714875">
        <w:t>consistent with retaining their character and environment</w:t>
      </w:r>
      <w:r w:rsidR="00CB6EF6">
        <w:t xml:space="preserve">, </w:t>
      </w:r>
      <w:r w:rsidR="00CB6EF6" w:rsidRPr="00714875">
        <w:t>particularly heritage townships, lifestyle settlements and tourist lo</w:t>
      </w:r>
      <w:r w:rsidR="00CB6EF6" w:rsidRPr="009C6EC0">
        <w:t>calities</w:t>
      </w:r>
      <w:r w:rsidRPr="00714875">
        <w:t>.</w:t>
      </w:r>
      <w:r w:rsidR="003C50AD">
        <w:t xml:space="preserve"> Key sub</w:t>
      </w:r>
      <w:r w:rsidR="00800921">
        <w:t>-</w:t>
      </w:r>
      <w:r w:rsidR="003C50AD">
        <w:t xml:space="preserve">regional settlements include </w:t>
      </w:r>
      <w:r w:rsidR="003C50AD" w:rsidRPr="003C50AD">
        <w:t>Barnawartha, Beechworth, Bellbridge, Chiltern, Corryong, Rutherglen, Tallangatta, Tangambalanga, Wahgunyah and Yackandandah.</w:t>
      </w:r>
    </w:p>
    <w:p w:rsidR="007A28AE" w:rsidRDefault="00714875" w:rsidP="00AD7E91">
      <w:pPr>
        <w:pStyle w:val="bt"/>
        <w:rPr>
          <w:b/>
          <w:bCs/>
        </w:rPr>
      </w:pPr>
      <w:r w:rsidRPr="00714875">
        <w:t xml:space="preserve">Some smaller settlements may experience population </w:t>
      </w:r>
      <w:r w:rsidR="002F6F83" w:rsidRPr="00714875">
        <w:t>dec</w:t>
      </w:r>
      <w:r w:rsidR="002F6F83">
        <w:t>reases</w:t>
      </w:r>
      <w:r w:rsidRPr="00714875">
        <w:t xml:space="preserve">. This </w:t>
      </w:r>
      <w:r w:rsidR="005B2DD4">
        <w:t>p</w:t>
      </w:r>
      <w:r w:rsidRPr="00714875">
        <w:t>lan encourages an integrated approach to planning for and servicing these communities.</w:t>
      </w:r>
    </w:p>
    <w:p w:rsidR="007A28AE" w:rsidRDefault="00714875" w:rsidP="00AD7E91">
      <w:pPr>
        <w:pStyle w:val="bt"/>
        <w:rPr>
          <w:b/>
          <w:bCs/>
        </w:rPr>
      </w:pPr>
      <w:r w:rsidRPr="00714875">
        <w:t xml:space="preserve">Rural residential uses will be provided for in defined areas close to existing settlements to ensure this form of development does not impact adversely on productive agriculture or other </w:t>
      </w:r>
      <w:r w:rsidR="00FF1866" w:rsidRPr="00714875">
        <w:t>broad scale</w:t>
      </w:r>
      <w:r w:rsidRPr="00714875">
        <w:t xml:space="preserve"> rural uses.</w:t>
      </w:r>
    </w:p>
    <w:p w:rsidR="00B310B1" w:rsidRPr="002C5D3F" w:rsidRDefault="00714875" w:rsidP="00AC6C4C">
      <w:pPr>
        <w:pStyle w:val="Heading4"/>
        <w:rPr>
          <w:rStyle w:val="Strong"/>
          <w:u w:val="none"/>
        </w:rPr>
      </w:pPr>
      <w:r w:rsidRPr="002C5D3F">
        <w:rPr>
          <w:rStyle w:val="Strong"/>
          <w:u w:val="none"/>
        </w:rPr>
        <w:t xml:space="preserve">Transport and </w:t>
      </w:r>
      <w:r w:rsidR="00713738" w:rsidRPr="002C5D3F">
        <w:rPr>
          <w:rStyle w:val="Strong"/>
          <w:u w:val="none"/>
        </w:rPr>
        <w:t>i</w:t>
      </w:r>
      <w:r w:rsidRPr="002C5D3F">
        <w:rPr>
          <w:rStyle w:val="Strong"/>
          <w:u w:val="none"/>
        </w:rPr>
        <w:t>nfrastructure</w:t>
      </w:r>
    </w:p>
    <w:p w:rsidR="007A28AE" w:rsidRDefault="00714875" w:rsidP="00AD7E91">
      <w:pPr>
        <w:pStyle w:val="bt"/>
        <w:rPr>
          <w:b/>
          <w:bCs/>
        </w:rPr>
      </w:pPr>
      <w:r w:rsidRPr="00714875">
        <w:t xml:space="preserve">This </w:t>
      </w:r>
      <w:r w:rsidR="005B2DD4">
        <w:t>p</w:t>
      </w:r>
      <w:r w:rsidRPr="00714875">
        <w:t>lan seeks to support system</w:t>
      </w:r>
      <w:r w:rsidR="00713738">
        <w:t xml:space="preserve"> improvements</w:t>
      </w:r>
      <w:r w:rsidRPr="00714875">
        <w:t xml:space="preserve"> for the movement of people and freight and to plan strategically for future infrastructure needs.</w:t>
      </w:r>
    </w:p>
    <w:p w:rsidR="007A28AE" w:rsidRDefault="00714875" w:rsidP="00AD7E91">
      <w:pPr>
        <w:pStyle w:val="bt"/>
        <w:rPr>
          <w:b/>
          <w:bCs/>
        </w:rPr>
      </w:pPr>
      <w:r w:rsidRPr="00714875">
        <w:t>The Hume and Goulburn Valley road and rail corridors form the backbone of the transport network in the Hume Region and will provide the fo</w:t>
      </w:r>
      <w:r w:rsidR="009C6EC0" w:rsidRPr="009C6EC0">
        <w:t>cus for future investment. East</w:t>
      </w:r>
      <w:r w:rsidR="00351D6E">
        <w:t>-</w:t>
      </w:r>
      <w:r w:rsidRPr="00714875">
        <w:t>west road linkages are also important but are generally less well developed. Improving the capacity of the transport network will involve maximising the use of existing infrastructure, constructing new transport links such as town bypasses</w:t>
      </w:r>
      <w:r w:rsidR="00351D6E">
        <w:t xml:space="preserve"> and </w:t>
      </w:r>
      <w:r w:rsidR="00351D6E" w:rsidRPr="00345463">
        <w:t>bridges</w:t>
      </w:r>
      <w:r w:rsidR="00351D6E">
        <w:t>,</w:t>
      </w:r>
      <w:r w:rsidRPr="00714875">
        <w:t xml:space="preserve"> facilities such as</w:t>
      </w:r>
      <w:r w:rsidR="00351D6E">
        <w:t xml:space="preserve"> freight and logistics precincts</w:t>
      </w:r>
      <w:r w:rsidRPr="00714875">
        <w:t xml:space="preserve">, better provision for cycling and walking in and between urban centres, improving public transport and enhancing rail capacity. Several airports in the region have the ability to play a greater role in freight transport. The nature of the freight transport task is likely to change in </w:t>
      </w:r>
      <w:r w:rsidR="00713738">
        <w:t xml:space="preserve">the </w:t>
      </w:r>
      <w:r w:rsidRPr="00714875">
        <w:t>future, both in terms of commodities carried and the size of freight vehicles. This may have implications for the rural road network.</w:t>
      </w:r>
    </w:p>
    <w:p w:rsidR="007A28AE" w:rsidRDefault="00714875" w:rsidP="00AD7E91">
      <w:pPr>
        <w:pStyle w:val="bt"/>
        <w:rPr>
          <w:b/>
          <w:bCs/>
        </w:rPr>
      </w:pPr>
      <w:r w:rsidRPr="00714875">
        <w:t xml:space="preserve">Social infrastructure </w:t>
      </w:r>
      <w:r w:rsidR="00713738" w:rsidRPr="00714875">
        <w:t>is critical to developing vibrant and sustainable communities</w:t>
      </w:r>
      <w:r w:rsidR="00713738">
        <w:t xml:space="preserve"> </w:t>
      </w:r>
      <w:r w:rsidRPr="00714875">
        <w:t>such as facilities providing educational, health and community services and opportunities for leisure and recreation.</w:t>
      </w:r>
    </w:p>
    <w:p w:rsidR="000D2469" w:rsidRDefault="00714875" w:rsidP="000D2469">
      <w:pPr>
        <w:pStyle w:val="bt"/>
      </w:pPr>
      <w:r w:rsidRPr="00714875">
        <w:t xml:space="preserve">Provision of energy supplies, information and communications technology, water supply and sewerage systems and waste disposal needs to be integrated with planning for urban growth. Expansion of reticulated natural gas is a priority for the region, as is the rapid rollout of the National Broadband Network. </w:t>
      </w:r>
    </w:p>
    <w:p w:rsidR="00AC6C4C" w:rsidRDefault="00AC6C4C" w:rsidP="00AC6C4C">
      <w:pPr>
        <w:pStyle w:val="Heading3"/>
      </w:pPr>
      <w:r>
        <w:t>Key directions for regional growth</w:t>
      </w:r>
    </w:p>
    <w:p w:rsidR="007A28AE" w:rsidRDefault="00D43781" w:rsidP="00AD7E91">
      <w:pPr>
        <w:pStyle w:val="bt"/>
        <w:rPr>
          <w:b/>
          <w:bCs/>
        </w:rPr>
      </w:pPr>
      <w:r w:rsidRPr="00345463">
        <w:t xml:space="preserve">This </w:t>
      </w:r>
      <w:r w:rsidR="005B2DD4">
        <w:t>p</w:t>
      </w:r>
      <w:r w:rsidRPr="00345463">
        <w:t xml:space="preserve">lan </w:t>
      </w:r>
      <w:r w:rsidRPr="00D43781">
        <w:t>is intended to compl</w:t>
      </w:r>
      <w:r w:rsidR="003848BB">
        <w:t>e</w:t>
      </w:r>
      <w:r w:rsidRPr="00D43781">
        <w:t xml:space="preserve">ment and guide local land use planning by providing directions for managing future growth and change to capitalise on the </w:t>
      </w:r>
      <w:r w:rsidR="00713738">
        <w:t xml:space="preserve">Hume </w:t>
      </w:r>
      <w:r w:rsidR="00B52B0C">
        <w:t>R</w:t>
      </w:r>
      <w:r w:rsidRPr="00D43781">
        <w:t>egion’s competitive advantages, opportunities and strengths by:</w:t>
      </w:r>
      <w:r>
        <w:t xml:space="preserve"> </w:t>
      </w:r>
    </w:p>
    <w:p w:rsidR="007A28AE" w:rsidRDefault="00714875" w:rsidP="0006488A">
      <w:pPr>
        <w:pStyle w:val="btbullet"/>
        <w:rPr>
          <w:b/>
          <w:bCs/>
        </w:rPr>
      </w:pPr>
      <w:r w:rsidRPr="00714875">
        <w:t>supporting the development of a more diverse regional economy while managing and enhancing key regional economic assets</w:t>
      </w:r>
    </w:p>
    <w:p w:rsidR="007A28AE" w:rsidRDefault="00714875" w:rsidP="0006488A">
      <w:pPr>
        <w:pStyle w:val="btbullet"/>
        <w:rPr>
          <w:b/>
          <w:bCs/>
        </w:rPr>
      </w:pPr>
      <w:r w:rsidRPr="00714875">
        <w:t>protecting environmental and heritage assets and maximising the regional benefit</w:t>
      </w:r>
      <w:r w:rsidR="00662E77">
        <w:t>s</w:t>
      </w:r>
      <w:r w:rsidRPr="00714875">
        <w:t xml:space="preserve"> from them, </w:t>
      </w:r>
      <w:r w:rsidR="00A50080" w:rsidRPr="00714875">
        <w:t>whil</w:t>
      </w:r>
      <w:r w:rsidR="00A50080">
        <w:t>e</w:t>
      </w:r>
      <w:r w:rsidR="00A50080" w:rsidRPr="00714875">
        <w:t xml:space="preserve"> </w:t>
      </w:r>
      <w:r w:rsidR="002F6F83">
        <w:t>managing exposure to</w:t>
      </w:r>
      <w:r w:rsidRPr="00714875">
        <w:t xml:space="preserve"> natural hazards and the potential impacts of climate change</w:t>
      </w:r>
    </w:p>
    <w:p w:rsidR="007A28AE" w:rsidRDefault="00AD7E91" w:rsidP="0006488A">
      <w:pPr>
        <w:pStyle w:val="btbullet"/>
        <w:rPr>
          <w:b/>
          <w:bCs/>
        </w:rPr>
      </w:pPr>
      <w:r>
        <w:t>f</w:t>
      </w:r>
      <w:r w:rsidR="00714875" w:rsidRPr="00714875">
        <w:t>ocusing growth and development to maximise the strengths of existing settlements</w:t>
      </w:r>
    </w:p>
    <w:p w:rsidR="007A28AE" w:rsidRDefault="00714875" w:rsidP="0006488A">
      <w:pPr>
        <w:pStyle w:val="btbullet"/>
        <w:rPr>
          <w:b/>
          <w:bCs/>
        </w:rPr>
      </w:pPr>
      <w:proofErr w:type="gramStart"/>
      <w:r w:rsidRPr="00714875">
        <w:t>supporting</w:t>
      </w:r>
      <w:proofErr w:type="gramEnd"/>
      <w:r w:rsidRPr="00714875">
        <w:t xml:space="preserve"> the improvement of people and freight movement and planning strategically for future infrastructure needs.</w:t>
      </w:r>
    </w:p>
    <w:p w:rsidR="007A28AE" w:rsidRDefault="001809AF" w:rsidP="00AD7E91">
      <w:pPr>
        <w:pStyle w:val="bt"/>
      </w:pPr>
      <w:r>
        <w:rPr>
          <w:shd w:val="clear" w:color="auto" w:fill="FFFFFF"/>
        </w:rPr>
        <w:t xml:space="preserve">Table </w:t>
      </w:r>
      <w:r w:rsidR="00CC63B5">
        <w:rPr>
          <w:shd w:val="clear" w:color="auto" w:fill="FFFFFF"/>
        </w:rPr>
        <w:t>4</w:t>
      </w:r>
      <w:r>
        <w:rPr>
          <w:shd w:val="clear" w:color="auto" w:fill="FFFFFF"/>
        </w:rPr>
        <w:t xml:space="preserve"> </w:t>
      </w:r>
      <w:r w:rsidR="00190036" w:rsidRPr="00BD5726">
        <w:rPr>
          <w:shd w:val="clear" w:color="auto" w:fill="FFFFFF"/>
        </w:rPr>
        <w:t>s</w:t>
      </w:r>
      <w:r w:rsidR="00190036">
        <w:t xml:space="preserve">ets out strategies consistent with these directions that will help achieve the objectives identified </w:t>
      </w:r>
      <w:r w:rsidR="00662E77">
        <w:t xml:space="preserve">in </w:t>
      </w:r>
      <w:r w:rsidR="00190036">
        <w:t xml:space="preserve">this </w:t>
      </w:r>
      <w:r w:rsidR="005B2DD4">
        <w:t>p</w:t>
      </w:r>
      <w:r w:rsidR="00190036">
        <w:t xml:space="preserve">lan. </w:t>
      </w:r>
    </w:p>
    <w:p w:rsidR="00303F36" w:rsidRPr="002F6F83" w:rsidRDefault="00303F36" w:rsidP="00303F36">
      <w:pPr>
        <w:pStyle w:val="Heading3"/>
        <w:rPr>
          <w:bCs/>
        </w:rPr>
      </w:pPr>
      <w:r>
        <w:t>Delivering regional growth</w:t>
      </w:r>
    </w:p>
    <w:p w:rsidR="00CD03E8" w:rsidRDefault="00CD1EA1" w:rsidP="001809AF">
      <w:pPr>
        <w:pStyle w:val="bt"/>
      </w:pPr>
      <w:r>
        <w:rPr>
          <w:shd w:val="clear" w:color="auto" w:fill="FFFFFF"/>
        </w:rPr>
        <w:lastRenderedPageBreak/>
        <w:t xml:space="preserve">The key planning directions of this plan will be implemented through municipal planning schemes. Table </w:t>
      </w:r>
      <w:r w:rsidR="00CC63B5">
        <w:rPr>
          <w:shd w:val="clear" w:color="auto" w:fill="FFFFFF"/>
        </w:rPr>
        <w:t>5</w:t>
      </w:r>
      <w:r>
        <w:rPr>
          <w:shd w:val="clear" w:color="auto" w:fill="FFFFFF"/>
        </w:rPr>
        <w:t xml:space="preserve"> </w:t>
      </w:r>
      <w:r w:rsidR="00190036">
        <w:t>identifies</w:t>
      </w:r>
      <w:r w:rsidR="00714875" w:rsidRPr="00714875">
        <w:t xml:space="preserve"> specific actions required, including detailed planning studies and cooperative programs. Implementation of the </w:t>
      </w:r>
      <w:r w:rsidR="005B2DD4">
        <w:t>p</w:t>
      </w:r>
      <w:r w:rsidR="00B52B0C">
        <w:t>lan</w:t>
      </w:r>
      <w:r w:rsidR="00714875" w:rsidRPr="00714875">
        <w:t xml:space="preserve"> will be integrated with the overall implementation of the</w:t>
      </w:r>
      <w:r w:rsidR="00662E77">
        <w:t xml:space="preserve"> Hume Strategy </w:t>
      </w:r>
      <w:r w:rsidR="00714875" w:rsidRPr="00714875">
        <w:t>and will be monitored and asse</w:t>
      </w:r>
      <w:r w:rsidR="00B84B49">
        <w:t>ss</w:t>
      </w:r>
      <w:r w:rsidR="00714875" w:rsidRPr="00714875">
        <w:t>ed through processes already established for that purpose.</w:t>
      </w:r>
      <w:r w:rsidR="00662E77">
        <w:t xml:space="preserve"> </w:t>
      </w:r>
      <w:r w:rsidR="00714875" w:rsidRPr="00714875">
        <w:t xml:space="preserve">The </w:t>
      </w:r>
      <w:r w:rsidR="005B2DD4">
        <w:t>p</w:t>
      </w:r>
      <w:r w:rsidR="00662E77">
        <w:t xml:space="preserve">lan </w:t>
      </w:r>
      <w:r w:rsidR="00714875" w:rsidRPr="00714875">
        <w:t xml:space="preserve">is intended to be adaptable and able to respond to new information. It will be reviewed every </w:t>
      </w:r>
      <w:r w:rsidR="00740D57">
        <w:t>four to five</w:t>
      </w:r>
      <w:r w:rsidR="00740D57" w:rsidRPr="00714875">
        <w:t xml:space="preserve"> </w:t>
      </w:r>
      <w:r w:rsidR="00714875" w:rsidRPr="00714875">
        <w:t>years.</w:t>
      </w:r>
      <w:r w:rsidR="001809AF" w:rsidRPr="00A25511">
        <w:t xml:space="preserve"> </w:t>
      </w:r>
    </w:p>
    <w:p w:rsidR="001809AF" w:rsidRDefault="001809AF" w:rsidP="001809AF">
      <w:pPr>
        <w:pStyle w:val="bt"/>
      </w:pPr>
    </w:p>
    <w:p w:rsidR="001809AF" w:rsidRDefault="001809AF" w:rsidP="001809AF">
      <w:pPr>
        <w:pStyle w:val="bt"/>
        <w:sectPr w:rsidR="001809AF" w:rsidSect="00BF089A">
          <w:headerReference w:type="default" r:id="rId24"/>
          <w:footerReference w:type="default" r:id="rId25"/>
          <w:pgSz w:w="11906" w:h="16838"/>
          <w:pgMar w:top="1440" w:right="1440" w:bottom="993" w:left="1440" w:header="708" w:footer="708" w:gutter="0"/>
          <w:pgBorders w:offsetFrom="page">
            <w:top w:val="single" w:sz="4" w:space="24" w:color="FFFFFF"/>
            <w:bottom w:val="single" w:sz="4" w:space="24" w:color="FFFFFF"/>
          </w:pgBorders>
          <w:pgNumType w:start="1"/>
          <w:cols w:space="708"/>
          <w:docGrid w:linePitch="360"/>
        </w:sectPr>
      </w:pPr>
    </w:p>
    <w:p w:rsidR="00A43B5F" w:rsidRPr="00CB54A1" w:rsidRDefault="00A43B5F" w:rsidP="00CB54A1">
      <w:pPr>
        <w:pStyle w:val="Heading1"/>
      </w:pPr>
      <w:bookmarkStart w:id="1" w:name="_Toc376945575"/>
      <w:r w:rsidRPr="00CB54A1">
        <w:lastRenderedPageBreak/>
        <w:t>PART A</w:t>
      </w:r>
      <w:r w:rsidR="00CB54A1" w:rsidRPr="00CB54A1">
        <w:t>:</w:t>
      </w:r>
      <w:r w:rsidRPr="00CB54A1">
        <w:tab/>
        <w:t>I</w:t>
      </w:r>
      <w:r w:rsidR="009B6188" w:rsidRPr="00CB54A1">
        <w:t>NTRODUCTION</w:t>
      </w:r>
      <w:bookmarkEnd w:id="1"/>
    </w:p>
    <w:p w:rsidR="00D533B4" w:rsidRPr="00AD7E91" w:rsidRDefault="006C17DF" w:rsidP="00AD7E91">
      <w:pPr>
        <w:pStyle w:val="Heading11"/>
      </w:pPr>
      <w:bookmarkStart w:id="2" w:name="_Toc376945576"/>
      <w:r w:rsidRPr="00AD7E91">
        <w:t>What is a</w:t>
      </w:r>
      <w:r w:rsidR="00A13A59" w:rsidRPr="00AD7E91">
        <w:t xml:space="preserve"> </w:t>
      </w:r>
      <w:r w:rsidR="00112C95">
        <w:t>r</w:t>
      </w:r>
      <w:r w:rsidR="00A13A59" w:rsidRPr="00AD7E91">
        <w:t xml:space="preserve">egional </w:t>
      </w:r>
      <w:r w:rsidR="00112C95">
        <w:t>g</w:t>
      </w:r>
      <w:r w:rsidR="00A13A59" w:rsidRPr="00AD7E91">
        <w:t xml:space="preserve">rowth </w:t>
      </w:r>
      <w:r w:rsidR="00112C95">
        <w:t>p</w:t>
      </w:r>
      <w:r w:rsidR="00A13A59" w:rsidRPr="00AD7E91">
        <w:t>lan</w:t>
      </w:r>
      <w:r w:rsidRPr="00AD7E91">
        <w:t>?</w:t>
      </w:r>
      <w:bookmarkEnd w:id="2"/>
    </w:p>
    <w:p w:rsidR="00561FA9" w:rsidRPr="00AD7E91" w:rsidRDefault="009D596D" w:rsidP="00AD7E91">
      <w:pPr>
        <w:pStyle w:val="bt"/>
      </w:pPr>
      <w:r w:rsidRPr="00AD7E91">
        <w:t xml:space="preserve">Eight </w:t>
      </w:r>
      <w:r w:rsidR="008C67A3">
        <w:t>r</w:t>
      </w:r>
      <w:r w:rsidRPr="00AD7E91">
        <w:t xml:space="preserve">egional </w:t>
      </w:r>
      <w:r w:rsidR="008C67A3">
        <w:t>g</w:t>
      </w:r>
      <w:r w:rsidRPr="00AD7E91">
        <w:t xml:space="preserve">rowth </w:t>
      </w:r>
      <w:r w:rsidR="008C67A3">
        <w:t>p</w:t>
      </w:r>
      <w:r w:rsidRPr="00AD7E91">
        <w:t xml:space="preserve">lans </w:t>
      </w:r>
      <w:r w:rsidR="002C5D3F">
        <w:t xml:space="preserve">have </w:t>
      </w:r>
      <w:r w:rsidR="005C068C">
        <w:t>been</w:t>
      </w:r>
      <w:r w:rsidR="005C068C" w:rsidRPr="00AD7E91">
        <w:t xml:space="preserve"> developed</w:t>
      </w:r>
      <w:r w:rsidRPr="00AD7E91">
        <w:t xml:space="preserve"> to provide broad direction for land use and development across regional Victoria</w:t>
      </w:r>
      <w:r w:rsidR="00AD7E91" w:rsidRPr="00AD7E91">
        <w:t xml:space="preserve"> (refer to</w:t>
      </w:r>
      <w:r w:rsidR="00AF799A">
        <w:t xml:space="preserve"> Map 1</w:t>
      </w:r>
      <w:r w:rsidR="003848BB" w:rsidRPr="00AD7E91">
        <w:t>)</w:t>
      </w:r>
      <w:r w:rsidRPr="00AD7E91">
        <w:t>. They also provide more detailed planning frameworks for key regional cities and centres.</w:t>
      </w:r>
    </w:p>
    <w:p w:rsidR="00573FBC" w:rsidRPr="00E63DD4" w:rsidRDefault="00B85119" w:rsidP="001A50C4">
      <w:pPr>
        <w:pStyle w:val="bt"/>
      </w:pPr>
      <w:r w:rsidRPr="00E63DD4">
        <w:t>Increasing the growth of regional Victoria will help improve the state’s competitiveness by strengthening regional labour markets, expanding markets for local goods and services and providing a greater diversity of affordable housing and employment opportunities.</w:t>
      </w:r>
    </w:p>
    <w:p w:rsidR="00315B29" w:rsidRDefault="00B85119" w:rsidP="001A50C4">
      <w:pPr>
        <w:pStyle w:val="bt"/>
      </w:pPr>
      <w:r w:rsidRPr="00E63DD4">
        <w:t xml:space="preserve">Regional growth plans, together with the new metropolitan planning strategy, </w:t>
      </w:r>
      <w:r w:rsidRPr="00E63DD4">
        <w:rPr>
          <w:i/>
        </w:rPr>
        <w:t>Plan Melbourne</w:t>
      </w:r>
      <w:r w:rsidRPr="00E63DD4">
        <w:t>, have been aligned in a way that builds on the interdependence of our urban settlements and facilitates their development as a networked ‘state of cities’. Unlocking the growth potential of these cities – so they can accommodate a greater proportion of the state’s future growth, with good transport connections between them and Melbourne – will create a state of cities where there are greater choices for people about where to live, work or start a business. It is likely that demand for housing in regional cities and centres would be accelerated in the future with the imposition of a permanent growth boundary around Melbourne.</w:t>
      </w:r>
    </w:p>
    <w:p w:rsidR="009D596D" w:rsidRPr="00AD7E91" w:rsidRDefault="009D596D" w:rsidP="00AD7E91">
      <w:pPr>
        <w:pStyle w:val="bt"/>
      </w:pPr>
      <w:r w:rsidRPr="00AD7E91">
        <w:t xml:space="preserve">The </w:t>
      </w:r>
      <w:r w:rsidR="008C67A3">
        <w:t>r</w:t>
      </w:r>
      <w:r w:rsidRPr="00AD7E91">
        <w:t xml:space="preserve">egional </w:t>
      </w:r>
      <w:r w:rsidR="008C67A3">
        <w:t>g</w:t>
      </w:r>
      <w:r w:rsidRPr="00AD7E91">
        <w:t xml:space="preserve">rowth </w:t>
      </w:r>
      <w:r w:rsidR="008C67A3">
        <w:t>p</w:t>
      </w:r>
      <w:r w:rsidRPr="00AD7E91">
        <w:t xml:space="preserve">lans respond to directions established in the </w:t>
      </w:r>
      <w:r w:rsidR="00A235EC">
        <w:t>r</w:t>
      </w:r>
      <w:r w:rsidRPr="00AD7E91">
        <w:t xml:space="preserve">egional </w:t>
      </w:r>
      <w:r w:rsidR="00A235EC">
        <w:t>s</w:t>
      </w:r>
      <w:r w:rsidRPr="00AD7E91">
        <w:t xml:space="preserve">trategic </w:t>
      </w:r>
      <w:r w:rsidR="00A235EC">
        <w:t>p</w:t>
      </w:r>
      <w:r w:rsidRPr="00AD7E91">
        <w:t xml:space="preserve">lans that were prepared across regional Victoria between 2007 </w:t>
      </w:r>
      <w:r w:rsidR="0069139B" w:rsidRPr="00AD7E91">
        <w:t>and</w:t>
      </w:r>
      <w:r w:rsidRPr="00AD7E91">
        <w:t xml:space="preserve"> 2010. </w:t>
      </w:r>
    </w:p>
    <w:p w:rsidR="009D596D" w:rsidRPr="00AD7E91" w:rsidRDefault="00662E77" w:rsidP="00AD7E91">
      <w:pPr>
        <w:pStyle w:val="bt"/>
      </w:pPr>
      <w:r w:rsidRPr="00AD7E91">
        <w:t>R</w:t>
      </w:r>
      <w:r w:rsidR="009D596D" w:rsidRPr="00AD7E91">
        <w:t xml:space="preserve">egional </w:t>
      </w:r>
      <w:r w:rsidR="008C67A3">
        <w:t>g</w:t>
      </w:r>
      <w:r w:rsidR="009D596D" w:rsidRPr="00AD7E91">
        <w:t xml:space="preserve">rowth </w:t>
      </w:r>
      <w:r w:rsidR="008C67A3">
        <w:t>p</w:t>
      </w:r>
      <w:r w:rsidR="009D596D" w:rsidRPr="00AD7E91">
        <w:t>lans are the next stage in planning for growth and change in regional Victoria. They have been developed in a partnership between local government and state agencies and authorities. The</w:t>
      </w:r>
      <w:r w:rsidR="00AE4EED" w:rsidRPr="00AD7E91">
        <w:t xml:space="preserve">y </w:t>
      </w:r>
      <w:r w:rsidR="009D596D" w:rsidRPr="00AD7E91">
        <w:t>reflect state and local government objectives.</w:t>
      </w:r>
    </w:p>
    <w:p w:rsidR="009D596D" w:rsidRPr="00AD7E91" w:rsidRDefault="00AE4EED" w:rsidP="00AD7E91">
      <w:pPr>
        <w:pStyle w:val="bt"/>
      </w:pPr>
      <w:r w:rsidRPr="00AD7E91">
        <w:t xml:space="preserve">Regional </w:t>
      </w:r>
      <w:r w:rsidR="008C67A3">
        <w:t>g</w:t>
      </w:r>
      <w:r w:rsidRPr="00AD7E91">
        <w:t xml:space="preserve">rowth </w:t>
      </w:r>
      <w:r w:rsidR="008C67A3">
        <w:t>p</w:t>
      </w:r>
      <w:r w:rsidR="009D596D" w:rsidRPr="00AD7E91">
        <w:t>lans provide a long</w:t>
      </w:r>
      <w:r w:rsidRPr="00AD7E91">
        <w:t>-</w:t>
      </w:r>
      <w:r w:rsidR="009D596D" w:rsidRPr="00AD7E91">
        <w:t>term view of the region to 2041 and beyond, allowing for some short</w:t>
      </w:r>
      <w:r w:rsidRPr="00AD7E91">
        <w:t>-</w:t>
      </w:r>
      <w:r w:rsidR="009D596D" w:rsidRPr="00AD7E91">
        <w:t>term actions, and providing long-term strategic land use direction.</w:t>
      </w:r>
    </w:p>
    <w:p w:rsidR="009D596D" w:rsidRPr="00AD7E91" w:rsidRDefault="009D596D" w:rsidP="00AD7E91">
      <w:pPr>
        <w:pStyle w:val="bt"/>
      </w:pPr>
      <w:r w:rsidRPr="00AD7E91">
        <w:t xml:space="preserve">The </w:t>
      </w:r>
      <w:r w:rsidR="00E147BD">
        <w:t>regional strategic plan</w:t>
      </w:r>
      <w:r w:rsidRPr="00AD7E91">
        <w:t xml:space="preserve"> for the Hume Region, the </w:t>
      </w:r>
      <w:r w:rsidR="009B4318" w:rsidRPr="00141FA0">
        <w:t>Hume Strategy for Sustainable Communities 2010–2020</w:t>
      </w:r>
      <w:r w:rsidRPr="00AD7E91">
        <w:t xml:space="preserve"> (the Hume Strategy), represents regional aspirations and sets an agenda for regional development and long</w:t>
      </w:r>
      <w:r w:rsidR="00AE4EED" w:rsidRPr="00AD7E91">
        <w:t>-</w:t>
      </w:r>
      <w:r w:rsidRPr="00AD7E91">
        <w:t xml:space="preserve">term strategic planning. It </w:t>
      </w:r>
      <w:r w:rsidR="000430E6" w:rsidRPr="00AD7E91">
        <w:t>establishes</w:t>
      </w:r>
      <w:r w:rsidRPr="00AD7E91">
        <w:t xml:space="preserve"> strategic directions for the region </w:t>
      </w:r>
      <w:r w:rsidR="00FD6805" w:rsidRPr="00AD7E91">
        <w:t xml:space="preserve">under a number of themes, </w:t>
      </w:r>
      <w:r w:rsidRPr="00AD7E91">
        <w:t>including</w:t>
      </w:r>
      <w:r w:rsidR="00EC4448" w:rsidRPr="00AD7E91">
        <w:t xml:space="preserve"> </w:t>
      </w:r>
      <w:r w:rsidRPr="00AD7E91">
        <w:t xml:space="preserve">land use and infrastructure. </w:t>
      </w:r>
    </w:p>
    <w:p w:rsidR="009D596D" w:rsidRPr="00AD7E91" w:rsidRDefault="009D596D" w:rsidP="00ED22A2">
      <w:pPr>
        <w:pStyle w:val="bt"/>
        <w:spacing w:after="220"/>
      </w:pPr>
      <w:r w:rsidRPr="00AD7E91">
        <w:t xml:space="preserve">The Hume Strategy </w:t>
      </w:r>
      <w:r w:rsidR="001A0EFE" w:rsidRPr="00AD7E91">
        <w:t xml:space="preserve">includes </w:t>
      </w:r>
      <w:r w:rsidRPr="00AD7E91">
        <w:t xml:space="preserve">goals focused </w:t>
      </w:r>
      <w:r w:rsidR="001A0EFE" w:rsidRPr="00AD7E91">
        <w:t>on</w:t>
      </w:r>
      <w:r w:rsidRPr="00AD7E91">
        <w:t>:</w:t>
      </w:r>
    </w:p>
    <w:p w:rsidR="009D596D" w:rsidRPr="00A25511" w:rsidRDefault="009D596D" w:rsidP="0006488A">
      <w:pPr>
        <w:pStyle w:val="btbullet"/>
      </w:pPr>
      <w:r w:rsidRPr="00A25511">
        <w:t xml:space="preserve">natural resources protected and enhanced for current and future generations </w:t>
      </w:r>
    </w:p>
    <w:p w:rsidR="009D596D" w:rsidRPr="00A25511" w:rsidRDefault="009D596D" w:rsidP="0006488A">
      <w:pPr>
        <w:pStyle w:val="btbullet"/>
      </w:pPr>
      <w:r w:rsidRPr="00A25511">
        <w:t xml:space="preserve">healthy, vibrant and resilient communities </w:t>
      </w:r>
    </w:p>
    <w:p w:rsidR="009D596D" w:rsidRPr="00A25511" w:rsidRDefault="009D596D" w:rsidP="0006488A">
      <w:pPr>
        <w:pStyle w:val="btbullet"/>
      </w:pPr>
      <w:r w:rsidRPr="00A25511">
        <w:t xml:space="preserve">a thriving and dynamic economy </w:t>
      </w:r>
    </w:p>
    <w:p w:rsidR="009D596D" w:rsidRPr="00A25511" w:rsidRDefault="009D596D" w:rsidP="0006488A">
      <w:pPr>
        <w:pStyle w:val="btbullet"/>
      </w:pPr>
      <w:r w:rsidRPr="00A25511">
        <w:t>an integrated network of efficient and high</w:t>
      </w:r>
      <w:r w:rsidR="001A0EFE">
        <w:t>-</w:t>
      </w:r>
      <w:r w:rsidRPr="00A25511">
        <w:t xml:space="preserve">functioning transport systems </w:t>
      </w:r>
    </w:p>
    <w:p w:rsidR="009D596D" w:rsidRPr="00A25511" w:rsidRDefault="009D596D" w:rsidP="0006488A">
      <w:pPr>
        <w:pStyle w:val="btbullet"/>
      </w:pPr>
      <w:proofErr w:type="gramStart"/>
      <w:r w:rsidRPr="00A25511">
        <w:t>an</w:t>
      </w:r>
      <w:proofErr w:type="gramEnd"/>
      <w:r w:rsidRPr="00A25511">
        <w:t xml:space="preserve"> efficient and sustainable pattern of urban and rural land use and development.</w:t>
      </w:r>
    </w:p>
    <w:p w:rsidR="009D596D" w:rsidRPr="00AD7E91" w:rsidRDefault="009D596D" w:rsidP="00ED22A2">
      <w:pPr>
        <w:pStyle w:val="bt"/>
        <w:spacing w:after="220"/>
      </w:pPr>
      <w:r w:rsidRPr="00AD7E91">
        <w:t xml:space="preserve">The Hume Strategy also establishes four key directions </w:t>
      </w:r>
      <w:r w:rsidR="00FD6805" w:rsidRPr="00AD7E91">
        <w:t xml:space="preserve">for </w:t>
      </w:r>
      <w:r w:rsidRPr="00AD7E91">
        <w:t>regional settlement planning:</w:t>
      </w:r>
    </w:p>
    <w:p w:rsidR="009D596D" w:rsidRPr="00A25511" w:rsidRDefault="009D596D" w:rsidP="0006488A">
      <w:pPr>
        <w:pStyle w:val="btbullet"/>
      </w:pPr>
      <w:r w:rsidRPr="00A25511">
        <w:t xml:space="preserve">directing future population growth to settlements with the greatest capacity to accommodate it </w:t>
      </w:r>
    </w:p>
    <w:p w:rsidR="009D596D" w:rsidRPr="00A25511" w:rsidRDefault="009D596D" w:rsidP="0006488A">
      <w:pPr>
        <w:pStyle w:val="btbullet"/>
      </w:pPr>
      <w:r w:rsidRPr="00A25511">
        <w:t xml:space="preserve">maximising the use of existing infrastructure and services and facilitating strategic investment in future infrastructure and services </w:t>
      </w:r>
    </w:p>
    <w:p w:rsidR="009D596D" w:rsidRPr="00A25511" w:rsidRDefault="009D596D" w:rsidP="0006488A">
      <w:pPr>
        <w:pStyle w:val="btbullet"/>
      </w:pPr>
      <w:r w:rsidRPr="00A25511">
        <w:t xml:space="preserve">retaining productive rural land for agriculture and other compatible rural uses </w:t>
      </w:r>
    </w:p>
    <w:p w:rsidR="009D596D" w:rsidRPr="00A25511" w:rsidRDefault="009D596D" w:rsidP="0006488A">
      <w:pPr>
        <w:pStyle w:val="btbullet"/>
      </w:pPr>
      <w:proofErr w:type="gramStart"/>
      <w:r w:rsidRPr="00A25511">
        <w:t>ensuring</w:t>
      </w:r>
      <w:proofErr w:type="gramEnd"/>
      <w:r w:rsidRPr="00A25511">
        <w:t xml:space="preserve"> efficient use of land use planning resources in the region.</w:t>
      </w:r>
    </w:p>
    <w:p w:rsidR="008561D9" w:rsidRDefault="009D596D" w:rsidP="008561D9">
      <w:pPr>
        <w:pStyle w:val="bt"/>
      </w:pPr>
      <w:r w:rsidRPr="00AD7E91">
        <w:t xml:space="preserve">The </w:t>
      </w:r>
      <w:r w:rsidR="009B4318" w:rsidRPr="00141FA0">
        <w:t>Hume Regional Growth Plan</w:t>
      </w:r>
      <w:r w:rsidR="00AB7D1F" w:rsidRPr="00AD7E91">
        <w:t xml:space="preserve"> </w:t>
      </w:r>
      <w:r w:rsidRPr="00AD7E91">
        <w:t>provides an opportunity</w:t>
      </w:r>
      <w:r w:rsidR="004C5842" w:rsidRPr="00AD7E91">
        <w:t xml:space="preserve"> to</w:t>
      </w:r>
      <w:r w:rsidRPr="00AD7E91">
        <w:t xml:space="preserve"> refine and implement these directions.</w:t>
      </w:r>
      <w:bookmarkStart w:id="3" w:name="_Ref374356106"/>
      <w:bookmarkStart w:id="4" w:name="_Toc374434698"/>
    </w:p>
    <w:p w:rsidR="00707D14" w:rsidRPr="008561D9" w:rsidRDefault="009D1249" w:rsidP="008561D9">
      <w:pPr>
        <w:pStyle w:val="bt"/>
      </w:pPr>
      <w:r w:rsidRPr="008561D9">
        <w:lastRenderedPageBreak/>
        <w:t xml:space="preserve">Map </w:t>
      </w:r>
      <w:bookmarkEnd w:id="3"/>
      <w:r w:rsidR="00AF799A">
        <w:t>1</w:t>
      </w:r>
      <w:r w:rsidR="008561D9">
        <w:t xml:space="preserve"> is located here in the document and it shows -</w:t>
      </w:r>
      <w:r w:rsidR="00BD7B1F" w:rsidRPr="008561D9">
        <w:t xml:space="preserve"> The </w:t>
      </w:r>
      <w:r w:rsidR="008561D9">
        <w:t xml:space="preserve">areas covered by the </w:t>
      </w:r>
      <w:r w:rsidR="00BD7B1F" w:rsidRPr="008561D9">
        <w:t>eight regional growth plans</w:t>
      </w:r>
      <w:bookmarkEnd w:id="4"/>
    </w:p>
    <w:p w:rsidR="00AD4660" w:rsidRPr="00AD7E91" w:rsidRDefault="00AD4660" w:rsidP="00AD7E91">
      <w:pPr>
        <w:pStyle w:val="bt"/>
      </w:pPr>
      <w:r w:rsidRPr="00AD7E91">
        <w:t xml:space="preserve">The Hume Strategy recognises </w:t>
      </w:r>
      <w:r w:rsidR="00FD6805" w:rsidRPr="00AD7E91">
        <w:t>t</w:t>
      </w:r>
      <w:r w:rsidRPr="00AD7E91">
        <w:t xml:space="preserve">he Hume Region is comprised of four distinct </w:t>
      </w:r>
      <w:r w:rsidR="00FD6805" w:rsidRPr="00AD7E91">
        <w:t>but</w:t>
      </w:r>
      <w:r w:rsidRPr="00AD7E91">
        <w:t xml:space="preserve"> interconnected </w:t>
      </w:r>
      <w:r w:rsidR="00112C95">
        <w:t>sub-region</w:t>
      </w:r>
      <w:r w:rsidRPr="00AD7E91">
        <w:t xml:space="preserve">s. The four </w:t>
      </w:r>
      <w:r w:rsidR="00112C95">
        <w:t>sub-region</w:t>
      </w:r>
      <w:r w:rsidRPr="00AD7E91">
        <w:t>s (Central Hume, Goulburn Valley, Lower Hume and Upper Hume) are shown in</w:t>
      </w:r>
      <w:r w:rsidR="00AF799A">
        <w:t xml:space="preserve"> Map 2</w:t>
      </w:r>
      <w:r w:rsidR="00481288">
        <w:t xml:space="preserve">. </w:t>
      </w:r>
      <w:r w:rsidR="00734564" w:rsidRPr="00AD7E91">
        <w:t xml:space="preserve">These </w:t>
      </w:r>
      <w:r w:rsidR="00112C95">
        <w:t>sub-region</w:t>
      </w:r>
      <w:r w:rsidR="00734564" w:rsidRPr="00AD7E91">
        <w:t>s cover the municipalities of Alpine, Benalla, Greater Shepparton, Indigo, Mansfield, Mitchell, Moira, Murrindindi, Strathbogie, Towong, Wangaratta and Wodonga.</w:t>
      </w:r>
    </w:p>
    <w:p w:rsidR="0069462F" w:rsidRPr="00475F76" w:rsidRDefault="009D1249" w:rsidP="00475F76">
      <w:pPr>
        <w:pStyle w:val="bt"/>
      </w:pPr>
      <w:bookmarkStart w:id="5" w:name="_Ref374356149"/>
      <w:bookmarkStart w:id="6" w:name="_Toc374434699"/>
      <w:r w:rsidRPr="00475F76">
        <w:t xml:space="preserve">Map </w:t>
      </w:r>
      <w:bookmarkEnd w:id="5"/>
      <w:r w:rsidR="00AF799A">
        <w:t>2</w:t>
      </w:r>
      <w:r w:rsidR="00475F76" w:rsidRPr="00475F76">
        <w:t xml:space="preserve"> </w:t>
      </w:r>
      <w:r w:rsidR="00475F76">
        <w:t>is located here in the document and it shows -</w:t>
      </w:r>
      <w:r w:rsidR="00475F76" w:rsidRPr="008561D9">
        <w:t xml:space="preserve"> </w:t>
      </w:r>
      <w:r w:rsidR="00BD7B1F" w:rsidRPr="00475F76">
        <w:t>Hume sub-regions</w:t>
      </w:r>
      <w:bookmarkEnd w:id="6"/>
    </w:p>
    <w:p w:rsidR="00412A8E" w:rsidRPr="00AD7E91" w:rsidRDefault="00AB7D1F" w:rsidP="00AD7E91">
      <w:pPr>
        <w:pStyle w:val="bt"/>
      </w:pPr>
      <w:r w:rsidRPr="00AD7E91">
        <w:t>The Hume Strategy identifie</w:t>
      </w:r>
      <w:r w:rsidR="001A0EFE" w:rsidRPr="00AD7E91">
        <w:t>s</w:t>
      </w:r>
      <w:r w:rsidRPr="00AD7E91">
        <w:t xml:space="preserve"> the need to undertake regional scale planning work to provide a common approach to land use issues affecting the Hume Region. This</w:t>
      </w:r>
      <w:r w:rsidR="009D596D" w:rsidRPr="00AD7E91">
        <w:t xml:space="preserve"> </w:t>
      </w:r>
      <w:r w:rsidR="005B2DD4" w:rsidRPr="00AD7E91">
        <w:t>p</w:t>
      </w:r>
      <w:r w:rsidR="009D596D" w:rsidRPr="00AD7E91">
        <w:t xml:space="preserve">lan provides land use planning responses to </w:t>
      </w:r>
      <w:r w:rsidRPr="00AD7E91">
        <w:t xml:space="preserve">those issues, to </w:t>
      </w:r>
      <w:r w:rsidR="00536D4A" w:rsidRPr="00AD7E91">
        <w:t xml:space="preserve">help </w:t>
      </w:r>
      <w:r w:rsidR="009D596D" w:rsidRPr="00AD7E91">
        <w:t xml:space="preserve">achieve the </w:t>
      </w:r>
      <w:r w:rsidR="00536D4A" w:rsidRPr="00AD7E91">
        <w:t xml:space="preserve">Hume Strategy’s </w:t>
      </w:r>
      <w:r w:rsidR="009D596D" w:rsidRPr="00AD7E91">
        <w:t xml:space="preserve">goals and implement </w:t>
      </w:r>
      <w:r w:rsidR="00536D4A" w:rsidRPr="00AD7E91">
        <w:t xml:space="preserve">its key </w:t>
      </w:r>
      <w:r w:rsidR="009D596D" w:rsidRPr="00AD7E91">
        <w:t xml:space="preserve">directions. </w:t>
      </w:r>
    </w:p>
    <w:p w:rsidR="00412A8E" w:rsidRPr="00AD7E91" w:rsidRDefault="009D596D" w:rsidP="00AD7E91">
      <w:pPr>
        <w:pStyle w:val="bt"/>
      </w:pPr>
      <w:r w:rsidRPr="00AD7E91">
        <w:t>Th</w:t>
      </w:r>
      <w:r w:rsidR="00536D4A" w:rsidRPr="00AD7E91">
        <w:t>is</w:t>
      </w:r>
      <w:r w:rsidRPr="00AD7E91">
        <w:t xml:space="preserve"> </w:t>
      </w:r>
      <w:r w:rsidR="005B2DD4" w:rsidRPr="00AD7E91">
        <w:t>p</w:t>
      </w:r>
      <w:r w:rsidRPr="00AD7E91">
        <w:t xml:space="preserve">lan </w:t>
      </w:r>
      <w:r w:rsidR="00AB7D1F" w:rsidRPr="00AD7E91">
        <w:t xml:space="preserve">will </w:t>
      </w:r>
      <w:r w:rsidR="00293228" w:rsidRPr="00AD7E91">
        <w:t xml:space="preserve">provide high level </w:t>
      </w:r>
      <w:r w:rsidRPr="00AD7E91">
        <w:t>guid</w:t>
      </w:r>
      <w:r w:rsidR="00293228" w:rsidRPr="00AD7E91">
        <w:t>ance for</w:t>
      </w:r>
      <w:r w:rsidRPr="00AD7E91">
        <w:t xml:space="preserve"> land use planning at the local level and inform </w:t>
      </w:r>
      <w:r w:rsidR="00536D4A" w:rsidRPr="00AD7E91">
        <w:t xml:space="preserve">the </w:t>
      </w:r>
      <w:r w:rsidRPr="00AD7E91">
        <w:t>decision</w:t>
      </w:r>
      <w:r w:rsidR="00F81145">
        <w:t xml:space="preserve"> </w:t>
      </w:r>
      <w:r w:rsidRPr="00AD7E91">
        <w:t xml:space="preserve">making </w:t>
      </w:r>
      <w:r w:rsidR="00536D4A" w:rsidRPr="00AD7E91">
        <w:t xml:space="preserve">of </w:t>
      </w:r>
      <w:r w:rsidRPr="00AD7E91">
        <w:t xml:space="preserve">a range of agencies regarding future investment in the region. </w:t>
      </w:r>
      <w:r w:rsidR="00AB7D1F" w:rsidRPr="00AD7E91">
        <w:t xml:space="preserve">Detailed </w:t>
      </w:r>
      <w:r w:rsidRPr="00AD7E91">
        <w:t>direction</w:t>
      </w:r>
      <w:r w:rsidR="00AB7D1F" w:rsidRPr="00AD7E91">
        <w:t xml:space="preserve"> on local issues will be provided through subsequent local planning processes such as</w:t>
      </w:r>
      <w:r w:rsidRPr="00AD7E91">
        <w:t xml:space="preserve"> structure plans</w:t>
      </w:r>
      <w:r w:rsidR="00AB7D1F" w:rsidRPr="00AD7E91">
        <w:t>,</w:t>
      </w:r>
      <w:r w:rsidRPr="00AD7E91">
        <w:t xml:space="preserve"> growth framework plans</w:t>
      </w:r>
      <w:r w:rsidR="00AB7D1F" w:rsidRPr="00AD7E91">
        <w:t xml:space="preserve"> and amendments to </w:t>
      </w:r>
      <w:r w:rsidR="00BD5968" w:rsidRPr="00AD7E91">
        <w:t>planning schemes (see</w:t>
      </w:r>
      <w:r w:rsidR="00BA53E2">
        <w:t xml:space="preserve"> </w:t>
      </w:r>
      <w:r w:rsidR="005F523F">
        <w:fldChar w:fldCharType="begin"/>
      </w:r>
      <w:r w:rsidR="00D12457">
        <w:instrText xml:space="preserve"> REF _Ref340831311 \h </w:instrText>
      </w:r>
      <w:r w:rsidR="005F523F">
        <w:fldChar w:fldCharType="separate"/>
      </w:r>
      <w:r w:rsidR="006A067A" w:rsidRPr="00BD7B1F">
        <w:t xml:space="preserve">Figure </w:t>
      </w:r>
      <w:r w:rsidR="006A067A">
        <w:rPr>
          <w:noProof/>
        </w:rPr>
        <w:t>1</w:t>
      </w:r>
      <w:r w:rsidR="005F523F">
        <w:fldChar w:fldCharType="end"/>
      </w:r>
      <w:r w:rsidR="00BD5968" w:rsidRPr="00AD7E91">
        <w:t>).</w:t>
      </w:r>
    </w:p>
    <w:p w:rsidR="0069462F" w:rsidRDefault="00BD7B1F" w:rsidP="00674FA7">
      <w:pPr>
        <w:pStyle w:val="Caption"/>
      </w:pPr>
      <w:bookmarkStart w:id="7" w:name="_Ref340831311"/>
      <w:bookmarkStart w:id="8" w:name="_Toc374434734"/>
      <w:r w:rsidRPr="00BD7B1F">
        <w:t xml:space="preserve">Figure </w:t>
      </w:r>
      <w:r w:rsidR="005F523F">
        <w:fldChar w:fldCharType="begin"/>
      </w:r>
      <w:r w:rsidR="008E0CEC">
        <w:instrText xml:space="preserve"> SEQ Figure \* ARABIC </w:instrText>
      </w:r>
      <w:r w:rsidR="005F523F">
        <w:fldChar w:fldCharType="separate"/>
      </w:r>
      <w:r w:rsidR="006A067A">
        <w:t>1</w:t>
      </w:r>
      <w:r w:rsidR="005F523F">
        <w:fldChar w:fldCharType="end"/>
      </w:r>
      <w:bookmarkEnd w:id="7"/>
      <w:r w:rsidRPr="00BD7B1F">
        <w:t xml:space="preserve">: </w:t>
      </w:r>
      <w:r w:rsidRPr="00217B20">
        <w:rPr>
          <w:b w:val="0"/>
        </w:rPr>
        <w:t>Where does the regional growth plan fit?</w:t>
      </w:r>
      <w:bookmarkEnd w:id="8"/>
    </w:p>
    <w:p w:rsidR="004E42E3" w:rsidRPr="00456CCE" w:rsidRDefault="004E42E3" w:rsidP="004E42E3">
      <w:pPr>
        <w:pStyle w:val="bt"/>
        <w:rPr>
          <w:rStyle w:val="Strong"/>
        </w:rPr>
      </w:pPr>
      <w:r w:rsidRPr="00456CCE">
        <w:rPr>
          <w:rStyle w:val="Strong"/>
        </w:rPr>
        <w:t>Regional planning</w:t>
      </w:r>
    </w:p>
    <w:p w:rsidR="004E42E3" w:rsidRDefault="004E42E3" w:rsidP="004E42E3">
      <w:pPr>
        <w:pStyle w:val="bt"/>
      </w:pPr>
      <w:r w:rsidRPr="00456CCE">
        <w:t xml:space="preserve">Regional strategic </w:t>
      </w:r>
      <w:r>
        <w:t>plans -</w:t>
      </w:r>
      <w:r w:rsidR="008F21F5">
        <w:t xml:space="preserve"> shorter- </w:t>
      </w:r>
      <w:r w:rsidRPr="00456CCE">
        <w:t>to medium-term priorities and directions for regions</w:t>
      </w:r>
    </w:p>
    <w:p w:rsidR="004E42E3" w:rsidRDefault="004E42E3" w:rsidP="004E42E3">
      <w:pPr>
        <w:pStyle w:val="bt"/>
        <w:rPr>
          <w:szCs w:val="22"/>
        </w:rPr>
      </w:pPr>
      <w:r w:rsidRPr="00456CCE">
        <w:rPr>
          <w:szCs w:val="22"/>
        </w:rPr>
        <w:t>Regional growth plans</w:t>
      </w:r>
      <w:r>
        <w:rPr>
          <w:szCs w:val="22"/>
        </w:rPr>
        <w:t xml:space="preserve"> - l</w:t>
      </w:r>
      <w:r w:rsidRPr="00456CCE">
        <w:rPr>
          <w:szCs w:val="22"/>
        </w:rPr>
        <w:t>ong-term strategic direction for land use planning for regions</w:t>
      </w:r>
    </w:p>
    <w:p w:rsidR="004E42E3" w:rsidRPr="00456CCE" w:rsidRDefault="004E42E3" w:rsidP="004E42E3">
      <w:pPr>
        <w:pStyle w:val="bt"/>
        <w:rPr>
          <w:rStyle w:val="Strong"/>
        </w:rPr>
      </w:pPr>
      <w:r w:rsidRPr="00456CCE">
        <w:rPr>
          <w:rStyle w:val="Strong"/>
        </w:rPr>
        <w:t>Local planning</w:t>
      </w:r>
    </w:p>
    <w:p w:rsidR="004E42E3" w:rsidRDefault="004E42E3" w:rsidP="004E42E3">
      <w:pPr>
        <w:pStyle w:val="bt"/>
        <w:rPr>
          <w:szCs w:val="22"/>
        </w:rPr>
      </w:pPr>
      <w:r w:rsidRPr="00456CCE">
        <w:rPr>
          <w:szCs w:val="22"/>
        </w:rPr>
        <w:t>Council plans</w:t>
      </w:r>
      <w:r>
        <w:rPr>
          <w:szCs w:val="22"/>
        </w:rPr>
        <w:t xml:space="preserve"> - s</w:t>
      </w:r>
      <w:r w:rsidR="008F21F5">
        <w:rPr>
          <w:szCs w:val="22"/>
        </w:rPr>
        <w:t xml:space="preserve">horter- </w:t>
      </w:r>
      <w:r w:rsidRPr="00456CCE">
        <w:rPr>
          <w:szCs w:val="22"/>
        </w:rPr>
        <w:t>to medium-term priorities and actions for councils</w:t>
      </w:r>
    </w:p>
    <w:p w:rsidR="004E42E3" w:rsidRPr="00456CCE" w:rsidRDefault="004E42E3" w:rsidP="004E42E3">
      <w:pPr>
        <w:pStyle w:val="bt"/>
      </w:pPr>
      <w:r w:rsidRPr="003A58CF">
        <w:t>Municipal Strategic Statements</w:t>
      </w:r>
      <w:r>
        <w:t xml:space="preserve"> - l</w:t>
      </w:r>
      <w:r w:rsidRPr="003A58CF">
        <w:t>ong-term strategic direction for land use planning for councils</w:t>
      </w:r>
    </w:p>
    <w:p w:rsidR="00A43B5F" w:rsidRPr="00F25409" w:rsidRDefault="004338A5" w:rsidP="00F25409">
      <w:pPr>
        <w:pStyle w:val="Heading11"/>
      </w:pPr>
      <w:bookmarkStart w:id="9" w:name="_Toc376945577"/>
      <w:r w:rsidRPr="00F25409">
        <w:t xml:space="preserve">Why </w:t>
      </w:r>
      <w:r w:rsidR="001A0EFE" w:rsidRPr="00F25409">
        <w:t>w</w:t>
      </w:r>
      <w:r w:rsidRPr="00F25409">
        <w:t xml:space="preserve">e </w:t>
      </w:r>
      <w:r w:rsidR="001A0EFE" w:rsidRPr="00F25409">
        <w:t>n</w:t>
      </w:r>
      <w:r w:rsidRPr="00F25409">
        <w:t xml:space="preserve">eed this </w:t>
      </w:r>
      <w:r w:rsidR="00A86A0A" w:rsidRPr="00F25409">
        <w:t>p</w:t>
      </w:r>
      <w:r w:rsidRPr="00F25409">
        <w:t>lan</w:t>
      </w:r>
      <w:bookmarkEnd w:id="9"/>
    </w:p>
    <w:p w:rsidR="00CD1F36" w:rsidRPr="00F25409" w:rsidRDefault="00536D4A" w:rsidP="00F25409">
      <w:pPr>
        <w:pStyle w:val="bt"/>
      </w:pPr>
      <w:r w:rsidRPr="00F25409">
        <w:t>R</w:t>
      </w:r>
      <w:r w:rsidR="00CD1F36" w:rsidRPr="00F25409">
        <w:t xml:space="preserve">egional </w:t>
      </w:r>
      <w:r w:rsidR="008474E5">
        <w:t>g</w:t>
      </w:r>
      <w:r w:rsidR="00CD1F36" w:rsidRPr="00F25409">
        <w:t xml:space="preserve">rowth </w:t>
      </w:r>
      <w:r w:rsidR="008474E5">
        <w:t>p</w:t>
      </w:r>
      <w:r w:rsidR="00CD1F36" w:rsidRPr="00F25409">
        <w:t>lans translate and integrate emerging statewide regional land use planning policy. They provide the basis for regional coordination and future planning of infrastructure to support regional land use objectives.</w:t>
      </w:r>
    </w:p>
    <w:p w:rsidR="00CD1F36" w:rsidRPr="00F25409" w:rsidRDefault="00CD1F36" w:rsidP="00F25409">
      <w:pPr>
        <w:pStyle w:val="bt"/>
      </w:pPr>
      <w:r w:rsidRPr="00F25409">
        <w:t>Th</w:t>
      </w:r>
      <w:r w:rsidR="00536D4A" w:rsidRPr="00F25409">
        <w:t xml:space="preserve">is </w:t>
      </w:r>
      <w:r w:rsidR="005B2DD4" w:rsidRPr="00F25409">
        <w:t>p</w:t>
      </w:r>
      <w:r w:rsidRPr="00F25409">
        <w:t>lan:</w:t>
      </w:r>
    </w:p>
    <w:p w:rsidR="00CD1F36" w:rsidRPr="00945DFD" w:rsidRDefault="00CD1F36" w:rsidP="0006488A">
      <w:pPr>
        <w:pStyle w:val="btbullet"/>
      </w:pPr>
      <w:r w:rsidRPr="00945DFD">
        <w:t>establish</w:t>
      </w:r>
      <w:r w:rsidR="00DB5DE6">
        <w:t>es</w:t>
      </w:r>
      <w:r w:rsidRPr="00945DFD">
        <w:t xml:space="preserve"> a framework for strategic land use and settlement planning that can sustainably accommodate growth</w:t>
      </w:r>
    </w:p>
    <w:p w:rsidR="00CD1F36" w:rsidRPr="00945DFD" w:rsidRDefault="00CD1F36" w:rsidP="0006488A">
      <w:pPr>
        <w:pStyle w:val="btbullet"/>
      </w:pPr>
      <w:r w:rsidRPr="00945DFD">
        <w:t>identif</w:t>
      </w:r>
      <w:r w:rsidR="00DB5DE6">
        <w:t>ies</w:t>
      </w:r>
      <w:r w:rsidRPr="00945DFD">
        <w:t xml:space="preserve"> important economic, environmental, social and cultural resources to be </w:t>
      </w:r>
      <w:r w:rsidR="00DE5980">
        <w:t>conserved</w:t>
      </w:r>
      <w:r w:rsidRPr="00945DFD">
        <w:t>, maintained or developed</w:t>
      </w:r>
    </w:p>
    <w:p w:rsidR="00CD1F36" w:rsidRPr="00945DFD" w:rsidRDefault="00CD1F36" w:rsidP="0006488A">
      <w:pPr>
        <w:pStyle w:val="btbullet"/>
      </w:pPr>
      <w:r w:rsidRPr="00945DFD">
        <w:t>provide</w:t>
      </w:r>
      <w:r w:rsidR="00DB5DE6">
        <w:t>s</w:t>
      </w:r>
      <w:r w:rsidRPr="00945DFD">
        <w:t xml:space="preserve"> direction for accommodating growth and change including</w:t>
      </w:r>
      <w:r w:rsidR="00536D4A">
        <w:t xml:space="preserve"> </w:t>
      </w:r>
      <w:r w:rsidRPr="00945DFD">
        <w:t>residential, employment, industrial, commercial, agriculture and other rural activities</w:t>
      </w:r>
    </w:p>
    <w:p w:rsidR="00CD1F36" w:rsidRPr="00945DFD" w:rsidRDefault="00536D4A" w:rsidP="0006488A">
      <w:pPr>
        <w:pStyle w:val="btbullet"/>
      </w:pPr>
      <w:r>
        <w:t>identif</w:t>
      </w:r>
      <w:r w:rsidR="00DB5DE6">
        <w:t>ies</w:t>
      </w:r>
      <w:r>
        <w:t xml:space="preserve"> </w:t>
      </w:r>
      <w:r w:rsidR="00CD1F36" w:rsidRPr="00945DFD">
        <w:t>which areas of land can accommodate growth and which are to be maintained</w:t>
      </w:r>
    </w:p>
    <w:p w:rsidR="00CD1F36" w:rsidRPr="00945DFD" w:rsidRDefault="00CD1F36" w:rsidP="0006488A">
      <w:pPr>
        <w:pStyle w:val="btbullet"/>
      </w:pPr>
      <w:proofErr w:type="gramStart"/>
      <w:r w:rsidRPr="00945DFD">
        <w:t>identif</w:t>
      </w:r>
      <w:r w:rsidR="00DB5DE6">
        <w:t>ies</w:t>
      </w:r>
      <w:proofErr w:type="gramEnd"/>
      <w:r w:rsidRPr="00945DFD">
        <w:t xml:space="preserve"> opportunities for supporting regional level infrastructure, providing an essential contribution to the long-term sustainability of the region.</w:t>
      </w:r>
    </w:p>
    <w:p w:rsidR="00CD1F36" w:rsidRPr="00F25409" w:rsidRDefault="00CD1F36" w:rsidP="00F25409">
      <w:pPr>
        <w:pStyle w:val="bt"/>
      </w:pPr>
      <w:r w:rsidRPr="00F25409">
        <w:t xml:space="preserve">The </w:t>
      </w:r>
      <w:r w:rsidR="005B2DD4" w:rsidRPr="00F25409">
        <w:t>p</w:t>
      </w:r>
      <w:r w:rsidRPr="00F25409">
        <w:t>lan will help councils by streamlining planning policy and potentially reducing the strategic workload of councils</w:t>
      </w:r>
      <w:r w:rsidR="0040245A">
        <w:t xml:space="preserve"> by providing a land use linkage between </w:t>
      </w:r>
      <w:r w:rsidR="00B41117">
        <w:t>s</w:t>
      </w:r>
      <w:r w:rsidR="0040245A">
        <w:t xml:space="preserve">tate </w:t>
      </w:r>
      <w:r w:rsidR="00B41117">
        <w:t>g</w:t>
      </w:r>
      <w:r w:rsidR="0040245A">
        <w:t>overnment vision and direction and local level implementation</w:t>
      </w:r>
      <w:r w:rsidRPr="00F25409">
        <w:t>. It will also contribute to broader regional goals.</w:t>
      </w:r>
    </w:p>
    <w:p w:rsidR="00CD1F36" w:rsidRPr="00F25409" w:rsidRDefault="00CD1F36" w:rsidP="00F25409">
      <w:pPr>
        <w:pStyle w:val="bt"/>
      </w:pPr>
      <w:r w:rsidRPr="00F25409">
        <w:lastRenderedPageBreak/>
        <w:t xml:space="preserve">The </w:t>
      </w:r>
      <w:r w:rsidR="005B2DD4" w:rsidRPr="00F25409">
        <w:t>p</w:t>
      </w:r>
      <w:r w:rsidRPr="00F25409">
        <w:t>lan provide</w:t>
      </w:r>
      <w:r w:rsidR="00DB5DE6">
        <w:t>s</w:t>
      </w:r>
      <w:r w:rsidRPr="00F25409">
        <w:t xml:space="preserve"> a regional strategic land use framework for growth</w:t>
      </w:r>
      <w:r w:rsidR="002C398A">
        <w:rPr>
          <w:rStyle w:val="FootnoteReference"/>
        </w:rPr>
        <w:footnoteReference w:id="1"/>
      </w:r>
      <w:r w:rsidRPr="00F25409">
        <w:t xml:space="preserve"> and change. It is a strategic direction</w:t>
      </w:r>
      <w:r w:rsidR="008A1E78">
        <w:t>-</w:t>
      </w:r>
      <w:r w:rsidRPr="00F25409">
        <w:t xml:space="preserve">setting document </w:t>
      </w:r>
      <w:r w:rsidR="00536D4A" w:rsidRPr="00F25409">
        <w:t xml:space="preserve">that </w:t>
      </w:r>
      <w:r w:rsidRPr="00F25409">
        <w:t>identifies long</w:t>
      </w:r>
      <w:r w:rsidR="00536D4A" w:rsidRPr="00F25409">
        <w:t>-</w:t>
      </w:r>
      <w:r w:rsidRPr="00F25409">
        <w:t xml:space="preserve">term land uses and growth objectives. It is not </w:t>
      </w:r>
      <w:r w:rsidR="00536D4A" w:rsidRPr="00F25409">
        <w:t xml:space="preserve">intended to be </w:t>
      </w:r>
      <w:r w:rsidR="008A1E78">
        <w:t xml:space="preserve">used </w:t>
      </w:r>
      <w:r w:rsidRPr="00F25409">
        <w:t xml:space="preserve">at a level where service planning or specific unquantified infrastructure could be committed. The </w:t>
      </w:r>
      <w:r w:rsidR="005B2DD4" w:rsidRPr="00F25409">
        <w:t>p</w:t>
      </w:r>
      <w:r w:rsidRPr="00F25409">
        <w:t>lan will guide infrastructure decisions and provide priority for further investigations of regionally significant infrastructure.</w:t>
      </w:r>
    </w:p>
    <w:p w:rsidR="00CD1F36" w:rsidRPr="00F25409" w:rsidRDefault="00CD1F36" w:rsidP="00F25409">
      <w:pPr>
        <w:pStyle w:val="bt"/>
      </w:pPr>
      <w:r w:rsidRPr="00F25409">
        <w:t>Site</w:t>
      </w:r>
      <w:r w:rsidR="00536D4A" w:rsidRPr="00F25409">
        <w:t>-</w:t>
      </w:r>
      <w:r w:rsidRPr="00F25409">
        <w:t xml:space="preserve">specific development proposals and processes are also outside the scope of the </w:t>
      </w:r>
      <w:r w:rsidR="005B2DD4" w:rsidRPr="00F25409">
        <w:t>p</w:t>
      </w:r>
      <w:r w:rsidRPr="00F25409">
        <w:t xml:space="preserve">lan. </w:t>
      </w:r>
    </w:p>
    <w:p w:rsidR="007A28AE" w:rsidRPr="00F25409" w:rsidRDefault="00CD1F36" w:rsidP="00164650">
      <w:pPr>
        <w:pStyle w:val="bt"/>
      </w:pPr>
      <w:r w:rsidRPr="00F25409">
        <w:t xml:space="preserve">The </w:t>
      </w:r>
      <w:r w:rsidR="005B2DD4" w:rsidRPr="00F25409">
        <w:t>p</w:t>
      </w:r>
      <w:r w:rsidRPr="00F25409">
        <w:t>lan provide</w:t>
      </w:r>
      <w:r w:rsidR="00806552">
        <w:t>s</w:t>
      </w:r>
      <w:r w:rsidRPr="00F25409">
        <w:t xml:space="preserve"> solutions to common issues across Hume but will not reduce attention to local issues or replace local planning</w:t>
      </w:r>
      <w:r w:rsidR="00282178" w:rsidRPr="00F25409">
        <w:t>,</w:t>
      </w:r>
      <w:r w:rsidR="00492336" w:rsidRPr="00F25409">
        <w:t xml:space="preserve"> f</w:t>
      </w:r>
      <w:r w:rsidRPr="00F25409">
        <w:t>or example</w:t>
      </w:r>
      <w:r w:rsidR="00D53A39">
        <w:t>,</w:t>
      </w:r>
      <w:r w:rsidRPr="00F25409">
        <w:t xml:space="preserve"> identification of future industrial and other employment locations or consistent regional approaches to matters such as planning for key resources, waste, tourism and heritage.</w:t>
      </w:r>
    </w:p>
    <w:p w:rsidR="00F25409" w:rsidRPr="00F25409" w:rsidRDefault="00F25409" w:rsidP="00164650">
      <w:pPr>
        <w:pStyle w:val="bt"/>
        <w:shd w:val="clear" w:color="auto" w:fill="FFFFFF" w:themeFill="background1"/>
        <w:spacing w:after="0"/>
        <w:rPr>
          <w:rStyle w:val="Strong"/>
        </w:rPr>
      </w:pPr>
      <w:r w:rsidRPr="00F25409">
        <w:rPr>
          <w:rStyle w:val="Strong"/>
        </w:rPr>
        <w:t>Note:</w:t>
      </w:r>
    </w:p>
    <w:p w:rsidR="00BF089A" w:rsidRDefault="00F25409" w:rsidP="00164650">
      <w:pPr>
        <w:pStyle w:val="bt"/>
        <w:shd w:val="clear" w:color="auto" w:fill="FFFFFF" w:themeFill="background1"/>
        <w:spacing w:before="0" w:after="120"/>
      </w:pPr>
      <w:r w:rsidRPr="00F25409">
        <w:t xml:space="preserve">The Hume Region’s boundary includes future metropolitan growth areas extending into the southern part of the region (Mitchell Shire). Metropolitan growth </w:t>
      </w:r>
      <w:r w:rsidR="00806552">
        <w:t>has been</w:t>
      </w:r>
      <w:r w:rsidR="004E42E3">
        <w:t xml:space="preserve"> </w:t>
      </w:r>
      <w:r w:rsidRPr="00F25409">
        <w:t xml:space="preserve">planned for </w:t>
      </w:r>
      <w:r w:rsidR="00806552">
        <w:t xml:space="preserve">in </w:t>
      </w:r>
      <w:r w:rsidR="00315B29" w:rsidRPr="00315B29">
        <w:rPr>
          <w:i/>
        </w:rPr>
        <w:t>Plan Melbourne</w:t>
      </w:r>
      <w:r w:rsidRPr="00F25409">
        <w:t xml:space="preserve"> and this plan only considers regional growth outside future metropolitan areas.</w:t>
      </w:r>
    </w:p>
    <w:p w:rsidR="00C507C7" w:rsidRPr="00F25409" w:rsidRDefault="00C507C7" w:rsidP="00F25409">
      <w:pPr>
        <w:pStyle w:val="Heading11"/>
      </w:pPr>
      <w:bookmarkStart w:id="10" w:name="_Toc336871210"/>
      <w:bookmarkStart w:id="11" w:name="_Toc376945578"/>
      <w:r w:rsidRPr="00F25409">
        <w:t xml:space="preserve">How this </w:t>
      </w:r>
      <w:r w:rsidR="00A86A0A" w:rsidRPr="00F25409">
        <w:t>p</w:t>
      </w:r>
      <w:r w:rsidRPr="00F25409">
        <w:t xml:space="preserve">lan will be </w:t>
      </w:r>
      <w:r w:rsidR="00536D4A" w:rsidRPr="00F25409">
        <w:t>u</w:t>
      </w:r>
      <w:r w:rsidRPr="00F25409">
        <w:t>sed</w:t>
      </w:r>
      <w:bookmarkEnd w:id="10"/>
      <w:bookmarkEnd w:id="11"/>
    </w:p>
    <w:p w:rsidR="000066EF" w:rsidRPr="00F25409" w:rsidRDefault="000066EF" w:rsidP="00F25409">
      <w:pPr>
        <w:pStyle w:val="bt"/>
      </w:pPr>
      <w:r w:rsidRPr="00F25409">
        <w:t xml:space="preserve">The key land use planning directions of the </w:t>
      </w:r>
      <w:r w:rsidR="009B4318" w:rsidRPr="00141FA0">
        <w:t>Hume Regional Growth Plan</w:t>
      </w:r>
      <w:r w:rsidRPr="00F25409">
        <w:t xml:space="preserve"> will be implemented through the </w:t>
      </w:r>
      <w:r w:rsidR="00D53A39">
        <w:t>s</w:t>
      </w:r>
      <w:r w:rsidRPr="00F25409">
        <w:t xml:space="preserve">tate </w:t>
      </w:r>
      <w:r w:rsidR="00536D4A" w:rsidRPr="00F25409">
        <w:t>p</w:t>
      </w:r>
      <w:r w:rsidRPr="00F25409">
        <w:t>lanning system as it is applied by each council in the Hume Region. This will support decision</w:t>
      </w:r>
      <w:r w:rsidR="008A1E78">
        <w:t xml:space="preserve"> </w:t>
      </w:r>
      <w:r w:rsidRPr="00F25409">
        <w:t>making at a local level.</w:t>
      </w:r>
    </w:p>
    <w:p w:rsidR="000066EF" w:rsidRPr="00F25409" w:rsidRDefault="000066EF" w:rsidP="00F25409">
      <w:pPr>
        <w:pStyle w:val="bt"/>
      </w:pPr>
      <w:r w:rsidRPr="00F25409">
        <w:t xml:space="preserve">Implementation will occur in a number of ways, such as further specific amendments to planning schemes, preparation of infrastructure plans, land supply monitoring and other projects. </w:t>
      </w:r>
    </w:p>
    <w:p w:rsidR="000066EF" w:rsidRPr="00F25409" w:rsidRDefault="000066EF" w:rsidP="00F25409">
      <w:pPr>
        <w:pStyle w:val="bt"/>
      </w:pPr>
      <w:r w:rsidRPr="00F25409">
        <w:t xml:space="preserve">The </w:t>
      </w:r>
      <w:r w:rsidR="005B2DD4" w:rsidRPr="00F25409">
        <w:t>p</w:t>
      </w:r>
      <w:r w:rsidRPr="00F25409">
        <w:t xml:space="preserve">lan will be used to guide and inform future land use planning work across the Hume </w:t>
      </w:r>
      <w:r w:rsidR="0029120D" w:rsidRPr="00F25409">
        <w:t>R</w:t>
      </w:r>
      <w:r w:rsidRPr="00F25409">
        <w:t xml:space="preserve">egion, including subsequent reviews of each council’s </w:t>
      </w:r>
      <w:r w:rsidR="00E147BD">
        <w:t>m</w:t>
      </w:r>
      <w:r w:rsidRPr="00F25409">
        <w:t xml:space="preserve">unicipal </w:t>
      </w:r>
      <w:r w:rsidR="00E147BD">
        <w:t>s</w:t>
      </w:r>
      <w:r w:rsidRPr="00F25409">
        <w:t xml:space="preserve">trategic </w:t>
      </w:r>
      <w:r w:rsidR="00E147BD">
        <w:t>s</w:t>
      </w:r>
      <w:r w:rsidRPr="00F25409">
        <w:t>tatement.</w:t>
      </w:r>
    </w:p>
    <w:p w:rsidR="00A43B5F" w:rsidRPr="00F25409" w:rsidRDefault="006B4B1C" w:rsidP="00F25409">
      <w:pPr>
        <w:pStyle w:val="Heading11"/>
      </w:pPr>
      <w:bookmarkStart w:id="12" w:name="_Toc376945579"/>
      <w:r w:rsidRPr="00F25409">
        <w:t>Ho</w:t>
      </w:r>
      <w:r w:rsidR="00146741" w:rsidRPr="00F25409">
        <w:t xml:space="preserve">w the </w:t>
      </w:r>
      <w:r w:rsidR="00A86A0A" w:rsidRPr="00F25409">
        <w:t>p</w:t>
      </w:r>
      <w:r w:rsidR="00146741" w:rsidRPr="00F25409">
        <w:t xml:space="preserve">lan was </w:t>
      </w:r>
      <w:r w:rsidR="00536D4A" w:rsidRPr="00F25409">
        <w:t>p</w:t>
      </w:r>
      <w:r w:rsidR="00146741" w:rsidRPr="00F25409">
        <w:t>repared</w:t>
      </w:r>
      <w:bookmarkEnd w:id="12"/>
    </w:p>
    <w:p w:rsidR="00146741" w:rsidRPr="00F25409" w:rsidRDefault="00394150" w:rsidP="00F25409">
      <w:pPr>
        <w:pStyle w:val="bt"/>
        <w:rPr>
          <w:szCs w:val="20"/>
        </w:rPr>
      </w:pPr>
      <w:r w:rsidRPr="00F25409">
        <w:t>The</w:t>
      </w:r>
      <w:r w:rsidR="00903439" w:rsidRPr="00F25409">
        <w:t xml:space="preserve"> </w:t>
      </w:r>
      <w:r w:rsidR="005B2DD4" w:rsidRPr="00F25409">
        <w:t>p</w:t>
      </w:r>
      <w:r w:rsidR="00903439" w:rsidRPr="00F25409">
        <w:t xml:space="preserve">lan </w:t>
      </w:r>
      <w:r w:rsidR="00536D4A" w:rsidRPr="00F25409">
        <w:t>was</w:t>
      </w:r>
      <w:r w:rsidR="00903439" w:rsidRPr="00F25409">
        <w:t xml:space="preserve"> </w:t>
      </w:r>
      <w:r w:rsidRPr="00F25409">
        <w:t xml:space="preserve">developed </w:t>
      </w:r>
      <w:r w:rsidR="00903439" w:rsidRPr="00F25409">
        <w:t xml:space="preserve">in five broad phases. </w:t>
      </w:r>
      <w:r w:rsidRPr="00F25409">
        <w:t>The</w:t>
      </w:r>
      <w:r w:rsidR="00903439" w:rsidRPr="00F25409">
        <w:t xml:space="preserve"> purpose</w:t>
      </w:r>
      <w:r w:rsidRPr="00F25409">
        <w:t>s</w:t>
      </w:r>
      <w:r w:rsidR="00903439" w:rsidRPr="00F25409">
        <w:t xml:space="preserve"> and consultation</w:t>
      </w:r>
      <w:r w:rsidRPr="00F25409">
        <w:t xml:space="preserve"> </w:t>
      </w:r>
      <w:r w:rsidR="00536D4A" w:rsidRPr="00F25409">
        <w:t xml:space="preserve">processes </w:t>
      </w:r>
      <w:r w:rsidRPr="00F25409">
        <w:t>undertaken</w:t>
      </w:r>
      <w:r w:rsidR="00903439" w:rsidRPr="00F25409">
        <w:t xml:space="preserve"> as part of each </w:t>
      </w:r>
      <w:r w:rsidRPr="00F25409">
        <w:t xml:space="preserve">phase </w:t>
      </w:r>
      <w:r w:rsidR="00903439" w:rsidRPr="00F25409">
        <w:t xml:space="preserve">are </w:t>
      </w:r>
      <w:r w:rsidR="00BD5968" w:rsidRPr="00F25409">
        <w:rPr>
          <w:szCs w:val="20"/>
        </w:rPr>
        <w:t>shown in</w:t>
      </w:r>
      <w:r w:rsidR="00BA53E2">
        <w:rPr>
          <w:szCs w:val="20"/>
        </w:rPr>
        <w:t xml:space="preserve"> </w:t>
      </w:r>
      <w:r w:rsidR="005F523F">
        <w:rPr>
          <w:szCs w:val="20"/>
        </w:rPr>
        <w:fldChar w:fldCharType="begin"/>
      </w:r>
      <w:r w:rsidR="00D12457">
        <w:rPr>
          <w:szCs w:val="20"/>
        </w:rPr>
        <w:instrText xml:space="preserve"> REF _Ref340841822 \h </w:instrText>
      </w:r>
      <w:r w:rsidR="005F523F">
        <w:rPr>
          <w:szCs w:val="20"/>
        </w:rPr>
      </w:r>
      <w:r w:rsidR="005F523F">
        <w:rPr>
          <w:szCs w:val="20"/>
        </w:rPr>
        <w:fldChar w:fldCharType="separate"/>
      </w:r>
      <w:r w:rsidR="006A067A" w:rsidRPr="00707D14">
        <w:t xml:space="preserve">Figure </w:t>
      </w:r>
      <w:r w:rsidR="006A067A">
        <w:rPr>
          <w:noProof/>
        </w:rPr>
        <w:t>2</w:t>
      </w:r>
      <w:r w:rsidR="005F523F">
        <w:rPr>
          <w:szCs w:val="20"/>
        </w:rPr>
        <w:fldChar w:fldCharType="end"/>
      </w:r>
      <w:r w:rsidR="00481288">
        <w:rPr>
          <w:szCs w:val="20"/>
        </w:rPr>
        <w:t>.</w:t>
      </w:r>
    </w:p>
    <w:p w:rsidR="004608B8" w:rsidRDefault="00282178" w:rsidP="00F25409">
      <w:pPr>
        <w:pStyle w:val="bt"/>
      </w:pPr>
      <w:r w:rsidRPr="00F25409">
        <w:t xml:space="preserve">The </w:t>
      </w:r>
      <w:r w:rsidR="005B2DD4" w:rsidRPr="00F25409">
        <w:t>p</w:t>
      </w:r>
      <w:r w:rsidRPr="00F25409">
        <w:t>lan has been developed through a series of issues papers, regional workshops</w:t>
      </w:r>
      <w:r w:rsidR="00CE0DEF">
        <w:t>,</w:t>
      </w:r>
      <w:r w:rsidRPr="00F25409">
        <w:t xml:space="preserve"> analysis of information provided by all partners in the process</w:t>
      </w:r>
      <w:r w:rsidR="00CE0DEF">
        <w:t xml:space="preserve"> and public consultation</w:t>
      </w:r>
      <w:r w:rsidRPr="00F25409">
        <w:t xml:space="preserve">. </w:t>
      </w:r>
    </w:p>
    <w:p w:rsidR="009436ED" w:rsidRPr="00217B20" w:rsidRDefault="00903439" w:rsidP="00674FA7">
      <w:pPr>
        <w:pStyle w:val="Caption"/>
        <w:rPr>
          <w:b w:val="0"/>
          <w:sz w:val="2"/>
          <w:szCs w:val="2"/>
        </w:rPr>
      </w:pPr>
      <w:bookmarkStart w:id="13" w:name="_Ref340841822"/>
      <w:bookmarkStart w:id="14" w:name="_Toc374434735"/>
      <w:r w:rsidRPr="00707D14">
        <w:t xml:space="preserve">Figure </w:t>
      </w:r>
      <w:r w:rsidR="005F523F" w:rsidRPr="00707D14">
        <w:fldChar w:fldCharType="begin"/>
      </w:r>
      <w:r w:rsidRPr="00707D14">
        <w:instrText xml:space="preserve"> SEQ Figure \* ARABIC </w:instrText>
      </w:r>
      <w:r w:rsidR="005F523F" w:rsidRPr="00707D14">
        <w:fldChar w:fldCharType="separate"/>
      </w:r>
      <w:r w:rsidR="006A067A">
        <w:t>2</w:t>
      </w:r>
      <w:r w:rsidR="005F523F" w:rsidRPr="00707D14">
        <w:fldChar w:fldCharType="end"/>
      </w:r>
      <w:bookmarkEnd w:id="13"/>
      <w:r w:rsidRPr="00707D14">
        <w:t xml:space="preserve">: </w:t>
      </w:r>
      <w:r w:rsidRPr="00217B20">
        <w:rPr>
          <w:b w:val="0"/>
        </w:rPr>
        <w:t>Hume Regional Growth Plan process</w:t>
      </w:r>
      <w:bookmarkEnd w:id="14"/>
    </w:p>
    <w:p w:rsidR="000C4C60" w:rsidRPr="003D1581" w:rsidRDefault="000C4C60" w:rsidP="0016400E">
      <w:pPr>
        <w:pStyle w:val="Heading3"/>
        <w:rPr>
          <w:rStyle w:val="Strong"/>
        </w:rPr>
      </w:pPr>
      <w:r w:rsidRPr="003D1581">
        <w:rPr>
          <w:rStyle w:val="Strong"/>
        </w:rPr>
        <w:t>Project establishment</w:t>
      </w:r>
    </w:p>
    <w:p w:rsidR="000C4C60" w:rsidRPr="000C4C60" w:rsidRDefault="000C4C60" w:rsidP="000C4C60">
      <w:pPr>
        <w:pStyle w:val="bt"/>
        <w:rPr>
          <w:rFonts w:eastAsia="Calibri"/>
          <w:szCs w:val="16"/>
        </w:rPr>
      </w:pPr>
      <w:r w:rsidRPr="000C4C60">
        <w:rPr>
          <w:szCs w:val="16"/>
        </w:rPr>
        <w:t>To prepare project plan, timelines and establish governance arrangements</w:t>
      </w:r>
    </w:p>
    <w:p w:rsidR="000C4C60" w:rsidRPr="000C4C60" w:rsidRDefault="000C4C60" w:rsidP="000C4C60">
      <w:pPr>
        <w:pStyle w:val="bt"/>
        <w:rPr>
          <w:rFonts w:eastAsia="Calibri"/>
          <w:szCs w:val="16"/>
        </w:rPr>
      </w:pPr>
      <w:r w:rsidRPr="000C4C60">
        <w:rPr>
          <w:szCs w:val="16"/>
        </w:rPr>
        <w:t>Stakeholder</w:t>
      </w:r>
      <w:r>
        <w:rPr>
          <w:szCs w:val="16"/>
        </w:rPr>
        <w:t xml:space="preserve"> consultation</w:t>
      </w:r>
      <w:r w:rsidRPr="003D1581">
        <w:rPr>
          <w:rStyle w:val="FootnoteReference"/>
        </w:rPr>
        <w:footnoteReference w:id="2"/>
      </w:r>
    </w:p>
    <w:p w:rsidR="000C4C60" w:rsidRPr="0016400E" w:rsidRDefault="000C4C60" w:rsidP="0016400E">
      <w:pPr>
        <w:pStyle w:val="Heading3"/>
        <w:rPr>
          <w:rStyle w:val="Strong"/>
        </w:rPr>
      </w:pPr>
      <w:r w:rsidRPr="0016400E">
        <w:rPr>
          <w:rStyle w:val="Strong"/>
        </w:rPr>
        <w:t>Issues paper</w:t>
      </w:r>
    </w:p>
    <w:p w:rsidR="000C4C60" w:rsidRPr="000C4C60" w:rsidRDefault="000C4C60" w:rsidP="000C4C60">
      <w:pPr>
        <w:pStyle w:val="bt"/>
        <w:rPr>
          <w:rFonts w:eastAsia="Calibri"/>
          <w:szCs w:val="16"/>
        </w:rPr>
      </w:pPr>
      <w:r w:rsidRPr="000C4C60">
        <w:rPr>
          <w:szCs w:val="16"/>
        </w:rPr>
        <w:t>To understand the current situation, likely trends, drivers for change and issues</w:t>
      </w:r>
    </w:p>
    <w:p w:rsidR="000C4C60" w:rsidRPr="000C4C60" w:rsidRDefault="000C4C60" w:rsidP="000C4C60">
      <w:pPr>
        <w:pStyle w:val="bt"/>
        <w:rPr>
          <w:rFonts w:eastAsia="Calibri"/>
          <w:szCs w:val="16"/>
        </w:rPr>
      </w:pPr>
      <w:r w:rsidRPr="000C4C60">
        <w:rPr>
          <w:szCs w:val="16"/>
        </w:rPr>
        <w:t>Stakeholder consultation</w:t>
      </w:r>
    </w:p>
    <w:p w:rsidR="000C4C60" w:rsidRPr="0016400E" w:rsidRDefault="003D1581" w:rsidP="0016400E">
      <w:pPr>
        <w:pStyle w:val="Heading3"/>
        <w:rPr>
          <w:rStyle w:val="Strong"/>
        </w:rPr>
      </w:pPr>
      <w:r>
        <w:rPr>
          <w:rStyle w:val="Strong"/>
        </w:rPr>
        <w:t>Strategic f</w:t>
      </w:r>
      <w:r w:rsidR="000C4C60" w:rsidRPr="0016400E">
        <w:rPr>
          <w:rStyle w:val="Strong"/>
        </w:rPr>
        <w:t>ramework</w:t>
      </w:r>
    </w:p>
    <w:p w:rsidR="000C4C60" w:rsidRPr="000C4C60" w:rsidRDefault="000C4C60" w:rsidP="000C4C60">
      <w:pPr>
        <w:pStyle w:val="bt"/>
        <w:rPr>
          <w:rFonts w:eastAsia="Calibri"/>
          <w:szCs w:val="16"/>
        </w:rPr>
      </w:pPr>
      <w:r w:rsidRPr="000C4C60">
        <w:rPr>
          <w:szCs w:val="16"/>
        </w:rPr>
        <w:lastRenderedPageBreak/>
        <w:t>To determine the vision for the future and identify principles and concepts to achieve this vision</w:t>
      </w:r>
    </w:p>
    <w:p w:rsidR="000C4C60" w:rsidRPr="000C4C60" w:rsidRDefault="000C4C60" w:rsidP="000C4C60">
      <w:pPr>
        <w:pStyle w:val="bt"/>
        <w:rPr>
          <w:rFonts w:eastAsia="Calibri"/>
          <w:szCs w:val="16"/>
        </w:rPr>
      </w:pPr>
      <w:r w:rsidRPr="000C4C60">
        <w:rPr>
          <w:szCs w:val="16"/>
        </w:rPr>
        <w:t>Stakeholder and targeted community consultation</w:t>
      </w:r>
    </w:p>
    <w:p w:rsidR="000C4C60" w:rsidRPr="0016400E" w:rsidRDefault="000C4C60" w:rsidP="0016400E">
      <w:pPr>
        <w:pStyle w:val="Heading3"/>
        <w:rPr>
          <w:rStyle w:val="Strong"/>
        </w:rPr>
      </w:pPr>
      <w:r w:rsidRPr="0016400E">
        <w:rPr>
          <w:rStyle w:val="Strong"/>
        </w:rPr>
        <w:t>Draft plan and consultation</w:t>
      </w:r>
    </w:p>
    <w:p w:rsidR="000C4C60" w:rsidRPr="000C4C60" w:rsidRDefault="000C4C60" w:rsidP="000C4C60">
      <w:pPr>
        <w:pStyle w:val="bt"/>
        <w:rPr>
          <w:rFonts w:eastAsia="Calibri"/>
          <w:szCs w:val="16"/>
        </w:rPr>
      </w:pPr>
      <w:r w:rsidRPr="000C4C60">
        <w:rPr>
          <w:szCs w:val="16"/>
        </w:rPr>
        <w:t>To prepare a draft Hume Regional Growth Plan and consult broadly on the content of the draft plan</w:t>
      </w:r>
    </w:p>
    <w:p w:rsidR="000C4C60" w:rsidRPr="000C4C60" w:rsidRDefault="000C4C60" w:rsidP="000C4C60">
      <w:pPr>
        <w:pStyle w:val="bt"/>
        <w:rPr>
          <w:rFonts w:eastAsia="Calibri"/>
          <w:szCs w:val="16"/>
        </w:rPr>
      </w:pPr>
      <w:r w:rsidRPr="000C4C60">
        <w:rPr>
          <w:szCs w:val="16"/>
        </w:rPr>
        <w:t>Stakeholder and broad community</w:t>
      </w:r>
      <w:r w:rsidRPr="000C4C60">
        <w:rPr>
          <w:szCs w:val="10"/>
        </w:rPr>
        <w:t xml:space="preserve"> </w:t>
      </w:r>
      <w:r w:rsidRPr="000C4C60">
        <w:rPr>
          <w:szCs w:val="16"/>
        </w:rPr>
        <w:t>consultation</w:t>
      </w:r>
    </w:p>
    <w:p w:rsidR="000C4C60" w:rsidRPr="0016400E" w:rsidRDefault="000C4C60" w:rsidP="0016400E">
      <w:pPr>
        <w:pStyle w:val="Heading3"/>
        <w:rPr>
          <w:rStyle w:val="Strong"/>
          <w:rFonts w:eastAsia="Calibri"/>
        </w:rPr>
      </w:pPr>
      <w:r w:rsidRPr="0016400E">
        <w:rPr>
          <w:rStyle w:val="Strong"/>
        </w:rPr>
        <w:t>Final plan</w:t>
      </w:r>
    </w:p>
    <w:p w:rsidR="000C4C60" w:rsidRPr="000C4C60" w:rsidRDefault="000C4C60" w:rsidP="000C4C60">
      <w:pPr>
        <w:pStyle w:val="bt"/>
        <w:rPr>
          <w:rFonts w:eastAsia="Calibri"/>
          <w:szCs w:val="16"/>
        </w:rPr>
      </w:pPr>
      <w:r w:rsidRPr="000C4C60">
        <w:rPr>
          <w:szCs w:val="16"/>
        </w:rPr>
        <w:t>To consider community feedback and finalise the Hume Regional Growth Plan for endorsement</w:t>
      </w:r>
    </w:p>
    <w:p w:rsidR="000C4C60" w:rsidRDefault="000C4C60" w:rsidP="000C4C60">
      <w:pPr>
        <w:pStyle w:val="bt"/>
        <w:rPr>
          <w:szCs w:val="16"/>
        </w:rPr>
      </w:pPr>
      <w:r w:rsidRPr="000C4C60">
        <w:rPr>
          <w:szCs w:val="16"/>
        </w:rPr>
        <w:t>Stakeholder consultation</w:t>
      </w:r>
    </w:p>
    <w:p w:rsidR="00603A59" w:rsidRPr="00F25409" w:rsidRDefault="00AE2E04" w:rsidP="00F25409">
      <w:pPr>
        <w:pStyle w:val="bt"/>
      </w:pPr>
      <w:r w:rsidRPr="00F25409">
        <w:t xml:space="preserve">The Hume Strategy underpins directions and initiatives contained in the </w:t>
      </w:r>
      <w:r w:rsidR="00D36385" w:rsidRPr="00F25409">
        <w:t>p</w:t>
      </w:r>
      <w:r w:rsidRPr="00F25409">
        <w:t xml:space="preserve">lan. </w:t>
      </w:r>
      <w:r w:rsidR="006C0510" w:rsidRPr="00F25409">
        <w:t xml:space="preserve">This </w:t>
      </w:r>
      <w:r w:rsidR="00D36385" w:rsidRPr="00F25409">
        <w:t>p</w:t>
      </w:r>
      <w:r w:rsidR="00492336" w:rsidRPr="00F25409">
        <w:t>lan</w:t>
      </w:r>
      <w:r w:rsidR="006C0510" w:rsidRPr="00F25409">
        <w:t xml:space="preserve"> is accompanied by a </w:t>
      </w:r>
      <w:r w:rsidR="008474E5">
        <w:t>b</w:t>
      </w:r>
      <w:r w:rsidR="006C0510" w:rsidRPr="00F25409">
        <w:t xml:space="preserve">ackground </w:t>
      </w:r>
      <w:r w:rsidR="008474E5">
        <w:t>p</w:t>
      </w:r>
      <w:r w:rsidR="006C0510" w:rsidRPr="00F25409">
        <w:t xml:space="preserve">aper </w:t>
      </w:r>
      <w:r w:rsidR="00984BA2">
        <w:t>that</w:t>
      </w:r>
      <w:r w:rsidR="00984BA2" w:rsidRPr="00F25409">
        <w:t xml:space="preserve"> </w:t>
      </w:r>
      <w:r w:rsidR="00E47297" w:rsidRPr="00F25409">
        <w:t xml:space="preserve">documents the information and considerations that have been taken into account </w:t>
      </w:r>
      <w:r w:rsidR="0027325D" w:rsidRPr="00F25409">
        <w:t xml:space="preserve">when </w:t>
      </w:r>
      <w:r w:rsidR="00E47297" w:rsidRPr="00F25409">
        <w:t xml:space="preserve">preparing </w:t>
      </w:r>
      <w:r w:rsidR="006C0510" w:rsidRPr="00F25409">
        <w:t xml:space="preserve">the </w:t>
      </w:r>
      <w:r w:rsidR="00D36385" w:rsidRPr="00F25409">
        <w:t>p</w:t>
      </w:r>
      <w:r w:rsidR="006C0510" w:rsidRPr="00F25409">
        <w:t xml:space="preserve">lan. The </w:t>
      </w:r>
      <w:r w:rsidR="008474E5">
        <w:t>b</w:t>
      </w:r>
      <w:r w:rsidR="006C0510" w:rsidRPr="00F25409">
        <w:t xml:space="preserve">ackground </w:t>
      </w:r>
      <w:r w:rsidR="008474E5">
        <w:t>p</w:t>
      </w:r>
      <w:r w:rsidR="006C0510" w:rsidRPr="00F25409">
        <w:t xml:space="preserve">aper </w:t>
      </w:r>
      <w:r w:rsidR="00E47297" w:rsidRPr="00F25409">
        <w:t xml:space="preserve">has been published alongside the </w:t>
      </w:r>
      <w:r w:rsidR="00D36385" w:rsidRPr="00F25409">
        <w:t>p</w:t>
      </w:r>
      <w:r w:rsidR="00E47297" w:rsidRPr="00F25409">
        <w:t>lan to:</w:t>
      </w:r>
    </w:p>
    <w:p w:rsidR="00603A59" w:rsidRDefault="00E47297" w:rsidP="000C4C60">
      <w:pPr>
        <w:pStyle w:val="btbullet"/>
      </w:pPr>
      <w:r>
        <w:t>provide background data on the existing characteristics of the region’s environment, economy and communities</w:t>
      </w:r>
    </w:p>
    <w:p w:rsidR="00603A59" w:rsidRDefault="00E47297" w:rsidP="000C4C60">
      <w:pPr>
        <w:pStyle w:val="btbullet"/>
      </w:pPr>
      <w:r>
        <w:t>summarise current information on the changes the region is expected to experience in the next 30 years</w:t>
      </w:r>
    </w:p>
    <w:p w:rsidR="00603A59" w:rsidRDefault="00E47297" w:rsidP="000C4C60">
      <w:pPr>
        <w:pStyle w:val="btbullet"/>
      </w:pPr>
      <w:r>
        <w:t>discuss in more detail the challenges and opportunities facing the region during this period</w:t>
      </w:r>
    </w:p>
    <w:p w:rsidR="00603A59" w:rsidRDefault="00E47297" w:rsidP="000C4C60">
      <w:pPr>
        <w:pStyle w:val="btbullet"/>
      </w:pPr>
      <w:proofErr w:type="gramStart"/>
      <w:r>
        <w:t>support</w:t>
      </w:r>
      <w:proofErr w:type="gramEnd"/>
      <w:r>
        <w:t xml:space="preserve"> the key strategic directions for land use and development set out in the </w:t>
      </w:r>
      <w:r w:rsidR="00D36385">
        <w:t>p</w:t>
      </w:r>
      <w:r>
        <w:t>lan.</w:t>
      </w:r>
    </w:p>
    <w:p w:rsidR="00330D2E" w:rsidRDefault="00AE2E04" w:rsidP="00F25409">
      <w:pPr>
        <w:pStyle w:val="bt"/>
      </w:pPr>
      <w:r w:rsidRPr="00F25409">
        <w:t xml:space="preserve">A </w:t>
      </w:r>
      <w:r w:rsidR="00FD6805" w:rsidRPr="00F25409">
        <w:t>number of</w:t>
      </w:r>
      <w:r w:rsidRPr="00F25409">
        <w:t xml:space="preserve"> sources of information and reports have </w:t>
      </w:r>
      <w:r w:rsidR="00FD6805" w:rsidRPr="00F25409">
        <w:t xml:space="preserve">informed the development of this </w:t>
      </w:r>
      <w:r w:rsidR="00D36385" w:rsidRPr="00F25409">
        <w:t>p</w:t>
      </w:r>
      <w:r w:rsidR="00FD6805" w:rsidRPr="00F25409">
        <w:t>lan</w:t>
      </w:r>
      <w:r w:rsidRPr="00F25409">
        <w:t>, as have extensive stakeholder</w:t>
      </w:r>
      <w:r w:rsidR="00CE0DEF">
        <w:t xml:space="preserve"> and public</w:t>
      </w:r>
      <w:r w:rsidRPr="00F25409">
        <w:t xml:space="preserve"> consultation</w:t>
      </w:r>
      <w:r w:rsidR="00BD5968" w:rsidRPr="00F25409">
        <w:rPr>
          <w:szCs w:val="20"/>
        </w:rPr>
        <w:t xml:space="preserve">. </w:t>
      </w:r>
      <w:r w:rsidR="005F523F">
        <w:rPr>
          <w:szCs w:val="20"/>
        </w:rPr>
        <w:fldChar w:fldCharType="begin"/>
      </w:r>
      <w:r w:rsidR="00D12457">
        <w:rPr>
          <w:szCs w:val="20"/>
        </w:rPr>
        <w:instrText xml:space="preserve"> REF _Ref344721004 \h </w:instrText>
      </w:r>
      <w:r w:rsidR="005F523F">
        <w:rPr>
          <w:szCs w:val="20"/>
        </w:rPr>
      </w:r>
      <w:r w:rsidR="005F523F">
        <w:rPr>
          <w:szCs w:val="20"/>
        </w:rPr>
        <w:fldChar w:fldCharType="separate"/>
      </w:r>
      <w:r w:rsidR="006A067A" w:rsidRPr="00BD7B1F">
        <w:t xml:space="preserve">Figure </w:t>
      </w:r>
      <w:r w:rsidR="006A067A">
        <w:rPr>
          <w:noProof/>
        </w:rPr>
        <w:t>3</w:t>
      </w:r>
      <w:r w:rsidR="005F523F">
        <w:rPr>
          <w:szCs w:val="20"/>
        </w:rPr>
        <w:fldChar w:fldCharType="end"/>
      </w:r>
      <w:r w:rsidR="00D12457">
        <w:rPr>
          <w:szCs w:val="20"/>
        </w:rPr>
        <w:t xml:space="preserve"> </w:t>
      </w:r>
      <w:r w:rsidRPr="00F25409">
        <w:t xml:space="preserve">provides an overview of key inputs and products as they relate to the </w:t>
      </w:r>
      <w:r w:rsidR="00D36385" w:rsidRPr="00F25409">
        <w:t>p</w:t>
      </w:r>
      <w:r w:rsidRPr="00F25409">
        <w:t>lan.</w:t>
      </w:r>
    </w:p>
    <w:p w:rsidR="009436ED" w:rsidRPr="00B64125" w:rsidRDefault="00BD7B1F" w:rsidP="00674FA7">
      <w:pPr>
        <w:pStyle w:val="Caption"/>
      </w:pPr>
      <w:bookmarkStart w:id="15" w:name="_Ref344721004"/>
      <w:bookmarkStart w:id="16" w:name="_Toc374434736"/>
      <w:r w:rsidRPr="00BD7B1F">
        <w:t xml:space="preserve">Figure </w:t>
      </w:r>
      <w:r w:rsidR="005F523F">
        <w:fldChar w:fldCharType="begin"/>
      </w:r>
      <w:r w:rsidR="008E0CEC">
        <w:instrText xml:space="preserve"> SEQ Figure \* ARABIC </w:instrText>
      </w:r>
      <w:r w:rsidR="005F523F">
        <w:fldChar w:fldCharType="separate"/>
      </w:r>
      <w:r w:rsidR="006A067A">
        <w:t>3</w:t>
      </w:r>
      <w:r w:rsidR="005F523F">
        <w:fldChar w:fldCharType="end"/>
      </w:r>
      <w:bookmarkEnd w:id="15"/>
      <w:r w:rsidRPr="00BD7B1F">
        <w:t xml:space="preserve">: </w:t>
      </w:r>
      <w:r w:rsidRPr="00217B20">
        <w:rPr>
          <w:b w:val="0"/>
        </w:rPr>
        <w:t xml:space="preserve">Hume Regional Growth Plan – </w:t>
      </w:r>
      <w:r w:rsidR="007E2D02">
        <w:rPr>
          <w:b w:val="0"/>
        </w:rPr>
        <w:t>k</w:t>
      </w:r>
      <w:r w:rsidRPr="00217B20">
        <w:rPr>
          <w:b w:val="0"/>
        </w:rPr>
        <w:t>ey products and inputs</w:t>
      </w:r>
      <w:bookmarkEnd w:id="16"/>
    </w:p>
    <w:p w:rsidR="00A2143F" w:rsidRDefault="00A2143F" w:rsidP="00A2143F">
      <w:pPr>
        <w:pStyle w:val="Heading3"/>
      </w:pPr>
      <w:r>
        <w:t>Hume Regional Growth Plan and Background Paper</w:t>
      </w:r>
    </w:p>
    <w:p w:rsidR="00A2143F" w:rsidRPr="00A2143F" w:rsidRDefault="00A2143F" w:rsidP="00A2143F">
      <w:pPr>
        <w:pStyle w:val="bt"/>
        <w:rPr>
          <w:rStyle w:val="Strong"/>
        </w:rPr>
      </w:pPr>
      <w:r w:rsidRPr="00A2143F">
        <w:rPr>
          <w:rStyle w:val="Strong"/>
        </w:rPr>
        <w:t>Key Inputs</w:t>
      </w:r>
    </w:p>
    <w:p w:rsidR="00A2143F" w:rsidRDefault="00A2143F" w:rsidP="00A2143F">
      <w:pPr>
        <w:pStyle w:val="btbullet"/>
      </w:pPr>
      <w:r>
        <w:t>Hume Strategy</w:t>
      </w:r>
    </w:p>
    <w:p w:rsidR="00A2143F" w:rsidRDefault="00A2143F" w:rsidP="00A2143F">
      <w:pPr>
        <w:pStyle w:val="btbullet"/>
      </w:pPr>
      <w:r>
        <w:t>Government Policy</w:t>
      </w:r>
    </w:p>
    <w:p w:rsidR="00A2143F" w:rsidRDefault="00A2143F" w:rsidP="00A2143F">
      <w:pPr>
        <w:pStyle w:val="btbullet"/>
      </w:pPr>
      <w:r>
        <w:t>Council policy/strategy</w:t>
      </w:r>
    </w:p>
    <w:p w:rsidR="00A2143F" w:rsidRDefault="00A2143F" w:rsidP="00A2143F">
      <w:pPr>
        <w:pStyle w:val="btbullet"/>
      </w:pPr>
      <w:r>
        <w:t>Summary issues paper</w:t>
      </w:r>
    </w:p>
    <w:p w:rsidR="00A2143F" w:rsidRDefault="00A2143F" w:rsidP="00A2143F">
      <w:pPr>
        <w:pStyle w:val="btbullet"/>
      </w:pPr>
      <w:r>
        <w:t>Consultation outcomes</w:t>
      </w:r>
    </w:p>
    <w:p w:rsidR="00A2143F" w:rsidRDefault="00A2143F" w:rsidP="00A2143F">
      <w:pPr>
        <w:pStyle w:val="btbullet"/>
      </w:pPr>
      <w:r>
        <w:t>Statewide technical work</w:t>
      </w:r>
    </w:p>
    <w:p w:rsidR="00A2143F" w:rsidRDefault="00A2143F" w:rsidP="00A2143F">
      <w:pPr>
        <w:pStyle w:val="btbullet"/>
      </w:pPr>
      <w:r>
        <w:t>Regional technical work</w:t>
      </w:r>
    </w:p>
    <w:p w:rsidR="00F73801" w:rsidRPr="00F25409" w:rsidRDefault="00F73801" w:rsidP="00F73801">
      <w:pPr>
        <w:pStyle w:val="Heading11"/>
      </w:pPr>
      <w:bookmarkStart w:id="17" w:name="_Toc376945580"/>
      <w:r w:rsidRPr="00F25409">
        <w:t>Components of this plan</w:t>
      </w:r>
      <w:bookmarkEnd w:id="17"/>
    </w:p>
    <w:p w:rsidR="00F73801" w:rsidRPr="00F25409" w:rsidRDefault="00F73801" w:rsidP="00F73801">
      <w:pPr>
        <w:pStyle w:val="bt"/>
      </w:pPr>
      <w:r w:rsidRPr="00F25409">
        <w:t>The plan contains five parts:</w:t>
      </w:r>
    </w:p>
    <w:p w:rsidR="00F73801" w:rsidRPr="00F25409" w:rsidRDefault="00491E3B" w:rsidP="00F73801">
      <w:pPr>
        <w:pStyle w:val="bt"/>
        <w:spacing w:after="0"/>
        <w:rPr>
          <w:rStyle w:val="Strong"/>
        </w:rPr>
      </w:pPr>
      <w:r>
        <w:rPr>
          <w:rStyle w:val="Strong"/>
        </w:rPr>
        <w:t>Part A: Introduction</w:t>
      </w:r>
    </w:p>
    <w:p w:rsidR="00F73801" w:rsidRPr="00F25409" w:rsidRDefault="00F73801" w:rsidP="00F73801">
      <w:pPr>
        <w:pStyle w:val="bt"/>
        <w:spacing w:before="0"/>
      </w:pPr>
      <w:r w:rsidRPr="00F25409">
        <w:t xml:space="preserve">Provides an overview of the context of the </w:t>
      </w:r>
      <w:proofErr w:type="gramStart"/>
      <w:r w:rsidRPr="00F25409">
        <w:t>plan,</w:t>
      </w:r>
      <w:proofErr w:type="gramEnd"/>
      <w:r w:rsidRPr="00F25409">
        <w:t xml:space="preserve"> explains why it is needed and describes how it was prepared.</w:t>
      </w:r>
    </w:p>
    <w:p w:rsidR="00F73801" w:rsidRPr="00F25409" w:rsidRDefault="00491E3B" w:rsidP="00F73801">
      <w:pPr>
        <w:pStyle w:val="bt"/>
        <w:spacing w:after="0"/>
        <w:rPr>
          <w:rStyle w:val="Strong"/>
        </w:rPr>
      </w:pPr>
      <w:r>
        <w:rPr>
          <w:rStyle w:val="Strong"/>
        </w:rPr>
        <w:t>Part B: Regional overview</w:t>
      </w:r>
    </w:p>
    <w:p w:rsidR="00F73801" w:rsidRPr="00F25409" w:rsidRDefault="00F73801" w:rsidP="00F73801">
      <w:pPr>
        <w:pStyle w:val="bt"/>
        <w:spacing w:before="0"/>
      </w:pPr>
      <w:proofErr w:type="gramStart"/>
      <w:r w:rsidRPr="00F25409">
        <w:lastRenderedPageBreak/>
        <w:t>Provides a snapshot of the region, a vision for the region and land use principles to achieve the vision.</w:t>
      </w:r>
      <w:proofErr w:type="gramEnd"/>
    </w:p>
    <w:p w:rsidR="00F73801" w:rsidRPr="00F25409" w:rsidRDefault="00F73801" w:rsidP="00F73801">
      <w:pPr>
        <w:pStyle w:val="bt"/>
        <w:spacing w:after="0"/>
        <w:rPr>
          <w:rStyle w:val="Strong"/>
        </w:rPr>
      </w:pPr>
      <w:r w:rsidRPr="00F25409">
        <w:rPr>
          <w:rStyle w:val="Strong"/>
        </w:rPr>
        <w:t xml:space="preserve">Part C: Towards the </w:t>
      </w:r>
      <w:r>
        <w:rPr>
          <w:rStyle w:val="Strong"/>
        </w:rPr>
        <w:t>r</w:t>
      </w:r>
      <w:r w:rsidRPr="00F25409">
        <w:rPr>
          <w:rStyle w:val="Strong"/>
        </w:rPr>
        <w:t xml:space="preserve">egional </w:t>
      </w:r>
      <w:r>
        <w:rPr>
          <w:rStyle w:val="Strong"/>
        </w:rPr>
        <w:t>g</w:t>
      </w:r>
      <w:r w:rsidRPr="00F25409">
        <w:rPr>
          <w:rStyle w:val="Strong"/>
        </w:rPr>
        <w:t xml:space="preserve">rowth </w:t>
      </w:r>
      <w:r>
        <w:rPr>
          <w:rStyle w:val="Strong"/>
        </w:rPr>
        <w:t>p</w:t>
      </w:r>
      <w:r w:rsidRPr="00F25409">
        <w:rPr>
          <w:rStyle w:val="Strong"/>
        </w:rPr>
        <w:t>lan</w:t>
      </w:r>
      <w:r w:rsidR="00806552">
        <w:rPr>
          <w:rStyle w:val="Strong"/>
        </w:rPr>
        <w:t xml:space="preserve"> – Regional land use framework</w:t>
      </w:r>
    </w:p>
    <w:p w:rsidR="00F73801" w:rsidRPr="00F25409" w:rsidRDefault="00605A10" w:rsidP="00F73801">
      <w:pPr>
        <w:pStyle w:val="bt"/>
        <w:spacing w:before="0"/>
      </w:pPr>
      <w:proofErr w:type="gramStart"/>
      <w:r>
        <w:t>Establishes t</w:t>
      </w:r>
      <w:r w:rsidR="00124082">
        <w:t>he</w:t>
      </w:r>
      <w:r w:rsidR="00124082" w:rsidRPr="00F25409">
        <w:t xml:space="preserve"> </w:t>
      </w:r>
      <w:r w:rsidR="00F73801" w:rsidRPr="00F25409">
        <w:t>regional land use framework, which outlines land use directions in relation to the economy, environment, urban and rural settlement and infrastructure.</w:t>
      </w:r>
      <w:proofErr w:type="gramEnd"/>
    </w:p>
    <w:p w:rsidR="00F73801" w:rsidRPr="00F25409" w:rsidRDefault="00F73801" w:rsidP="00F73801">
      <w:pPr>
        <w:pStyle w:val="bt"/>
        <w:spacing w:after="0"/>
        <w:rPr>
          <w:rStyle w:val="Strong"/>
        </w:rPr>
      </w:pPr>
      <w:r w:rsidRPr="00F25409">
        <w:rPr>
          <w:rStyle w:val="Strong"/>
        </w:rPr>
        <w:t xml:space="preserve">Part D: </w:t>
      </w:r>
      <w:r w:rsidR="00124082">
        <w:rPr>
          <w:rStyle w:val="Strong"/>
        </w:rPr>
        <w:t>R</w:t>
      </w:r>
      <w:r w:rsidRPr="00F25409">
        <w:rPr>
          <w:rStyle w:val="Strong"/>
        </w:rPr>
        <w:t xml:space="preserve">egional </w:t>
      </w:r>
      <w:r>
        <w:rPr>
          <w:rStyle w:val="Strong"/>
        </w:rPr>
        <w:t>g</w:t>
      </w:r>
      <w:r w:rsidRPr="00F25409">
        <w:rPr>
          <w:rStyle w:val="Strong"/>
        </w:rPr>
        <w:t xml:space="preserve">rowth </w:t>
      </w:r>
      <w:r>
        <w:rPr>
          <w:rStyle w:val="Strong"/>
        </w:rPr>
        <w:t>p</w:t>
      </w:r>
      <w:r w:rsidRPr="00F25409">
        <w:rPr>
          <w:rStyle w:val="Strong"/>
        </w:rPr>
        <w:t>lan</w:t>
      </w:r>
    </w:p>
    <w:p w:rsidR="00F73801" w:rsidRPr="00F25409" w:rsidRDefault="00F73801" w:rsidP="00F73801">
      <w:pPr>
        <w:pStyle w:val="bt"/>
        <w:spacing w:before="0"/>
      </w:pPr>
      <w:proofErr w:type="gramStart"/>
      <w:r w:rsidRPr="00F25409">
        <w:t>Provides an integrated strategic plan for growth and change, bringing together the key directions outlined in Part C.</w:t>
      </w:r>
      <w:proofErr w:type="gramEnd"/>
    </w:p>
    <w:p w:rsidR="00F73801" w:rsidRPr="00F25409" w:rsidRDefault="00F73801" w:rsidP="00F73801">
      <w:pPr>
        <w:pStyle w:val="bt"/>
        <w:spacing w:after="0"/>
        <w:rPr>
          <w:rStyle w:val="Strong"/>
        </w:rPr>
      </w:pPr>
      <w:r w:rsidRPr="00F25409">
        <w:rPr>
          <w:rStyle w:val="Strong"/>
        </w:rPr>
        <w:t>Par</w:t>
      </w:r>
      <w:r w:rsidR="00491E3B">
        <w:rPr>
          <w:rStyle w:val="Strong"/>
        </w:rPr>
        <w:t>t E: Delivering regional growth</w:t>
      </w:r>
    </w:p>
    <w:p w:rsidR="00F73801" w:rsidRPr="00F25409" w:rsidRDefault="00F73801" w:rsidP="00F73801">
      <w:pPr>
        <w:pStyle w:val="bt"/>
        <w:spacing w:before="0"/>
        <w:sectPr w:rsidR="00F73801" w:rsidRPr="00F25409" w:rsidSect="001A4AD5">
          <w:headerReference w:type="default" r:id="rId26"/>
          <w:footerReference w:type="default" r:id="rId27"/>
          <w:pgSz w:w="11906" w:h="16838"/>
          <w:pgMar w:top="1440" w:right="1440" w:bottom="993" w:left="1440" w:header="708" w:footer="708" w:gutter="0"/>
          <w:pgBorders w:offsetFrom="page">
            <w:top w:val="single" w:sz="4" w:space="24" w:color="FFFFFF"/>
            <w:bottom w:val="single" w:sz="4" w:space="24" w:color="FFFFFF"/>
          </w:pgBorders>
          <w:pgNumType w:start="1"/>
          <w:cols w:space="708"/>
          <w:docGrid w:linePitch="360"/>
        </w:sectPr>
      </w:pPr>
      <w:r w:rsidRPr="00F25409">
        <w:t>Identifies actions and outlines how the plan will be implemented.</w:t>
      </w:r>
    </w:p>
    <w:p w:rsidR="00C507C7" w:rsidRPr="00F25409" w:rsidRDefault="00CB54A1" w:rsidP="00CB54A1">
      <w:pPr>
        <w:pStyle w:val="Heading1"/>
      </w:pPr>
      <w:bookmarkStart w:id="18" w:name="_Toc336871213"/>
      <w:bookmarkStart w:id="19" w:name="_Toc376945581"/>
      <w:r>
        <w:lastRenderedPageBreak/>
        <w:t>PART B:</w:t>
      </w:r>
      <w:r w:rsidR="00C507C7" w:rsidRPr="00F25409">
        <w:tab/>
        <w:t>R</w:t>
      </w:r>
      <w:r w:rsidR="009B6188" w:rsidRPr="00F25409">
        <w:t>EGIONAL</w:t>
      </w:r>
      <w:r w:rsidR="00C507C7" w:rsidRPr="00F25409">
        <w:t xml:space="preserve"> O</w:t>
      </w:r>
      <w:bookmarkEnd w:id="18"/>
      <w:r w:rsidR="009B6188" w:rsidRPr="00F25409">
        <w:t>VERVIEW</w:t>
      </w:r>
      <w:bookmarkEnd w:id="19"/>
    </w:p>
    <w:p w:rsidR="00AD1BAD" w:rsidRPr="00F25409" w:rsidRDefault="00BD28D7" w:rsidP="00F25409">
      <w:pPr>
        <w:pStyle w:val="bt"/>
      </w:pPr>
      <w:r w:rsidRPr="00F25409">
        <w:t xml:space="preserve">This part of the </w:t>
      </w:r>
      <w:r w:rsidR="005269E5" w:rsidRPr="00141FA0">
        <w:t>Hume Regional Growth Plan</w:t>
      </w:r>
      <w:r w:rsidRPr="00F25409">
        <w:t xml:space="preserve"> </w:t>
      </w:r>
      <w:r w:rsidR="007A08C5" w:rsidRPr="00F25409">
        <w:t>includes</w:t>
      </w:r>
      <w:r w:rsidRPr="00F25409">
        <w:t xml:space="preserve"> a broad overview of the Hume Region including what is driving growth and change, what land use challenges the region faces, and a proposed vision outlining a desired future for the region.</w:t>
      </w:r>
    </w:p>
    <w:p w:rsidR="00C507C7" w:rsidRPr="00F25409" w:rsidRDefault="00C507C7" w:rsidP="00F25409">
      <w:pPr>
        <w:pStyle w:val="Heading11"/>
      </w:pPr>
      <w:bookmarkStart w:id="20" w:name="_Toc336871214"/>
      <w:bookmarkStart w:id="21" w:name="_Toc376945582"/>
      <w:r w:rsidRPr="00F25409">
        <w:t xml:space="preserve">Snapshot of the </w:t>
      </w:r>
      <w:r w:rsidR="0027325D" w:rsidRPr="00F25409">
        <w:t>r</w:t>
      </w:r>
      <w:r w:rsidRPr="00F25409">
        <w:t>egion</w:t>
      </w:r>
      <w:bookmarkEnd w:id="20"/>
      <w:bookmarkEnd w:id="21"/>
      <w:r w:rsidRPr="00F25409">
        <w:t xml:space="preserve"> </w:t>
      </w:r>
    </w:p>
    <w:p w:rsidR="00D42505" w:rsidRPr="00F25409" w:rsidRDefault="00D42505" w:rsidP="00F25409">
      <w:pPr>
        <w:pStyle w:val="bt"/>
      </w:pPr>
      <w:r w:rsidRPr="00F25409">
        <w:t xml:space="preserve">The Hume Region is growing and changing. </w:t>
      </w:r>
      <w:r w:rsidR="00EA6F27">
        <w:t>It also</w:t>
      </w:r>
      <w:r w:rsidR="00EA6F27" w:rsidRPr="00EA6F27">
        <w:t xml:space="preserve"> has the capacity to accommodate a greater share of Victoria’s growth.</w:t>
      </w:r>
      <w:r w:rsidR="00EA6F27">
        <w:t xml:space="preserve"> </w:t>
      </w:r>
      <w:r w:rsidRPr="00F25409">
        <w:t xml:space="preserve">In the future the region will face challenges and opportunities that will affect </w:t>
      </w:r>
      <w:r w:rsidR="0027325D" w:rsidRPr="00F25409">
        <w:t xml:space="preserve">its </w:t>
      </w:r>
      <w:r w:rsidRPr="00F25409">
        <w:t>economy, environment and way of life.</w:t>
      </w:r>
    </w:p>
    <w:p w:rsidR="0069462F" w:rsidRPr="00F25409" w:rsidRDefault="00986A86" w:rsidP="00F25409">
      <w:pPr>
        <w:pStyle w:val="bt"/>
      </w:pPr>
      <w:r w:rsidRPr="00F25409">
        <w:t xml:space="preserve">The </w:t>
      </w:r>
      <w:r w:rsidR="005C2928">
        <w:t>r</w:t>
      </w:r>
      <w:r w:rsidRPr="00F25409">
        <w:t>egion is strategically located from a national perspective with key interstate transport linkages traversing the region. The region’s location within a national context is shown in</w:t>
      </w:r>
      <w:r w:rsidR="00AF799A">
        <w:t xml:space="preserve"> Map 3</w:t>
      </w:r>
      <w:r w:rsidRPr="00F25409">
        <w:t>.</w:t>
      </w:r>
      <w:r w:rsidR="00491B13" w:rsidRPr="00F25409" w:rsidDel="00491B13">
        <w:t xml:space="preserve"> </w:t>
      </w:r>
    </w:p>
    <w:p w:rsidR="00491B13" w:rsidRPr="00F25409" w:rsidRDefault="00F634BF" w:rsidP="00F25409">
      <w:pPr>
        <w:pStyle w:val="bt"/>
      </w:pPr>
      <w:r w:rsidRPr="00F25409">
        <w:t xml:space="preserve">In </w:t>
      </w:r>
      <w:r w:rsidR="00D42505" w:rsidRPr="00F25409">
        <w:t xml:space="preserve">2011 </w:t>
      </w:r>
      <w:r w:rsidR="005A7CDD">
        <w:t xml:space="preserve">the </w:t>
      </w:r>
      <w:r w:rsidR="00D42505" w:rsidRPr="00F25409">
        <w:t xml:space="preserve">population of the </w:t>
      </w:r>
      <w:r w:rsidR="005C2928">
        <w:t>r</w:t>
      </w:r>
      <w:r w:rsidR="00D42505" w:rsidRPr="00F25409">
        <w:t xml:space="preserve">egion was around </w:t>
      </w:r>
      <w:r w:rsidR="006865EF" w:rsidRPr="00F25409">
        <w:t>276</w:t>
      </w:r>
      <w:r w:rsidR="005713B3" w:rsidRPr="00F25409">
        <w:t>,</w:t>
      </w:r>
      <w:r w:rsidR="006865EF" w:rsidRPr="00F25409">
        <w:t>3</w:t>
      </w:r>
      <w:r w:rsidR="00D42505" w:rsidRPr="00F25409">
        <w:t>00</w:t>
      </w:r>
      <w:r w:rsidRPr="00F25409">
        <w:t xml:space="preserve"> people</w:t>
      </w:r>
      <w:r w:rsidR="00D42505" w:rsidRPr="00F25409">
        <w:t>. This population is projected to increase by close to 80</w:t>
      </w:r>
      <w:r w:rsidR="005713B3" w:rsidRPr="00F25409">
        <w:t>,</w:t>
      </w:r>
      <w:r w:rsidR="00D42505" w:rsidRPr="00F25409">
        <w:t>000 people</w:t>
      </w:r>
      <w:r w:rsidR="003328B3" w:rsidRPr="00F25409">
        <w:t xml:space="preserve"> to 354,000</w:t>
      </w:r>
      <w:r w:rsidR="009F2D51">
        <w:rPr>
          <w:rStyle w:val="FootnoteReference"/>
        </w:rPr>
        <w:footnoteReference w:id="3"/>
      </w:r>
      <w:r w:rsidR="00D42505" w:rsidRPr="00F25409">
        <w:t xml:space="preserve"> by 2041</w:t>
      </w:r>
      <w:r w:rsidR="00B41117">
        <w:t xml:space="preserve">, </w:t>
      </w:r>
      <w:r w:rsidR="001A6AFD" w:rsidRPr="00F25409">
        <w:t>not including</w:t>
      </w:r>
      <w:r w:rsidR="00D42505" w:rsidRPr="00F25409">
        <w:t xml:space="preserve"> </w:t>
      </w:r>
      <w:r w:rsidR="00FD6805" w:rsidRPr="00F25409">
        <w:t xml:space="preserve">the </w:t>
      </w:r>
      <w:r w:rsidR="00D42505" w:rsidRPr="00F25409">
        <w:t>metropolitan growth</w:t>
      </w:r>
      <w:r w:rsidR="00FD6805" w:rsidRPr="00F25409">
        <w:t xml:space="preserve"> area</w:t>
      </w:r>
      <w:r w:rsidR="00D42505" w:rsidRPr="00F25409">
        <w:t xml:space="preserve"> in the southern part of </w:t>
      </w:r>
      <w:r w:rsidR="00FD6805" w:rsidRPr="00F25409">
        <w:t>Mitchell Shire</w:t>
      </w:r>
      <w:r w:rsidR="00F25409">
        <w:t>.</w:t>
      </w:r>
    </w:p>
    <w:p w:rsidR="00491B13" w:rsidRPr="00F25409" w:rsidRDefault="00491B13" w:rsidP="00F25409">
      <w:pPr>
        <w:pStyle w:val="bt"/>
      </w:pPr>
      <w:r w:rsidRPr="00F25409">
        <w:t>The number of people aged 55 or over is predicted to increase significantly in the future. Such growth and demographic change can offer considerable economic benefits</w:t>
      </w:r>
      <w:r w:rsidR="002D4F72">
        <w:t>,</w:t>
      </w:r>
      <w:r w:rsidRPr="00F25409">
        <w:t xml:space="preserve"> but may also present challenges. </w:t>
      </w:r>
    </w:p>
    <w:p w:rsidR="00491E3B" w:rsidRDefault="00491B13" w:rsidP="00F25409">
      <w:pPr>
        <w:pStyle w:val="bt"/>
      </w:pPr>
      <w:r w:rsidRPr="00F25409">
        <w:t xml:space="preserve">The </w:t>
      </w:r>
      <w:r w:rsidR="005C2928">
        <w:t>r</w:t>
      </w:r>
      <w:r w:rsidRPr="00F25409">
        <w:t xml:space="preserve">egion has a wide variety of settlement types ranging from Melbourne’s </w:t>
      </w:r>
      <w:r w:rsidR="00593267" w:rsidRPr="00961F34">
        <w:t>peri-urban region</w:t>
      </w:r>
      <w:r w:rsidRPr="00F25409">
        <w:t xml:space="preserve">s to regional cities such as Shepparton, Wangaratta and Wodonga (each with broader catchments), regional centres such as Benalla, townships and villages, rural residential areas and small and relatively isolated communities, including a number of alpine resorts. </w:t>
      </w:r>
    </w:p>
    <w:p w:rsidR="00603A59" w:rsidRPr="00217B20" w:rsidRDefault="00BD7B1F" w:rsidP="00674FA7">
      <w:pPr>
        <w:pStyle w:val="Caption"/>
        <w:rPr>
          <w:b w:val="0"/>
        </w:rPr>
      </w:pPr>
      <w:bookmarkStart w:id="22" w:name="_Toc373414220"/>
      <w:r w:rsidRPr="00BD7B1F">
        <w:t xml:space="preserve">Table </w:t>
      </w:r>
      <w:r w:rsidR="005F523F">
        <w:fldChar w:fldCharType="begin"/>
      </w:r>
      <w:r w:rsidR="008E0CEC">
        <w:instrText xml:space="preserve"> SEQ Table \* ARABIC </w:instrText>
      </w:r>
      <w:r w:rsidR="005F523F">
        <w:fldChar w:fldCharType="separate"/>
      </w:r>
      <w:r w:rsidR="006A067A">
        <w:t>1</w:t>
      </w:r>
      <w:r w:rsidR="005F523F">
        <w:fldChar w:fldCharType="end"/>
      </w:r>
      <w:r w:rsidRPr="00BD7B1F">
        <w:t xml:space="preserve">: </w:t>
      </w:r>
      <w:r w:rsidRPr="00217B20">
        <w:rPr>
          <w:b w:val="0"/>
        </w:rPr>
        <w:t>Projected population</w:t>
      </w:r>
      <w:bookmarkEnd w:id="22"/>
    </w:p>
    <w:p w:rsidR="00C54EE1" w:rsidRDefault="00491E3B" w:rsidP="00491E3B">
      <w:pPr>
        <w:pStyle w:val="bt"/>
        <w:rPr>
          <w:rStyle w:val="Strong"/>
        </w:rPr>
      </w:pPr>
      <w:r w:rsidRPr="00B92980">
        <w:rPr>
          <w:rStyle w:val="Strong"/>
        </w:rPr>
        <w:t xml:space="preserve">Local government area: </w:t>
      </w:r>
      <w:r>
        <w:rPr>
          <w:rStyle w:val="Strong"/>
        </w:rPr>
        <w:t>Alpine</w:t>
      </w:r>
      <w:r w:rsidR="006369C8">
        <w:rPr>
          <w:rStyle w:val="Strong"/>
        </w:rPr>
        <w:tab/>
      </w:r>
      <w:r w:rsidR="006369C8">
        <w:rPr>
          <w:rStyle w:val="Strong"/>
        </w:rPr>
        <w:tab/>
      </w:r>
      <w:r w:rsidR="006369C8">
        <w:rPr>
          <w:rStyle w:val="Strong"/>
        </w:rPr>
        <w:tab/>
      </w:r>
      <w:r w:rsidR="00C54EE1">
        <w:rPr>
          <w:rStyle w:val="Strong"/>
        </w:rPr>
        <w:t>Land area (km</w:t>
      </w:r>
      <w:r w:rsidR="00C54EE1">
        <w:rPr>
          <w:rStyle w:val="Strong"/>
          <w:rFonts w:cs="Calibri"/>
        </w:rPr>
        <w:t>²</w:t>
      </w:r>
      <w:r w:rsidR="00C54EE1">
        <w:rPr>
          <w:rStyle w:val="Strong"/>
        </w:rPr>
        <w:t>): 5005</w:t>
      </w:r>
    </w:p>
    <w:p w:rsidR="00491E3B" w:rsidRPr="00E641C4" w:rsidRDefault="00491E3B" w:rsidP="00491E3B">
      <w:pPr>
        <w:pStyle w:val="bt"/>
      </w:pPr>
      <w:r>
        <w:t>Estimated resident p</w:t>
      </w:r>
      <w:r w:rsidRPr="00E641C4">
        <w:t>opulation:</w:t>
      </w:r>
    </w:p>
    <w:p w:rsidR="00491E3B" w:rsidRDefault="00491E3B" w:rsidP="00491E3B">
      <w:pPr>
        <w:pStyle w:val="btbullet"/>
        <w:rPr>
          <w:lang w:eastAsia="en-US"/>
        </w:rPr>
      </w:pPr>
      <w:r>
        <w:t>2011</w:t>
      </w:r>
      <w:r>
        <w:rPr>
          <w:lang w:eastAsia="en-US"/>
        </w:rPr>
        <w:t>:</w:t>
      </w:r>
      <w:r w:rsidRPr="00266C63">
        <w:rPr>
          <w:lang w:eastAsia="en-US"/>
        </w:rPr>
        <w:t xml:space="preserve"> </w:t>
      </w:r>
      <w:r w:rsidR="00C54EE1">
        <w:rPr>
          <w:lang w:eastAsia="en-US"/>
        </w:rPr>
        <w:t>12,9</w:t>
      </w:r>
      <w:r>
        <w:rPr>
          <w:lang w:eastAsia="en-US"/>
        </w:rPr>
        <w:t>00</w:t>
      </w:r>
    </w:p>
    <w:p w:rsidR="00491E3B" w:rsidRDefault="00491E3B" w:rsidP="00491E3B">
      <w:pPr>
        <w:pStyle w:val="btbullet"/>
        <w:rPr>
          <w:lang w:eastAsia="en-US"/>
        </w:rPr>
      </w:pPr>
      <w:r>
        <w:t>2021</w:t>
      </w:r>
      <w:r>
        <w:rPr>
          <w:lang w:eastAsia="en-US"/>
        </w:rPr>
        <w:t>:</w:t>
      </w:r>
      <w:r w:rsidRPr="00266C63">
        <w:rPr>
          <w:lang w:eastAsia="en-US"/>
        </w:rPr>
        <w:t xml:space="preserve"> </w:t>
      </w:r>
      <w:r w:rsidR="00C54EE1">
        <w:rPr>
          <w:lang w:eastAsia="en-US"/>
        </w:rPr>
        <w:t>13,2</w:t>
      </w:r>
      <w:r>
        <w:rPr>
          <w:lang w:eastAsia="en-US"/>
        </w:rPr>
        <w:t>00</w:t>
      </w:r>
    </w:p>
    <w:p w:rsidR="00491E3B" w:rsidRDefault="00491E3B" w:rsidP="00491E3B">
      <w:pPr>
        <w:pStyle w:val="btbullet"/>
        <w:rPr>
          <w:lang w:eastAsia="en-US"/>
        </w:rPr>
      </w:pPr>
      <w:r>
        <w:t>2031</w:t>
      </w:r>
      <w:r>
        <w:rPr>
          <w:lang w:eastAsia="en-US"/>
        </w:rPr>
        <w:t>:</w:t>
      </w:r>
      <w:r w:rsidRPr="00266C63">
        <w:rPr>
          <w:lang w:eastAsia="en-US"/>
        </w:rPr>
        <w:t xml:space="preserve"> </w:t>
      </w:r>
      <w:r>
        <w:rPr>
          <w:lang w:eastAsia="en-US"/>
        </w:rPr>
        <w:t>1</w:t>
      </w:r>
      <w:r w:rsidR="00C54EE1">
        <w:rPr>
          <w:lang w:eastAsia="en-US"/>
        </w:rPr>
        <w:t>3</w:t>
      </w:r>
      <w:r>
        <w:rPr>
          <w:lang w:eastAsia="en-US"/>
        </w:rPr>
        <w:t>,</w:t>
      </w:r>
      <w:r w:rsidR="00C54EE1">
        <w:rPr>
          <w:lang w:eastAsia="en-US"/>
        </w:rPr>
        <w:t>6</w:t>
      </w:r>
      <w:r>
        <w:rPr>
          <w:lang w:eastAsia="en-US"/>
        </w:rPr>
        <w:t>00</w:t>
      </w:r>
    </w:p>
    <w:p w:rsidR="00C54EE1" w:rsidRDefault="00C54EE1" w:rsidP="00C54EE1">
      <w:pPr>
        <w:pStyle w:val="bt"/>
        <w:rPr>
          <w:rStyle w:val="Strong"/>
        </w:rPr>
      </w:pPr>
      <w:r w:rsidRPr="00B92980">
        <w:rPr>
          <w:rStyle w:val="Strong"/>
        </w:rPr>
        <w:t xml:space="preserve">Local government area: </w:t>
      </w:r>
      <w:r w:rsidR="00717E52">
        <w:rPr>
          <w:rStyle w:val="Strong"/>
        </w:rPr>
        <w:t>Benalla</w:t>
      </w:r>
      <w:r w:rsidR="006369C8">
        <w:rPr>
          <w:rStyle w:val="Strong"/>
        </w:rPr>
        <w:tab/>
      </w:r>
      <w:r w:rsidR="006369C8">
        <w:rPr>
          <w:rStyle w:val="Strong"/>
        </w:rPr>
        <w:tab/>
      </w:r>
      <w:r w:rsidR="006369C8">
        <w:rPr>
          <w:rStyle w:val="Strong"/>
        </w:rPr>
        <w:tab/>
      </w:r>
      <w:r>
        <w:rPr>
          <w:rStyle w:val="Strong"/>
        </w:rPr>
        <w:t>Land area (km</w:t>
      </w:r>
      <w:r>
        <w:rPr>
          <w:rStyle w:val="Strong"/>
          <w:rFonts w:cs="Calibri"/>
        </w:rPr>
        <w:t>²</w:t>
      </w:r>
      <w:r w:rsidR="00717E52">
        <w:rPr>
          <w:rStyle w:val="Strong"/>
        </w:rPr>
        <w:t>): 2351</w:t>
      </w:r>
    </w:p>
    <w:p w:rsidR="00C54EE1" w:rsidRPr="00E641C4" w:rsidRDefault="00C54EE1" w:rsidP="00C54EE1">
      <w:pPr>
        <w:pStyle w:val="bt"/>
      </w:pPr>
      <w:r>
        <w:t>Estimated resident p</w:t>
      </w:r>
      <w:r w:rsidRPr="00E641C4">
        <w:t>opulation:</w:t>
      </w:r>
    </w:p>
    <w:p w:rsidR="00C54EE1" w:rsidRDefault="00C54EE1" w:rsidP="00C54EE1">
      <w:pPr>
        <w:pStyle w:val="btbullet"/>
        <w:rPr>
          <w:lang w:eastAsia="en-US"/>
        </w:rPr>
      </w:pPr>
      <w:r>
        <w:t>2011</w:t>
      </w:r>
      <w:r>
        <w:rPr>
          <w:lang w:eastAsia="en-US"/>
        </w:rPr>
        <w:t>:</w:t>
      </w:r>
      <w:r w:rsidRPr="00266C63">
        <w:rPr>
          <w:lang w:eastAsia="en-US"/>
        </w:rPr>
        <w:t xml:space="preserve"> </w:t>
      </w:r>
      <w:r>
        <w:rPr>
          <w:lang w:eastAsia="en-US"/>
        </w:rPr>
        <w:t>1</w:t>
      </w:r>
      <w:r w:rsidR="00717E52">
        <w:rPr>
          <w:lang w:eastAsia="en-US"/>
        </w:rPr>
        <w:t>4,3</w:t>
      </w:r>
      <w:r>
        <w:rPr>
          <w:lang w:eastAsia="en-US"/>
        </w:rPr>
        <w:t>00</w:t>
      </w:r>
    </w:p>
    <w:p w:rsidR="00C54EE1" w:rsidRDefault="00C54EE1" w:rsidP="00C54EE1">
      <w:pPr>
        <w:pStyle w:val="btbullet"/>
        <w:rPr>
          <w:lang w:eastAsia="en-US"/>
        </w:rPr>
      </w:pPr>
      <w:r>
        <w:t>2021</w:t>
      </w:r>
      <w:r>
        <w:rPr>
          <w:lang w:eastAsia="en-US"/>
        </w:rPr>
        <w:t>:</w:t>
      </w:r>
      <w:r w:rsidRPr="00266C63">
        <w:rPr>
          <w:lang w:eastAsia="en-US"/>
        </w:rPr>
        <w:t xml:space="preserve"> </w:t>
      </w:r>
      <w:r>
        <w:rPr>
          <w:lang w:eastAsia="en-US"/>
        </w:rPr>
        <w:t>1</w:t>
      </w:r>
      <w:r w:rsidR="00717E52">
        <w:rPr>
          <w:lang w:eastAsia="en-US"/>
        </w:rPr>
        <w:t>5,3</w:t>
      </w:r>
      <w:r>
        <w:rPr>
          <w:lang w:eastAsia="en-US"/>
        </w:rPr>
        <w:t>00</w:t>
      </w:r>
    </w:p>
    <w:p w:rsidR="00C54EE1" w:rsidRDefault="00C54EE1" w:rsidP="00C54EE1">
      <w:pPr>
        <w:pStyle w:val="btbullet"/>
        <w:rPr>
          <w:lang w:eastAsia="en-US"/>
        </w:rPr>
      </w:pPr>
      <w:r>
        <w:t>2031</w:t>
      </w:r>
      <w:r>
        <w:rPr>
          <w:lang w:eastAsia="en-US"/>
        </w:rPr>
        <w:t>:</w:t>
      </w:r>
      <w:r w:rsidRPr="00266C63">
        <w:rPr>
          <w:lang w:eastAsia="en-US"/>
        </w:rPr>
        <w:t xml:space="preserve"> </w:t>
      </w:r>
      <w:r>
        <w:rPr>
          <w:lang w:eastAsia="en-US"/>
        </w:rPr>
        <w:t>1</w:t>
      </w:r>
      <w:r w:rsidR="00717E52">
        <w:rPr>
          <w:lang w:eastAsia="en-US"/>
        </w:rPr>
        <w:t>6,0</w:t>
      </w:r>
      <w:r>
        <w:rPr>
          <w:lang w:eastAsia="en-US"/>
        </w:rPr>
        <w:t>00</w:t>
      </w:r>
    </w:p>
    <w:p w:rsidR="00717E52" w:rsidRDefault="00717E52" w:rsidP="00717E52">
      <w:pPr>
        <w:pStyle w:val="bt"/>
        <w:rPr>
          <w:rStyle w:val="Strong"/>
        </w:rPr>
      </w:pPr>
      <w:r w:rsidRPr="00B92980">
        <w:rPr>
          <w:rStyle w:val="Strong"/>
        </w:rPr>
        <w:t xml:space="preserve">Local government area: </w:t>
      </w:r>
      <w:r>
        <w:rPr>
          <w:rStyle w:val="Strong"/>
        </w:rPr>
        <w:t>Greater Shepparton</w:t>
      </w:r>
      <w:r w:rsidR="006369C8">
        <w:rPr>
          <w:rStyle w:val="Strong"/>
        </w:rPr>
        <w:tab/>
      </w:r>
      <w:r>
        <w:rPr>
          <w:rStyle w:val="Strong"/>
        </w:rPr>
        <w:t>Land area (km</w:t>
      </w:r>
      <w:r>
        <w:rPr>
          <w:rStyle w:val="Strong"/>
          <w:rFonts w:cs="Calibri"/>
        </w:rPr>
        <w:t>²</w:t>
      </w:r>
      <w:r>
        <w:rPr>
          <w:rStyle w:val="Strong"/>
        </w:rPr>
        <w:t>): 2420</w:t>
      </w:r>
    </w:p>
    <w:p w:rsidR="00717E52" w:rsidRPr="00E641C4" w:rsidRDefault="00717E52" w:rsidP="00717E52">
      <w:pPr>
        <w:pStyle w:val="bt"/>
      </w:pPr>
      <w:r>
        <w:t>Estimated resident p</w:t>
      </w:r>
      <w:r w:rsidRPr="00E641C4">
        <w:t>opulation:</w:t>
      </w:r>
    </w:p>
    <w:p w:rsidR="00717E52" w:rsidRDefault="00717E52" w:rsidP="00717E52">
      <w:pPr>
        <w:pStyle w:val="btbullet"/>
        <w:rPr>
          <w:lang w:eastAsia="en-US"/>
        </w:rPr>
      </w:pPr>
      <w:r>
        <w:t>2011</w:t>
      </w:r>
      <w:r>
        <w:rPr>
          <w:lang w:eastAsia="en-US"/>
        </w:rPr>
        <w:t>:</w:t>
      </w:r>
      <w:r w:rsidRPr="00266C63">
        <w:rPr>
          <w:lang w:eastAsia="en-US"/>
        </w:rPr>
        <w:t xml:space="preserve"> </w:t>
      </w:r>
      <w:r>
        <w:rPr>
          <w:lang w:eastAsia="en-US"/>
        </w:rPr>
        <w:t>63,900</w:t>
      </w:r>
    </w:p>
    <w:p w:rsidR="00717E52" w:rsidRDefault="00717E52" w:rsidP="00717E52">
      <w:pPr>
        <w:pStyle w:val="btbullet"/>
        <w:rPr>
          <w:lang w:eastAsia="en-US"/>
        </w:rPr>
      </w:pPr>
      <w:r>
        <w:t>2021</w:t>
      </w:r>
      <w:r>
        <w:rPr>
          <w:lang w:eastAsia="en-US"/>
        </w:rPr>
        <w:t>:</w:t>
      </w:r>
      <w:r w:rsidRPr="00266C63">
        <w:rPr>
          <w:lang w:eastAsia="en-US"/>
        </w:rPr>
        <w:t xml:space="preserve"> </w:t>
      </w:r>
      <w:r>
        <w:rPr>
          <w:lang w:eastAsia="en-US"/>
        </w:rPr>
        <w:t>71,300</w:t>
      </w:r>
    </w:p>
    <w:p w:rsidR="00717E52" w:rsidRDefault="00717E52" w:rsidP="00717E52">
      <w:pPr>
        <w:pStyle w:val="btbullet"/>
        <w:rPr>
          <w:lang w:eastAsia="en-US"/>
        </w:rPr>
      </w:pPr>
      <w:r>
        <w:t>2031</w:t>
      </w:r>
      <w:r>
        <w:rPr>
          <w:lang w:eastAsia="en-US"/>
        </w:rPr>
        <w:t>:</w:t>
      </w:r>
      <w:r w:rsidRPr="00266C63">
        <w:rPr>
          <w:lang w:eastAsia="en-US"/>
        </w:rPr>
        <w:t xml:space="preserve"> </w:t>
      </w:r>
      <w:r>
        <w:rPr>
          <w:lang w:eastAsia="en-US"/>
        </w:rPr>
        <w:t>77,800</w:t>
      </w:r>
    </w:p>
    <w:p w:rsidR="00717E52" w:rsidRDefault="00717E52" w:rsidP="00717E52">
      <w:pPr>
        <w:pStyle w:val="bt"/>
        <w:rPr>
          <w:rStyle w:val="Strong"/>
        </w:rPr>
      </w:pPr>
      <w:r w:rsidRPr="00B92980">
        <w:rPr>
          <w:rStyle w:val="Strong"/>
        </w:rPr>
        <w:lastRenderedPageBreak/>
        <w:t xml:space="preserve">Local government area: </w:t>
      </w:r>
      <w:r>
        <w:rPr>
          <w:rStyle w:val="Strong"/>
        </w:rPr>
        <w:t>Indigo</w:t>
      </w:r>
      <w:r w:rsidR="006369C8">
        <w:rPr>
          <w:rStyle w:val="Strong"/>
        </w:rPr>
        <w:tab/>
      </w:r>
      <w:r w:rsidR="006369C8">
        <w:rPr>
          <w:rStyle w:val="Strong"/>
        </w:rPr>
        <w:tab/>
      </w:r>
      <w:r w:rsidR="006369C8">
        <w:rPr>
          <w:rStyle w:val="Strong"/>
        </w:rPr>
        <w:tab/>
      </w:r>
      <w:r>
        <w:rPr>
          <w:rStyle w:val="Strong"/>
        </w:rPr>
        <w:t>Land area (km</w:t>
      </w:r>
      <w:r>
        <w:rPr>
          <w:rStyle w:val="Strong"/>
          <w:rFonts w:cs="Calibri"/>
        </w:rPr>
        <w:t>²</w:t>
      </w:r>
      <w:r>
        <w:rPr>
          <w:rStyle w:val="Strong"/>
        </w:rPr>
        <w:t>): 2044</w:t>
      </w:r>
    </w:p>
    <w:p w:rsidR="00717E52" w:rsidRPr="00E641C4" w:rsidRDefault="00717E52" w:rsidP="00717E52">
      <w:pPr>
        <w:pStyle w:val="bt"/>
      </w:pPr>
      <w:r>
        <w:t>Estimated resident p</w:t>
      </w:r>
      <w:r w:rsidRPr="00E641C4">
        <w:t>opulation:</w:t>
      </w:r>
    </w:p>
    <w:p w:rsidR="00717E52" w:rsidRDefault="00717E52" w:rsidP="00717E52">
      <w:pPr>
        <w:pStyle w:val="btbullet"/>
        <w:rPr>
          <w:lang w:eastAsia="en-US"/>
        </w:rPr>
      </w:pPr>
      <w:r>
        <w:t>2011</w:t>
      </w:r>
      <w:r>
        <w:rPr>
          <w:lang w:eastAsia="en-US"/>
        </w:rPr>
        <w:t>:</w:t>
      </w:r>
      <w:r w:rsidRPr="00266C63">
        <w:rPr>
          <w:lang w:eastAsia="en-US"/>
        </w:rPr>
        <w:t xml:space="preserve"> </w:t>
      </w:r>
      <w:r>
        <w:rPr>
          <w:lang w:eastAsia="en-US"/>
        </w:rPr>
        <w:t>16,200</w:t>
      </w:r>
    </w:p>
    <w:p w:rsidR="00717E52" w:rsidRDefault="00717E52" w:rsidP="00717E52">
      <w:pPr>
        <w:pStyle w:val="btbullet"/>
        <w:rPr>
          <w:lang w:eastAsia="en-US"/>
        </w:rPr>
      </w:pPr>
      <w:r>
        <w:t>2021</w:t>
      </w:r>
      <w:r>
        <w:rPr>
          <w:lang w:eastAsia="en-US"/>
        </w:rPr>
        <w:t>:</w:t>
      </w:r>
      <w:r w:rsidRPr="00266C63">
        <w:rPr>
          <w:lang w:eastAsia="en-US"/>
        </w:rPr>
        <w:t xml:space="preserve"> </w:t>
      </w:r>
      <w:r>
        <w:rPr>
          <w:lang w:eastAsia="en-US"/>
        </w:rPr>
        <w:t>17,200</w:t>
      </w:r>
    </w:p>
    <w:p w:rsidR="00717E52" w:rsidRDefault="00717E52" w:rsidP="00717E52">
      <w:pPr>
        <w:pStyle w:val="btbullet"/>
        <w:rPr>
          <w:lang w:eastAsia="en-US"/>
        </w:rPr>
      </w:pPr>
      <w:r>
        <w:t>2031</w:t>
      </w:r>
      <w:r>
        <w:rPr>
          <w:lang w:eastAsia="en-US"/>
        </w:rPr>
        <w:t>:</w:t>
      </w:r>
      <w:r w:rsidRPr="00266C63">
        <w:rPr>
          <w:lang w:eastAsia="en-US"/>
        </w:rPr>
        <w:t xml:space="preserve"> </w:t>
      </w:r>
      <w:r>
        <w:rPr>
          <w:lang w:eastAsia="en-US"/>
        </w:rPr>
        <w:t>18,200</w:t>
      </w:r>
    </w:p>
    <w:p w:rsidR="00717E52" w:rsidRDefault="00717E52" w:rsidP="00717E52">
      <w:pPr>
        <w:pStyle w:val="bt"/>
        <w:rPr>
          <w:rStyle w:val="Strong"/>
        </w:rPr>
      </w:pPr>
      <w:r w:rsidRPr="00B92980">
        <w:rPr>
          <w:rStyle w:val="Strong"/>
        </w:rPr>
        <w:t xml:space="preserve">Local government area: </w:t>
      </w:r>
      <w:r>
        <w:rPr>
          <w:rStyle w:val="Strong"/>
        </w:rPr>
        <w:t>Mansfield</w:t>
      </w:r>
      <w:r w:rsidR="006369C8">
        <w:rPr>
          <w:rStyle w:val="Strong"/>
        </w:rPr>
        <w:tab/>
      </w:r>
      <w:r w:rsidR="006369C8">
        <w:rPr>
          <w:rStyle w:val="Strong"/>
        </w:rPr>
        <w:tab/>
      </w:r>
      <w:r w:rsidR="006369C8">
        <w:rPr>
          <w:rStyle w:val="Strong"/>
        </w:rPr>
        <w:tab/>
      </w:r>
      <w:r>
        <w:rPr>
          <w:rStyle w:val="Strong"/>
        </w:rPr>
        <w:t>Land area (km</w:t>
      </w:r>
      <w:r>
        <w:rPr>
          <w:rStyle w:val="Strong"/>
          <w:rFonts w:cs="Calibri"/>
        </w:rPr>
        <w:t>²</w:t>
      </w:r>
      <w:r>
        <w:rPr>
          <w:rStyle w:val="Strong"/>
        </w:rPr>
        <w:t>): 3892</w:t>
      </w:r>
    </w:p>
    <w:p w:rsidR="00717E52" w:rsidRPr="00E641C4" w:rsidRDefault="00717E52" w:rsidP="00717E52">
      <w:pPr>
        <w:pStyle w:val="bt"/>
      </w:pPr>
      <w:r>
        <w:t>Estimated resident p</w:t>
      </w:r>
      <w:r w:rsidRPr="00E641C4">
        <w:t>opulation:</w:t>
      </w:r>
    </w:p>
    <w:p w:rsidR="00717E52" w:rsidRDefault="00717E52" w:rsidP="00717E52">
      <w:pPr>
        <w:pStyle w:val="btbullet"/>
        <w:rPr>
          <w:lang w:eastAsia="en-US"/>
        </w:rPr>
      </w:pPr>
      <w:r>
        <w:t>2011</w:t>
      </w:r>
      <w:r>
        <w:rPr>
          <w:lang w:eastAsia="en-US"/>
        </w:rPr>
        <w:t>:</w:t>
      </w:r>
      <w:r w:rsidRPr="00266C63">
        <w:rPr>
          <w:lang w:eastAsia="en-US"/>
        </w:rPr>
        <w:t xml:space="preserve"> </w:t>
      </w:r>
      <w:r>
        <w:rPr>
          <w:lang w:eastAsia="en-US"/>
        </w:rPr>
        <w:t>8000</w:t>
      </w:r>
    </w:p>
    <w:p w:rsidR="00717E52" w:rsidRDefault="00717E52" w:rsidP="00717E52">
      <w:pPr>
        <w:pStyle w:val="btbullet"/>
        <w:rPr>
          <w:lang w:eastAsia="en-US"/>
        </w:rPr>
      </w:pPr>
      <w:r>
        <w:t>2021</w:t>
      </w:r>
      <w:r>
        <w:rPr>
          <w:lang w:eastAsia="en-US"/>
        </w:rPr>
        <w:t>:</w:t>
      </w:r>
      <w:r w:rsidRPr="00266C63">
        <w:rPr>
          <w:lang w:eastAsia="en-US"/>
        </w:rPr>
        <w:t xml:space="preserve"> </w:t>
      </w:r>
      <w:r>
        <w:rPr>
          <w:lang w:eastAsia="en-US"/>
        </w:rPr>
        <w:t>9000</w:t>
      </w:r>
    </w:p>
    <w:p w:rsidR="00717E52" w:rsidRDefault="00717E52" w:rsidP="00717E52">
      <w:pPr>
        <w:pStyle w:val="btbullet"/>
        <w:rPr>
          <w:lang w:eastAsia="en-US"/>
        </w:rPr>
      </w:pPr>
      <w:r>
        <w:t>2031</w:t>
      </w:r>
      <w:r>
        <w:rPr>
          <w:lang w:eastAsia="en-US"/>
        </w:rPr>
        <w:t>:</w:t>
      </w:r>
      <w:r w:rsidRPr="00266C63">
        <w:rPr>
          <w:lang w:eastAsia="en-US"/>
        </w:rPr>
        <w:t xml:space="preserve"> </w:t>
      </w:r>
      <w:r>
        <w:rPr>
          <w:lang w:eastAsia="en-US"/>
        </w:rPr>
        <w:t>10,200</w:t>
      </w:r>
    </w:p>
    <w:p w:rsidR="00717E52" w:rsidRDefault="00717E52" w:rsidP="00717E52">
      <w:pPr>
        <w:pStyle w:val="bt"/>
        <w:rPr>
          <w:rStyle w:val="Strong"/>
        </w:rPr>
      </w:pPr>
      <w:r w:rsidRPr="00B92980">
        <w:rPr>
          <w:rStyle w:val="Strong"/>
        </w:rPr>
        <w:t xml:space="preserve">Local government area: </w:t>
      </w:r>
      <w:r>
        <w:rPr>
          <w:rStyle w:val="Strong"/>
        </w:rPr>
        <w:t>Mitchell*</w:t>
      </w:r>
      <w:r w:rsidR="006369C8">
        <w:rPr>
          <w:rStyle w:val="Strong"/>
        </w:rPr>
        <w:tab/>
      </w:r>
      <w:r w:rsidR="006369C8">
        <w:rPr>
          <w:rStyle w:val="Strong"/>
        </w:rPr>
        <w:tab/>
      </w:r>
      <w:r w:rsidR="006369C8">
        <w:rPr>
          <w:rStyle w:val="Strong"/>
        </w:rPr>
        <w:tab/>
      </w:r>
      <w:r>
        <w:rPr>
          <w:rStyle w:val="Strong"/>
        </w:rPr>
        <w:t>Land area (km</w:t>
      </w:r>
      <w:r>
        <w:rPr>
          <w:rStyle w:val="Strong"/>
          <w:rFonts w:cs="Calibri"/>
        </w:rPr>
        <w:t>²</w:t>
      </w:r>
      <w:r>
        <w:rPr>
          <w:rStyle w:val="Strong"/>
        </w:rPr>
        <w:t>): 2862</w:t>
      </w:r>
    </w:p>
    <w:p w:rsidR="00717E52" w:rsidRPr="00E641C4" w:rsidRDefault="00717E52" w:rsidP="00717E52">
      <w:pPr>
        <w:pStyle w:val="bt"/>
      </w:pPr>
      <w:r>
        <w:t>Estimated resident p</w:t>
      </w:r>
      <w:r w:rsidRPr="00E641C4">
        <w:t>opulation:</w:t>
      </w:r>
    </w:p>
    <w:p w:rsidR="00717E52" w:rsidRDefault="00717E52" w:rsidP="00717E52">
      <w:pPr>
        <w:pStyle w:val="btbullet"/>
        <w:rPr>
          <w:lang w:eastAsia="en-US"/>
        </w:rPr>
      </w:pPr>
      <w:r>
        <w:t>2011</w:t>
      </w:r>
      <w:r>
        <w:rPr>
          <w:lang w:eastAsia="en-US"/>
        </w:rPr>
        <w:t>:</w:t>
      </w:r>
      <w:r w:rsidRPr="00266C63">
        <w:rPr>
          <w:lang w:eastAsia="en-US"/>
        </w:rPr>
        <w:t xml:space="preserve"> </w:t>
      </w:r>
      <w:r>
        <w:rPr>
          <w:lang w:eastAsia="en-US"/>
        </w:rPr>
        <w:t>35,400</w:t>
      </w:r>
    </w:p>
    <w:p w:rsidR="00717E52" w:rsidRDefault="00717E52" w:rsidP="00717E52">
      <w:pPr>
        <w:pStyle w:val="btbullet"/>
        <w:rPr>
          <w:lang w:eastAsia="en-US"/>
        </w:rPr>
      </w:pPr>
      <w:r>
        <w:t>2021</w:t>
      </w:r>
      <w:r>
        <w:rPr>
          <w:lang w:eastAsia="en-US"/>
        </w:rPr>
        <w:t>:</w:t>
      </w:r>
      <w:r w:rsidRPr="00266C63">
        <w:rPr>
          <w:lang w:eastAsia="en-US"/>
        </w:rPr>
        <w:t xml:space="preserve"> </w:t>
      </w:r>
      <w:r>
        <w:rPr>
          <w:lang w:eastAsia="en-US"/>
        </w:rPr>
        <w:t>42,500</w:t>
      </w:r>
    </w:p>
    <w:p w:rsidR="00717E52" w:rsidRDefault="00717E52" w:rsidP="00717E52">
      <w:pPr>
        <w:pStyle w:val="btbullet"/>
        <w:rPr>
          <w:lang w:eastAsia="en-US"/>
        </w:rPr>
      </w:pPr>
      <w:r>
        <w:t>2031</w:t>
      </w:r>
      <w:r>
        <w:rPr>
          <w:lang w:eastAsia="en-US"/>
        </w:rPr>
        <w:t>:</w:t>
      </w:r>
      <w:r w:rsidRPr="00266C63">
        <w:rPr>
          <w:lang w:eastAsia="en-US"/>
        </w:rPr>
        <w:t xml:space="preserve"> </w:t>
      </w:r>
      <w:r>
        <w:rPr>
          <w:lang w:eastAsia="en-US"/>
        </w:rPr>
        <w:t>45,600</w:t>
      </w:r>
    </w:p>
    <w:p w:rsidR="00717E52" w:rsidRDefault="00717E52" w:rsidP="00717E52">
      <w:pPr>
        <w:pStyle w:val="bt"/>
        <w:rPr>
          <w:rStyle w:val="Strong"/>
        </w:rPr>
      </w:pPr>
      <w:r w:rsidRPr="00B92980">
        <w:rPr>
          <w:rStyle w:val="Strong"/>
        </w:rPr>
        <w:t xml:space="preserve">Local government area: </w:t>
      </w:r>
      <w:r>
        <w:rPr>
          <w:rStyle w:val="Strong"/>
        </w:rPr>
        <w:t>Moira</w:t>
      </w:r>
      <w:r w:rsidR="006369C8">
        <w:rPr>
          <w:rStyle w:val="Strong"/>
        </w:rPr>
        <w:tab/>
      </w:r>
      <w:r w:rsidR="006369C8">
        <w:rPr>
          <w:rStyle w:val="Strong"/>
        </w:rPr>
        <w:tab/>
      </w:r>
      <w:r w:rsidR="006369C8">
        <w:rPr>
          <w:rStyle w:val="Strong"/>
        </w:rPr>
        <w:tab/>
      </w:r>
      <w:r>
        <w:rPr>
          <w:rStyle w:val="Strong"/>
        </w:rPr>
        <w:t>Land area (km</w:t>
      </w:r>
      <w:r>
        <w:rPr>
          <w:rStyle w:val="Strong"/>
          <w:rFonts w:cs="Calibri"/>
        </w:rPr>
        <w:t>²</w:t>
      </w:r>
      <w:r>
        <w:rPr>
          <w:rStyle w:val="Strong"/>
        </w:rPr>
        <w:t>): 4078</w:t>
      </w:r>
    </w:p>
    <w:p w:rsidR="00717E52" w:rsidRPr="00E641C4" w:rsidRDefault="00717E52" w:rsidP="00717E52">
      <w:pPr>
        <w:pStyle w:val="bt"/>
      </w:pPr>
      <w:r>
        <w:t>Estimated resident p</w:t>
      </w:r>
      <w:r w:rsidRPr="00E641C4">
        <w:t>opulation:</w:t>
      </w:r>
    </w:p>
    <w:p w:rsidR="00717E52" w:rsidRDefault="00717E52" w:rsidP="00717E52">
      <w:pPr>
        <w:pStyle w:val="btbullet"/>
        <w:rPr>
          <w:lang w:eastAsia="en-US"/>
        </w:rPr>
      </w:pPr>
      <w:r>
        <w:t>2011</w:t>
      </w:r>
      <w:r>
        <w:rPr>
          <w:lang w:eastAsia="en-US"/>
        </w:rPr>
        <w:t>:</w:t>
      </w:r>
      <w:r w:rsidRPr="00266C63">
        <w:rPr>
          <w:lang w:eastAsia="en-US"/>
        </w:rPr>
        <w:t xml:space="preserve"> </w:t>
      </w:r>
      <w:r w:rsidR="00F8264C">
        <w:rPr>
          <w:lang w:eastAsia="en-US"/>
        </w:rPr>
        <w:t>29,500</w:t>
      </w:r>
    </w:p>
    <w:p w:rsidR="00717E52" w:rsidRDefault="00717E52" w:rsidP="00717E52">
      <w:pPr>
        <w:pStyle w:val="btbullet"/>
        <w:rPr>
          <w:lang w:eastAsia="en-US"/>
        </w:rPr>
      </w:pPr>
      <w:r>
        <w:t>2021</w:t>
      </w:r>
      <w:r>
        <w:rPr>
          <w:lang w:eastAsia="en-US"/>
        </w:rPr>
        <w:t>:</w:t>
      </w:r>
      <w:r w:rsidRPr="00266C63">
        <w:rPr>
          <w:lang w:eastAsia="en-US"/>
        </w:rPr>
        <w:t xml:space="preserve"> </w:t>
      </w:r>
      <w:r w:rsidR="00F8264C">
        <w:rPr>
          <w:lang w:eastAsia="en-US"/>
        </w:rPr>
        <w:t>33,200</w:t>
      </w:r>
    </w:p>
    <w:p w:rsidR="00717E52" w:rsidRDefault="00717E52" w:rsidP="00717E52">
      <w:pPr>
        <w:pStyle w:val="btbullet"/>
        <w:rPr>
          <w:lang w:eastAsia="en-US"/>
        </w:rPr>
      </w:pPr>
      <w:r>
        <w:t>2031</w:t>
      </w:r>
      <w:r>
        <w:rPr>
          <w:lang w:eastAsia="en-US"/>
        </w:rPr>
        <w:t>:</w:t>
      </w:r>
      <w:r w:rsidRPr="00266C63">
        <w:rPr>
          <w:lang w:eastAsia="en-US"/>
        </w:rPr>
        <w:t xml:space="preserve"> </w:t>
      </w:r>
      <w:r w:rsidR="00F8264C">
        <w:rPr>
          <w:lang w:eastAsia="en-US"/>
        </w:rPr>
        <w:t>36,900</w:t>
      </w:r>
    </w:p>
    <w:p w:rsidR="00F8264C" w:rsidRDefault="00F8264C" w:rsidP="00F8264C">
      <w:pPr>
        <w:pStyle w:val="bt"/>
        <w:rPr>
          <w:rStyle w:val="Strong"/>
        </w:rPr>
      </w:pPr>
      <w:r w:rsidRPr="00B92980">
        <w:rPr>
          <w:rStyle w:val="Strong"/>
        </w:rPr>
        <w:t xml:space="preserve">Local government area: </w:t>
      </w:r>
      <w:r>
        <w:rPr>
          <w:rStyle w:val="Strong"/>
        </w:rPr>
        <w:t>Murrindindi</w:t>
      </w:r>
      <w:r w:rsidR="006369C8">
        <w:rPr>
          <w:rStyle w:val="Strong"/>
        </w:rPr>
        <w:tab/>
      </w:r>
      <w:r w:rsidR="006369C8">
        <w:rPr>
          <w:rStyle w:val="Strong"/>
        </w:rPr>
        <w:tab/>
      </w:r>
      <w:r>
        <w:rPr>
          <w:rStyle w:val="Strong"/>
        </w:rPr>
        <w:t>Land area (km</w:t>
      </w:r>
      <w:r>
        <w:rPr>
          <w:rStyle w:val="Strong"/>
          <w:rFonts w:cs="Calibri"/>
        </w:rPr>
        <w:t>²</w:t>
      </w:r>
      <w:r>
        <w:rPr>
          <w:rStyle w:val="Strong"/>
        </w:rPr>
        <w:t>): 3889</w:t>
      </w:r>
    </w:p>
    <w:p w:rsidR="00F8264C" w:rsidRPr="00E641C4" w:rsidRDefault="00F8264C" w:rsidP="00F8264C">
      <w:pPr>
        <w:pStyle w:val="bt"/>
      </w:pPr>
      <w:r>
        <w:t>Estimated resident p</w:t>
      </w:r>
      <w:r w:rsidRPr="00E641C4">
        <w:t>opulation:</w:t>
      </w:r>
    </w:p>
    <w:p w:rsidR="00F8264C" w:rsidRDefault="00F8264C" w:rsidP="00F8264C">
      <w:pPr>
        <w:pStyle w:val="btbullet"/>
        <w:rPr>
          <w:lang w:eastAsia="en-US"/>
        </w:rPr>
      </w:pPr>
      <w:r>
        <w:t>2011</w:t>
      </w:r>
      <w:r>
        <w:rPr>
          <w:lang w:eastAsia="en-US"/>
        </w:rPr>
        <w:t>:</w:t>
      </w:r>
      <w:r w:rsidRPr="00266C63">
        <w:rPr>
          <w:lang w:eastAsia="en-US"/>
        </w:rPr>
        <w:t xml:space="preserve"> </w:t>
      </w:r>
      <w:r>
        <w:rPr>
          <w:lang w:eastAsia="en-US"/>
        </w:rPr>
        <w:t>13,600</w:t>
      </w:r>
    </w:p>
    <w:p w:rsidR="00F8264C" w:rsidRDefault="00F8264C" w:rsidP="00F8264C">
      <w:pPr>
        <w:pStyle w:val="btbullet"/>
        <w:rPr>
          <w:lang w:eastAsia="en-US"/>
        </w:rPr>
      </w:pPr>
      <w:r>
        <w:t>2021</w:t>
      </w:r>
      <w:r>
        <w:rPr>
          <w:lang w:eastAsia="en-US"/>
        </w:rPr>
        <w:t>:</w:t>
      </w:r>
      <w:r w:rsidRPr="00266C63">
        <w:rPr>
          <w:lang w:eastAsia="en-US"/>
        </w:rPr>
        <w:t xml:space="preserve"> </w:t>
      </w:r>
      <w:r>
        <w:rPr>
          <w:lang w:eastAsia="en-US"/>
        </w:rPr>
        <w:t>16,500</w:t>
      </w:r>
    </w:p>
    <w:p w:rsidR="00F8264C" w:rsidRDefault="00F8264C" w:rsidP="00F8264C">
      <w:pPr>
        <w:pStyle w:val="btbullet"/>
        <w:rPr>
          <w:lang w:eastAsia="en-US"/>
        </w:rPr>
      </w:pPr>
      <w:r>
        <w:t>2031</w:t>
      </w:r>
      <w:r>
        <w:rPr>
          <w:lang w:eastAsia="en-US"/>
        </w:rPr>
        <w:t>:</w:t>
      </w:r>
      <w:r w:rsidRPr="00266C63">
        <w:rPr>
          <w:lang w:eastAsia="en-US"/>
        </w:rPr>
        <w:t xml:space="preserve"> </w:t>
      </w:r>
      <w:r>
        <w:rPr>
          <w:lang w:eastAsia="en-US"/>
        </w:rPr>
        <w:t>17,900</w:t>
      </w:r>
    </w:p>
    <w:p w:rsidR="00F8264C" w:rsidRDefault="00F8264C" w:rsidP="00F8264C">
      <w:pPr>
        <w:pStyle w:val="bt"/>
        <w:rPr>
          <w:rStyle w:val="Strong"/>
        </w:rPr>
      </w:pPr>
      <w:r>
        <w:rPr>
          <w:rStyle w:val="Strong"/>
        </w:rPr>
        <w:t>Local government area: Strathbogie</w:t>
      </w:r>
      <w:r w:rsidR="006369C8">
        <w:rPr>
          <w:rStyle w:val="Strong"/>
        </w:rPr>
        <w:tab/>
      </w:r>
      <w:r w:rsidR="006369C8">
        <w:rPr>
          <w:rStyle w:val="Strong"/>
        </w:rPr>
        <w:tab/>
      </w:r>
      <w:r>
        <w:rPr>
          <w:rStyle w:val="Strong"/>
        </w:rPr>
        <w:t>Land area (km</w:t>
      </w:r>
      <w:r>
        <w:rPr>
          <w:rStyle w:val="Strong"/>
          <w:rFonts w:cs="Calibri"/>
        </w:rPr>
        <w:t>²</w:t>
      </w:r>
      <w:r>
        <w:rPr>
          <w:rStyle w:val="Strong"/>
        </w:rPr>
        <w:t>): 3302</w:t>
      </w:r>
    </w:p>
    <w:p w:rsidR="00F8264C" w:rsidRPr="00E641C4" w:rsidRDefault="00F8264C" w:rsidP="00F8264C">
      <w:pPr>
        <w:pStyle w:val="bt"/>
      </w:pPr>
      <w:r>
        <w:t>Estimated resident p</w:t>
      </w:r>
      <w:r w:rsidRPr="00E641C4">
        <w:t>opulation:</w:t>
      </w:r>
    </w:p>
    <w:p w:rsidR="00F8264C" w:rsidRDefault="00F8264C" w:rsidP="00F8264C">
      <w:pPr>
        <w:pStyle w:val="btbullet"/>
        <w:rPr>
          <w:lang w:eastAsia="en-US"/>
        </w:rPr>
      </w:pPr>
      <w:r>
        <w:t>2011</w:t>
      </w:r>
      <w:r>
        <w:rPr>
          <w:lang w:eastAsia="en-US"/>
        </w:rPr>
        <w:t>:</w:t>
      </w:r>
      <w:r w:rsidRPr="00266C63">
        <w:rPr>
          <w:lang w:eastAsia="en-US"/>
        </w:rPr>
        <w:t xml:space="preserve"> </w:t>
      </w:r>
      <w:r>
        <w:rPr>
          <w:lang w:eastAsia="en-US"/>
        </w:rPr>
        <w:t>10,100</w:t>
      </w:r>
    </w:p>
    <w:p w:rsidR="00F8264C" w:rsidRDefault="00F8264C" w:rsidP="00F8264C">
      <w:pPr>
        <w:pStyle w:val="btbullet"/>
        <w:rPr>
          <w:lang w:eastAsia="en-US"/>
        </w:rPr>
      </w:pPr>
      <w:r>
        <w:t>2021</w:t>
      </w:r>
      <w:r>
        <w:rPr>
          <w:lang w:eastAsia="en-US"/>
        </w:rPr>
        <w:t>:</w:t>
      </w:r>
      <w:r w:rsidRPr="00266C63">
        <w:rPr>
          <w:lang w:eastAsia="en-US"/>
        </w:rPr>
        <w:t xml:space="preserve"> </w:t>
      </w:r>
      <w:r>
        <w:rPr>
          <w:lang w:eastAsia="en-US"/>
        </w:rPr>
        <w:t>10,500</w:t>
      </w:r>
    </w:p>
    <w:p w:rsidR="00F8264C" w:rsidRDefault="00F8264C" w:rsidP="00F8264C">
      <w:pPr>
        <w:pStyle w:val="btbullet"/>
        <w:rPr>
          <w:lang w:eastAsia="en-US"/>
        </w:rPr>
      </w:pPr>
      <w:r>
        <w:t>2031</w:t>
      </w:r>
      <w:r>
        <w:rPr>
          <w:lang w:eastAsia="en-US"/>
        </w:rPr>
        <w:t>:</w:t>
      </w:r>
      <w:r w:rsidRPr="00266C63">
        <w:rPr>
          <w:lang w:eastAsia="en-US"/>
        </w:rPr>
        <w:t xml:space="preserve"> </w:t>
      </w:r>
      <w:r>
        <w:rPr>
          <w:lang w:eastAsia="en-US"/>
        </w:rPr>
        <w:t>11,100</w:t>
      </w:r>
    </w:p>
    <w:p w:rsidR="00F8264C" w:rsidRDefault="00F8264C" w:rsidP="00F8264C">
      <w:pPr>
        <w:pStyle w:val="bt"/>
        <w:rPr>
          <w:rStyle w:val="Strong"/>
        </w:rPr>
      </w:pPr>
      <w:r w:rsidRPr="00B92980">
        <w:rPr>
          <w:rStyle w:val="Strong"/>
        </w:rPr>
        <w:t xml:space="preserve">Local government area: </w:t>
      </w:r>
      <w:r>
        <w:rPr>
          <w:rStyle w:val="Strong"/>
        </w:rPr>
        <w:t>Towong</w:t>
      </w:r>
      <w:r w:rsidR="006369C8">
        <w:rPr>
          <w:rStyle w:val="Strong"/>
        </w:rPr>
        <w:tab/>
      </w:r>
      <w:r w:rsidR="006369C8">
        <w:rPr>
          <w:rStyle w:val="Strong"/>
        </w:rPr>
        <w:tab/>
      </w:r>
      <w:r w:rsidR="0016400E">
        <w:rPr>
          <w:rStyle w:val="Strong"/>
        </w:rPr>
        <w:tab/>
      </w:r>
      <w:r>
        <w:rPr>
          <w:rStyle w:val="Strong"/>
        </w:rPr>
        <w:t>Land area (km</w:t>
      </w:r>
      <w:r>
        <w:rPr>
          <w:rStyle w:val="Strong"/>
          <w:rFonts w:cs="Calibri"/>
        </w:rPr>
        <w:t>²</w:t>
      </w:r>
      <w:r>
        <w:rPr>
          <w:rStyle w:val="Strong"/>
        </w:rPr>
        <w:t>): 6673</w:t>
      </w:r>
    </w:p>
    <w:p w:rsidR="00F8264C" w:rsidRPr="00E641C4" w:rsidRDefault="00F8264C" w:rsidP="00F8264C">
      <w:pPr>
        <w:pStyle w:val="bt"/>
      </w:pPr>
      <w:r>
        <w:t>Estimated resident p</w:t>
      </w:r>
      <w:r w:rsidRPr="00E641C4">
        <w:t>opulation:</w:t>
      </w:r>
    </w:p>
    <w:p w:rsidR="00F8264C" w:rsidRDefault="00F8264C" w:rsidP="00F8264C">
      <w:pPr>
        <w:pStyle w:val="btbullet"/>
        <w:rPr>
          <w:lang w:eastAsia="en-US"/>
        </w:rPr>
      </w:pPr>
      <w:r>
        <w:t>2011</w:t>
      </w:r>
      <w:r>
        <w:rPr>
          <w:lang w:eastAsia="en-US"/>
        </w:rPr>
        <w:t>:</w:t>
      </w:r>
      <w:r w:rsidRPr="00266C63">
        <w:rPr>
          <w:lang w:eastAsia="en-US"/>
        </w:rPr>
        <w:t xml:space="preserve"> </w:t>
      </w:r>
      <w:r>
        <w:rPr>
          <w:lang w:eastAsia="en-US"/>
        </w:rPr>
        <w:t>6300</w:t>
      </w:r>
    </w:p>
    <w:p w:rsidR="00F8264C" w:rsidRDefault="00F8264C" w:rsidP="00F8264C">
      <w:pPr>
        <w:pStyle w:val="btbullet"/>
        <w:rPr>
          <w:lang w:eastAsia="en-US"/>
        </w:rPr>
      </w:pPr>
      <w:r>
        <w:t>2021</w:t>
      </w:r>
      <w:r>
        <w:rPr>
          <w:lang w:eastAsia="en-US"/>
        </w:rPr>
        <w:t>:</w:t>
      </w:r>
      <w:r w:rsidRPr="00266C63">
        <w:rPr>
          <w:lang w:eastAsia="en-US"/>
        </w:rPr>
        <w:t xml:space="preserve"> </w:t>
      </w:r>
      <w:r>
        <w:rPr>
          <w:lang w:eastAsia="en-US"/>
        </w:rPr>
        <w:t>6400</w:t>
      </w:r>
    </w:p>
    <w:p w:rsidR="00F8264C" w:rsidRDefault="00F8264C" w:rsidP="00F8264C">
      <w:pPr>
        <w:pStyle w:val="btbullet"/>
        <w:rPr>
          <w:lang w:eastAsia="en-US"/>
        </w:rPr>
      </w:pPr>
      <w:r>
        <w:lastRenderedPageBreak/>
        <w:t>2031</w:t>
      </w:r>
      <w:r>
        <w:rPr>
          <w:lang w:eastAsia="en-US"/>
        </w:rPr>
        <w:t>:</w:t>
      </w:r>
      <w:r w:rsidRPr="00266C63">
        <w:rPr>
          <w:lang w:eastAsia="en-US"/>
        </w:rPr>
        <w:t xml:space="preserve"> </w:t>
      </w:r>
      <w:r>
        <w:rPr>
          <w:lang w:eastAsia="en-US"/>
        </w:rPr>
        <w:t>6600</w:t>
      </w:r>
    </w:p>
    <w:p w:rsidR="00F8264C" w:rsidRDefault="00F8264C" w:rsidP="00F8264C">
      <w:pPr>
        <w:pStyle w:val="bt"/>
        <w:rPr>
          <w:rStyle w:val="Strong"/>
        </w:rPr>
      </w:pPr>
      <w:r w:rsidRPr="00B92980">
        <w:rPr>
          <w:rStyle w:val="Strong"/>
        </w:rPr>
        <w:t xml:space="preserve">Local government area: </w:t>
      </w:r>
      <w:r w:rsidR="0016400E">
        <w:rPr>
          <w:rStyle w:val="Strong"/>
        </w:rPr>
        <w:t>Wan</w:t>
      </w:r>
      <w:r>
        <w:rPr>
          <w:rStyle w:val="Strong"/>
        </w:rPr>
        <w:t>garatta</w:t>
      </w:r>
      <w:r w:rsidR="006369C8">
        <w:rPr>
          <w:rStyle w:val="Strong"/>
        </w:rPr>
        <w:tab/>
      </w:r>
      <w:r w:rsidR="006369C8">
        <w:rPr>
          <w:rStyle w:val="Strong"/>
        </w:rPr>
        <w:tab/>
      </w:r>
      <w:r>
        <w:rPr>
          <w:rStyle w:val="Strong"/>
        </w:rPr>
        <w:t>Land area (km</w:t>
      </w:r>
      <w:r>
        <w:rPr>
          <w:rStyle w:val="Strong"/>
          <w:rFonts w:cs="Calibri"/>
        </w:rPr>
        <w:t>²</w:t>
      </w:r>
      <w:r>
        <w:rPr>
          <w:rStyle w:val="Strong"/>
        </w:rPr>
        <w:t>): 3764</w:t>
      </w:r>
    </w:p>
    <w:p w:rsidR="00F8264C" w:rsidRPr="00E641C4" w:rsidRDefault="00F8264C" w:rsidP="00F8264C">
      <w:pPr>
        <w:pStyle w:val="bt"/>
      </w:pPr>
      <w:r>
        <w:t>Estimated resident p</w:t>
      </w:r>
      <w:r w:rsidRPr="00E641C4">
        <w:t>opulation:</w:t>
      </w:r>
    </w:p>
    <w:p w:rsidR="00F8264C" w:rsidRDefault="00F8264C" w:rsidP="00F8264C">
      <w:pPr>
        <w:pStyle w:val="btbullet"/>
        <w:rPr>
          <w:lang w:eastAsia="en-US"/>
        </w:rPr>
      </w:pPr>
      <w:r>
        <w:t>2011</w:t>
      </w:r>
      <w:r>
        <w:rPr>
          <w:lang w:eastAsia="en-US"/>
        </w:rPr>
        <w:t>:</w:t>
      </w:r>
      <w:r w:rsidRPr="00266C63">
        <w:rPr>
          <w:lang w:eastAsia="en-US"/>
        </w:rPr>
        <w:t xml:space="preserve"> </w:t>
      </w:r>
      <w:r>
        <w:rPr>
          <w:lang w:eastAsia="en-US"/>
        </w:rPr>
        <w:t>29,00</w:t>
      </w:r>
      <w:r w:rsidR="003D1581">
        <w:rPr>
          <w:lang w:eastAsia="en-US"/>
        </w:rPr>
        <w:t>0</w:t>
      </w:r>
    </w:p>
    <w:p w:rsidR="00F8264C" w:rsidRDefault="00F8264C" w:rsidP="00F8264C">
      <w:pPr>
        <w:pStyle w:val="btbullet"/>
        <w:rPr>
          <w:lang w:eastAsia="en-US"/>
        </w:rPr>
      </w:pPr>
      <w:r>
        <w:t>2021</w:t>
      </w:r>
      <w:r>
        <w:rPr>
          <w:lang w:eastAsia="en-US"/>
        </w:rPr>
        <w:t>:</w:t>
      </w:r>
      <w:r w:rsidRPr="00266C63">
        <w:rPr>
          <w:lang w:eastAsia="en-US"/>
        </w:rPr>
        <w:t xml:space="preserve"> </w:t>
      </w:r>
      <w:r>
        <w:rPr>
          <w:lang w:eastAsia="en-US"/>
        </w:rPr>
        <w:t>30,300</w:t>
      </w:r>
    </w:p>
    <w:p w:rsidR="00F8264C" w:rsidRDefault="00F8264C" w:rsidP="00F8264C">
      <w:pPr>
        <w:pStyle w:val="btbullet"/>
        <w:rPr>
          <w:lang w:eastAsia="en-US"/>
        </w:rPr>
      </w:pPr>
      <w:r>
        <w:t>2031</w:t>
      </w:r>
      <w:r>
        <w:rPr>
          <w:lang w:eastAsia="en-US"/>
        </w:rPr>
        <w:t>:</w:t>
      </w:r>
      <w:r w:rsidRPr="00266C63">
        <w:rPr>
          <w:lang w:eastAsia="en-US"/>
        </w:rPr>
        <w:t xml:space="preserve"> </w:t>
      </w:r>
      <w:r>
        <w:rPr>
          <w:lang w:eastAsia="en-US"/>
        </w:rPr>
        <w:t>31,600</w:t>
      </w:r>
    </w:p>
    <w:p w:rsidR="00F8264C" w:rsidRDefault="00F8264C" w:rsidP="00F8264C">
      <w:pPr>
        <w:pStyle w:val="bt"/>
        <w:rPr>
          <w:rStyle w:val="Strong"/>
        </w:rPr>
      </w:pPr>
      <w:r w:rsidRPr="00B92980">
        <w:rPr>
          <w:rStyle w:val="Strong"/>
        </w:rPr>
        <w:t xml:space="preserve">Local government area: </w:t>
      </w:r>
      <w:r>
        <w:rPr>
          <w:rStyle w:val="Strong"/>
        </w:rPr>
        <w:t>Wodonga</w:t>
      </w:r>
      <w:r w:rsidR="006369C8">
        <w:rPr>
          <w:rStyle w:val="Strong"/>
        </w:rPr>
        <w:tab/>
      </w:r>
      <w:r w:rsidR="006369C8">
        <w:rPr>
          <w:rStyle w:val="Strong"/>
        </w:rPr>
        <w:tab/>
      </w:r>
      <w:r w:rsidR="006369C8">
        <w:rPr>
          <w:rStyle w:val="Strong"/>
        </w:rPr>
        <w:tab/>
      </w:r>
      <w:r>
        <w:rPr>
          <w:rStyle w:val="Strong"/>
        </w:rPr>
        <w:t>Land area (km</w:t>
      </w:r>
      <w:r>
        <w:rPr>
          <w:rStyle w:val="Strong"/>
          <w:rFonts w:cs="Calibri"/>
        </w:rPr>
        <w:t>²</w:t>
      </w:r>
      <w:r>
        <w:rPr>
          <w:rStyle w:val="Strong"/>
        </w:rPr>
        <w:t>): 433</w:t>
      </w:r>
    </w:p>
    <w:p w:rsidR="00F8264C" w:rsidRPr="00E641C4" w:rsidRDefault="00F8264C" w:rsidP="00F8264C">
      <w:pPr>
        <w:pStyle w:val="bt"/>
      </w:pPr>
      <w:r>
        <w:t>Estimated resident p</w:t>
      </w:r>
      <w:r w:rsidRPr="00E641C4">
        <w:t>opulation:</w:t>
      </w:r>
    </w:p>
    <w:p w:rsidR="00F8264C" w:rsidRDefault="00F8264C" w:rsidP="00F8264C">
      <w:pPr>
        <w:pStyle w:val="btbullet"/>
        <w:rPr>
          <w:lang w:eastAsia="en-US"/>
        </w:rPr>
      </w:pPr>
      <w:r>
        <w:t>2011</w:t>
      </w:r>
      <w:r>
        <w:rPr>
          <w:lang w:eastAsia="en-US"/>
        </w:rPr>
        <w:t>:</w:t>
      </w:r>
      <w:r w:rsidRPr="00266C63">
        <w:rPr>
          <w:lang w:eastAsia="en-US"/>
        </w:rPr>
        <w:t xml:space="preserve"> </w:t>
      </w:r>
      <w:r>
        <w:rPr>
          <w:lang w:eastAsia="en-US"/>
        </w:rPr>
        <w:t>37,100</w:t>
      </w:r>
    </w:p>
    <w:p w:rsidR="00F8264C" w:rsidRDefault="00F8264C" w:rsidP="00F8264C">
      <w:pPr>
        <w:pStyle w:val="btbullet"/>
        <w:rPr>
          <w:lang w:eastAsia="en-US"/>
        </w:rPr>
      </w:pPr>
      <w:r>
        <w:t>2021</w:t>
      </w:r>
      <w:r>
        <w:rPr>
          <w:lang w:eastAsia="en-US"/>
        </w:rPr>
        <w:t>:</w:t>
      </w:r>
      <w:r w:rsidRPr="00266C63">
        <w:rPr>
          <w:lang w:eastAsia="en-US"/>
        </w:rPr>
        <w:t xml:space="preserve"> </w:t>
      </w:r>
      <w:r>
        <w:rPr>
          <w:lang w:eastAsia="en-US"/>
        </w:rPr>
        <w:t>43,000</w:t>
      </w:r>
    </w:p>
    <w:p w:rsidR="00F8264C" w:rsidRDefault="00F8264C" w:rsidP="00F8264C">
      <w:pPr>
        <w:pStyle w:val="btbullet"/>
        <w:rPr>
          <w:lang w:eastAsia="en-US"/>
        </w:rPr>
      </w:pPr>
      <w:r>
        <w:t>2031</w:t>
      </w:r>
      <w:r>
        <w:rPr>
          <w:lang w:eastAsia="en-US"/>
        </w:rPr>
        <w:t>:</w:t>
      </w:r>
      <w:r w:rsidRPr="00266C63">
        <w:rPr>
          <w:lang w:eastAsia="en-US"/>
        </w:rPr>
        <w:t xml:space="preserve"> </w:t>
      </w:r>
      <w:r>
        <w:rPr>
          <w:lang w:eastAsia="en-US"/>
        </w:rPr>
        <w:t>48,400</w:t>
      </w:r>
    </w:p>
    <w:p w:rsidR="00F8264C" w:rsidRDefault="00F8264C" w:rsidP="00F8264C">
      <w:pPr>
        <w:pStyle w:val="bt"/>
        <w:rPr>
          <w:rStyle w:val="Strong"/>
        </w:rPr>
      </w:pPr>
      <w:r>
        <w:rPr>
          <w:rStyle w:val="Strong"/>
        </w:rPr>
        <w:t>Hume Region total</w:t>
      </w:r>
      <w:r w:rsidR="006369C8">
        <w:rPr>
          <w:rStyle w:val="Strong"/>
        </w:rPr>
        <w:tab/>
      </w:r>
      <w:r w:rsidR="006369C8">
        <w:rPr>
          <w:rStyle w:val="Strong"/>
        </w:rPr>
        <w:tab/>
      </w:r>
      <w:r w:rsidR="006369C8">
        <w:rPr>
          <w:rStyle w:val="Strong"/>
        </w:rPr>
        <w:tab/>
      </w:r>
      <w:r w:rsidR="006369C8">
        <w:rPr>
          <w:rStyle w:val="Strong"/>
        </w:rPr>
        <w:tab/>
      </w:r>
      <w:r>
        <w:rPr>
          <w:rStyle w:val="Strong"/>
        </w:rPr>
        <w:t>Land area (km</w:t>
      </w:r>
      <w:r>
        <w:rPr>
          <w:rStyle w:val="Strong"/>
          <w:rFonts w:cs="Calibri"/>
        </w:rPr>
        <w:t>²</w:t>
      </w:r>
      <w:r>
        <w:rPr>
          <w:rStyle w:val="Strong"/>
        </w:rPr>
        <w:t>): 40,713</w:t>
      </w:r>
    </w:p>
    <w:p w:rsidR="00F8264C" w:rsidRPr="00E641C4" w:rsidRDefault="00F8264C" w:rsidP="00F8264C">
      <w:pPr>
        <w:pStyle w:val="bt"/>
      </w:pPr>
      <w:r>
        <w:t>Estimated resident p</w:t>
      </w:r>
      <w:r w:rsidRPr="00E641C4">
        <w:t>opulation:</w:t>
      </w:r>
    </w:p>
    <w:p w:rsidR="00F8264C" w:rsidRDefault="00F8264C" w:rsidP="00F8264C">
      <w:pPr>
        <w:pStyle w:val="btbullet"/>
        <w:rPr>
          <w:lang w:eastAsia="en-US"/>
        </w:rPr>
      </w:pPr>
      <w:r>
        <w:t>2011</w:t>
      </w:r>
      <w:r>
        <w:rPr>
          <w:lang w:eastAsia="en-US"/>
        </w:rPr>
        <w:t>:</w:t>
      </w:r>
      <w:r w:rsidRPr="00266C63">
        <w:rPr>
          <w:lang w:eastAsia="en-US"/>
        </w:rPr>
        <w:t xml:space="preserve"> </w:t>
      </w:r>
      <w:r>
        <w:rPr>
          <w:lang w:eastAsia="en-US"/>
        </w:rPr>
        <w:t>276,300</w:t>
      </w:r>
    </w:p>
    <w:p w:rsidR="00F8264C" w:rsidRDefault="00F8264C" w:rsidP="00F8264C">
      <w:pPr>
        <w:pStyle w:val="btbullet"/>
        <w:rPr>
          <w:lang w:eastAsia="en-US"/>
        </w:rPr>
      </w:pPr>
      <w:r>
        <w:t>2021</w:t>
      </w:r>
      <w:r>
        <w:rPr>
          <w:lang w:eastAsia="en-US"/>
        </w:rPr>
        <w:t>:</w:t>
      </w:r>
      <w:r w:rsidRPr="00266C63">
        <w:rPr>
          <w:lang w:eastAsia="en-US"/>
        </w:rPr>
        <w:t xml:space="preserve"> </w:t>
      </w:r>
      <w:r>
        <w:rPr>
          <w:lang w:eastAsia="en-US"/>
        </w:rPr>
        <w:t>308,400</w:t>
      </w:r>
    </w:p>
    <w:p w:rsidR="00F8264C" w:rsidRDefault="00F8264C" w:rsidP="00F8264C">
      <w:pPr>
        <w:pStyle w:val="btbullet"/>
        <w:rPr>
          <w:lang w:eastAsia="en-US"/>
        </w:rPr>
      </w:pPr>
      <w:r>
        <w:t>2031</w:t>
      </w:r>
      <w:r>
        <w:rPr>
          <w:lang w:eastAsia="en-US"/>
        </w:rPr>
        <w:t>:</w:t>
      </w:r>
      <w:r w:rsidRPr="00266C63">
        <w:rPr>
          <w:lang w:eastAsia="en-US"/>
        </w:rPr>
        <w:t xml:space="preserve"> </w:t>
      </w:r>
      <w:r>
        <w:rPr>
          <w:lang w:eastAsia="en-US"/>
        </w:rPr>
        <w:t>333,800</w:t>
      </w:r>
    </w:p>
    <w:p w:rsidR="001338B1" w:rsidRPr="0040245A" w:rsidRDefault="001338B1" w:rsidP="00C746CB">
      <w:pPr>
        <w:pStyle w:val="bt"/>
      </w:pPr>
      <w:r w:rsidRPr="0040245A">
        <w:t>*</w:t>
      </w:r>
      <w:r w:rsidR="00D53A39" w:rsidRPr="0040245A">
        <w:t>Figures for</w:t>
      </w:r>
      <w:r w:rsidRPr="0040245A">
        <w:t xml:space="preserve"> Mi</w:t>
      </w:r>
      <w:r w:rsidR="0061158B" w:rsidRPr="0040245A">
        <w:t>t</w:t>
      </w:r>
      <w:r w:rsidRPr="0040245A">
        <w:t xml:space="preserve">chell </w:t>
      </w:r>
      <w:r w:rsidR="00770834" w:rsidRPr="0040245A">
        <w:t>S</w:t>
      </w:r>
      <w:r w:rsidRPr="0040245A">
        <w:t>hire exclude</w:t>
      </w:r>
      <w:r w:rsidR="0084479D">
        <w:t>s</w:t>
      </w:r>
      <w:r w:rsidRPr="0040245A">
        <w:t xml:space="preserve"> expected metropolitan growth in the southern part of the LGA</w:t>
      </w:r>
    </w:p>
    <w:p w:rsidR="00DB37D0" w:rsidRPr="00E641C4" w:rsidRDefault="00DB37D0" w:rsidP="00DB37D0">
      <w:pPr>
        <w:pStyle w:val="source"/>
      </w:pPr>
      <w:r w:rsidRPr="00E641C4">
        <w:t>Source: Department of Planning and Community Development, Victoria in Future 2012</w:t>
      </w:r>
    </w:p>
    <w:p w:rsidR="00475F76" w:rsidRDefault="00D53A39" w:rsidP="00475F76">
      <w:pPr>
        <w:pStyle w:val="bt"/>
        <w:rPr>
          <w:szCs w:val="18"/>
        </w:rPr>
      </w:pPr>
      <w:r w:rsidRPr="0040245A">
        <w:rPr>
          <w:szCs w:val="18"/>
        </w:rPr>
        <w:t xml:space="preserve">Note: </w:t>
      </w:r>
      <w:r w:rsidR="004151A0">
        <w:rPr>
          <w:szCs w:val="18"/>
        </w:rPr>
        <w:t>P</w:t>
      </w:r>
      <w:r w:rsidRPr="0040245A">
        <w:rPr>
          <w:szCs w:val="18"/>
        </w:rPr>
        <w:t>rojected totals for LGAs beyond 20 years (2031)</w:t>
      </w:r>
      <w:r w:rsidR="004151A0" w:rsidRPr="004151A0">
        <w:t xml:space="preserve"> </w:t>
      </w:r>
      <w:r w:rsidR="004151A0" w:rsidRPr="004151A0">
        <w:rPr>
          <w:szCs w:val="18"/>
        </w:rPr>
        <w:t>are not published as part of Victoria in Future</w:t>
      </w:r>
      <w:r w:rsidR="00C746CB">
        <w:rPr>
          <w:szCs w:val="18"/>
        </w:rPr>
        <w:t xml:space="preserve"> 2012</w:t>
      </w:r>
      <w:bookmarkStart w:id="23" w:name="_Ref374356321"/>
      <w:bookmarkStart w:id="24" w:name="_Toc374434700"/>
      <w:r w:rsidR="00475F76">
        <w:rPr>
          <w:szCs w:val="18"/>
        </w:rPr>
        <w:t>.</w:t>
      </w:r>
    </w:p>
    <w:p w:rsidR="00491B13" w:rsidRPr="00475F76" w:rsidRDefault="009D1249" w:rsidP="00475F76">
      <w:pPr>
        <w:pStyle w:val="bt"/>
      </w:pPr>
      <w:r w:rsidRPr="00475F76">
        <w:t xml:space="preserve">Map </w:t>
      </w:r>
      <w:bookmarkEnd w:id="23"/>
      <w:r w:rsidR="00AF799A">
        <w:t>3</w:t>
      </w:r>
      <w:r w:rsidR="00475F76" w:rsidRPr="00475F76">
        <w:t xml:space="preserve"> </w:t>
      </w:r>
      <w:r w:rsidR="00475F76">
        <w:t>is located here in the document and it shows -</w:t>
      </w:r>
      <w:r w:rsidR="00BD7B1F" w:rsidRPr="00475F76">
        <w:t xml:space="preserve"> National context</w:t>
      </w:r>
      <w:bookmarkEnd w:id="24"/>
    </w:p>
    <w:p w:rsidR="00426ACC" w:rsidRDefault="00A81CE4" w:rsidP="004151A0">
      <w:pPr>
        <w:pStyle w:val="bt"/>
        <w:spacing w:before="0"/>
      </w:pPr>
      <w:r w:rsidRPr="00F25409">
        <w:t xml:space="preserve">The larger regional cities of Shepparton, Wangaratta and Wodonga support a network of smaller settlements across the region extending into other regions and states </w:t>
      </w:r>
      <w:r w:rsidR="00D53A39">
        <w:t>(</w:t>
      </w:r>
      <w:r w:rsidRPr="00F25409">
        <w:t>particularly the Campaspe Shire and the southern Riverina of</w:t>
      </w:r>
      <w:r>
        <w:t xml:space="preserve"> New South Wales</w:t>
      </w:r>
      <w:r w:rsidR="00D53A39">
        <w:t>)</w:t>
      </w:r>
      <w:r w:rsidRPr="00F25409">
        <w:t xml:space="preserve"> making services and facilities reasonably accessible to most communities. </w:t>
      </w:r>
    </w:p>
    <w:p w:rsidR="00D42505" w:rsidRPr="00F25409" w:rsidRDefault="00D42505" w:rsidP="004151A0">
      <w:pPr>
        <w:pStyle w:val="bt"/>
        <w:spacing w:before="0"/>
      </w:pPr>
      <w:r w:rsidRPr="00F25409">
        <w:t xml:space="preserve">This dispersed pattern of services and infrastructure can mean long travel distances and a reliance on private vehicles. </w:t>
      </w:r>
    </w:p>
    <w:p w:rsidR="00BF089A" w:rsidRDefault="00D42505" w:rsidP="00F25409">
      <w:pPr>
        <w:pStyle w:val="bt"/>
      </w:pPr>
      <w:r w:rsidRPr="00F25409">
        <w:t xml:space="preserve">The region’s economy is </w:t>
      </w:r>
      <w:r w:rsidR="001A37E3" w:rsidRPr="00F25409">
        <w:t xml:space="preserve">based on </w:t>
      </w:r>
      <w:r w:rsidRPr="00F25409">
        <w:t>access to natural resources</w:t>
      </w:r>
      <w:r w:rsidR="00BF38B3" w:rsidRPr="00F25409">
        <w:t>,</w:t>
      </w:r>
      <w:r w:rsidRPr="00F25409">
        <w:t xml:space="preserve"> </w:t>
      </w:r>
      <w:r w:rsidR="00BF38B3" w:rsidRPr="00F25409">
        <w:t xml:space="preserve">such as </w:t>
      </w:r>
      <w:r w:rsidRPr="00F25409">
        <w:t>water and productive agricultural land</w:t>
      </w:r>
      <w:r w:rsidR="00DA716B" w:rsidRPr="00F25409">
        <w:t xml:space="preserve"> (including extensive irrigated areas)</w:t>
      </w:r>
      <w:r w:rsidRPr="00F25409">
        <w:t xml:space="preserve">, </w:t>
      </w:r>
      <w:r w:rsidR="00BF38B3" w:rsidRPr="00F25409">
        <w:t>environmental assets</w:t>
      </w:r>
      <w:r w:rsidR="00F634BF" w:rsidRPr="00F25409">
        <w:t xml:space="preserve"> (</w:t>
      </w:r>
      <w:r w:rsidR="00BF38B3" w:rsidRPr="00F25409">
        <w:t xml:space="preserve">such as </w:t>
      </w:r>
      <w:r w:rsidRPr="00F25409">
        <w:t>significant areas of natural beauty</w:t>
      </w:r>
      <w:r w:rsidR="00F634BF" w:rsidRPr="00F25409">
        <w:t>)</w:t>
      </w:r>
      <w:r w:rsidR="009E587F" w:rsidRPr="00F25409">
        <w:t>, heritage assets</w:t>
      </w:r>
      <w:r w:rsidRPr="00F25409">
        <w:t xml:space="preserve"> and the strategically </w:t>
      </w:r>
      <w:r w:rsidR="00F8050E" w:rsidRPr="00F25409">
        <w:t xml:space="preserve">important </w:t>
      </w:r>
      <w:r w:rsidRPr="00F25409">
        <w:t>Melbourne-Canberra-Sydney</w:t>
      </w:r>
      <w:r w:rsidR="00DA716B" w:rsidRPr="00F25409">
        <w:t xml:space="preserve"> (Hume corridor)</w:t>
      </w:r>
      <w:r w:rsidRPr="00F25409">
        <w:t xml:space="preserve"> </w:t>
      </w:r>
      <w:r w:rsidR="00DA716B" w:rsidRPr="00F25409">
        <w:t xml:space="preserve">and Melbourne-Brisbane (Goulburn Valley corridor) </w:t>
      </w:r>
      <w:r w:rsidRPr="00F25409">
        <w:t xml:space="preserve">national </w:t>
      </w:r>
      <w:r w:rsidR="009045DB" w:rsidRPr="00F25409">
        <w:t xml:space="preserve">road and rail </w:t>
      </w:r>
      <w:r w:rsidR="00DA716B" w:rsidRPr="00F25409">
        <w:t xml:space="preserve">transport </w:t>
      </w:r>
      <w:r w:rsidRPr="00F25409">
        <w:t>corridors. The economy is reliant on agriculture</w:t>
      </w:r>
      <w:r w:rsidR="00804F5A" w:rsidRPr="00F25409">
        <w:t xml:space="preserve"> (largely irrigated in the Goulburn Valley)</w:t>
      </w:r>
      <w:r w:rsidRPr="00F25409">
        <w:t xml:space="preserve"> and </w:t>
      </w:r>
      <w:r w:rsidR="00F634BF" w:rsidRPr="00F25409">
        <w:t xml:space="preserve">a </w:t>
      </w:r>
      <w:r w:rsidR="00804F5A" w:rsidRPr="00F25409">
        <w:t xml:space="preserve">significant </w:t>
      </w:r>
      <w:r w:rsidRPr="00F25409">
        <w:t>manufacturing</w:t>
      </w:r>
      <w:r w:rsidR="00804F5A" w:rsidRPr="00F25409">
        <w:t xml:space="preserve"> industry</w:t>
      </w:r>
      <w:r w:rsidR="00FB06F8" w:rsidRPr="00F25409">
        <w:t>.</w:t>
      </w:r>
      <w:r w:rsidRPr="00F25409">
        <w:t xml:space="preserve"> </w:t>
      </w:r>
      <w:r w:rsidR="00FB06F8" w:rsidRPr="00F25409">
        <w:t>T</w:t>
      </w:r>
      <w:r w:rsidRPr="00F25409">
        <w:t>ourism is</w:t>
      </w:r>
      <w:r w:rsidR="00FD6805" w:rsidRPr="00F25409">
        <w:t xml:space="preserve"> also</w:t>
      </w:r>
      <w:r w:rsidRPr="00F25409">
        <w:t xml:space="preserve"> an important industry and employer for the Hume Region.</w:t>
      </w:r>
    </w:p>
    <w:p w:rsidR="006E3687" w:rsidRDefault="00D42505" w:rsidP="00F25409">
      <w:pPr>
        <w:pStyle w:val="bt"/>
      </w:pPr>
      <w:r w:rsidRPr="00F25409">
        <w:t xml:space="preserve">Strategic assets of regional </w:t>
      </w:r>
      <w:r w:rsidR="00F8050E" w:rsidRPr="00F25409">
        <w:t>or</w:t>
      </w:r>
      <w:r w:rsidRPr="00F25409">
        <w:t xml:space="preserve"> national significance include:</w:t>
      </w:r>
    </w:p>
    <w:p w:rsidR="008D2EDA" w:rsidRPr="00F25409" w:rsidRDefault="008D2EDA" w:rsidP="008D2EDA">
      <w:pPr>
        <w:pStyle w:val="Heading3"/>
      </w:pPr>
      <w:r>
        <w:t>Network of settlements</w:t>
      </w:r>
    </w:p>
    <w:p w:rsidR="000A7711" w:rsidRPr="000A7711" w:rsidRDefault="00491B13" w:rsidP="000A7711">
      <w:pPr>
        <w:pStyle w:val="bt"/>
      </w:pPr>
      <w:r w:rsidRPr="000A7711">
        <w:t xml:space="preserve">Population centres </w:t>
      </w:r>
      <w:proofErr w:type="gramStart"/>
      <w:r w:rsidRPr="000A7711">
        <w:t>around</w:t>
      </w:r>
      <w:proofErr w:type="gramEnd"/>
      <w:r w:rsidRPr="000A7711">
        <w:t xml:space="preserve"> high-functioning regional hubs (Shepparton, Wangaratta and Wodonga), located along major transport routes, which support and are supported by a network of other settlements. Settlements also have distinct characteristics providing attractive places to live and work.</w:t>
      </w:r>
    </w:p>
    <w:p w:rsidR="008D2EDA" w:rsidRDefault="008D2EDA" w:rsidP="008D2EDA">
      <w:pPr>
        <w:pStyle w:val="Heading3"/>
      </w:pPr>
      <w:r>
        <w:lastRenderedPageBreak/>
        <w:t>Accessibility</w:t>
      </w:r>
    </w:p>
    <w:p w:rsidR="00491B13" w:rsidRDefault="00491B13" w:rsidP="00F25409">
      <w:pPr>
        <w:pStyle w:val="bt"/>
      </w:pPr>
      <w:r w:rsidRPr="00A25511">
        <w:t>High performance, nationally significant interstate road and rail transport routes</w:t>
      </w:r>
      <w:r>
        <w:t xml:space="preserve"> and airports</w:t>
      </w:r>
      <w:r w:rsidRPr="00A25511">
        <w:t xml:space="preserve"> that support regional connectivity and provide access to markets. Key transport links also provide access to services and infrastructure in large urban centres outside the region</w:t>
      </w:r>
      <w:r>
        <w:t>,</w:t>
      </w:r>
      <w:r w:rsidRPr="00A25511">
        <w:t xml:space="preserve"> such as Albury and Melbourne.</w:t>
      </w:r>
    </w:p>
    <w:p w:rsidR="008D2EDA" w:rsidRDefault="008D2EDA" w:rsidP="008D2EDA">
      <w:pPr>
        <w:pStyle w:val="Heading3"/>
      </w:pPr>
      <w:r>
        <w:t>Water</w:t>
      </w:r>
    </w:p>
    <w:p w:rsidR="00491B13" w:rsidRDefault="00491B13" w:rsidP="00F25409">
      <w:pPr>
        <w:pStyle w:val="bt"/>
      </w:pPr>
      <w:r w:rsidRPr="00A25511">
        <w:t xml:space="preserve">Availability of </w:t>
      </w:r>
      <w:r>
        <w:t>reliable,</w:t>
      </w:r>
      <w:r w:rsidRPr="00A25511">
        <w:t xml:space="preserve"> high quality</w:t>
      </w:r>
      <w:r>
        <w:t xml:space="preserve"> </w:t>
      </w:r>
      <w:r w:rsidRPr="00A25511">
        <w:t>water resources</w:t>
      </w:r>
      <w:r>
        <w:t xml:space="preserve">, such as rivers and water infrastructure, </w:t>
      </w:r>
      <w:r w:rsidRPr="00A25511">
        <w:t>providing a competitive advantage</w:t>
      </w:r>
      <w:r>
        <w:t xml:space="preserve"> (particularly for irrigated agriculture),</w:t>
      </w:r>
      <w:r w:rsidRPr="00A25511">
        <w:t xml:space="preserve"> which is likely to become more important in the future under the influence of climate change</w:t>
      </w:r>
      <w:r>
        <w:t xml:space="preserve"> and the Murray-Darling Basin Plan</w:t>
      </w:r>
      <w:r w:rsidRPr="00A25511">
        <w:t>.</w:t>
      </w:r>
    </w:p>
    <w:p w:rsidR="008D2EDA" w:rsidRDefault="008D2EDA" w:rsidP="008D2EDA">
      <w:pPr>
        <w:pStyle w:val="Heading3"/>
      </w:pPr>
      <w:r>
        <w:t>Attractive environment and heritage</w:t>
      </w:r>
    </w:p>
    <w:p w:rsidR="00491B13" w:rsidRDefault="00491B13" w:rsidP="00F25409">
      <w:pPr>
        <w:pStyle w:val="bt"/>
      </w:pPr>
      <w:proofErr w:type="gramStart"/>
      <w:r>
        <w:t>Picturesque and valuable</w:t>
      </w:r>
      <w:r w:rsidRPr="00A25511">
        <w:t xml:space="preserve"> environments and landscapes</w:t>
      </w:r>
      <w:r>
        <w:t xml:space="preserve">, </w:t>
      </w:r>
      <w:r w:rsidRPr="00A25511">
        <w:t>including large areas of public land</w:t>
      </w:r>
      <w:r>
        <w:t>,</w:t>
      </w:r>
      <w:r w:rsidRPr="00A25511">
        <w:t xml:space="preserve"> not only attracting new residents and visitors to the region, but also providing important </w:t>
      </w:r>
      <w:r>
        <w:t>environmental values</w:t>
      </w:r>
      <w:r w:rsidRPr="00A25511">
        <w:t>.</w:t>
      </w:r>
      <w:proofErr w:type="gramEnd"/>
      <w:r w:rsidRPr="00A25511">
        <w:t xml:space="preserve"> Tourism products </w:t>
      </w:r>
      <w:r>
        <w:t xml:space="preserve">that </w:t>
      </w:r>
      <w:r w:rsidRPr="00A25511">
        <w:t>are based largely around the quality of the natural environment and the region’s heritage assets.</w:t>
      </w:r>
    </w:p>
    <w:p w:rsidR="008D2EDA" w:rsidRDefault="008D2EDA" w:rsidP="008D2EDA">
      <w:pPr>
        <w:pStyle w:val="Heading3"/>
      </w:pPr>
      <w:r>
        <w:t>Rural production</w:t>
      </w:r>
    </w:p>
    <w:p w:rsidR="00491B13" w:rsidRDefault="00491B13" w:rsidP="00F25409">
      <w:pPr>
        <w:pStyle w:val="bt"/>
      </w:pPr>
      <w:proofErr w:type="gramStart"/>
      <w:r>
        <w:t>L</w:t>
      </w:r>
      <w:r w:rsidRPr="00A25511">
        <w:t>and</w:t>
      </w:r>
      <w:r>
        <w:t>,</w:t>
      </w:r>
      <w:r w:rsidRPr="00A25511">
        <w:t xml:space="preserve"> water and associated infrastructure t</w:t>
      </w:r>
      <w:r>
        <w:t>hat</w:t>
      </w:r>
      <w:r w:rsidRPr="00A25511">
        <w:t xml:space="preserve"> provide for a variety of rural production throughout the region, contributing to the economy</w:t>
      </w:r>
      <w:r>
        <w:t>, including inputs into food manufacturing</w:t>
      </w:r>
      <w:r w:rsidRPr="00A25511">
        <w:t>.</w:t>
      </w:r>
      <w:proofErr w:type="gramEnd"/>
    </w:p>
    <w:p w:rsidR="007361FD" w:rsidRDefault="007361FD" w:rsidP="007361FD">
      <w:pPr>
        <w:pStyle w:val="Heading3"/>
      </w:pPr>
      <w:r>
        <w:t>Facilities</w:t>
      </w:r>
    </w:p>
    <w:p w:rsidR="00491B13" w:rsidRDefault="00491B13" w:rsidP="00F25409">
      <w:pPr>
        <w:pStyle w:val="bt"/>
      </w:pPr>
      <w:proofErr w:type="gramStart"/>
      <w:r>
        <w:t>M</w:t>
      </w:r>
      <w:r w:rsidRPr="00A25511">
        <w:t xml:space="preserve">ajor health and learning facilities, including </w:t>
      </w:r>
      <w:r>
        <w:t xml:space="preserve">universities, TAFEs, </w:t>
      </w:r>
      <w:r w:rsidRPr="00A25511">
        <w:t>schools and libraries.</w:t>
      </w:r>
      <w:proofErr w:type="gramEnd"/>
      <w:r w:rsidRPr="00A25511">
        <w:t xml:space="preserve"> Education is available at all levels of the learning spectrum and at key locations across the Hume Region.</w:t>
      </w:r>
    </w:p>
    <w:p w:rsidR="007361FD" w:rsidRDefault="007361FD" w:rsidP="007361FD">
      <w:pPr>
        <w:pStyle w:val="Heading3"/>
      </w:pPr>
      <w:r>
        <w:t>Diverse economic base</w:t>
      </w:r>
    </w:p>
    <w:p w:rsidR="00A435E1" w:rsidRDefault="00491B13" w:rsidP="00F25409">
      <w:pPr>
        <w:pStyle w:val="bt"/>
      </w:pPr>
      <w:r w:rsidRPr="00A25511">
        <w:t xml:space="preserve">An economy built on manufacturing, agriculture and food processing, health and human services and facilities, defence, tourism, </w:t>
      </w:r>
      <w:r>
        <w:t xml:space="preserve">retail, freight </w:t>
      </w:r>
      <w:r w:rsidRPr="00A25511">
        <w:t>and logistics industries.</w:t>
      </w:r>
    </w:p>
    <w:p w:rsidR="00043AE5" w:rsidRDefault="00043AE5" w:rsidP="00043AE5">
      <w:pPr>
        <w:pStyle w:val="Heading3"/>
      </w:pPr>
      <w:r>
        <w:t>Social capital</w:t>
      </w:r>
    </w:p>
    <w:p w:rsidR="00BF089A" w:rsidRDefault="00043AE5" w:rsidP="00F25409">
      <w:pPr>
        <w:pStyle w:val="bt"/>
      </w:pPr>
      <w:proofErr w:type="gramStart"/>
      <w:r>
        <w:t xml:space="preserve">A growing, culturally diverse population within </w:t>
      </w:r>
      <w:r w:rsidR="007C38F8">
        <w:t xml:space="preserve">engaged, </w:t>
      </w:r>
      <w:r>
        <w:t>connected</w:t>
      </w:r>
      <w:r w:rsidR="007C38F8">
        <w:t>, safe and</w:t>
      </w:r>
      <w:r>
        <w:t xml:space="preserve"> inclusive</w:t>
      </w:r>
      <w:r w:rsidR="007C38F8">
        <w:t xml:space="preserve"> communities.</w:t>
      </w:r>
      <w:proofErr w:type="gramEnd"/>
    </w:p>
    <w:p w:rsidR="00C507C7" w:rsidRPr="00F25409" w:rsidRDefault="00C507C7" w:rsidP="00F25409">
      <w:pPr>
        <w:pStyle w:val="Heading11"/>
      </w:pPr>
      <w:bookmarkStart w:id="25" w:name="_Toc336871215"/>
      <w:bookmarkStart w:id="26" w:name="_Toc376945583"/>
      <w:r w:rsidRPr="00F25409">
        <w:t xml:space="preserve">Drivers of </w:t>
      </w:r>
      <w:r w:rsidR="00F634BF" w:rsidRPr="00F25409">
        <w:t>c</w:t>
      </w:r>
      <w:r w:rsidRPr="00F25409">
        <w:t>hange</w:t>
      </w:r>
      <w:bookmarkEnd w:id="25"/>
      <w:bookmarkEnd w:id="26"/>
    </w:p>
    <w:p w:rsidR="004C4147" w:rsidRPr="00F25409" w:rsidRDefault="004C4147" w:rsidP="00F25409">
      <w:pPr>
        <w:pStyle w:val="bt"/>
      </w:pPr>
      <w:r w:rsidRPr="00F25409">
        <w:t xml:space="preserve">Key drivers of </w:t>
      </w:r>
      <w:r w:rsidR="000B2BD5" w:rsidRPr="00F25409">
        <w:t xml:space="preserve">land use </w:t>
      </w:r>
      <w:r w:rsidRPr="00F25409">
        <w:t xml:space="preserve">change in the </w:t>
      </w:r>
      <w:r w:rsidR="00F634BF" w:rsidRPr="00F25409">
        <w:t xml:space="preserve">Hume </w:t>
      </w:r>
      <w:r w:rsidR="00744D20" w:rsidRPr="00F25409">
        <w:t>R</w:t>
      </w:r>
      <w:r w:rsidRPr="00F25409">
        <w:t>egion are likely to include:</w:t>
      </w:r>
    </w:p>
    <w:p w:rsidR="004C4147" w:rsidRDefault="008C2E50" w:rsidP="00806552">
      <w:pPr>
        <w:pStyle w:val="btbullet"/>
        <w:rPr>
          <w:lang w:eastAsia="en-US"/>
        </w:rPr>
      </w:pPr>
      <w:r>
        <w:rPr>
          <w:lang w:eastAsia="en-US"/>
        </w:rPr>
        <w:t xml:space="preserve">preparing for the </w:t>
      </w:r>
      <w:r w:rsidR="00E662D9">
        <w:rPr>
          <w:lang w:eastAsia="en-US"/>
        </w:rPr>
        <w:t xml:space="preserve">potential </w:t>
      </w:r>
      <w:r w:rsidR="004C4147" w:rsidRPr="00A25511">
        <w:rPr>
          <w:lang w:eastAsia="en-US"/>
        </w:rPr>
        <w:t xml:space="preserve">impacts </w:t>
      </w:r>
      <w:r>
        <w:rPr>
          <w:lang w:eastAsia="en-US"/>
        </w:rPr>
        <w:t>and opportunities arising from</w:t>
      </w:r>
      <w:r w:rsidR="004C4147" w:rsidRPr="00A25511">
        <w:rPr>
          <w:lang w:eastAsia="en-US"/>
        </w:rPr>
        <w:t xml:space="preserve"> climate change</w:t>
      </w:r>
    </w:p>
    <w:p w:rsidR="00121CDA" w:rsidRDefault="00121CDA" w:rsidP="00806552">
      <w:pPr>
        <w:pStyle w:val="btbullet"/>
        <w:rPr>
          <w:lang w:eastAsia="en-US"/>
        </w:rPr>
      </w:pPr>
      <w:r>
        <w:rPr>
          <w:lang w:eastAsia="en-US"/>
        </w:rPr>
        <w:t>impacts of climatic conditions such as long</w:t>
      </w:r>
      <w:r w:rsidR="00F634BF">
        <w:rPr>
          <w:lang w:eastAsia="en-US"/>
        </w:rPr>
        <w:t>-</w:t>
      </w:r>
      <w:r>
        <w:rPr>
          <w:lang w:eastAsia="en-US"/>
        </w:rPr>
        <w:t xml:space="preserve">term droughts, wide spread </w:t>
      </w:r>
      <w:r w:rsidR="00112398">
        <w:rPr>
          <w:lang w:eastAsia="en-US"/>
        </w:rPr>
        <w:t>flood</w:t>
      </w:r>
      <w:r>
        <w:rPr>
          <w:lang w:eastAsia="en-US"/>
        </w:rPr>
        <w:t xml:space="preserve"> and </w:t>
      </w:r>
      <w:r w:rsidR="00E662D9">
        <w:rPr>
          <w:lang w:eastAsia="en-US"/>
        </w:rPr>
        <w:t>an increase in the number of days of extreme heat and fire danger</w:t>
      </w:r>
    </w:p>
    <w:p w:rsidR="00A77DCF" w:rsidRPr="00A77DCF" w:rsidRDefault="00A77DCF" w:rsidP="00806552">
      <w:pPr>
        <w:pStyle w:val="btbullet"/>
        <w:rPr>
          <w:lang w:eastAsia="en-US"/>
        </w:rPr>
      </w:pPr>
      <w:r>
        <w:rPr>
          <w:lang w:eastAsia="en-US"/>
        </w:rPr>
        <w:t>the impact</w:t>
      </w:r>
      <w:r w:rsidR="001B5F40">
        <w:rPr>
          <w:lang w:eastAsia="en-US"/>
        </w:rPr>
        <w:t>s and opportunities</w:t>
      </w:r>
      <w:r>
        <w:rPr>
          <w:lang w:eastAsia="en-US"/>
        </w:rPr>
        <w:t xml:space="preserve"> </w:t>
      </w:r>
      <w:r w:rsidR="001B5F40">
        <w:rPr>
          <w:lang w:eastAsia="en-US"/>
        </w:rPr>
        <w:t xml:space="preserve">related to </w:t>
      </w:r>
      <w:r>
        <w:rPr>
          <w:lang w:eastAsia="en-US"/>
        </w:rPr>
        <w:t xml:space="preserve">the </w:t>
      </w:r>
      <w:r>
        <w:t>Murray</w:t>
      </w:r>
      <w:r w:rsidR="00F634BF">
        <w:t>-</w:t>
      </w:r>
      <w:r>
        <w:t>Darling Basin Plan</w:t>
      </w:r>
    </w:p>
    <w:p w:rsidR="00A77DCF" w:rsidRPr="00A25511" w:rsidRDefault="00A77DCF" w:rsidP="00806552">
      <w:pPr>
        <w:pStyle w:val="btbullet"/>
        <w:rPr>
          <w:lang w:eastAsia="en-US"/>
        </w:rPr>
      </w:pPr>
      <w:r>
        <w:rPr>
          <w:lang w:eastAsia="en-US"/>
        </w:rPr>
        <w:t xml:space="preserve">irrigation modernisation and investment opportunities created by the </w:t>
      </w:r>
      <w:r w:rsidRPr="00A77DCF">
        <w:rPr>
          <w:lang w:eastAsia="en-US"/>
        </w:rPr>
        <w:t xml:space="preserve">Goulburn-Murray Water Connections </w:t>
      </w:r>
      <w:r w:rsidR="00E662D9" w:rsidRPr="00A77DCF">
        <w:rPr>
          <w:lang w:eastAsia="en-US"/>
        </w:rPr>
        <w:t>Pro</w:t>
      </w:r>
      <w:r w:rsidR="00E662D9">
        <w:rPr>
          <w:lang w:eastAsia="en-US"/>
        </w:rPr>
        <w:t>ject</w:t>
      </w:r>
      <w:r w:rsidR="00806552">
        <w:rPr>
          <w:lang w:eastAsia="en-US"/>
        </w:rPr>
        <w:t xml:space="preserve">, </w:t>
      </w:r>
      <w:r w:rsidR="00735279">
        <w:rPr>
          <w:lang w:eastAsia="en-US"/>
        </w:rPr>
        <w:t>previously know</w:t>
      </w:r>
      <w:r w:rsidR="00F634BF">
        <w:rPr>
          <w:lang w:eastAsia="en-US"/>
        </w:rPr>
        <w:t>n</w:t>
      </w:r>
      <w:r w:rsidR="00735279">
        <w:rPr>
          <w:lang w:eastAsia="en-US"/>
        </w:rPr>
        <w:t xml:space="preserve"> as the Northern Victoria Irrigation </w:t>
      </w:r>
      <w:r w:rsidR="00E662D9">
        <w:rPr>
          <w:lang w:eastAsia="en-US"/>
        </w:rPr>
        <w:t xml:space="preserve">Renewal </w:t>
      </w:r>
      <w:r w:rsidR="00735279">
        <w:rPr>
          <w:lang w:eastAsia="en-US"/>
        </w:rPr>
        <w:t>Project</w:t>
      </w:r>
    </w:p>
    <w:p w:rsidR="000B2BD5" w:rsidRDefault="004C4147" w:rsidP="00806552">
      <w:pPr>
        <w:pStyle w:val="btbullet"/>
        <w:rPr>
          <w:lang w:eastAsia="en-US"/>
        </w:rPr>
      </w:pPr>
      <w:r w:rsidRPr="00A25511">
        <w:rPr>
          <w:lang w:eastAsia="en-US"/>
        </w:rPr>
        <w:t>strong transport links</w:t>
      </w:r>
      <w:r w:rsidR="00597B7B">
        <w:rPr>
          <w:lang w:eastAsia="en-US"/>
        </w:rPr>
        <w:t xml:space="preserve"> connecting the region to intra</w:t>
      </w:r>
      <w:r w:rsidR="005A4392">
        <w:rPr>
          <w:lang w:eastAsia="en-US"/>
        </w:rPr>
        <w:t>state</w:t>
      </w:r>
      <w:r w:rsidR="00597B7B">
        <w:rPr>
          <w:lang w:eastAsia="en-US"/>
        </w:rPr>
        <w:t xml:space="preserve"> and interstate markets and services as well as gateways for international trade</w:t>
      </w:r>
      <w:r w:rsidR="00806552">
        <w:rPr>
          <w:lang w:eastAsia="en-US"/>
        </w:rPr>
        <w:t xml:space="preserve">, </w:t>
      </w:r>
      <w:r w:rsidR="008279C3">
        <w:rPr>
          <w:lang w:eastAsia="en-US"/>
        </w:rPr>
        <w:t>including potential future links such as high speed rail</w:t>
      </w:r>
    </w:p>
    <w:p w:rsidR="002A333B" w:rsidRDefault="005E5600" w:rsidP="00806552">
      <w:pPr>
        <w:pStyle w:val="btbullet"/>
        <w:rPr>
          <w:lang w:eastAsia="en-US"/>
        </w:rPr>
      </w:pPr>
      <w:r>
        <w:rPr>
          <w:lang w:eastAsia="en-US"/>
        </w:rPr>
        <w:t>access to growing</w:t>
      </w:r>
      <w:r w:rsidR="002A333B">
        <w:rPr>
          <w:lang w:eastAsia="en-US"/>
        </w:rPr>
        <w:t xml:space="preserve"> Asian markets</w:t>
      </w:r>
    </w:p>
    <w:p w:rsidR="004C4147" w:rsidRPr="00A25511" w:rsidRDefault="000B2BD5" w:rsidP="00806552">
      <w:pPr>
        <w:pStyle w:val="btbullet"/>
        <w:rPr>
          <w:lang w:eastAsia="en-US"/>
        </w:rPr>
      </w:pPr>
      <w:r>
        <w:rPr>
          <w:lang w:eastAsia="en-US"/>
        </w:rPr>
        <w:t>decentralisation of freight handling in Victoria</w:t>
      </w:r>
    </w:p>
    <w:p w:rsidR="004C4147" w:rsidRPr="00A25511" w:rsidRDefault="008C2E50" w:rsidP="00806552">
      <w:pPr>
        <w:pStyle w:val="btbullet"/>
        <w:rPr>
          <w:lang w:eastAsia="en-US"/>
        </w:rPr>
      </w:pPr>
      <w:r>
        <w:rPr>
          <w:lang w:eastAsia="en-US"/>
        </w:rPr>
        <w:t>environmental</w:t>
      </w:r>
      <w:r w:rsidRPr="00A25511">
        <w:rPr>
          <w:lang w:eastAsia="en-US"/>
        </w:rPr>
        <w:t xml:space="preserve"> </w:t>
      </w:r>
      <w:r w:rsidR="00187CAA">
        <w:rPr>
          <w:lang w:eastAsia="en-US"/>
        </w:rPr>
        <w:t xml:space="preserve">and heritage </w:t>
      </w:r>
      <w:r w:rsidR="004C4147" w:rsidRPr="00A25511">
        <w:rPr>
          <w:lang w:eastAsia="en-US"/>
        </w:rPr>
        <w:t>assets and liveability attracting visitors and new residents to the region</w:t>
      </w:r>
    </w:p>
    <w:p w:rsidR="004C4147" w:rsidRDefault="004C4147" w:rsidP="00806552">
      <w:pPr>
        <w:pStyle w:val="btbullet"/>
        <w:rPr>
          <w:lang w:eastAsia="en-US"/>
        </w:rPr>
      </w:pPr>
      <w:r w:rsidRPr="00A25511">
        <w:rPr>
          <w:lang w:eastAsia="en-US"/>
        </w:rPr>
        <w:lastRenderedPageBreak/>
        <w:t>changes in economic sectors, particularly agriculture and manufacturing</w:t>
      </w:r>
    </w:p>
    <w:p w:rsidR="00DE4E99" w:rsidRDefault="008C2E50" w:rsidP="00806552">
      <w:pPr>
        <w:pStyle w:val="btbullet"/>
        <w:rPr>
          <w:lang w:eastAsia="en-US"/>
        </w:rPr>
      </w:pPr>
      <w:r>
        <w:rPr>
          <w:lang w:eastAsia="en-US"/>
        </w:rPr>
        <w:t xml:space="preserve">economic adjustments to </w:t>
      </w:r>
      <w:r w:rsidR="00E90D0B" w:rsidRPr="00E90D0B">
        <w:rPr>
          <w:lang w:eastAsia="en-US"/>
        </w:rPr>
        <w:t>initiatives that support national and global action to reduce greenhouse gas emissions</w:t>
      </w:r>
      <w:r w:rsidR="00DE4E99">
        <w:rPr>
          <w:lang w:eastAsia="en-US"/>
        </w:rPr>
        <w:t xml:space="preserve">, </w:t>
      </w:r>
      <w:r w:rsidR="00E90D0B" w:rsidRPr="00E90D0B">
        <w:rPr>
          <w:lang w:eastAsia="en-US"/>
        </w:rPr>
        <w:t>such as a price on carbon</w:t>
      </w:r>
    </w:p>
    <w:p w:rsidR="00317D9F" w:rsidRDefault="00317D9F" w:rsidP="00806552">
      <w:pPr>
        <w:pStyle w:val="btbullet"/>
        <w:rPr>
          <w:lang w:eastAsia="en-US"/>
        </w:rPr>
      </w:pPr>
      <w:r>
        <w:rPr>
          <w:lang w:eastAsia="en-US"/>
        </w:rPr>
        <w:t xml:space="preserve">adaptation and take-up of </w:t>
      </w:r>
      <w:r w:rsidR="009C7D54">
        <w:rPr>
          <w:lang w:eastAsia="en-US"/>
        </w:rPr>
        <w:t xml:space="preserve">information and communications </w:t>
      </w:r>
      <w:r>
        <w:rPr>
          <w:lang w:eastAsia="en-US"/>
        </w:rPr>
        <w:t>technology</w:t>
      </w:r>
      <w:r w:rsidR="00DE4E99">
        <w:rPr>
          <w:lang w:eastAsia="en-US"/>
        </w:rPr>
        <w:t>,</w:t>
      </w:r>
      <w:r>
        <w:rPr>
          <w:lang w:eastAsia="en-US"/>
        </w:rPr>
        <w:t xml:space="preserve"> </w:t>
      </w:r>
      <w:r w:rsidR="00DE4E99">
        <w:rPr>
          <w:lang w:eastAsia="en-US"/>
        </w:rPr>
        <w:t>s</w:t>
      </w:r>
      <w:r>
        <w:rPr>
          <w:lang w:eastAsia="en-US"/>
        </w:rPr>
        <w:t>uch as</w:t>
      </w:r>
      <w:r w:rsidR="009C7D54">
        <w:rPr>
          <w:lang w:eastAsia="en-US"/>
        </w:rPr>
        <w:t xml:space="preserve"> mobile phone coverage,</w:t>
      </w:r>
      <w:r>
        <w:rPr>
          <w:lang w:eastAsia="en-US"/>
        </w:rPr>
        <w:t xml:space="preserve"> the N</w:t>
      </w:r>
      <w:r w:rsidR="00F634BF">
        <w:rPr>
          <w:lang w:eastAsia="en-US"/>
        </w:rPr>
        <w:t xml:space="preserve">ational Broadband Network </w:t>
      </w:r>
      <w:r>
        <w:rPr>
          <w:lang w:eastAsia="en-US"/>
        </w:rPr>
        <w:t xml:space="preserve">and </w:t>
      </w:r>
      <w:r w:rsidR="00F634BF">
        <w:rPr>
          <w:lang w:eastAsia="en-US"/>
        </w:rPr>
        <w:t xml:space="preserve">the </w:t>
      </w:r>
      <w:r w:rsidR="00924F9F">
        <w:rPr>
          <w:lang w:eastAsia="en-US"/>
        </w:rPr>
        <w:t>‘</w:t>
      </w:r>
      <w:r>
        <w:rPr>
          <w:lang w:eastAsia="en-US"/>
        </w:rPr>
        <w:t>Digital Hume</w:t>
      </w:r>
      <w:r w:rsidR="00924F9F">
        <w:rPr>
          <w:lang w:eastAsia="en-US"/>
        </w:rPr>
        <w:t>’</w:t>
      </w:r>
      <w:r>
        <w:rPr>
          <w:lang w:eastAsia="en-US"/>
        </w:rPr>
        <w:t xml:space="preserve"> </w:t>
      </w:r>
      <w:r w:rsidR="00F634BF">
        <w:rPr>
          <w:lang w:eastAsia="en-US"/>
        </w:rPr>
        <w:t>P</w:t>
      </w:r>
      <w:r>
        <w:rPr>
          <w:lang w:eastAsia="en-US"/>
        </w:rPr>
        <w:t>roject</w:t>
      </w:r>
    </w:p>
    <w:p w:rsidR="005E5600" w:rsidRPr="00A25511" w:rsidRDefault="005E5600" w:rsidP="00806552">
      <w:pPr>
        <w:pStyle w:val="btbullet"/>
        <w:rPr>
          <w:lang w:eastAsia="en-US"/>
        </w:rPr>
      </w:pPr>
      <w:r>
        <w:rPr>
          <w:lang w:eastAsia="en-US"/>
        </w:rPr>
        <w:t>major redevelopment of central business areas</w:t>
      </w:r>
      <w:r w:rsidR="006A469C">
        <w:rPr>
          <w:lang w:eastAsia="en-US"/>
        </w:rPr>
        <w:t xml:space="preserve"> and urban renewal</w:t>
      </w:r>
      <w:r>
        <w:rPr>
          <w:lang w:eastAsia="en-US"/>
        </w:rPr>
        <w:t xml:space="preserve"> in key urban centres</w:t>
      </w:r>
    </w:p>
    <w:p w:rsidR="00C507C7" w:rsidRPr="00A25511" w:rsidRDefault="000B2BD5" w:rsidP="00806552">
      <w:pPr>
        <w:pStyle w:val="btbullet"/>
        <w:rPr>
          <w:lang w:eastAsia="en-US"/>
        </w:rPr>
      </w:pPr>
      <w:proofErr w:type="gramStart"/>
      <w:r>
        <w:rPr>
          <w:lang w:eastAsia="en-US"/>
        </w:rPr>
        <w:t>regional</w:t>
      </w:r>
      <w:proofErr w:type="gramEnd"/>
      <w:r>
        <w:rPr>
          <w:lang w:eastAsia="en-US"/>
        </w:rPr>
        <w:t xml:space="preserve"> </w:t>
      </w:r>
      <w:r w:rsidR="004C4147" w:rsidRPr="00A25511">
        <w:rPr>
          <w:lang w:eastAsia="en-US"/>
        </w:rPr>
        <w:t>demographic change</w:t>
      </w:r>
      <w:r>
        <w:rPr>
          <w:lang w:eastAsia="en-US"/>
        </w:rPr>
        <w:t>,</w:t>
      </w:r>
      <w:r w:rsidR="004C4147" w:rsidRPr="00A25511">
        <w:rPr>
          <w:lang w:eastAsia="en-US"/>
        </w:rPr>
        <w:t xml:space="preserve"> such as an ageing population</w:t>
      </w:r>
      <w:r>
        <w:rPr>
          <w:lang w:eastAsia="en-US"/>
        </w:rPr>
        <w:t xml:space="preserve"> and global demographic trends</w:t>
      </w:r>
      <w:r w:rsidR="004C4147" w:rsidRPr="00A25511">
        <w:rPr>
          <w:lang w:eastAsia="en-US"/>
        </w:rPr>
        <w:t>.</w:t>
      </w:r>
    </w:p>
    <w:p w:rsidR="00C507C7" w:rsidRPr="00F25409" w:rsidRDefault="00C507C7" w:rsidP="00F25409">
      <w:pPr>
        <w:pStyle w:val="Heading11"/>
      </w:pPr>
      <w:bookmarkStart w:id="27" w:name="_Toc336871216"/>
      <w:bookmarkStart w:id="28" w:name="_Ref351712728"/>
      <w:bookmarkStart w:id="29" w:name="_Toc376945584"/>
      <w:r w:rsidRPr="00F25409">
        <w:t xml:space="preserve">Challenges for </w:t>
      </w:r>
      <w:r w:rsidR="00F634BF" w:rsidRPr="00F25409">
        <w:t>g</w:t>
      </w:r>
      <w:r w:rsidRPr="00F25409">
        <w:t>rowth</w:t>
      </w:r>
      <w:bookmarkEnd w:id="27"/>
      <w:bookmarkEnd w:id="28"/>
      <w:bookmarkEnd w:id="29"/>
    </w:p>
    <w:p w:rsidR="00C507C7" w:rsidRPr="00F25409" w:rsidRDefault="00DA6A04" w:rsidP="00F25409">
      <w:pPr>
        <w:pStyle w:val="bt"/>
      </w:pPr>
      <w:r w:rsidRPr="00F25409">
        <w:t>A</w:t>
      </w:r>
      <w:r w:rsidR="00602311" w:rsidRPr="00F25409">
        <w:t xml:space="preserve"> number of key challenges</w:t>
      </w:r>
      <w:r w:rsidR="00FD6805" w:rsidRPr="00F25409">
        <w:t xml:space="preserve"> </w:t>
      </w:r>
      <w:r w:rsidRPr="00F25409">
        <w:t xml:space="preserve">have been identified and discussed in the </w:t>
      </w:r>
      <w:r w:rsidR="008474E5">
        <w:t>b</w:t>
      </w:r>
      <w:r w:rsidRPr="00F25409">
        <w:t xml:space="preserve">ackground </w:t>
      </w:r>
      <w:r w:rsidR="008474E5">
        <w:t>p</w:t>
      </w:r>
      <w:r w:rsidRPr="00F25409">
        <w:t>aper</w:t>
      </w:r>
      <w:r w:rsidR="00602311" w:rsidRPr="00F25409">
        <w:t xml:space="preserve">. Of the challenges identified, climate change is expected to cut across all themes. In the Hume Region, climate change is predicted to result in increasing temperatures, </w:t>
      </w:r>
      <w:r w:rsidR="008C2E50" w:rsidRPr="00F25409">
        <w:t xml:space="preserve">fewer and heavier rainfall days </w:t>
      </w:r>
      <w:r w:rsidR="00602311" w:rsidRPr="00F25409">
        <w:t xml:space="preserve">and </w:t>
      </w:r>
      <w:r w:rsidR="008C2E50" w:rsidRPr="00F25409">
        <w:t>an increase in the number and severity of events requiring emergency response</w:t>
      </w:r>
      <w:r w:rsidR="00602311" w:rsidRPr="00F25409">
        <w:t xml:space="preserve">. Other key challenges are </w:t>
      </w:r>
      <w:r w:rsidRPr="00F25409">
        <w:t xml:space="preserve">briefly </w:t>
      </w:r>
      <w:r w:rsidR="00602311" w:rsidRPr="00F25409">
        <w:t>summarised as follows</w:t>
      </w:r>
      <w:r w:rsidR="005A4392">
        <w:t>:</w:t>
      </w:r>
    </w:p>
    <w:p w:rsidR="00ED1315" w:rsidRDefault="00ED1315" w:rsidP="00ED1315">
      <w:pPr>
        <w:pStyle w:val="Heading3"/>
      </w:pPr>
      <w:r>
        <w:t>Supporting communities</w:t>
      </w:r>
    </w:p>
    <w:p w:rsidR="007B2479" w:rsidRDefault="007D60F4" w:rsidP="00F25409">
      <w:pPr>
        <w:pStyle w:val="bt"/>
      </w:pPr>
      <w:r w:rsidRPr="0044341B">
        <w:t xml:space="preserve">How to support communities and meet their changing needs, including for different forms of housing </w:t>
      </w:r>
      <w:r w:rsidRPr="00FD6805">
        <w:t>and transport</w:t>
      </w:r>
      <w:r w:rsidRPr="0044341B">
        <w:t xml:space="preserve"> options</w:t>
      </w:r>
      <w:r w:rsidR="00C45202">
        <w:t>,</w:t>
      </w:r>
      <w:r w:rsidR="00C45202" w:rsidRPr="00C45202">
        <w:t xml:space="preserve"> </w:t>
      </w:r>
      <w:r w:rsidR="00C45202">
        <w:t>considering changing demographics, diversity and social indicators.</w:t>
      </w:r>
    </w:p>
    <w:p w:rsidR="00ED1315" w:rsidRDefault="00ED1315" w:rsidP="00ED1315">
      <w:pPr>
        <w:pStyle w:val="Heading3"/>
      </w:pPr>
      <w:r>
        <w:t>Settlement</w:t>
      </w:r>
    </w:p>
    <w:p w:rsidR="00BF089A" w:rsidRDefault="007D60F4" w:rsidP="00F25409">
      <w:pPr>
        <w:pStyle w:val="bt"/>
      </w:pPr>
      <w:proofErr w:type="gramStart"/>
      <w:r w:rsidRPr="0044341B">
        <w:t>How to ensure that residential growth areas maximise the use of infrastructure, retain urban character and avoid hazardous areas</w:t>
      </w:r>
      <w:r w:rsidR="005A4392">
        <w:t xml:space="preserve">, </w:t>
      </w:r>
      <w:r w:rsidR="000E4D11">
        <w:t>and how to support the sustainability of small and rural communities.</w:t>
      </w:r>
      <w:proofErr w:type="gramEnd"/>
    </w:p>
    <w:p w:rsidR="00ED1315" w:rsidRDefault="00ED1315" w:rsidP="00ED1315">
      <w:pPr>
        <w:pStyle w:val="Heading3"/>
      </w:pPr>
      <w:r>
        <w:t>Rural land use</w:t>
      </w:r>
    </w:p>
    <w:p w:rsidR="006841B0" w:rsidRDefault="007D60F4" w:rsidP="00F25409">
      <w:pPr>
        <w:pStyle w:val="bt"/>
      </w:pPr>
      <w:r w:rsidRPr="0044341B">
        <w:t>How to assist agricultural industries to remain competitive in the face of climate change, industry restructuring, government policy, irrigation modernisation, economic conditions and pressure from non-agricultural uses.</w:t>
      </w:r>
    </w:p>
    <w:p w:rsidR="00ED1315" w:rsidRDefault="00ED1315" w:rsidP="00ED1315">
      <w:pPr>
        <w:pStyle w:val="Heading3"/>
      </w:pPr>
      <w:r>
        <w:t>Transport and infrastructure</w:t>
      </w:r>
    </w:p>
    <w:p w:rsidR="006841B0" w:rsidRDefault="007D60F4" w:rsidP="00F25409">
      <w:pPr>
        <w:pStyle w:val="bt"/>
      </w:pPr>
      <w:r w:rsidRPr="0044341B">
        <w:t>How to meet community and business needs for transport and infrastructure, including public transport, roads, water, energy, information and communications technology, and waste management.</w:t>
      </w:r>
    </w:p>
    <w:p w:rsidR="00ED1315" w:rsidRDefault="00ED1315" w:rsidP="00ED1315">
      <w:pPr>
        <w:pStyle w:val="Heading3"/>
      </w:pPr>
      <w:r>
        <w:t>Environmental assets and natural hazards</w:t>
      </w:r>
    </w:p>
    <w:p w:rsidR="006841B0" w:rsidRDefault="007D60F4" w:rsidP="00F25409">
      <w:pPr>
        <w:pStyle w:val="bt"/>
      </w:pPr>
      <w:r w:rsidRPr="00E770D3">
        <w:t>How to protect and enhance biodiversity</w:t>
      </w:r>
      <w:r w:rsidRPr="00725DBF">
        <w:t xml:space="preserve">, </w:t>
      </w:r>
      <w:r w:rsidRPr="00E770D3">
        <w:t>reduce the potential impacts of climate change and irrigation system improvements on the natural environment</w:t>
      </w:r>
      <w:r w:rsidRPr="00725DBF">
        <w:t xml:space="preserve"> and</w:t>
      </w:r>
      <w:r w:rsidRPr="00E770D3">
        <w:t xml:space="preserve"> manage exposure to natural hazards</w:t>
      </w:r>
      <w:r w:rsidR="0034756B">
        <w:t xml:space="preserve">, especially </w:t>
      </w:r>
      <w:r w:rsidR="00112398">
        <w:t>bushfire</w:t>
      </w:r>
      <w:r w:rsidR="0034756B">
        <w:t xml:space="preserve"> and </w:t>
      </w:r>
      <w:r w:rsidR="00112398">
        <w:t>flood</w:t>
      </w:r>
      <w:r w:rsidRPr="00E770D3">
        <w:t>.</w:t>
      </w:r>
    </w:p>
    <w:p w:rsidR="00ED1315" w:rsidRDefault="00ED1315" w:rsidP="00ED1315">
      <w:pPr>
        <w:pStyle w:val="Heading3"/>
      </w:pPr>
      <w:r>
        <w:t>Economy</w:t>
      </w:r>
    </w:p>
    <w:p w:rsidR="000A7711" w:rsidRPr="000A7711" w:rsidRDefault="000A7711" w:rsidP="000A7711">
      <w:pPr>
        <w:pStyle w:val="bt"/>
      </w:pPr>
      <w:r w:rsidRPr="000A7711">
        <w:t>How to support economic diversification and increase accessibility to employment while adapting to changes influencing the regional economy.</w:t>
      </w:r>
    </w:p>
    <w:p w:rsidR="00C507C7" w:rsidRPr="00F25409" w:rsidRDefault="00C507C7" w:rsidP="00F25409">
      <w:pPr>
        <w:pStyle w:val="Heading11"/>
      </w:pPr>
      <w:bookmarkStart w:id="30" w:name="_Toc336871217"/>
      <w:bookmarkStart w:id="31" w:name="_Toc376945585"/>
      <w:r w:rsidRPr="00F25409">
        <w:t xml:space="preserve">Vision for the </w:t>
      </w:r>
      <w:r w:rsidR="00F634BF" w:rsidRPr="00F25409">
        <w:t>r</w:t>
      </w:r>
      <w:r w:rsidRPr="00F25409">
        <w:t>egion</w:t>
      </w:r>
      <w:bookmarkEnd w:id="30"/>
      <w:bookmarkEnd w:id="31"/>
    </w:p>
    <w:p w:rsidR="00F341CE" w:rsidRPr="00F25409" w:rsidRDefault="00F341CE" w:rsidP="00F25409">
      <w:pPr>
        <w:pStyle w:val="bt"/>
      </w:pPr>
      <w:r w:rsidRPr="00F25409">
        <w:t>The Hume Strategy vision for the region is:</w:t>
      </w:r>
    </w:p>
    <w:p w:rsidR="00C34DA1" w:rsidRPr="00F25409" w:rsidRDefault="00F25409" w:rsidP="00164650">
      <w:pPr>
        <w:pStyle w:val="bt"/>
        <w:shd w:val="clear" w:color="auto" w:fill="FFFFFF" w:themeFill="background1"/>
        <w:rPr>
          <w:rStyle w:val="Emphasis"/>
        </w:rPr>
      </w:pPr>
      <w:r w:rsidRPr="00F25409">
        <w:rPr>
          <w:rStyle w:val="Emphasis"/>
        </w:rPr>
        <w:lastRenderedPageBreak/>
        <w:t xml:space="preserve">The Hume Region will be resilient, diverse and thriving. It will capitalise on the strengths and competitive advantages of the four </w:t>
      </w:r>
      <w:r w:rsidR="005A4392" w:rsidRPr="00F25409">
        <w:rPr>
          <w:rStyle w:val="Emphasis"/>
        </w:rPr>
        <w:t>sub</w:t>
      </w:r>
      <w:r w:rsidR="00806552">
        <w:rPr>
          <w:rStyle w:val="Emphasis"/>
        </w:rPr>
        <w:t xml:space="preserve"> </w:t>
      </w:r>
      <w:r w:rsidRPr="00F25409">
        <w:rPr>
          <w:rStyle w:val="Emphasis"/>
        </w:rPr>
        <w:t>regions, to harness growth for the benefit of the region and to develop liveable and sustainable communities.</w:t>
      </w:r>
    </w:p>
    <w:p w:rsidR="00051A91" w:rsidRDefault="00C34DA1" w:rsidP="00051A91">
      <w:pPr>
        <w:pStyle w:val="bt"/>
      </w:pPr>
      <w:r w:rsidRPr="00A25511">
        <w:t>Th</w:t>
      </w:r>
      <w:r w:rsidR="009513CC">
        <w:t>is</w:t>
      </w:r>
      <w:r w:rsidRPr="00A25511">
        <w:t xml:space="preserve"> </w:t>
      </w:r>
      <w:r w:rsidR="00D36385">
        <w:t>p</w:t>
      </w:r>
      <w:r w:rsidRPr="00A25511">
        <w:t>lan is a long</w:t>
      </w:r>
      <w:r w:rsidR="009513CC">
        <w:t>-</w:t>
      </w:r>
      <w:r w:rsidRPr="00A25511">
        <w:t xml:space="preserve">term integrated regional land use plan. A vision has been developed for the </w:t>
      </w:r>
      <w:r w:rsidR="00D36385">
        <w:t>p</w:t>
      </w:r>
      <w:r w:rsidRPr="00A25511">
        <w:t>lan to align with the strategic aspirations and directions set out in the Hume Strategy. According to this vision the region will have</w:t>
      </w:r>
      <w:r w:rsidR="007D60F4">
        <w:t xml:space="preserve"> a range of</w:t>
      </w:r>
      <w:r w:rsidRPr="00A25511">
        <w:t xml:space="preserve"> characteristics in 2041</w:t>
      </w:r>
      <w:r w:rsidR="00B062F9">
        <w:t xml:space="preserve"> </w:t>
      </w:r>
      <w:r w:rsidR="007D60F4">
        <w:t>as shown in</w:t>
      </w:r>
      <w:r w:rsidR="00BA53E2">
        <w:t xml:space="preserve"> </w:t>
      </w:r>
      <w:r w:rsidR="005F523F">
        <w:fldChar w:fldCharType="begin"/>
      </w:r>
      <w:r w:rsidR="00D12457">
        <w:instrText xml:space="preserve"> REF _Ref374356362 \h </w:instrText>
      </w:r>
      <w:r w:rsidR="005F523F">
        <w:fldChar w:fldCharType="separate"/>
      </w:r>
      <w:r w:rsidR="006A067A" w:rsidRPr="00BD7B1F">
        <w:t xml:space="preserve">Figure </w:t>
      </w:r>
      <w:r w:rsidR="006A067A">
        <w:rPr>
          <w:noProof/>
        </w:rPr>
        <w:t>4</w:t>
      </w:r>
      <w:r w:rsidR="005F523F">
        <w:fldChar w:fldCharType="end"/>
      </w:r>
      <w:r w:rsidR="007D60F4">
        <w:t>.</w:t>
      </w:r>
    </w:p>
    <w:p w:rsidR="00AF1A24" w:rsidRPr="00217B20" w:rsidRDefault="00BD7B1F" w:rsidP="00674FA7">
      <w:pPr>
        <w:pStyle w:val="Caption"/>
        <w:rPr>
          <w:b w:val="0"/>
        </w:rPr>
      </w:pPr>
      <w:bookmarkStart w:id="32" w:name="_Ref374356362"/>
      <w:bookmarkStart w:id="33" w:name="_Toc374434737"/>
      <w:r w:rsidRPr="00BD7B1F">
        <w:t xml:space="preserve">Figure </w:t>
      </w:r>
      <w:r w:rsidR="005F523F" w:rsidRPr="00BD7B1F">
        <w:fldChar w:fldCharType="begin"/>
      </w:r>
      <w:r w:rsidRPr="00BD7B1F">
        <w:instrText xml:space="preserve"> SEQ Figure \* ARABIC </w:instrText>
      </w:r>
      <w:r w:rsidR="005F523F" w:rsidRPr="00BD7B1F">
        <w:fldChar w:fldCharType="separate"/>
      </w:r>
      <w:r w:rsidR="006A067A">
        <w:t>4</w:t>
      </w:r>
      <w:r w:rsidR="005F523F" w:rsidRPr="00BD7B1F">
        <w:fldChar w:fldCharType="end"/>
      </w:r>
      <w:bookmarkEnd w:id="32"/>
      <w:r w:rsidRPr="00BD7B1F">
        <w:t xml:space="preserve">: </w:t>
      </w:r>
      <w:r w:rsidRPr="00217B20">
        <w:rPr>
          <w:b w:val="0"/>
        </w:rPr>
        <w:t>Summary of the vision for growth in 2041</w:t>
      </w:r>
      <w:bookmarkEnd w:id="33"/>
    </w:p>
    <w:p w:rsidR="007803B7" w:rsidRPr="00327AF1" w:rsidRDefault="007803B7" w:rsidP="007803B7">
      <w:pPr>
        <w:pStyle w:val="Heading3"/>
      </w:pPr>
      <w:r>
        <w:t>Hume Strategy v</w:t>
      </w:r>
      <w:r w:rsidRPr="00327AF1">
        <w:t>ision</w:t>
      </w:r>
    </w:p>
    <w:p w:rsidR="007803B7" w:rsidRPr="008A3194" w:rsidRDefault="007803B7" w:rsidP="00AF1B37">
      <w:pPr>
        <w:pStyle w:val="bt"/>
        <w:rPr>
          <w:rStyle w:val="Emphasis"/>
        </w:rPr>
      </w:pPr>
      <w:r w:rsidRPr="008A3194">
        <w:rPr>
          <w:rStyle w:val="Emphasis"/>
        </w:rPr>
        <w:t>The Hume Region will be resilient, diverse and thriving. It will capitalise on the strengths and competitive advantages of the four sub regions, to harness growth for the benefit of the region and to develop liveable and sustainable commun</w:t>
      </w:r>
      <w:r w:rsidR="008A3194" w:rsidRPr="008A3194">
        <w:rPr>
          <w:rStyle w:val="Emphasis"/>
        </w:rPr>
        <w:t>ities.</w:t>
      </w:r>
    </w:p>
    <w:p w:rsidR="007803B7" w:rsidRPr="005E336D" w:rsidRDefault="007803B7" w:rsidP="005E336D">
      <w:pPr>
        <w:pStyle w:val="bt"/>
        <w:rPr>
          <w:rStyle w:val="Strong"/>
        </w:rPr>
      </w:pPr>
      <w:r w:rsidRPr="005E336D">
        <w:rPr>
          <w:rStyle w:val="Strong"/>
        </w:rPr>
        <w:t>Settlement</w:t>
      </w:r>
    </w:p>
    <w:p w:rsidR="007803B7" w:rsidRPr="005E336D" w:rsidRDefault="007803B7" w:rsidP="00051A91">
      <w:pPr>
        <w:pStyle w:val="btbullet"/>
      </w:pPr>
      <w:r w:rsidRPr="005E336D">
        <w:t>A network of regional cities and centres supporting</w:t>
      </w:r>
      <w:r w:rsidR="00051A91">
        <w:t xml:space="preserve"> </w:t>
      </w:r>
      <w:r w:rsidRPr="005E336D">
        <w:t xml:space="preserve">other settlements </w:t>
      </w:r>
      <w:r w:rsidRPr="005E336D">
        <w:sym w:font="Symbol" w:char="F02D"/>
      </w:r>
      <w:r w:rsidRPr="005E336D">
        <w:t xml:space="preserve"> no one regional city dominates</w:t>
      </w:r>
    </w:p>
    <w:p w:rsidR="007803B7" w:rsidRPr="005E336D" w:rsidRDefault="007803B7" w:rsidP="00051A91">
      <w:pPr>
        <w:pStyle w:val="btbullet"/>
      </w:pPr>
      <w:r w:rsidRPr="005E336D">
        <w:t>Residential, industrial and commercial development has consolidated in the existing settlements, and has followed a risk-based approach to natural hazards</w:t>
      </w:r>
    </w:p>
    <w:p w:rsidR="007803B7" w:rsidRPr="005E336D" w:rsidRDefault="007803B7" w:rsidP="00051A91">
      <w:pPr>
        <w:pStyle w:val="btbullet"/>
      </w:pPr>
      <w:r w:rsidRPr="005E336D">
        <w:t>Strategic investment in infrastructure (including social infrastructure) has supported growth</w:t>
      </w:r>
    </w:p>
    <w:p w:rsidR="007803B7" w:rsidRPr="005E336D" w:rsidRDefault="007803B7" w:rsidP="00051A91">
      <w:pPr>
        <w:pStyle w:val="btbullet"/>
      </w:pPr>
      <w:r w:rsidRPr="005E336D">
        <w:t>Resurgence in many small towns where communities have capitalised on unique assets</w:t>
      </w:r>
    </w:p>
    <w:p w:rsidR="007803B7" w:rsidRPr="005E336D" w:rsidRDefault="007803B7" w:rsidP="00051A91">
      <w:pPr>
        <w:pStyle w:val="btbullet"/>
      </w:pPr>
      <w:r w:rsidRPr="005E336D">
        <w:t>Substantial well planned residential development and employment growth in the southern part of the region</w:t>
      </w:r>
    </w:p>
    <w:p w:rsidR="007803B7" w:rsidRPr="005E336D" w:rsidRDefault="007803B7" w:rsidP="00051A91">
      <w:pPr>
        <w:pStyle w:val="btbullet"/>
      </w:pPr>
      <w:r w:rsidRPr="005E336D">
        <w:t xml:space="preserve">High standards of sustainable design </w:t>
      </w:r>
      <w:r w:rsidRPr="005E336D">
        <w:sym w:font="Symbol" w:char="F02D"/>
      </w:r>
      <w:r w:rsidRPr="005E336D">
        <w:t xml:space="preserve"> more resilient to natural hazards and climate change, with a reduced carbon footprint</w:t>
      </w:r>
    </w:p>
    <w:p w:rsidR="007803B7" w:rsidRPr="005E336D" w:rsidRDefault="007803B7" w:rsidP="00051A91">
      <w:pPr>
        <w:pStyle w:val="btbullet"/>
      </w:pPr>
      <w:r w:rsidRPr="005E336D">
        <w:t>Higher than forecast population growth rates and economic development, bringing increased employment opportunities</w:t>
      </w:r>
    </w:p>
    <w:p w:rsidR="007803B7" w:rsidRPr="005E336D" w:rsidRDefault="007803B7" w:rsidP="00041BA1">
      <w:pPr>
        <w:pStyle w:val="btbullet"/>
        <w:numPr>
          <w:ilvl w:val="0"/>
          <w:numId w:val="0"/>
        </w:numPr>
        <w:ind w:left="357"/>
        <w:rPr>
          <w:rStyle w:val="Strong"/>
        </w:rPr>
      </w:pPr>
      <w:r w:rsidRPr="005E336D">
        <w:rPr>
          <w:rStyle w:val="Strong"/>
        </w:rPr>
        <w:t>Communities</w:t>
      </w:r>
    </w:p>
    <w:p w:rsidR="007803B7" w:rsidRPr="005E336D" w:rsidRDefault="007803B7" w:rsidP="00051A91">
      <w:pPr>
        <w:pStyle w:val="btbullet"/>
        <w:rPr>
          <w:szCs w:val="18"/>
        </w:rPr>
      </w:pPr>
      <w:r w:rsidRPr="005E336D">
        <w:rPr>
          <w:szCs w:val="18"/>
        </w:rPr>
        <w:t>A healthy mix of demographic groups and a community that embraces cultural diversity</w:t>
      </w:r>
    </w:p>
    <w:p w:rsidR="007803B7" w:rsidRPr="005E336D" w:rsidRDefault="007803B7" w:rsidP="00051A91">
      <w:pPr>
        <w:pStyle w:val="btbullet"/>
        <w:rPr>
          <w:szCs w:val="18"/>
        </w:rPr>
      </w:pPr>
      <w:r w:rsidRPr="005E336D">
        <w:rPr>
          <w:szCs w:val="18"/>
        </w:rPr>
        <w:t>An ageing population contributing actively to community life</w:t>
      </w:r>
      <w:r w:rsidR="003D1581">
        <w:rPr>
          <w:szCs w:val="18"/>
        </w:rPr>
        <w:t xml:space="preserve"> </w:t>
      </w:r>
      <w:r w:rsidRPr="005E336D">
        <w:rPr>
          <w:szCs w:val="18"/>
        </w:rPr>
        <w:t>and prosperity</w:t>
      </w:r>
    </w:p>
    <w:p w:rsidR="007803B7" w:rsidRPr="005E336D" w:rsidRDefault="007803B7" w:rsidP="00051A91">
      <w:pPr>
        <w:pStyle w:val="btbullet"/>
        <w:rPr>
          <w:szCs w:val="18"/>
        </w:rPr>
      </w:pPr>
      <w:r w:rsidRPr="005E336D">
        <w:rPr>
          <w:szCs w:val="18"/>
        </w:rPr>
        <w:t>The out-migration of young people has slowed, with more young people and families moving to the area</w:t>
      </w:r>
    </w:p>
    <w:p w:rsidR="007803B7" w:rsidRPr="005E336D" w:rsidRDefault="007803B7" w:rsidP="00051A91">
      <w:pPr>
        <w:pStyle w:val="btbullet"/>
        <w:rPr>
          <w:szCs w:val="18"/>
        </w:rPr>
      </w:pPr>
      <w:r w:rsidRPr="005E336D">
        <w:rPr>
          <w:szCs w:val="18"/>
        </w:rPr>
        <w:t>Aboriginal communities have made an important contribution to, and have gained significant benefits from, social and economic development</w:t>
      </w:r>
    </w:p>
    <w:p w:rsidR="007803B7" w:rsidRPr="005E336D" w:rsidRDefault="007803B7" w:rsidP="00051A91">
      <w:pPr>
        <w:pStyle w:val="btbullet"/>
        <w:rPr>
          <w:szCs w:val="18"/>
        </w:rPr>
      </w:pPr>
      <w:r w:rsidRPr="005E336D">
        <w:rPr>
          <w:szCs w:val="18"/>
        </w:rPr>
        <w:t>There is a reduced level of disadvantage</w:t>
      </w:r>
    </w:p>
    <w:p w:rsidR="007803B7" w:rsidRPr="005E336D" w:rsidRDefault="007803B7" w:rsidP="00051A91">
      <w:pPr>
        <w:pStyle w:val="btbullet"/>
        <w:rPr>
          <w:szCs w:val="18"/>
        </w:rPr>
      </w:pPr>
      <w:r w:rsidRPr="005E336D">
        <w:rPr>
          <w:szCs w:val="18"/>
        </w:rPr>
        <w:t xml:space="preserve">Health, education and community sectors offer holistic and integrated regional facilities and services that readily adapt to changing needs and expectations </w:t>
      </w:r>
    </w:p>
    <w:p w:rsidR="007803B7" w:rsidRPr="005E336D" w:rsidRDefault="007803B7" w:rsidP="00051A91">
      <w:pPr>
        <w:pStyle w:val="btbullet"/>
        <w:rPr>
          <w:szCs w:val="18"/>
        </w:rPr>
      </w:pPr>
      <w:r w:rsidRPr="005E336D">
        <w:rPr>
          <w:szCs w:val="18"/>
        </w:rPr>
        <w:t>Education attainment levels continue to rise and skills contributed by new residents are being maximised</w:t>
      </w:r>
    </w:p>
    <w:p w:rsidR="007803B7" w:rsidRPr="005E336D" w:rsidRDefault="007803B7" w:rsidP="00051A91">
      <w:pPr>
        <w:pStyle w:val="btbullet"/>
        <w:rPr>
          <w:szCs w:val="18"/>
        </w:rPr>
      </w:pPr>
      <w:r w:rsidRPr="005E336D">
        <w:rPr>
          <w:szCs w:val="18"/>
        </w:rPr>
        <w:t>More resilient small towns and communities</w:t>
      </w:r>
    </w:p>
    <w:p w:rsidR="007803B7" w:rsidRPr="005E336D" w:rsidRDefault="007803B7" w:rsidP="00051A91">
      <w:pPr>
        <w:pStyle w:val="btbullet"/>
        <w:rPr>
          <w:szCs w:val="18"/>
        </w:rPr>
      </w:pPr>
      <w:r w:rsidRPr="005E336D">
        <w:rPr>
          <w:szCs w:val="18"/>
        </w:rPr>
        <w:t>The built environment is planned to contribute to improved health outcomes</w:t>
      </w:r>
    </w:p>
    <w:p w:rsidR="007803B7" w:rsidRPr="005E336D" w:rsidRDefault="007803B7" w:rsidP="005E336D">
      <w:pPr>
        <w:pStyle w:val="bt"/>
        <w:rPr>
          <w:rStyle w:val="Strong"/>
        </w:rPr>
      </w:pPr>
      <w:r w:rsidRPr="005E336D">
        <w:rPr>
          <w:rStyle w:val="Strong"/>
        </w:rPr>
        <w:t>Rural land use</w:t>
      </w:r>
    </w:p>
    <w:p w:rsidR="007803B7" w:rsidRPr="005E336D" w:rsidRDefault="007803B7" w:rsidP="00051A91">
      <w:pPr>
        <w:pStyle w:val="btbullet"/>
      </w:pPr>
      <w:r w:rsidRPr="005E336D">
        <w:t>The region continues to be one of Australia’s major food producing areas</w:t>
      </w:r>
    </w:p>
    <w:p w:rsidR="007803B7" w:rsidRPr="005E336D" w:rsidRDefault="007803B7" w:rsidP="00051A91">
      <w:pPr>
        <w:pStyle w:val="btbullet"/>
      </w:pPr>
      <w:r w:rsidRPr="005E336D">
        <w:t>Productive rural land of national, regional and sub-regional significance continues to be available and used for agriculture. Areas have been identified where particular rural land uses, including intensive rural industries and rural residential, are encouraged</w:t>
      </w:r>
    </w:p>
    <w:p w:rsidR="007803B7" w:rsidRPr="005E336D" w:rsidRDefault="007803B7" w:rsidP="00051A91">
      <w:pPr>
        <w:pStyle w:val="btbullet"/>
      </w:pPr>
      <w:r w:rsidRPr="005E336D">
        <w:lastRenderedPageBreak/>
        <w:t>Sustainable farming practices are commonplace including land management practices that sequester carbon</w:t>
      </w:r>
    </w:p>
    <w:p w:rsidR="007803B7" w:rsidRPr="005E336D" w:rsidRDefault="007803B7" w:rsidP="00051A91">
      <w:pPr>
        <w:pStyle w:val="btbullet"/>
      </w:pPr>
      <w:r w:rsidRPr="005E336D">
        <w:t>The region is a key place for nature-based and outdoor tourism and recreation activities</w:t>
      </w:r>
    </w:p>
    <w:p w:rsidR="007803B7" w:rsidRPr="00826DF2" w:rsidRDefault="007803B7" w:rsidP="005E336D">
      <w:pPr>
        <w:pStyle w:val="bt"/>
        <w:rPr>
          <w:rStyle w:val="Strong"/>
        </w:rPr>
      </w:pPr>
      <w:r w:rsidRPr="00826DF2">
        <w:rPr>
          <w:rStyle w:val="Strong"/>
        </w:rPr>
        <w:t>Cultural heritage</w:t>
      </w:r>
    </w:p>
    <w:p w:rsidR="007803B7" w:rsidRDefault="007803B7" w:rsidP="00051A91">
      <w:pPr>
        <w:pStyle w:val="btbullet"/>
      </w:pPr>
      <w:r w:rsidRPr="005E336D">
        <w:t>Aboriginal cultural heritage and historic heritage is recognised, conserved, used (where appropriate) and celebrated</w:t>
      </w:r>
    </w:p>
    <w:p w:rsidR="00826DF2" w:rsidRPr="00826DF2" w:rsidRDefault="00826DF2" w:rsidP="00826DF2">
      <w:pPr>
        <w:pStyle w:val="bt"/>
        <w:rPr>
          <w:rStyle w:val="Strong"/>
        </w:rPr>
      </w:pPr>
      <w:r w:rsidRPr="00826DF2">
        <w:rPr>
          <w:rStyle w:val="Strong"/>
        </w:rPr>
        <w:t>Transport and infrastructure</w:t>
      </w:r>
    </w:p>
    <w:p w:rsidR="00826DF2" w:rsidRDefault="00826DF2" w:rsidP="00826DF2">
      <w:pPr>
        <w:pStyle w:val="btbullet"/>
      </w:pPr>
      <w:r w:rsidRPr="00581424">
        <w:t xml:space="preserve">The </w:t>
      </w:r>
      <w:r>
        <w:t>r</w:t>
      </w:r>
      <w:r w:rsidRPr="00581424">
        <w:t xml:space="preserve">egion has capitalised on key transport assets </w:t>
      </w:r>
      <w:r>
        <w:rPr>
          <w:rFonts w:cs="Arial"/>
        </w:rPr>
        <w:sym w:font="Symbol" w:char="F02D"/>
      </w:r>
      <w:r w:rsidRPr="00581424">
        <w:t xml:space="preserve"> attracting new industries that prosper from efficient, fas</w:t>
      </w:r>
      <w:r>
        <w:t>t and strategic transport links</w:t>
      </w:r>
    </w:p>
    <w:p w:rsidR="00826DF2" w:rsidRPr="00581424" w:rsidRDefault="00826DF2" w:rsidP="00826DF2">
      <w:pPr>
        <w:pStyle w:val="btbullet"/>
      </w:pPr>
      <w:r>
        <w:t>Transport routes are preserved for efficient and cost-effective movement into the future</w:t>
      </w:r>
    </w:p>
    <w:p w:rsidR="00826DF2" w:rsidRDefault="00826DF2" w:rsidP="00826DF2">
      <w:pPr>
        <w:pStyle w:val="btbullet"/>
      </w:pPr>
      <w:r w:rsidRPr="00581424">
        <w:t>There is high quality provision and integr</w:t>
      </w:r>
      <w:r>
        <w:t>ation of all forms of transport</w:t>
      </w:r>
    </w:p>
    <w:p w:rsidR="00826DF2" w:rsidRDefault="00826DF2" w:rsidP="00826DF2">
      <w:pPr>
        <w:pStyle w:val="btbullet"/>
      </w:pPr>
      <w:r>
        <w:t>Infrastructure (physical and social) has kept pace with development, meets a broad range of community needs and is accessible to all</w:t>
      </w:r>
    </w:p>
    <w:p w:rsidR="00826DF2" w:rsidRDefault="00826DF2" w:rsidP="00826DF2">
      <w:pPr>
        <w:pStyle w:val="btbullet"/>
      </w:pPr>
      <w:r>
        <w:t xml:space="preserve">There is widespread </w:t>
      </w:r>
      <w:r w:rsidRPr="0084004C">
        <w:t>introduction of smart forms</w:t>
      </w:r>
      <w:r>
        <w:t xml:space="preserve"> </w:t>
      </w:r>
      <w:r w:rsidRPr="0084004C">
        <w:t>of information t</w:t>
      </w:r>
      <w:r>
        <w:t>echnology and service provision</w:t>
      </w:r>
    </w:p>
    <w:p w:rsidR="00826DF2" w:rsidRDefault="00826DF2" w:rsidP="00826DF2">
      <w:pPr>
        <w:pStyle w:val="btbullet"/>
      </w:pPr>
      <w:r>
        <w:t>Infrastructure, including transport infrastructure, is designed to be more resilient to climate change and natural hazards and risks</w:t>
      </w:r>
    </w:p>
    <w:p w:rsidR="007803B7" w:rsidRPr="005E336D" w:rsidRDefault="007803B7" w:rsidP="005E336D">
      <w:pPr>
        <w:pStyle w:val="bt"/>
        <w:rPr>
          <w:rStyle w:val="Strong"/>
        </w:rPr>
      </w:pPr>
      <w:r w:rsidRPr="005E336D">
        <w:rPr>
          <w:rStyle w:val="Strong"/>
        </w:rPr>
        <w:t>Economy</w:t>
      </w:r>
    </w:p>
    <w:p w:rsidR="007803B7" w:rsidRPr="005E336D" w:rsidRDefault="007803B7" w:rsidP="00051A91">
      <w:pPr>
        <w:pStyle w:val="btbullet"/>
      </w:pPr>
      <w:r w:rsidRPr="005E336D">
        <w:t xml:space="preserve">An expanded and diversified </w:t>
      </w:r>
      <w:r w:rsidR="00051A91">
        <w:t xml:space="preserve">economic base, providing </w:t>
      </w:r>
      <w:r w:rsidRPr="005E336D">
        <w:t>a greater degree of resilience to global challenges</w:t>
      </w:r>
    </w:p>
    <w:p w:rsidR="007803B7" w:rsidRPr="005E336D" w:rsidRDefault="007803B7" w:rsidP="00051A91">
      <w:pPr>
        <w:pStyle w:val="btbullet"/>
      </w:pPr>
      <w:r w:rsidRPr="005E336D">
        <w:t>The region is attractive for new investment and increased economic and technological development</w:t>
      </w:r>
    </w:p>
    <w:p w:rsidR="007803B7" w:rsidRPr="005E336D" w:rsidRDefault="007803B7" w:rsidP="00051A91">
      <w:pPr>
        <w:pStyle w:val="btbullet"/>
      </w:pPr>
      <w:r w:rsidRPr="005E336D">
        <w:t>Appropriately located and serviced industrial estates have been sited to take</w:t>
      </w:r>
      <w:r w:rsidR="003D1581">
        <w:t xml:space="preserve"> advantage of water, transport</w:t>
      </w:r>
      <w:r w:rsidRPr="005E336D">
        <w:t xml:space="preserve"> and energy connections</w:t>
      </w:r>
    </w:p>
    <w:p w:rsidR="007803B7" w:rsidRPr="005E336D" w:rsidRDefault="007803B7" w:rsidP="00051A91">
      <w:pPr>
        <w:pStyle w:val="btbullet"/>
      </w:pPr>
      <w:r w:rsidRPr="005E336D">
        <w:t>There is a focus on sustainable job creation</w:t>
      </w:r>
    </w:p>
    <w:p w:rsidR="007803B7" w:rsidRPr="005E336D" w:rsidRDefault="007803B7" w:rsidP="00051A91">
      <w:pPr>
        <w:pStyle w:val="btbullet"/>
      </w:pPr>
      <w:r w:rsidRPr="005E336D">
        <w:t>An attractive region for a wider workforce</w:t>
      </w:r>
    </w:p>
    <w:p w:rsidR="007803B7" w:rsidRPr="005E336D" w:rsidRDefault="007803B7" w:rsidP="00051A91">
      <w:pPr>
        <w:pStyle w:val="btbullet"/>
      </w:pPr>
      <w:r w:rsidRPr="005E336D">
        <w:t>An internationally renowned region for irrigation modernisation and on-farm efficiency technology</w:t>
      </w:r>
    </w:p>
    <w:p w:rsidR="007803B7" w:rsidRPr="005E336D" w:rsidRDefault="007803B7" w:rsidP="00051A91">
      <w:pPr>
        <w:pStyle w:val="btbullet"/>
      </w:pPr>
      <w:r w:rsidRPr="005E336D">
        <w:t>The region has established a niche in tourism markets based on key regional attractions</w:t>
      </w:r>
    </w:p>
    <w:p w:rsidR="007803B7" w:rsidRPr="005E336D" w:rsidRDefault="007803B7" w:rsidP="00051A91">
      <w:pPr>
        <w:pStyle w:val="btbullet"/>
        <w:rPr>
          <w:szCs w:val="16"/>
        </w:rPr>
      </w:pPr>
      <w:r w:rsidRPr="005E336D">
        <w:t>New industries have established, including industries related to renewabl</w:t>
      </w:r>
      <w:r w:rsidR="00611995">
        <w:t xml:space="preserve">e energy and waste management </w:t>
      </w:r>
      <w:r w:rsidRPr="005E336D">
        <w:t>and reuse</w:t>
      </w:r>
    </w:p>
    <w:p w:rsidR="007803B7" w:rsidRPr="00611995" w:rsidRDefault="007803B7" w:rsidP="005E336D">
      <w:pPr>
        <w:pStyle w:val="bt"/>
        <w:rPr>
          <w:rStyle w:val="Strong"/>
        </w:rPr>
      </w:pPr>
      <w:r w:rsidRPr="00611995">
        <w:rPr>
          <w:rStyle w:val="Strong"/>
        </w:rPr>
        <w:t>Environment</w:t>
      </w:r>
    </w:p>
    <w:p w:rsidR="007803B7" w:rsidRPr="005E336D" w:rsidRDefault="007803B7" w:rsidP="00051A91">
      <w:pPr>
        <w:pStyle w:val="btbullet"/>
      </w:pPr>
      <w:r w:rsidRPr="005E336D">
        <w:t>Environmental assets and natural hazards and risks are key considerations in land use planning decisions</w:t>
      </w:r>
    </w:p>
    <w:p w:rsidR="007803B7" w:rsidRPr="005E336D" w:rsidRDefault="007803B7" w:rsidP="00051A91">
      <w:pPr>
        <w:pStyle w:val="btbullet"/>
      </w:pPr>
      <w:r w:rsidRPr="005E336D">
        <w:t xml:space="preserve">Alpine environments, terrestrial habitat, waterways and wetlands are highly significant on a national scale </w:t>
      </w:r>
    </w:p>
    <w:p w:rsidR="007803B7" w:rsidRPr="005E336D" w:rsidRDefault="007803B7" w:rsidP="00051A91">
      <w:pPr>
        <w:pStyle w:val="btbullet"/>
      </w:pPr>
      <w:r w:rsidRPr="005E336D">
        <w:t>Key environmental assets have been protected and their resilience is built to cope more readily with change</w:t>
      </w:r>
    </w:p>
    <w:p w:rsidR="007803B7" w:rsidRPr="005E336D" w:rsidRDefault="007803B7" w:rsidP="00051A91">
      <w:pPr>
        <w:pStyle w:val="btbullet"/>
      </w:pPr>
      <w:r w:rsidRPr="005E336D">
        <w:t>The decline of biodiversity has been halted and significant</w:t>
      </w:r>
      <w:r w:rsidR="00051A91">
        <w:t xml:space="preserve"> </w:t>
      </w:r>
      <w:r w:rsidRPr="005E336D">
        <w:t>environmental assets have been restored</w:t>
      </w:r>
    </w:p>
    <w:p w:rsidR="007803B7" w:rsidRPr="005E336D" w:rsidRDefault="007803B7" w:rsidP="00051A91">
      <w:pPr>
        <w:pStyle w:val="btbullet"/>
      </w:pPr>
      <w:r w:rsidRPr="005E336D">
        <w:t>Public land continues to provide important habitat, pollination services, clean air, water, timber and a</w:t>
      </w:r>
      <w:r w:rsidR="00611995">
        <w:t xml:space="preserve"> wide range of tourism </w:t>
      </w:r>
      <w:r w:rsidRPr="005E336D">
        <w:t>and recreational activities and opportunities</w:t>
      </w:r>
    </w:p>
    <w:p w:rsidR="007803B7" w:rsidRPr="005E336D" w:rsidRDefault="007803B7" w:rsidP="00051A91">
      <w:pPr>
        <w:pStyle w:val="btbullet"/>
      </w:pPr>
      <w:r w:rsidRPr="005E336D">
        <w:t>Private landholders proactively manage and improve significant environmental assets on their land</w:t>
      </w:r>
    </w:p>
    <w:p w:rsidR="007803B7" w:rsidRPr="005E336D" w:rsidRDefault="007803B7" w:rsidP="00051A91">
      <w:pPr>
        <w:pStyle w:val="btbullet"/>
      </w:pPr>
      <w:r w:rsidRPr="005E336D">
        <w:t>Significant cultural landscapes hav</w:t>
      </w:r>
      <w:r w:rsidR="00611995">
        <w:t>e been identified and protected</w:t>
      </w:r>
    </w:p>
    <w:p w:rsidR="00826DF2" w:rsidRPr="00826DF2" w:rsidRDefault="00826DF2" w:rsidP="00826DF2">
      <w:pPr>
        <w:pStyle w:val="bt"/>
        <w:rPr>
          <w:rStyle w:val="Strong"/>
        </w:rPr>
      </w:pPr>
      <w:r w:rsidRPr="00826DF2">
        <w:rPr>
          <w:rStyle w:val="Strong"/>
        </w:rPr>
        <w:t>Climate change and water</w:t>
      </w:r>
    </w:p>
    <w:p w:rsidR="00826DF2" w:rsidRPr="003859C5" w:rsidRDefault="00826DF2" w:rsidP="00826DF2">
      <w:pPr>
        <w:pStyle w:val="btbullet"/>
      </w:pPr>
      <w:r w:rsidRPr="003859C5">
        <w:lastRenderedPageBreak/>
        <w:t>All land use planning decisions have taken into account the best available information relating to the potential impact of, adaptation to and opp</w:t>
      </w:r>
      <w:r w:rsidR="00611995">
        <w:t>ortunities from climate change</w:t>
      </w:r>
    </w:p>
    <w:p w:rsidR="00826DF2" w:rsidRPr="003859C5" w:rsidRDefault="00826DF2" w:rsidP="00826DF2">
      <w:pPr>
        <w:pStyle w:val="btbullet"/>
      </w:pPr>
      <w:r w:rsidRPr="003859C5">
        <w:t>There has been an overall reduction in greenhouse gas emissions</w:t>
      </w:r>
    </w:p>
    <w:p w:rsidR="00826DF2" w:rsidRPr="003859C5" w:rsidRDefault="00826DF2" w:rsidP="00826DF2">
      <w:pPr>
        <w:pStyle w:val="btbullet"/>
      </w:pPr>
      <w:r w:rsidRPr="003859C5">
        <w:t>The region leads sustainable water management, by coordinating urban and rural water management to reduce the impact of land use change on waterways and improving water efficiency through water cycle services, including rainwater, stormwater and wastewater capture and reuse</w:t>
      </w:r>
    </w:p>
    <w:p w:rsidR="00C86AE6" w:rsidRPr="00A25511" w:rsidRDefault="00C86AE6" w:rsidP="00C86AE6">
      <w:pPr>
        <w:pStyle w:val="Heading11"/>
      </w:pPr>
      <w:bookmarkStart w:id="34" w:name="_Toc336871218"/>
      <w:bookmarkStart w:id="35" w:name="_Ref351713414"/>
      <w:bookmarkStart w:id="36" w:name="_Toc376945586"/>
      <w:r w:rsidRPr="00A25511">
        <w:t xml:space="preserve">Principles to </w:t>
      </w:r>
      <w:r w:rsidR="009513CC">
        <w:t>a</w:t>
      </w:r>
      <w:r w:rsidRPr="00A25511">
        <w:t xml:space="preserve">chieve the </w:t>
      </w:r>
      <w:r w:rsidR="009513CC">
        <w:t>v</w:t>
      </w:r>
      <w:r w:rsidRPr="00A25511">
        <w:t>ision</w:t>
      </w:r>
      <w:bookmarkEnd w:id="34"/>
      <w:bookmarkEnd w:id="35"/>
      <w:bookmarkEnd w:id="36"/>
    </w:p>
    <w:p w:rsidR="00603A59" w:rsidRDefault="00C82FEC" w:rsidP="00B81F46">
      <w:pPr>
        <w:pStyle w:val="bt"/>
      </w:pPr>
      <w:r w:rsidRPr="00B81F46">
        <w:t xml:space="preserve">Land </w:t>
      </w:r>
      <w:r w:rsidR="00FD6805" w:rsidRPr="00B81F46">
        <w:t>u</w:t>
      </w:r>
      <w:r w:rsidRPr="00B81F46">
        <w:t xml:space="preserve">se </w:t>
      </w:r>
      <w:r w:rsidR="00FD6805" w:rsidRPr="00B81F46">
        <w:t>p</w:t>
      </w:r>
      <w:r w:rsidRPr="00B81F46">
        <w:t>lanning principles derived from the Hume Strategy:</w:t>
      </w:r>
    </w:p>
    <w:p w:rsidR="00E25525" w:rsidRPr="00B81F46" w:rsidRDefault="00E25525" w:rsidP="00E25525">
      <w:pPr>
        <w:pStyle w:val="bt"/>
        <w:rPr>
          <w:rStyle w:val="Strong"/>
        </w:rPr>
      </w:pPr>
      <w:r w:rsidRPr="00B81F46">
        <w:rPr>
          <w:rStyle w:val="Strong"/>
        </w:rPr>
        <w:t>Efficient and sustainable settlements</w:t>
      </w:r>
    </w:p>
    <w:p w:rsidR="00E25525" w:rsidRDefault="00E25525" w:rsidP="00ED63DB">
      <w:pPr>
        <w:pStyle w:val="btbullet"/>
      </w:pPr>
      <w:r>
        <w:t xml:space="preserve">Direct growth </w:t>
      </w:r>
      <w:r w:rsidRPr="00A25511">
        <w:t>to settlements with the greatest capacity to accommodate it</w:t>
      </w:r>
      <w:r>
        <w:t>,</w:t>
      </w:r>
      <w:r w:rsidRPr="00A25511">
        <w:t xml:space="preserve"> </w:t>
      </w:r>
      <w:r>
        <w:t>such as the regional cities of Shepparton, Wodonga and Wangaratta, and Benalla</w:t>
      </w:r>
    </w:p>
    <w:p w:rsidR="00E25525" w:rsidRDefault="00E25525" w:rsidP="00ED63DB">
      <w:pPr>
        <w:pStyle w:val="btbullet"/>
      </w:pPr>
      <w:r>
        <w:t>Recognise and build on the strategic opportunities in and around Seymour</w:t>
      </w:r>
    </w:p>
    <w:p w:rsidR="00E25525" w:rsidRDefault="00E25525" w:rsidP="00ED63DB">
      <w:pPr>
        <w:pStyle w:val="btbullet"/>
      </w:pPr>
      <w:r w:rsidRPr="00A25511">
        <w:t>Build on and strengthen the existing network of regional cities and settlement centres that support and are supported by a network of towns and villages</w:t>
      </w:r>
    </w:p>
    <w:p w:rsidR="00E25525" w:rsidRDefault="00E25525" w:rsidP="00ED63DB">
      <w:pPr>
        <w:pStyle w:val="btbullet"/>
      </w:pPr>
      <w:r>
        <w:t>Minimise</w:t>
      </w:r>
      <w:r w:rsidRPr="00E16974">
        <w:t xml:space="preserve"> risk to life</w:t>
      </w:r>
      <w:r>
        <w:t xml:space="preserve"> and property from bushfire hazard</w:t>
      </w:r>
    </w:p>
    <w:p w:rsidR="00E25525" w:rsidRDefault="00E25525" w:rsidP="00ED63DB">
      <w:pPr>
        <w:pStyle w:val="btbullet"/>
      </w:pPr>
      <w:r w:rsidRPr="00A25511">
        <w:t>Promote an efficient development pattern to maximise the use of existing infrastructure</w:t>
      </w:r>
      <w:r>
        <w:t>, complemented by investment in new infrastructure for</w:t>
      </w:r>
      <w:r w:rsidRPr="00440E5F">
        <w:t xml:space="preserve"> growth</w:t>
      </w:r>
      <w:r>
        <w:t xml:space="preserve"> areas</w:t>
      </w:r>
    </w:p>
    <w:p w:rsidR="00E25525" w:rsidRDefault="00E25525" w:rsidP="00ED63DB">
      <w:pPr>
        <w:pStyle w:val="btbullet"/>
      </w:pPr>
      <w:r>
        <w:t>Design settlements to m</w:t>
      </w:r>
      <w:r w:rsidRPr="00A25511">
        <w:t xml:space="preserve">aximise resilience to </w:t>
      </w:r>
      <w:r>
        <w:t>natural</w:t>
      </w:r>
      <w:r w:rsidRPr="00A25511">
        <w:t xml:space="preserve"> hazards and climate change</w:t>
      </w:r>
      <w:r>
        <w:t xml:space="preserve"> and take advantage of the opportunities from climate change</w:t>
      </w:r>
    </w:p>
    <w:p w:rsidR="00E25525" w:rsidRDefault="00E25525" w:rsidP="00ED63DB">
      <w:pPr>
        <w:pStyle w:val="btbullet"/>
      </w:pPr>
      <w:r w:rsidRPr="00A25511">
        <w:t>Enhance liveability and promote excellence in sustainable design</w:t>
      </w:r>
    </w:p>
    <w:p w:rsidR="00E25525" w:rsidRDefault="00E25525" w:rsidP="00ED63DB">
      <w:pPr>
        <w:pStyle w:val="btbullet"/>
      </w:pPr>
      <w:r>
        <w:t>Ensure l</w:t>
      </w:r>
      <w:r w:rsidRPr="00A25511">
        <w:t>and use planning decisions</w:t>
      </w:r>
      <w:r>
        <w:t xml:space="preserve"> a</w:t>
      </w:r>
      <w:r w:rsidRPr="0055176B">
        <w:t xml:space="preserve">dopt a triple bottom line approach </w:t>
      </w:r>
      <w:r>
        <w:t>and are based</w:t>
      </w:r>
      <w:r w:rsidRPr="00A25511">
        <w:t xml:space="preserve"> on the best available land capability data</w:t>
      </w:r>
    </w:p>
    <w:p w:rsidR="00E25525" w:rsidRPr="00B81F46" w:rsidRDefault="00E25525" w:rsidP="00E25525">
      <w:pPr>
        <w:pStyle w:val="bt"/>
        <w:rPr>
          <w:rStyle w:val="Strong"/>
        </w:rPr>
      </w:pPr>
      <w:r w:rsidRPr="00B81F46">
        <w:rPr>
          <w:rStyle w:val="Strong"/>
        </w:rPr>
        <w:t>Sustainable rural communities</w:t>
      </w:r>
    </w:p>
    <w:p w:rsidR="00E25525" w:rsidRDefault="00E25525" w:rsidP="00ED63DB">
      <w:pPr>
        <w:pStyle w:val="btbullet"/>
      </w:pPr>
      <w:r w:rsidRPr="00A25511">
        <w:t>Retain and protect productive rural land for agriculture and appropriate rural uses</w:t>
      </w:r>
    </w:p>
    <w:p w:rsidR="00E25525" w:rsidRDefault="00E25525" w:rsidP="00ED63DB">
      <w:pPr>
        <w:pStyle w:val="btbullet"/>
      </w:pPr>
      <w:r w:rsidRPr="00A25511">
        <w:t>Support rural towns by providing access to key community infrastructure that can respond to changing needs over time</w:t>
      </w:r>
    </w:p>
    <w:p w:rsidR="00E25525" w:rsidRDefault="00E25525" w:rsidP="00ED63DB">
      <w:pPr>
        <w:pStyle w:val="btbullet"/>
      </w:pPr>
      <w:r w:rsidRPr="00A25511">
        <w:t>Ensure future development makes a positive contribution to sustainability and embraces good urban design</w:t>
      </w:r>
    </w:p>
    <w:p w:rsidR="00E25525" w:rsidRDefault="00E25525" w:rsidP="00E25525">
      <w:pPr>
        <w:pStyle w:val="bt"/>
        <w:rPr>
          <w:rStyle w:val="Strong"/>
        </w:rPr>
      </w:pPr>
      <w:r w:rsidRPr="00B81F46">
        <w:rPr>
          <w:rStyle w:val="Strong"/>
        </w:rPr>
        <w:t>A healthy environment and a celebrated heritage</w:t>
      </w:r>
    </w:p>
    <w:p w:rsidR="00E25525" w:rsidRDefault="00E25525" w:rsidP="00ED63DB">
      <w:pPr>
        <w:pStyle w:val="btbullet"/>
      </w:pPr>
      <w:r w:rsidRPr="00A25511">
        <w:t>Protect</w:t>
      </w:r>
      <w:r>
        <w:t xml:space="preserve"> </w:t>
      </w:r>
      <w:r w:rsidRPr="00A25511">
        <w:t xml:space="preserve">and enhance environmental assets and </w:t>
      </w:r>
      <w:r>
        <w:t>values</w:t>
      </w:r>
    </w:p>
    <w:p w:rsidR="00E25525" w:rsidRDefault="00E25525" w:rsidP="00ED63DB">
      <w:pPr>
        <w:pStyle w:val="btbullet"/>
      </w:pPr>
      <w:r w:rsidRPr="00A25511">
        <w:t xml:space="preserve">Protect, maintain and enhance the region’s </w:t>
      </w:r>
      <w:r>
        <w:t>significant cultural</w:t>
      </w:r>
      <w:r w:rsidRPr="00A25511">
        <w:t xml:space="preserve"> landscapes</w:t>
      </w:r>
    </w:p>
    <w:p w:rsidR="00E25525" w:rsidRDefault="00E25525" w:rsidP="00ED63DB">
      <w:pPr>
        <w:pStyle w:val="btbullet"/>
      </w:pPr>
      <w:r>
        <w:t>Ensure l</w:t>
      </w:r>
      <w:r w:rsidRPr="00A25511">
        <w:t xml:space="preserve">and use planning decisions consider </w:t>
      </w:r>
      <w:r>
        <w:t>responding to potential</w:t>
      </w:r>
      <w:r w:rsidRPr="00A25511">
        <w:t xml:space="preserve"> climate change impacts</w:t>
      </w:r>
      <w:r>
        <w:t xml:space="preserve"> and any adaptation policies</w:t>
      </w:r>
    </w:p>
    <w:p w:rsidR="00E25525" w:rsidRDefault="00E25525" w:rsidP="00ED63DB">
      <w:pPr>
        <w:pStyle w:val="btbullet"/>
      </w:pPr>
      <w:r w:rsidRPr="00A25511">
        <w:t xml:space="preserve">Adopt a sustainable and </w:t>
      </w:r>
      <w:r>
        <w:t>coordinated</w:t>
      </w:r>
      <w:r w:rsidRPr="00A25511">
        <w:t xml:space="preserve"> approach to urban and rural water management</w:t>
      </w:r>
    </w:p>
    <w:p w:rsidR="00E25525" w:rsidRPr="008D0D43" w:rsidRDefault="00E25525" w:rsidP="00ED63DB">
      <w:pPr>
        <w:pStyle w:val="btbullet"/>
      </w:pPr>
      <w:r w:rsidRPr="00A25511">
        <w:t xml:space="preserve">Recognise and value Aboriginal </w:t>
      </w:r>
      <w:r w:rsidR="00ED63DB">
        <w:t xml:space="preserve">cultural heritage </w:t>
      </w:r>
      <w:r w:rsidRPr="00A25511">
        <w:t xml:space="preserve">and </w:t>
      </w:r>
      <w:r>
        <w:t>historic</w:t>
      </w:r>
      <w:r w:rsidRPr="00A25511">
        <w:t xml:space="preserve"> heritage</w:t>
      </w:r>
    </w:p>
    <w:p w:rsidR="007B2479" w:rsidRDefault="00E25525" w:rsidP="00ED63DB">
      <w:pPr>
        <w:pStyle w:val="btbullet"/>
      </w:pPr>
      <w:r w:rsidRPr="00A25511">
        <w:t xml:space="preserve">Ensure planning </w:t>
      </w:r>
      <w:r>
        <w:t xml:space="preserve">and infrastructure investment </w:t>
      </w:r>
      <w:r w:rsidRPr="00A25511">
        <w:t xml:space="preserve">decisions are based on the best available information on </w:t>
      </w:r>
      <w:r>
        <w:t xml:space="preserve">the environment and natural hazards, including </w:t>
      </w:r>
      <w:r w:rsidRPr="00A25511">
        <w:t>climate change</w:t>
      </w:r>
      <w:r>
        <w:t xml:space="preserve"> </w:t>
      </w:r>
      <w:r w:rsidRPr="00A25511">
        <w:t>impacts</w:t>
      </w:r>
    </w:p>
    <w:p w:rsidR="00E25525" w:rsidRPr="007B2479" w:rsidRDefault="00E25525" w:rsidP="007B2479">
      <w:pPr>
        <w:pStyle w:val="ListBullet"/>
        <w:numPr>
          <w:ilvl w:val="0"/>
          <w:numId w:val="0"/>
        </w:numPr>
        <w:rPr>
          <w:rStyle w:val="Strong"/>
        </w:rPr>
      </w:pPr>
      <w:r w:rsidRPr="007B2479">
        <w:rPr>
          <w:rStyle w:val="Strong"/>
        </w:rPr>
        <w:t>Healthy, vibrant, resilient communities</w:t>
      </w:r>
    </w:p>
    <w:p w:rsidR="00E25525" w:rsidRDefault="00E25525" w:rsidP="00ED63DB">
      <w:pPr>
        <w:pStyle w:val="btbullet"/>
      </w:pPr>
      <w:r w:rsidRPr="00A25511">
        <w:t>Support innovative and flexible service delivery models and improve access to facilities and services</w:t>
      </w:r>
    </w:p>
    <w:p w:rsidR="00E25525" w:rsidRDefault="00E25525" w:rsidP="00ED63DB">
      <w:pPr>
        <w:pStyle w:val="btbullet"/>
      </w:pPr>
      <w:r w:rsidRPr="00A25511">
        <w:t>Maximise the range of available and affordable housing choices to meet changing community needs</w:t>
      </w:r>
    </w:p>
    <w:p w:rsidR="00E25525" w:rsidRDefault="00E25525" w:rsidP="00ED63DB">
      <w:pPr>
        <w:pStyle w:val="btbullet"/>
      </w:pPr>
      <w:r w:rsidRPr="00A25511">
        <w:t>Support culturally diverse communities and promote inclusive and connected communities</w:t>
      </w:r>
    </w:p>
    <w:p w:rsidR="00E25525" w:rsidRPr="00E25525" w:rsidRDefault="00E25525" w:rsidP="00ED63DB">
      <w:pPr>
        <w:pStyle w:val="btbullet"/>
        <w:rPr>
          <w:b/>
        </w:rPr>
      </w:pPr>
      <w:r>
        <w:lastRenderedPageBreak/>
        <w:t>Maximise opportunities for recreation and personal health outcomes</w:t>
      </w:r>
    </w:p>
    <w:p w:rsidR="00E25525" w:rsidRPr="00330D2E" w:rsidRDefault="00E25525" w:rsidP="00330D2E">
      <w:pPr>
        <w:pStyle w:val="bt"/>
        <w:rPr>
          <w:rStyle w:val="Strong"/>
        </w:rPr>
      </w:pPr>
      <w:r w:rsidRPr="00330D2E">
        <w:rPr>
          <w:rStyle w:val="Strong"/>
        </w:rPr>
        <w:t>A thriving and dynamic economy</w:t>
      </w:r>
    </w:p>
    <w:p w:rsidR="00E25525" w:rsidRDefault="00E25525" w:rsidP="00ED63DB">
      <w:pPr>
        <w:pStyle w:val="btbullet"/>
      </w:pPr>
      <w:r w:rsidRPr="00A25511">
        <w:t>Support the expansion and diversification of the region’s economy</w:t>
      </w:r>
    </w:p>
    <w:p w:rsidR="00E25525" w:rsidRDefault="00E25525" w:rsidP="00ED63DB">
      <w:pPr>
        <w:pStyle w:val="btbullet"/>
      </w:pPr>
      <w:r w:rsidRPr="00A25511">
        <w:t>Build on the region’s economic strengths and competitive advantages</w:t>
      </w:r>
    </w:p>
    <w:p w:rsidR="00E25525" w:rsidRDefault="00E25525" w:rsidP="00ED63DB">
      <w:pPr>
        <w:pStyle w:val="btbullet"/>
      </w:pPr>
      <w:r w:rsidRPr="00A25511">
        <w:t>Capitalise on national transport links</w:t>
      </w:r>
      <w:r>
        <w:t xml:space="preserve"> and tourist routes</w:t>
      </w:r>
    </w:p>
    <w:p w:rsidR="00E25525" w:rsidRDefault="00E25525" w:rsidP="00ED63DB">
      <w:pPr>
        <w:pStyle w:val="btbullet"/>
      </w:pPr>
      <w:r w:rsidRPr="00A25511">
        <w:t>Encourage the creation of job opportunities to meet the needs of the growing population</w:t>
      </w:r>
    </w:p>
    <w:p w:rsidR="00E25525" w:rsidRDefault="00E25525" w:rsidP="00ED63DB">
      <w:pPr>
        <w:pStyle w:val="btbullet"/>
      </w:pPr>
      <w:r w:rsidRPr="00A25511">
        <w:t>Identify the need for education facilities to ensure the population has access to higher learning</w:t>
      </w:r>
    </w:p>
    <w:p w:rsidR="00E25525" w:rsidRDefault="00E25525" w:rsidP="00ED63DB">
      <w:pPr>
        <w:pStyle w:val="btbullet"/>
      </w:pPr>
      <w:r>
        <w:t>Support industrial growth through value-adding</w:t>
      </w:r>
    </w:p>
    <w:p w:rsidR="00685440" w:rsidRPr="00B81F46" w:rsidRDefault="00685440" w:rsidP="00685440">
      <w:pPr>
        <w:pStyle w:val="bt"/>
        <w:rPr>
          <w:rStyle w:val="Strong"/>
        </w:rPr>
      </w:pPr>
      <w:r w:rsidRPr="00B81F46">
        <w:rPr>
          <w:rStyle w:val="Strong"/>
        </w:rPr>
        <w:t>A mobile and connected region</w:t>
      </w:r>
    </w:p>
    <w:p w:rsidR="00685440" w:rsidRDefault="00685440" w:rsidP="00ED63DB">
      <w:pPr>
        <w:pStyle w:val="btbullet"/>
      </w:pPr>
      <w:r w:rsidRPr="00A25511">
        <w:t>Provide an efficient, integrated and connected transport network that responds to community, business and visitor needs</w:t>
      </w:r>
    </w:p>
    <w:p w:rsidR="00685440" w:rsidRDefault="00685440" w:rsidP="00ED63DB">
      <w:pPr>
        <w:pStyle w:val="btbullet"/>
      </w:pPr>
      <w:r>
        <w:t>Provide for efficient and effective transport movements within the region and to Melbourne and other key urban centres outside of the region</w:t>
      </w:r>
    </w:p>
    <w:p w:rsidR="003C640C" w:rsidRPr="00E25525" w:rsidRDefault="00685440" w:rsidP="00ED63DB">
      <w:pPr>
        <w:pStyle w:val="btbullet"/>
      </w:pPr>
      <w:r w:rsidRPr="00A25511">
        <w:t>Maximise community and business access to information and communications technology</w:t>
      </w:r>
    </w:p>
    <w:p w:rsidR="006841B0" w:rsidRPr="00B81F46" w:rsidRDefault="00C82FEC" w:rsidP="00B81F46">
      <w:pPr>
        <w:pStyle w:val="bt"/>
      </w:pPr>
      <w:r w:rsidRPr="00B81F46">
        <w:t xml:space="preserve">The vision and principles </w:t>
      </w:r>
      <w:r w:rsidR="0021467E" w:rsidRPr="00B81F46">
        <w:t xml:space="preserve">above </w:t>
      </w:r>
      <w:r w:rsidRPr="00B81F46">
        <w:t xml:space="preserve">set the strategic directions for future land use in the Hume </w:t>
      </w:r>
      <w:r w:rsidR="0072417C" w:rsidRPr="00B81F46">
        <w:t>R</w:t>
      </w:r>
      <w:r w:rsidRPr="00B81F46">
        <w:t xml:space="preserve">egion and provide the foundation on which this </w:t>
      </w:r>
      <w:r w:rsidR="00D36385" w:rsidRPr="00B81F46">
        <w:t>p</w:t>
      </w:r>
      <w:r w:rsidRPr="00B81F46">
        <w:t xml:space="preserve">lan </w:t>
      </w:r>
      <w:r w:rsidR="00DC60EA" w:rsidRPr="00B81F46">
        <w:t xml:space="preserve">has been </w:t>
      </w:r>
      <w:r w:rsidRPr="00B81F46">
        <w:t xml:space="preserve">developed. The following parts of </w:t>
      </w:r>
      <w:r w:rsidR="0021467E" w:rsidRPr="00B81F46">
        <w:t xml:space="preserve">the </w:t>
      </w:r>
      <w:r w:rsidR="00D36385" w:rsidRPr="00B81F46">
        <w:t>p</w:t>
      </w:r>
      <w:r w:rsidRPr="00B81F46">
        <w:t xml:space="preserve">lan provide </w:t>
      </w:r>
      <w:r w:rsidR="0021467E" w:rsidRPr="00B81F46">
        <w:t xml:space="preserve">more information </w:t>
      </w:r>
      <w:r w:rsidRPr="00B81F46">
        <w:t xml:space="preserve">about how </w:t>
      </w:r>
      <w:r w:rsidR="0021467E" w:rsidRPr="00B81F46">
        <w:t xml:space="preserve">this </w:t>
      </w:r>
      <w:r w:rsidRPr="00B81F46">
        <w:t xml:space="preserve">vision </w:t>
      </w:r>
      <w:r w:rsidR="0021467E" w:rsidRPr="00B81F46">
        <w:t xml:space="preserve">can </w:t>
      </w:r>
      <w:r w:rsidRPr="00B81F46">
        <w:t>be achieved.</w:t>
      </w:r>
    </w:p>
    <w:p w:rsidR="00F24DFE" w:rsidRDefault="00F24DFE" w:rsidP="00B81F46">
      <w:pPr>
        <w:pStyle w:val="bt"/>
      </w:pPr>
      <w:bookmarkStart w:id="37" w:name="_Toc336871219"/>
    </w:p>
    <w:p w:rsidR="004B3B36" w:rsidRPr="00A25511" w:rsidRDefault="004B3B36" w:rsidP="00B81F46">
      <w:pPr>
        <w:pStyle w:val="bt"/>
        <w:sectPr w:rsidR="004B3B36" w:rsidRPr="00A25511" w:rsidSect="00AF1A24">
          <w:headerReference w:type="default" r:id="rId28"/>
          <w:footerReference w:type="default" r:id="rId29"/>
          <w:pgSz w:w="11906" w:h="16838"/>
          <w:pgMar w:top="1440" w:right="1440" w:bottom="993" w:left="1440" w:header="708" w:footer="708" w:gutter="0"/>
          <w:pgBorders w:offsetFrom="page">
            <w:top w:val="single" w:sz="4" w:space="24" w:color="FFFFFF"/>
            <w:bottom w:val="single" w:sz="4" w:space="24" w:color="FFFFFF"/>
          </w:pgBorders>
          <w:cols w:space="708"/>
          <w:docGrid w:linePitch="360"/>
        </w:sectPr>
      </w:pPr>
    </w:p>
    <w:p w:rsidR="00A00E44" w:rsidRPr="00B81F46" w:rsidRDefault="00A00E44" w:rsidP="00CB54A1">
      <w:pPr>
        <w:pStyle w:val="Heading1"/>
      </w:pPr>
      <w:bookmarkStart w:id="38" w:name="_Toc376945587"/>
      <w:r w:rsidRPr="00B81F46">
        <w:lastRenderedPageBreak/>
        <w:t>PART C</w:t>
      </w:r>
      <w:r w:rsidR="00CB54A1">
        <w:t>:</w:t>
      </w:r>
      <w:r w:rsidRPr="00B81F46">
        <w:tab/>
        <w:t>T</w:t>
      </w:r>
      <w:r w:rsidR="009B6188" w:rsidRPr="00B81F46">
        <w:t>OWARDS</w:t>
      </w:r>
      <w:r w:rsidRPr="00B81F46">
        <w:t xml:space="preserve"> </w:t>
      </w:r>
      <w:r w:rsidR="009B6188" w:rsidRPr="00B81F46">
        <w:t>THE</w:t>
      </w:r>
      <w:r w:rsidRPr="00B81F46">
        <w:t xml:space="preserve"> R</w:t>
      </w:r>
      <w:r w:rsidR="009B6188" w:rsidRPr="00B81F46">
        <w:t>EGIONAL</w:t>
      </w:r>
      <w:r w:rsidRPr="00B81F46">
        <w:t xml:space="preserve"> G</w:t>
      </w:r>
      <w:r w:rsidR="009B6188" w:rsidRPr="00B81F46">
        <w:t>ROWTH</w:t>
      </w:r>
      <w:r w:rsidRPr="00B81F46">
        <w:t xml:space="preserve"> P</w:t>
      </w:r>
      <w:r w:rsidR="009B6188" w:rsidRPr="00B81F46">
        <w:t>LAN</w:t>
      </w:r>
      <w:r w:rsidRPr="00B81F46">
        <w:t xml:space="preserve"> –R</w:t>
      </w:r>
      <w:r w:rsidR="009B6188" w:rsidRPr="00B81F46">
        <w:t>EGIONAL</w:t>
      </w:r>
      <w:r w:rsidRPr="00B81F46">
        <w:t xml:space="preserve"> L</w:t>
      </w:r>
      <w:r w:rsidR="009B6188" w:rsidRPr="00B81F46">
        <w:t>AND</w:t>
      </w:r>
      <w:r w:rsidRPr="00B81F46">
        <w:t xml:space="preserve"> U</w:t>
      </w:r>
      <w:r w:rsidR="009B6188" w:rsidRPr="00B81F46">
        <w:t>SE</w:t>
      </w:r>
      <w:r w:rsidRPr="00B81F46">
        <w:t xml:space="preserve"> F</w:t>
      </w:r>
      <w:bookmarkEnd w:id="37"/>
      <w:r w:rsidR="009B6188" w:rsidRPr="00B81F46">
        <w:t>RAMEWORK</w:t>
      </w:r>
      <w:bookmarkEnd w:id="38"/>
    </w:p>
    <w:p w:rsidR="00A00E44" w:rsidRPr="00B81F46" w:rsidRDefault="00A00E44" w:rsidP="00B81F46">
      <w:pPr>
        <w:pStyle w:val="Heading11"/>
      </w:pPr>
      <w:bookmarkStart w:id="39" w:name="_Toc336871220"/>
      <w:bookmarkStart w:id="40" w:name="_Toc376945588"/>
      <w:r w:rsidRPr="00B81F46">
        <w:t xml:space="preserve">Regional </w:t>
      </w:r>
      <w:r w:rsidR="0021467E" w:rsidRPr="00B81F46">
        <w:t>e</w:t>
      </w:r>
      <w:r w:rsidRPr="00B81F46">
        <w:t>conomy</w:t>
      </w:r>
      <w:bookmarkEnd w:id="39"/>
      <w:bookmarkEnd w:id="40"/>
    </w:p>
    <w:p w:rsidR="007563A9" w:rsidRPr="008611CA" w:rsidRDefault="00B81F46" w:rsidP="00B81F46">
      <w:pPr>
        <w:pStyle w:val="bt"/>
        <w:rPr>
          <w:rStyle w:val="Emphasis"/>
        </w:rPr>
      </w:pPr>
      <w:r w:rsidRPr="008611CA">
        <w:rPr>
          <w:rStyle w:val="Emphasis"/>
        </w:rPr>
        <w:t>The Hume Strategy aims for the Hume Region to have a thriving and dynamic economy into the future by capitalising on the region’s competitive advantages, opportunities and strengths to continue to provide prosperity and vitality.</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606"/>
      </w:tblGrid>
      <w:tr w:rsidR="000D2469" w:rsidTr="00264ABC">
        <w:tc>
          <w:tcPr>
            <w:tcW w:w="9606" w:type="dxa"/>
          </w:tcPr>
          <w:p w:rsidR="000D2469" w:rsidRPr="008611CA" w:rsidRDefault="000D2469" w:rsidP="000D2469">
            <w:pPr>
              <w:pStyle w:val="bt"/>
              <w:rPr>
                <w:rStyle w:val="Strong"/>
              </w:rPr>
            </w:pPr>
            <w:r w:rsidRPr="008611CA">
              <w:rPr>
                <w:rStyle w:val="Strong"/>
              </w:rPr>
              <w:t>Key facts about the regional economy:</w:t>
            </w:r>
          </w:p>
          <w:p w:rsidR="000D2469" w:rsidRDefault="000D2469" w:rsidP="000D2469">
            <w:pPr>
              <w:pStyle w:val="bt"/>
            </w:pPr>
            <w:r w:rsidRPr="00BD5968">
              <w:t>A recent economic profile (unpublished</w:t>
            </w:r>
            <w:r>
              <w:t>: 2013</w:t>
            </w:r>
            <w:r w:rsidRPr="00BD5968">
              <w:t>) prepared by Regional Development Victoria includes the following key facts about the regional economy</w:t>
            </w:r>
            <w:r w:rsidR="00ED63DB">
              <w:t>:</w:t>
            </w:r>
          </w:p>
          <w:p w:rsidR="000D2469" w:rsidRDefault="000D2469" w:rsidP="00ED63DB">
            <w:pPr>
              <w:pStyle w:val="btbullet"/>
            </w:pPr>
            <w:r w:rsidRPr="00553A88">
              <w:t>For the period 2001</w:t>
            </w:r>
            <w:r>
              <w:t xml:space="preserve"> to 2011</w:t>
            </w:r>
            <w:r w:rsidRPr="00553A88">
              <w:t>, the region contributed above 18</w:t>
            </w:r>
            <w:r>
              <w:t xml:space="preserve"> per cent</w:t>
            </w:r>
            <w:r w:rsidRPr="00553A88">
              <w:t xml:space="preserve"> to </w:t>
            </w:r>
            <w:r>
              <w:t>r</w:t>
            </w:r>
            <w:r w:rsidRPr="00553A88">
              <w:t xml:space="preserve">egional Victoria’s Gross Regional Product. </w:t>
            </w:r>
          </w:p>
          <w:p w:rsidR="000D2469" w:rsidRDefault="000D2469" w:rsidP="00ED63DB">
            <w:pPr>
              <w:pStyle w:val="btbullet"/>
            </w:pPr>
            <w:r w:rsidRPr="00553A88">
              <w:t>As a proportion of state output, Hume’s share was 3.5</w:t>
            </w:r>
            <w:r>
              <w:t xml:space="preserve"> per cent</w:t>
            </w:r>
            <w:r w:rsidRPr="00553A88">
              <w:t xml:space="preserve"> in 2011.</w:t>
            </w:r>
          </w:p>
          <w:p w:rsidR="000D2469" w:rsidRDefault="000D2469" w:rsidP="00ED63DB">
            <w:pPr>
              <w:pStyle w:val="btbullet"/>
            </w:pPr>
            <w:r w:rsidRPr="00553A88">
              <w:t>Over the past decade, the regional economy grew at an annual average rate of 2.2</w:t>
            </w:r>
            <w:r>
              <w:t xml:space="preserve"> per cent</w:t>
            </w:r>
            <w:r w:rsidRPr="00553A88">
              <w:t>.</w:t>
            </w:r>
          </w:p>
          <w:p w:rsidR="000D2469" w:rsidRDefault="000D2469" w:rsidP="00ED63DB">
            <w:pPr>
              <w:pStyle w:val="btbullet"/>
            </w:pPr>
            <w:r w:rsidRPr="00553A88">
              <w:t xml:space="preserve">Employment growth in </w:t>
            </w:r>
            <w:r>
              <w:t xml:space="preserve">the </w:t>
            </w:r>
            <w:r w:rsidRPr="00553A88">
              <w:t xml:space="preserve">Hume </w:t>
            </w:r>
            <w:r>
              <w:t xml:space="preserve">Region </w:t>
            </w:r>
            <w:r w:rsidRPr="00553A88">
              <w:t>between 2001 and 2011 was 13.5</w:t>
            </w:r>
            <w:r>
              <w:t xml:space="preserve"> per cent</w:t>
            </w:r>
            <w:r w:rsidRPr="00553A88">
              <w:t xml:space="preserve"> compared to 20</w:t>
            </w:r>
            <w:r>
              <w:t xml:space="preserve"> per cent </w:t>
            </w:r>
            <w:r w:rsidRPr="00553A88">
              <w:t>for regional Victoria and 26</w:t>
            </w:r>
            <w:r>
              <w:t xml:space="preserve"> per cent</w:t>
            </w:r>
            <w:r w:rsidRPr="00553A88">
              <w:t xml:space="preserve"> for the </w:t>
            </w:r>
            <w:r>
              <w:t>s</w:t>
            </w:r>
            <w:r w:rsidRPr="00553A88">
              <w:t>tate.</w:t>
            </w:r>
          </w:p>
          <w:p w:rsidR="000D2469" w:rsidRDefault="000D2469" w:rsidP="00ED63DB">
            <w:pPr>
              <w:pStyle w:val="btbullet"/>
            </w:pPr>
            <w:r w:rsidRPr="00553A88">
              <w:t xml:space="preserve">Manufacturing and Agriculture, Forestry and Fishing are the two most significant regional economic sectors in the </w:t>
            </w:r>
            <w:r>
              <w:t>Hume R</w:t>
            </w:r>
            <w:r w:rsidRPr="00553A88">
              <w:t>egion, contributing $3.1 billion out of the region</w:t>
            </w:r>
            <w:r>
              <w:t>’</w:t>
            </w:r>
            <w:r w:rsidRPr="00553A88">
              <w:t>s $9 billion Gro</w:t>
            </w:r>
            <w:r w:rsidRPr="0091705D">
              <w:t xml:space="preserve">ss Value Added. </w:t>
            </w:r>
          </w:p>
          <w:p w:rsidR="000D2469" w:rsidRDefault="000D2469" w:rsidP="00ED63DB">
            <w:pPr>
              <w:pStyle w:val="btbullet"/>
            </w:pPr>
            <w:r w:rsidRPr="00553A88">
              <w:t>Agriculture, Forestry and Fishing employs only 2.6</w:t>
            </w:r>
            <w:r>
              <w:t xml:space="preserve"> per cent</w:t>
            </w:r>
            <w:r w:rsidRPr="00553A88">
              <w:t xml:space="preserve"> of </w:t>
            </w:r>
            <w:r>
              <w:t xml:space="preserve">Victoria’s </w:t>
            </w:r>
            <w:r w:rsidRPr="00553A88">
              <w:t>workforce</w:t>
            </w:r>
            <w:r w:rsidR="001145F8">
              <w:t>,</w:t>
            </w:r>
            <w:r w:rsidRPr="00553A88">
              <w:t xml:space="preserve"> but 13.1</w:t>
            </w:r>
            <w:r>
              <w:t xml:space="preserve"> per cent</w:t>
            </w:r>
            <w:r w:rsidRPr="00553A88">
              <w:t xml:space="preserve"> of </w:t>
            </w:r>
            <w:r>
              <w:t xml:space="preserve">the </w:t>
            </w:r>
            <w:r w:rsidRPr="00553A88">
              <w:t>Hume</w:t>
            </w:r>
            <w:r>
              <w:t xml:space="preserve"> Region</w:t>
            </w:r>
            <w:r w:rsidRPr="00553A88">
              <w:t>’s</w:t>
            </w:r>
            <w:r>
              <w:t xml:space="preserve"> workforce.</w:t>
            </w:r>
          </w:p>
          <w:p w:rsidR="000D2469" w:rsidRDefault="000D2469" w:rsidP="00ED63DB">
            <w:pPr>
              <w:pStyle w:val="btbullet"/>
            </w:pPr>
            <w:r w:rsidRPr="00553A88">
              <w:t xml:space="preserve">Manufacturing and Agriculture, Forestry and Fishing provide </w:t>
            </w:r>
            <w:r w:rsidR="001145F8" w:rsidRPr="00553A88">
              <w:t>three</w:t>
            </w:r>
            <w:r w:rsidR="001145F8">
              <w:t>-</w:t>
            </w:r>
            <w:r w:rsidRPr="00553A88">
              <w:t xml:space="preserve">quarters of the </w:t>
            </w:r>
            <w:r>
              <w:t>Hume R</w:t>
            </w:r>
            <w:r w:rsidRPr="00553A88">
              <w:t>egion’s exports</w:t>
            </w:r>
            <w:r>
              <w:t xml:space="preserve">. </w:t>
            </w:r>
            <w:r w:rsidRPr="00553A88">
              <w:t xml:space="preserve">Manufacturing exports alone were approximately $4.5 billion in 2011. </w:t>
            </w:r>
          </w:p>
          <w:p w:rsidR="000D2469" w:rsidRDefault="000D2469" w:rsidP="00ED63DB">
            <w:pPr>
              <w:pStyle w:val="btbullet"/>
            </w:pPr>
            <w:r w:rsidRPr="00553A88">
              <w:t>Hume’s Agricultural, Forestry and Fishing exports make up almost 20</w:t>
            </w:r>
            <w:r>
              <w:t xml:space="preserve"> per cent</w:t>
            </w:r>
            <w:r w:rsidRPr="00553A88">
              <w:t xml:space="preserve"> of </w:t>
            </w:r>
            <w:r>
              <w:t>Victoria</w:t>
            </w:r>
            <w:r w:rsidRPr="00553A88">
              <w:t>’s exports in this sector.</w:t>
            </w:r>
          </w:p>
          <w:p w:rsidR="000D2469" w:rsidRDefault="000D2469" w:rsidP="00ED63DB">
            <w:pPr>
              <w:pStyle w:val="btbullet"/>
            </w:pPr>
            <w:r w:rsidRPr="00553A88">
              <w:t>In 2011, Manufacturing comprised 57</w:t>
            </w:r>
            <w:r>
              <w:t xml:space="preserve"> per cent</w:t>
            </w:r>
            <w:r w:rsidRPr="00553A88">
              <w:t xml:space="preserve"> of the total inter-regional imports while 20</w:t>
            </w:r>
            <w:r>
              <w:t xml:space="preserve"> per cent</w:t>
            </w:r>
            <w:r w:rsidRPr="00553A88">
              <w:t xml:space="preserve"> of inter-regional imports were from the agriculture sector. Almost half (47</w:t>
            </w:r>
            <w:r>
              <w:t xml:space="preserve"> per cent</w:t>
            </w:r>
            <w:r w:rsidRPr="00553A88">
              <w:t>) of the manufacturing imports were from the food product manufacturing subsector.</w:t>
            </w:r>
          </w:p>
          <w:p w:rsidR="000D2469" w:rsidRDefault="000D2469" w:rsidP="00ED63DB">
            <w:pPr>
              <w:pStyle w:val="btbullet"/>
            </w:pPr>
            <w:r w:rsidRPr="00553A88">
              <w:t xml:space="preserve">The three sectors with the highest rates of growth between 2001 and 2011 were Construction, Administrative and </w:t>
            </w:r>
            <w:r>
              <w:t>S</w:t>
            </w:r>
            <w:r w:rsidRPr="00553A88">
              <w:t xml:space="preserve">upport </w:t>
            </w:r>
            <w:r>
              <w:t>S</w:t>
            </w:r>
            <w:r w:rsidRPr="00553A88">
              <w:t>ervices and Mining.</w:t>
            </w:r>
          </w:p>
          <w:p w:rsidR="000D2469" w:rsidRDefault="000D2469" w:rsidP="00ED63DB">
            <w:pPr>
              <w:pStyle w:val="btbullet"/>
              <w:rPr>
                <w:rFonts w:cs="Calibri"/>
              </w:rPr>
            </w:pPr>
            <w:r w:rsidRPr="00553A88">
              <w:t xml:space="preserve">Against the trend in the national, state and other Victorian regional economies, </w:t>
            </w:r>
            <w:r>
              <w:t>m</w:t>
            </w:r>
            <w:r w:rsidRPr="00553A88">
              <w:t xml:space="preserve">anufacturing in the Hume </w:t>
            </w:r>
            <w:r>
              <w:t>R</w:t>
            </w:r>
            <w:r w:rsidRPr="00553A88">
              <w:t>egion experienced positive growth between 2001 and 2011.</w:t>
            </w:r>
          </w:p>
          <w:p w:rsidR="000D2469" w:rsidRDefault="000D2469" w:rsidP="000D2469">
            <w:pPr>
              <w:pStyle w:val="bt"/>
            </w:pPr>
            <w:r>
              <w:t>Key socioeconomic issues for the region</w:t>
            </w:r>
            <w:r w:rsidR="001145F8">
              <w:t xml:space="preserve"> that</w:t>
            </w:r>
            <w:r>
              <w:t xml:space="preserve"> may have an impact on economic diversity and growth include:</w:t>
            </w:r>
          </w:p>
          <w:p w:rsidR="000D2469" w:rsidRDefault="003A0708" w:rsidP="00ED63DB">
            <w:pPr>
              <w:pStyle w:val="btbullet"/>
            </w:pPr>
            <w:r>
              <w:t xml:space="preserve">relatively </w:t>
            </w:r>
            <w:r w:rsidR="000D2469">
              <w:t>high unemployment rates (the highest of all regions in the state)</w:t>
            </w:r>
          </w:p>
          <w:p w:rsidR="000D2469" w:rsidRDefault="003A0708" w:rsidP="00ED63DB">
            <w:pPr>
              <w:pStyle w:val="btbullet"/>
            </w:pPr>
            <w:r>
              <w:t xml:space="preserve">youth </w:t>
            </w:r>
            <w:r w:rsidR="000D2469">
              <w:t>out-migration</w:t>
            </w:r>
          </w:p>
          <w:p w:rsidR="000D2469" w:rsidRDefault="003A0708" w:rsidP="00ED63DB">
            <w:pPr>
              <w:pStyle w:val="btbullet"/>
            </w:pPr>
            <w:r>
              <w:t xml:space="preserve">low </w:t>
            </w:r>
            <w:r w:rsidR="000D2469">
              <w:t>levels of educational attainment</w:t>
            </w:r>
          </w:p>
          <w:p w:rsidR="000D2469" w:rsidRDefault="003A0708" w:rsidP="00ED63DB">
            <w:pPr>
              <w:pStyle w:val="btbullet"/>
              <w:rPr>
                <w:rStyle w:val="Strong"/>
              </w:rPr>
            </w:pPr>
            <w:proofErr w:type="gramStart"/>
            <w:r>
              <w:t>low</w:t>
            </w:r>
            <w:proofErr w:type="gramEnd"/>
            <w:r>
              <w:t xml:space="preserve"> </w:t>
            </w:r>
            <w:r w:rsidR="000D2469">
              <w:t>incomes.</w:t>
            </w:r>
          </w:p>
        </w:tc>
      </w:tr>
    </w:tbl>
    <w:p w:rsidR="00ED63DB" w:rsidRDefault="00F0498C" w:rsidP="008611CA">
      <w:pPr>
        <w:pStyle w:val="bt"/>
      </w:pPr>
      <w:r w:rsidRPr="00A25511">
        <w:t>The Hume Region’s economy is driven by</w:t>
      </w:r>
      <w:r w:rsidR="00ED63DB">
        <w:t>:</w:t>
      </w:r>
    </w:p>
    <w:p w:rsidR="00ED63DB" w:rsidRDefault="000E5F04" w:rsidP="00ED63DB">
      <w:pPr>
        <w:pStyle w:val="btbullet"/>
      </w:pPr>
      <w:r>
        <w:t xml:space="preserve">the size and growth of its </w:t>
      </w:r>
      <w:r w:rsidR="00F0498C" w:rsidRPr="00A25511">
        <w:t>population</w:t>
      </w:r>
    </w:p>
    <w:p w:rsidR="00ED63DB" w:rsidRDefault="00555B21" w:rsidP="00ED63DB">
      <w:pPr>
        <w:pStyle w:val="btbullet"/>
      </w:pPr>
      <w:r>
        <w:t>availability of physical and social infrastructure</w:t>
      </w:r>
    </w:p>
    <w:p w:rsidR="00ED63DB" w:rsidRDefault="000E5F04" w:rsidP="00ED63DB">
      <w:pPr>
        <w:pStyle w:val="btbullet"/>
      </w:pPr>
      <w:r>
        <w:t xml:space="preserve">the </w:t>
      </w:r>
      <w:r w:rsidR="00555B21">
        <w:t>availab</w:t>
      </w:r>
      <w:r>
        <w:t>le</w:t>
      </w:r>
      <w:r w:rsidR="00555B21">
        <w:t xml:space="preserve"> labour force, density of manufacturing industries (co-location)</w:t>
      </w:r>
    </w:p>
    <w:p w:rsidR="00ED63DB" w:rsidRDefault="00F0498C" w:rsidP="00ED63DB">
      <w:pPr>
        <w:pStyle w:val="btbullet"/>
      </w:pPr>
      <w:r w:rsidRPr="00A25511">
        <w:t xml:space="preserve">access to natural </w:t>
      </w:r>
      <w:r w:rsidR="005C068C" w:rsidRPr="00A25511">
        <w:t>resources</w:t>
      </w:r>
      <w:r w:rsidR="005C068C">
        <w:t>,</w:t>
      </w:r>
      <w:r w:rsidR="005C068C" w:rsidRPr="00A25511">
        <w:t xml:space="preserve"> including</w:t>
      </w:r>
      <w:r w:rsidRPr="00A25511">
        <w:t xml:space="preserve"> water</w:t>
      </w:r>
      <w:r w:rsidR="00882F6A">
        <w:t>, irrigation infrastructure</w:t>
      </w:r>
      <w:r w:rsidRPr="00A25511">
        <w:t xml:space="preserve"> and productive agricultural land</w:t>
      </w:r>
    </w:p>
    <w:p w:rsidR="00ED63DB" w:rsidRDefault="00F0498C" w:rsidP="00ED63DB">
      <w:pPr>
        <w:pStyle w:val="btbullet"/>
      </w:pPr>
      <w:r w:rsidRPr="00A25511">
        <w:lastRenderedPageBreak/>
        <w:t xml:space="preserve">iconic tourism </w:t>
      </w:r>
      <w:r w:rsidR="000E5F04">
        <w:t xml:space="preserve">destinations </w:t>
      </w:r>
      <w:r w:rsidRPr="00A25511">
        <w:t xml:space="preserve">such as the </w:t>
      </w:r>
      <w:r w:rsidR="0098246C">
        <w:t>Alpine areas</w:t>
      </w:r>
      <w:r w:rsidRPr="00A25511">
        <w:t xml:space="preserve"> and the Murray River</w:t>
      </w:r>
    </w:p>
    <w:p w:rsidR="007563A9" w:rsidRDefault="00F0498C" w:rsidP="00ED63DB">
      <w:pPr>
        <w:pStyle w:val="btbullet"/>
      </w:pPr>
      <w:proofErr w:type="gramStart"/>
      <w:r w:rsidRPr="00A25511">
        <w:t>its</w:t>
      </w:r>
      <w:proofErr w:type="gramEnd"/>
      <w:r w:rsidRPr="00A25511">
        <w:t xml:space="preserve"> strategic location </w:t>
      </w:r>
      <w:r w:rsidR="00BA7A26">
        <w:t>o</w:t>
      </w:r>
      <w:r w:rsidRPr="00A25511">
        <w:t>n the</w:t>
      </w:r>
      <w:r w:rsidR="00882F6A">
        <w:t xml:space="preserve"> Hume</w:t>
      </w:r>
      <w:r w:rsidRPr="00A25511">
        <w:t xml:space="preserve"> </w:t>
      </w:r>
      <w:r w:rsidR="00882F6A">
        <w:t>(</w:t>
      </w:r>
      <w:r w:rsidRPr="00A25511">
        <w:t>Melbourne-Canberra-Sydney</w:t>
      </w:r>
      <w:r w:rsidR="00882F6A">
        <w:t>) and Goulburn Valley (</w:t>
      </w:r>
      <w:r w:rsidR="00882F6A" w:rsidRPr="00A25511">
        <w:t>Melbourne-Brisbane</w:t>
      </w:r>
      <w:r w:rsidR="00882F6A">
        <w:t>)</w:t>
      </w:r>
      <w:r w:rsidRPr="00A25511">
        <w:t xml:space="preserve"> national </w:t>
      </w:r>
      <w:r w:rsidR="00882F6A">
        <w:t xml:space="preserve">road and rail </w:t>
      </w:r>
      <w:r w:rsidRPr="00A25511">
        <w:t xml:space="preserve">freight </w:t>
      </w:r>
      <w:r w:rsidR="00882F6A">
        <w:t xml:space="preserve">and transport </w:t>
      </w:r>
      <w:r w:rsidRPr="00A25511">
        <w:t>corridor</w:t>
      </w:r>
      <w:r w:rsidR="00882F6A">
        <w:t>s</w:t>
      </w:r>
      <w:r w:rsidRPr="00A25511">
        <w:t>. Access to south-east Australia’s population, industry</w:t>
      </w:r>
      <w:r w:rsidR="000E5F04">
        <w:t xml:space="preserve"> and</w:t>
      </w:r>
      <w:r w:rsidRPr="00A25511">
        <w:t xml:space="preserve"> services is a significant locational advantage of the Hume Region</w:t>
      </w:r>
      <w:r w:rsidR="00B459A8">
        <w:t>,</w:t>
      </w:r>
      <w:r w:rsidRPr="00A25511">
        <w:t xml:space="preserve"> which continues to attract investment. Major interstate transport corridors (Hume and Goulburn Valley) offer opportunities for transport logistics and warehousing as well as freight movement through and within the region.</w:t>
      </w:r>
    </w:p>
    <w:p w:rsidR="00F0498C" w:rsidRPr="00A25511" w:rsidRDefault="00F0498C" w:rsidP="008611CA">
      <w:pPr>
        <w:pStyle w:val="bt"/>
      </w:pPr>
      <w:r w:rsidRPr="00A25511">
        <w:t xml:space="preserve">The </w:t>
      </w:r>
      <w:r w:rsidR="0021467E">
        <w:t xml:space="preserve">regional </w:t>
      </w:r>
      <w:r w:rsidRPr="00A25511">
        <w:t xml:space="preserve">economy is becoming more sophisticated and </w:t>
      </w:r>
      <w:r w:rsidR="00D5179D">
        <w:t>diverse</w:t>
      </w:r>
      <w:r w:rsidR="00555B21">
        <w:t>,</w:t>
      </w:r>
      <w:r w:rsidR="00D5179D" w:rsidRPr="00A25511">
        <w:t xml:space="preserve"> </w:t>
      </w:r>
      <w:r w:rsidRPr="00A25511">
        <w:t>but there is still a high reliance on manufacturing and agriculture</w:t>
      </w:r>
      <w:r w:rsidR="000E5F04">
        <w:t>.</w:t>
      </w:r>
      <w:r w:rsidRPr="00A25511">
        <w:t xml:space="preserve"> </w:t>
      </w:r>
      <w:r w:rsidR="000E5F04">
        <w:t>This is an</w:t>
      </w:r>
      <w:r w:rsidRPr="00A25511">
        <w:t xml:space="preserve"> economic challenge, particularly due to exposure to changing climatic conditions</w:t>
      </w:r>
      <w:r w:rsidR="00A925B2">
        <w:t xml:space="preserve">, the impact of the </w:t>
      </w:r>
      <w:r w:rsidR="009B4318" w:rsidRPr="00141FA0">
        <w:t>Murray-Darling Basin Plan</w:t>
      </w:r>
      <w:r w:rsidR="00A925B2">
        <w:t xml:space="preserve">, fluctuations in the value of the </w:t>
      </w:r>
      <w:r w:rsidRPr="00A25511">
        <w:t>Australian dollar</w:t>
      </w:r>
      <w:r w:rsidR="00A925B2">
        <w:t>, the global labour market and Australia’s trade polic</w:t>
      </w:r>
      <w:r w:rsidR="000E5F04">
        <w:t>ies</w:t>
      </w:r>
      <w:r w:rsidRPr="00A25511">
        <w:t xml:space="preserve">. How businesses respond to these challenges </w:t>
      </w:r>
      <w:r w:rsidR="000E5F04">
        <w:t>while</w:t>
      </w:r>
      <w:r w:rsidRPr="00A25511">
        <w:t xml:space="preserve"> improving productivity will be of paramount importance to the regional economy</w:t>
      </w:r>
      <w:r w:rsidR="00A925B2">
        <w:t xml:space="preserve"> as will leveraging off and capitalising on the $2 billion irrigation modernisation investment</w:t>
      </w:r>
      <w:r w:rsidR="002F498F" w:rsidRPr="002F498F">
        <w:t xml:space="preserve"> </w:t>
      </w:r>
      <w:r w:rsidR="002F498F">
        <w:t xml:space="preserve">and </w:t>
      </w:r>
      <w:r w:rsidR="002F498F" w:rsidRPr="002F498F">
        <w:t>on-farm irrigation efficiency</w:t>
      </w:r>
      <w:r w:rsidR="002F498F">
        <w:t xml:space="preserve"> program</w:t>
      </w:r>
      <w:r w:rsidR="00A925B2">
        <w:t xml:space="preserve"> in the Goulburn Valley</w:t>
      </w:r>
      <w:r w:rsidRPr="00A25511">
        <w:t xml:space="preserve">. Agricultural production and associated food processing will continue to be an important contributor to the region’s economy. The region’s natural </w:t>
      </w:r>
      <w:r w:rsidR="000E5F04">
        <w:t>beauty</w:t>
      </w:r>
      <w:r w:rsidR="000E5F04" w:rsidRPr="00A25511">
        <w:t xml:space="preserve"> </w:t>
      </w:r>
      <w:r w:rsidR="000E5F04">
        <w:t>is a drawcard for</w:t>
      </w:r>
      <w:r w:rsidR="000E5F04" w:rsidRPr="00A25511">
        <w:t xml:space="preserve"> </w:t>
      </w:r>
      <w:r w:rsidRPr="00A25511">
        <w:t>the tourism industry</w:t>
      </w:r>
      <w:r w:rsidR="00DC60EA">
        <w:t>,</w:t>
      </w:r>
      <w:r w:rsidRPr="00A25511">
        <w:t xml:space="preserve"> which will continue to be important </w:t>
      </w:r>
      <w:r w:rsidR="0021467E">
        <w:t xml:space="preserve">to generate </w:t>
      </w:r>
      <w:r w:rsidRPr="00A25511">
        <w:t xml:space="preserve">regional wealth and interest from investors. </w:t>
      </w:r>
    </w:p>
    <w:p w:rsidR="00F0498C" w:rsidRPr="00A25511" w:rsidRDefault="00F0498C" w:rsidP="008611CA">
      <w:pPr>
        <w:pStyle w:val="bt"/>
      </w:pPr>
      <w:r w:rsidRPr="00A25511">
        <w:t>Key challenges for the region are existing skills shortage</w:t>
      </w:r>
      <w:r w:rsidR="000E5F04">
        <w:t>s</w:t>
      </w:r>
      <w:r w:rsidRPr="00A25511">
        <w:t xml:space="preserve"> and the provision of </w:t>
      </w:r>
      <w:r w:rsidR="000E5F04">
        <w:t>additional</w:t>
      </w:r>
      <w:r w:rsidR="00A925B2" w:rsidRPr="00A25511">
        <w:t xml:space="preserve"> </w:t>
      </w:r>
      <w:r w:rsidRPr="00A25511">
        <w:t xml:space="preserve">employment opportunities to support the projected regional population growth </w:t>
      </w:r>
      <w:r w:rsidR="007A6808" w:rsidRPr="00A25511">
        <w:t>of around 80</w:t>
      </w:r>
      <w:r w:rsidR="005713B3">
        <w:t>,</w:t>
      </w:r>
      <w:r w:rsidR="007A6808" w:rsidRPr="00A25511">
        <w:t>000 people by 2041</w:t>
      </w:r>
      <w:r w:rsidR="007A6808" w:rsidRPr="00A25511">
        <w:rPr>
          <w:rStyle w:val="FootnoteReference"/>
          <w:rFonts w:cs="Calibri"/>
          <w:color w:val="000000"/>
          <w:szCs w:val="20"/>
        </w:rPr>
        <w:footnoteReference w:id="4"/>
      </w:r>
      <w:r w:rsidRPr="00A25511">
        <w:t xml:space="preserve">. </w:t>
      </w:r>
      <w:r w:rsidR="000E5F04">
        <w:t xml:space="preserve">New job opportunities are likely to become available </w:t>
      </w:r>
      <w:r w:rsidRPr="00A25511">
        <w:t>in the Melbourne metropolitan area</w:t>
      </w:r>
      <w:r w:rsidR="00B459A8">
        <w:t>,</w:t>
      </w:r>
      <w:r w:rsidRPr="00A25511">
        <w:t xml:space="preserve"> which will be growing into the southern parts of the region (to include places such as Beveridge and Wallan), but the majority of </w:t>
      </w:r>
      <w:r w:rsidR="000E5F04">
        <w:t xml:space="preserve">new </w:t>
      </w:r>
      <w:r w:rsidRPr="00A25511">
        <w:t xml:space="preserve">jobs will need to be </w:t>
      </w:r>
      <w:r w:rsidR="000E5F04">
        <w:t xml:space="preserve">provided </w:t>
      </w:r>
      <w:r w:rsidRPr="00A25511">
        <w:t>elsewhere across the region.</w:t>
      </w:r>
    </w:p>
    <w:p w:rsidR="00521CF7" w:rsidRDefault="00521CF7" w:rsidP="00521CF7">
      <w:pPr>
        <w:pStyle w:val="Heading3"/>
      </w:pPr>
      <w:r>
        <w:t>Overall approach</w:t>
      </w:r>
    </w:p>
    <w:p w:rsidR="00171A6E" w:rsidRPr="00A25511" w:rsidRDefault="00F0498C" w:rsidP="008611CA">
      <w:pPr>
        <w:pStyle w:val="bt"/>
      </w:pPr>
      <w:r w:rsidRPr="00A25511">
        <w:t xml:space="preserve">Taking into account the vision and principles set out in Part B of this </w:t>
      </w:r>
      <w:r w:rsidR="00D36385">
        <w:t>p</w:t>
      </w:r>
      <w:r w:rsidRPr="00A25511">
        <w:t>lan, the Hume Strategy and other regional factors the overall approach is to</w:t>
      </w:r>
      <w:r w:rsidRPr="008611CA">
        <w:rPr>
          <w:rStyle w:val="Strong"/>
        </w:rPr>
        <w:t xml:space="preserve"> support the development of a more diverse regional economy while managing and enhancing key regional economic assets</w:t>
      </w:r>
      <w:r w:rsidRPr="00B459A8">
        <w:rPr>
          <w:rStyle w:val="Strong"/>
          <w:b w:val="0"/>
        </w:rPr>
        <w:t>.</w:t>
      </w:r>
      <w:r w:rsidRPr="00A25511">
        <w:t xml:space="preserve"> An expanded, diverse regional economic base will provide greater resilience to global changes. </w:t>
      </w:r>
      <w:r w:rsidR="0021467E">
        <w:t>F</w:t>
      </w:r>
      <w:r w:rsidRPr="00A25511">
        <w:t xml:space="preserve">uture directions to achieve this are discussed in </w:t>
      </w:r>
      <w:r w:rsidR="001E3654">
        <w:t>S</w:t>
      </w:r>
      <w:r w:rsidRPr="00A25511">
        <w:t xml:space="preserve">ections 11.1 </w:t>
      </w:r>
      <w:r w:rsidR="0021467E">
        <w:t xml:space="preserve">through to </w:t>
      </w:r>
      <w:r w:rsidRPr="00A25511">
        <w:t>11.3. These directions build on the strengths and opportunities of the regional economy.</w:t>
      </w:r>
    </w:p>
    <w:p w:rsidR="00A00E44" w:rsidRPr="008611CA" w:rsidRDefault="00A00E44" w:rsidP="008611CA">
      <w:pPr>
        <w:pStyle w:val="Heading2"/>
      </w:pPr>
      <w:bookmarkStart w:id="41" w:name="_Toc336871221"/>
      <w:bookmarkStart w:id="42" w:name="_Toc376945589"/>
      <w:r w:rsidRPr="008611CA">
        <w:t xml:space="preserve">Business, </w:t>
      </w:r>
      <w:r w:rsidR="0021467E" w:rsidRPr="008611CA">
        <w:t>i</w:t>
      </w:r>
      <w:r w:rsidRPr="008611CA">
        <w:t xml:space="preserve">ndustry and </w:t>
      </w:r>
      <w:r w:rsidR="0021467E" w:rsidRPr="008611CA">
        <w:t>s</w:t>
      </w:r>
      <w:r w:rsidRPr="008611CA">
        <w:t>ervices</w:t>
      </w:r>
      <w:bookmarkEnd w:id="41"/>
      <w:r w:rsidR="001110EC" w:rsidRPr="008611CA">
        <w:t xml:space="preserve">: </w:t>
      </w:r>
      <w:r w:rsidR="0021467E" w:rsidRPr="008611CA">
        <w:t>w</w:t>
      </w:r>
      <w:r w:rsidR="001110EC" w:rsidRPr="008611CA">
        <w:t xml:space="preserve">orking in the </w:t>
      </w:r>
      <w:r w:rsidR="00E55806" w:rsidRPr="008611CA">
        <w:t>Hume</w:t>
      </w:r>
      <w:r w:rsidR="001110EC" w:rsidRPr="008611CA">
        <w:t xml:space="preserve"> </w:t>
      </w:r>
      <w:r w:rsidR="0029120D" w:rsidRPr="008611CA">
        <w:t>R</w:t>
      </w:r>
      <w:r w:rsidR="001110EC" w:rsidRPr="008611CA">
        <w:t>egion</w:t>
      </w:r>
      <w:bookmarkEnd w:id="42"/>
    </w:p>
    <w:p w:rsidR="00521CF7" w:rsidRPr="008216E0" w:rsidRDefault="00521CF7" w:rsidP="008216E0">
      <w:pPr>
        <w:pStyle w:val="Heading3-list"/>
      </w:pPr>
      <w:r w:rsidRPr="008216E0">
        <w:t>Encourage urban growth where supported by employment, transport services and commerce</w:t>
      </w:r>
    </w:p>
    <w:p w:rsidR="00DE4E99" w:rsidRDefault="007A6808" w:rsidP="008611CA">
      <w:pPr>
        <w:pStyle w:val="bt"/>
        <w:rPr>
          <w:lang w:eastAsia="en-US"/>
        </w:rPr>
      </w:pPr>
      <w:r w:rsidRPr="00A33FDB">
        <w:rPr>
          <w:lang w:eastAsia="en-US"/>
        </w:rPr>
        <w:t xml:space="preserve">The availability of industrial and commercial development opportunities </w:t>
      </w:r>
      <w:r w:rsidR="000E5F04" w:rsidRPr="00A33FDB">
        <w:rPr>
          <w:lang w:eastAsia="en-US"/>
        </w:rPr>
        <w:t xml:space="preserve">in </w:t>
      </w:r>
      <w:r w:rsidRPr="00A33FDB">
        <w:rPr>
          <w:lang w:eastAsia="en-US"/>
        </w:rPr>
        <w:t xml:space="preserve">key </w:t>
      </w:r>
      <w:r w:rsidR="00542FE9" w:rsidRPr="00A33FDB">
        <w:rPr>
          <w:lang w:eastAsia="en-US"/>
        </w:rPr>
        <w:t xml:space="preserve">locations for </w:t>
      </w:r>
      <w:r w:rsidRPr="00A33FDB">
        <w:rPr>
          <w:lang w:eastAsia="en-US"/>
        </w:rPr>
        <w:t>urban growth and change will play an important role in providing employment and supporting th</w:t>
      </w:r>
      <w:r w:rsidR="00EE1AB7">
        <w:rPr>
          <w:lang w:eastAsia="en-US"/>
        </w:rPr>
        <w:t xml:space="preserve">e development of a more diverse economy. Physical infrastructure must be provided to ensure industrial areas are market ready. </w:t>
      </w:r>
    </w:p>
    <w:p w:rsidR="00730C2B" w:rsidRDefault="00EE1AB7" w:rsidP="008611CA">
      <w:pPr>
        <w:pStyle w:val="bt"/>
        <w:rPr>
          <w:lang w:eastAsia="en-US"/>
        </w:rPr>
      </w:pPr>
      <w:r>
        <w:rPr>
          <w:lang w:eastAsia="en-US"/>
        </w:rPr>
        <w:t xml:space="preserve">A supply of good quality housing and social </w:t>
      </w:r>
      <w:r w:rsidR="005C068C">
        <w:rPr>
          <w:lang w:eastAsia="en-US"/>
        </w:rPr>
        <w:t>infrastructure, such</w:t>
      </w:r>
      <w:r>
        <w:rPr>
          <w:lang w:eastAsia="en-US"/>
        </w:rPr>
        <w:t xml:space="preserve"> as health an</w:t>
      </w:r>
      <w:r w:rsidR="007A6808" w:rsidRPr="00A33FDB">
        <w:rPr>
          <w:lang w:eastAsia="en-US"/>
        </w:rPr>
        <w:t xml:space="preserve">d education </w:t>
      </w:r>
      <w:r w:rsidR="00542FE9" w:rsidRPr="00A33FDB">
        <w:rPr>
          <w:lang w:eastAsia="en-US"/>
        </w:rPr>
        <w:t>facilities</w:t>
      </w:r>
      <w:r w:rsidR="007A6808" w:rsidRPr="00A33FDB">
        <w:rPr>
          <w:lang w:eastAsia="en-US"/>
        </w:rPr>
        <w:t xml:space="preserve"> and recreation </w:t>
      </w:r>
      <w:r w:rsidR="000E5F04" w:rsidRPr="00A33FDB">
        <w:rPr>
          <w:lang w:eastAsia="en-US"/>
        </w:rPr>
        <w:t>opportunities</w:t>
      </w:r>
      <w:r w:rsidR="00A33FDB" w:rsidRPr="00A33FDB">
        <w:rPr>
          <w:lang w:eastAsia="en-US"/>
        </w:rPr>
        <w:t xml:space="preserve"> support economic development and liveability</w:t>
      </w:r>
      <w:r w:rsidR="00A33FDB">
        <w:rPr>
          <w:lang w:eastAsia="en-US"/>
        </w:rPr>
        <w:t>,</w:t>
      </w:r>
      <w:r w:rsidR="00A33FDB" w:rsidRPr="00A33FDB">
        <w:rPr>
          <w:lang w:eastAsia="en-US"/>
        </w:rPr>
        <w:t xml:space="preserve"> and</w:t>
      </w:r>
      <w:r w:rsidR="000E5F04" w:rsidRPr="00A33FDB">
        <w:rPr>
          <w:lang w:eastAsia="en-US"/>
        </w:rPr>
        <w:t xml:space="preserve"> </w:t>
      </w:r>
      <w:r w:rsidR="007A6808" w:rsidRPr="00A33FDB">
        <w:rPr>
          <w:lang w:eastAsia="en-US"/>
        </w:rPr>
        <w:t>contribute to attracting and</w:t>
      </w:r>
      <w:r w:rsidR="007A6808" w:rsidRPr="00A25511">
        <w:rPr>
          <w:lang w:eastAsia="en-US"/>
        </w:rPr>
        <w:t xml:space="preserve"> retaining a workforce. </w:t>
      </w:r>
      <w:r w:rsidR="00143270">
        <w:rPr>
          <w:lang w:eastAsia="en-US"/>
        </w:rPr>
        <w:t xml:space="preserve">Recent increases in </w:t>
      </w:r>
      <w:r w:rsidR="007A6808" w:rsidRPr="00A25511">
        <w:rPr>
          <w:lang w:eastAsia="en-US"/>
        </w:rPr>
        <w:t xml:space="preserve">online shopping </w:t>
      </w:r>
      <w:r w:rsidR="00143270">
        <w:rPr>
          <w:lang w:eastAsia="en-US"/>
        </w:rPr>
        <w:t xml:space="preserve">are influencing </w:t>
      </w:r>
      <w:r w:rsidR="007A6808" w:rsidRPr="00A25511">
        <w:rPr>
          <w:lang w:eastAsia="en-US"/>
        </w:rPr>
        <w:t>the region’s retail sector</w:t>
      </w:r>
      <w:r w:rsidR="00143270">
        <w:rPr>
          <w:lang w:eastAsia="en-US"/>
        </w:rPr>
        <w:t>. T</w:t>
      </w:r>
      <w:r w:rsidR="007A6808" w:rsidRPr="00A25511">
        <w:rPr>
          <w:lang w:eastAsia="en-US"/>
        </w:rPr>
        <w:t>he amount and configuration of future retail floor</w:t>
      </w:r>
      <w:r w:rsidR="00143270">
        <w:rPr>
          <w:lang w:eastAsia="en-US"/>
        </w:rPr>
        <w:t xml:space="preserve"> </w:t>
      </w:r>
      <w:r w:rsidR="007A6808" w:rsidRPr="00A25511">
        <w:rPr>
          <w:lang w:eastAsia="en-US"/>
        </w:rPr>
        <w:t xml:space="preserve">space in urban locations </w:t>
      </w:r>
      <w:r w:rsidR="0074498C">
        <w:rPr>
          <w:lang w:eastAsia="en-US"/>
        </w:rPr>
        <w:t>requires</w:t>
      </w:r>
      <w:r w:rsidR="0074498C" w:rsidRPr="00A25511">
        <w:rPr>
          <w:lang w:eastAsia="en-US"/>
        </w:rPr>
        <w:t xml:space="preserve"> </w:t>
      </w:r>
      <w:r w:rsidR="007A6808" w:rsidRPr="00A25511">
        <w:rPr>
          <w:lang w:eastAsia="en-US"/>
        </w:rPr>
        <w:t>further consideration.</w:t>
      </w:r>
    </w:p>
    <w:p w:rsidR="00521CF7" w:rsidRDefault="00521CF7" w:rsidP="0016400E">
      <w:pPr>
        <w:pStyle w:val="Heading3-list"/>
      </w:pPr>
      <w:r>
        <w:t>Provide strategic employment locations</w:t>
      </w:r>
    </w:p>
    <w:p w:rsidR="00D01273" w:rsidRPr="008611CA" w:rsidRDefault="00D01273" w:rsidP="008611CA">
      <w:pPr>
        <w:pStyle w:val="bt"/>
      </w:pPr>
      <w:r w:rsidRPr="008611CA">
        <w:t>Employment areas need to be appropriately located and serviced to take advantage of water, infrastructure</w:t>
      </w:r>
      <w:r w:rsidR="00C82971" w:rsidRPr="008611CA">
        <w:t>, information and communications technology</w:t>
      </w:r>
      <w:r w:rsidRPr="008611CA">
        <w:t>, transport and energy connections. Key urban employment locations for the future include</w:t>
      </w:r>
      <w:r w:rsidR="00222447" w:rsidRPr="008611CA">
        <w:t xml:space="preserve"> the </w:t>
      </w:r>
      <w:r w:rsidR="00C45679" w:rsidRPr="008611CA">
        <w:t>r</w:t>
      </w:r>
      <w:r w:rsidR="00222447" w:rsidRPr="008611CA">
        <w:t xml:space="preserve">egional </w:t>
      </w:r>
      <w:r w:rsidR="00C45679" w:rsidRPr="008611CA">
        <w:t>c</w:t>
      </w:r>
      <w:r w:rsidR="00A8098E" w:rsidRPr="008611CA">
        <w:t>ities of Shepparton, Wangaratta and Wodonga</w:t>
      </w:r>
      <w:r w:rsidRPr="008611CA">
        <w:t xml:space="preserve"> </w:t>
      </w:r>
      <w:r w:rsidR="00A8098E" w:rsidRPr="008611CA">
        <w:t xml:space="preserve">and the </w:t>
      </w:r>
      <w:r w:rsidR="00C82971" w:rsidRPr="008611CA">
        <w:t xml:space="preserve">urban </w:t>
      </w:r>
      <w:r w:rsidR="00A8098E" w:rsidRPr="008611CA">
        <w:lastRenderedPageBreak/>
        <w:t xml:space="preserve">centres of </w:t>
      </w:r>
      <w:r w:rsidRPr="008611CA">
        <w:t>Benalla</w:t>
      </w:r>
      <w:r w:rsidR="000E5F04" w:rsidRPr="008611CA">
        <w:t xml:space="preserve"> and</w:t>
      </w:r>
      <w:r w:rsidRPr="008611CA">
        <w:t xml:space="preserve"> Seymour. Some residents will continue to access jobs outside the region in places such as Albury</w:t>
      </w:r>
      <w:r w:rsidR="0074498C" w:rsidRPr="008611CA">
        <w:t>,</w:t>
      </w:r>
      <w:r w:rsidRPr="008611CA">
        <w:t xml:space="preserve"> Melbourne</w:t>
      </w:r>
      <w:r w:rsidR="0074498C" w:rsidRPr="008611CA">
        <w:t xml:space="preserve"> and in Campaspe Shire</w:t>
      </w:r>
      <w:r w:rsidRPr="008611CA">
        <w:t xml:space="preserve">. </w:t>
      </w:r>
    </w:p>
    <w:p w:rsidR="00E4392A" w:rsidRPr="008611CA" w:rsidRDefault="00D01273" w:rsidP="008611CA">
      <w:pPr>
        <w:pStyle w:val="bt"/>
      </w:pPr>
      <w:r w:rsidRPr="008611CA">
        <w:t xml:space="preserve">Providing sufficient amounts of serviced industrial land in urban locations will be critical to the economy of the </w:t>
      </w:r>
      <w:r w:rsidR="00143270" w:rsidRPr="008611CA">
        <w:t xml:space="preserve">Hume </w:t>
      </w:r>
      <w:r w:rsidR="0072417C" w:rsidRPr="008611CA">
        <w:t>R</w:t>
      </w:r>
      <w:r w:rsidRPr="008611CA">
        <w:t xml:space="preserve">egion. </w:t>
      </w:r>
      <w:r w:rsidR="00E4392A" w:rsidRPr="008611CA">
        <w:t>Results from the Urban Development Program, Regional Industrial Reports</w:t>
      </w:r>
      <w:r w:rsidR="00E4392A" w:rsidRPr="00AD5B60">
        <w:rPr>
          <w:rStyle w:val="FootnoteReference"/>
          <w:sz w:val="18"/>
          <w:szCs w:val="18"/>
        </w:rPr>
        <w:footnoteReference w:id="5"/>
      </w:r>
      <w:r w:rsidR="00E4392A" w:rsidRPr="00AD5B60">
        <w:rPr>
          <w:sz w:val="18"/>
          <w:szCs w:val="18"/>
          <w:vertAlign w:val="superscript"/>
        </w:rPr>
        <w:t xml:space="preserve"> </w:t>
      </w:r>
      <w:r w:rsidR="00E4392A" w:rsidRPr="008611CA">
        <w:t>for the City</w:t>
      </w:r>
      <w:r w:rsidR="002F498F" w:rsidRPr="008611CA">
        <w:t xml:space="preserve"> of</w:t>
      </w:r>
      <w:r w:rsidR="00E4392A" w:rsidRPr="008611CA">
        <w:t xml:space="preserve"> Greater Shepparton, City of Wodonga and Rural City of Wangaratta</w:t>
      </w:r>
      <w:r w:rsidR="007117CD">
        <w:t>,</w:t>
      </w:r>
      <w:r w:rsidR="00E4392A" w:rsidRPr="008611CA">
        <w:t xml:space="preserve"> indicate there is in excess of 15 years of industrial zoned supply in these </w:t>
      </w:r>
      <w:r w:rsidR="000E5F04" w:rsidRPr="008611CA">
        <w:t>three</w:t>
      </w:r>
      <w:r w:rsidR="00E4392A" w:rsidRPr="008611CA">
        <w:t xml:space="preserve"> municipalities. </w:t>
      </w:r>
    </w:p>
    <w:p w:rsidR="00E4392A" w:rsidRPr="008611CA" w:rsidRDefault="00D01273" w:rsidP="008611CA">
      <w:pPr>
        <w:pStyle w:val="bt"/>
        <w:rPr>
          <w:szCs w:val="20"/>
        </w:rPr>
      </w:pPr>
      <w:r w:rsidRPr="008611CA">
        <w:t>Investment in renewal or development of physical infrastructure and services will further support economic growth and employment in existing and emerging manufacturing enterprises.</w:t>
      </w:r>
      <w:r w:rsidR="003B0CD4" w:rsidRPr="008611CA">
        <w:rPr>
          <w:szCs w:val="20"/>
        </w:rPr>
        <w:t xml:space="preserve"> </w:t>
      </w:r>
      <w:r w:rsidR="00A452D5" w:rsidRPr="008611CA">
        <w:rPr>
          <w:szCs w:val="20"/>
        </w:rPr>
        <w:t>Existing employment areas will need to be protected from encroachment by new or changing sensitive land uses</w:t>
      </w:r>
      <w:r w:rsidR="00290C32">
        <w:rPr>
          <w:szCs w:val="20"/>
        </w:rPr>
        <w:t xml:space="preserve">, </w:t>
      </w:r>
      <w:r w:rsidR="00A452D5" w:rsidRPr="008611CA">
        <w:rPr>
          <w:szCs w:val="20"/>
        </w:rPr>
        <w:t>including schools, hospitals and houses</w:t>
      </w:r>
      <w:r w:rsidR="00290C32">
        <w:rPr>
          <w:szCs w:val="20"/>
        </w:rPr>
        <w:t>,</w:t>
      </w:r>
      <w:r w:rsidR="00A452D5" w:rsidRPr="008611CA">
        <w:rPr>
          <w:szCs w:val="20"/>
        </w:rPr>
        <w:t xml:space="preserve"> to avoid potential adverse impacts, such as from noise and odour.</w:t>
      </w:r>
    </w:p>
    <w:p w:rsidR="00521CF7" w:rsidRDefault="00521CF7" w:rsidP="0016400E">
      <w:pPr>
        <w:pStyle w:val="Heading3-list"/>
      </w:pPr>
      <w:r w:rsidRPr="00521CF7">
        <w:t>Improve land use planning processes to support improved responses to investment and business opportunities</w:t>
      </w:r>
    </w:p>
    <w:p w:rsidR="00B310B1" w:rsidRPr="008611CA" w:rsidRDefault="00F32A1B" w:rsidP="008611CA">
      <w:pPr>
        <w:pStyle w:val="bt"/>
      </w:pPr>
      <w:r w:rsidRPr="008611CA">
        <w:t>In order to support a more diverse economy and key economic sectors</w:t>
      </w:r>
      <w:r w:rsidR="00AC7ABA" w:rsidRPr="008611CA">
        <w:t>,</w:t>
      </w:r>
      <w:r w:rsidRPr="008611CA">
        <w:t xml:space="preserve"> such as manufacturing</w:t>
      </w:r>
      <w:r w:rsidR="00AC7ABA" w:rsidRPr="008611CA">
        <w:t>,</w:t>
      </w:r>
      <w:r w:rsidRPr="008611CA">
        <w:t xml:space="preserve"> further consideration should be given to improving the ability of businesses to respond quickly to investment and business development opportunities. </w:t>
      </w:r>
      <w:r w:rsidR="00AC7ABA" w:rsidRPr="008611CA">
        <w:t>Streamlining</w:t>
      </w:r>
      <w:r w:rsidRPr="008611CA">
        <w:t xml:space="preserve"> land use planning processes</w:t>
      </w:r>
      <w:r w:rsidR="007F4D6F" w:rsidRPr="008611CA">
        <w:t xml:space="preserve"> and </w:t>
      </w:r>
      <w:r w:rsidR="00A95F8F" w:rsidRPr="008611CA">
        <w:t xml:space="preserve">providing </w:t>
      </w:r>
      <w:r w:rsidR="007F4D6F" w:rsidRPr="008611CA">
        <w:t>a consistent regional approach could</w:t>
      </w:r>
      <w:r w:rsidR="00AC7ABA" w:rsidRPr="008611CA">
        <w:t xml:space="preserve"> contribute to improving this ability.</w:t>
      </w:r>
      <w:r w:rsidR="007F4D6F" w:rsidRPr="008611CA">
        <w:t xml:space="preserve"> </w:t>
      </w:r>
      <w:r w:rsidR="00D80DEF" w:rsidRPr="008611CA">
        <w:t>A</w:t>
      </w:r>
      <w:r w:rsidR="00A95F8F" w:rsidRPr="008611CA">
        <w:t xml:space="preserve"> consistent, streamlined approach could be applied to </w:t>
      </w:r>
      <w:r w:rsidR="00DB6110" w:rsidRPr="008611CA">
        <w:t xml:space="preserve">industry </w:t>
      </w:r>
      <w:r w:rsidR="00A95F8F" w:rsidRPr="008611CA">
        <w:t xml:space="preserve">clusters identified at a regional or </w:t>
      </w:r>
      <w:r w:rsidR="00112C95">
        <w:t>sub-region</w:t>
      </w:r>
      <w:r w:rsidR="00D80DEF" w:rsidRPr="008611CA">
        <w:t>al</w:t>
      </w:r>
      <w:r w:rsidR="00A95F8F" w:rsidRPr="008611CA">
        <w:t xml:space="preserve"> scale to support investment in these locations.</w:t>
      </w:r>
    </w:p>
    <w:p w:rsidR="00521CF7" w:rsidRDefault="00521CF7" w:rsidP="0016400E">
      <w:pPr>
        <w:pStyle w:val="Heading3-list"/>
      </w:pPr>
      <w:r w:rsidRPr="00521CF7">
        <w:t>Build on existing business and industry and attract new investment</w:t>
      </w:r>
    </w:p>
    <w:p w:rsidR="00B310B1" w:rsidRPr="008611CA" w:rsidRDefault="0098246C" w:rsidP="008611CA">
      <w:pPr>
        <w:pStyle w:val="bt"/>
      </w:pPr>
      <w:r w:rsidRPr="008611CA">
        <w:t>Ad</w:t>
      </w:r>
      <w:r w:rsidR="00240170" w:rsidRPr="008611CA">
        <w:t>equate suppl</w:t>
      </w:r>
      <w:r w:rsidRPr="008611CA">
        <w:t>ies</w:t>
      </w:r>
      <w:r w:rsidR="00240170" w:rsidRPr="008611CA">
        <w:t xml:space="preserve"> of land, water, physical and social infrastructure, technology</w:t>
      </w:r>
      <w:r w:rsidRPr="008611CA">
        <w:t xml:space="preserve"> and</w:t>
      </w:r>
      <w:r w:rsidR="00240170" w:rsidRPr="008611CA">
        <w:t xml:space="preserve"> transport, a skilled workforce, quality education and affordable housing</w:t>
      </w:r>
      <w:r w:rsidRPr="008611CA">
        <w:t xml:space="preserve"> are factors that will help attract new investment</w:t>
      </w:r>
      <w:r w:rsidR="00CE591F" w:rsidRPr="008611CA">
        <w:t>, support growth of existing business and industry</w:t>
      </w:r>
      <w:r w:rsidR="00D80DEF" w:rsidRPr="008611CA">
        <w:t>,</w:t>
      </w:r>
      <w:r w:rsidRPr="008611CA">
        <w:t xml:space="preserve"> and increase economic development in the </w:t>
      </w:r>
      <w:r w:rsidR="00D80DEF" w:rsidRPr="008611CA">
        <w:t xml:space="preserve">Hume </w:t>
      </w:r>
      <w:r w:rsidR="0072417C" w:rsidRPr="008611CA">
        <w:t>R</w:t>
      </w:r>
      <w:r w:rsidRPr="008611CA">
        <w:t>egion</w:t>
      </w:r>
      <w:r w:rsidR="00240170" w:rsidRPr="008611CA">
        <w:t xml:space="preserve">. </w:t>
      </w:r>
    </w:p>
    <w:p w:rsidR="00B310B1" w:rsidRPr="008611CA" w:rsidRDefault="00CE591F" w:rsidP="008611CA">
      <w:pPr>
        <w:pStyle w:val="bt"/>
      </w:pPr>
      <w:r w:rsidRPr="008611CA">
        <w:t xml:space="preserve">Significant public sector investment will also be needed in the </w:t>
      </w:r>
      <w:r w:rsidR="001E3654" w:rsidRPr="00526583">
        <w:t>CBD</w:t>
      </w:r>
      <w:r w:rsidR="001E3654">
        <w:rPr>
          <w:b/>
        </w:rPr>
        <w:t xml:space="preserve"> </w:t>
      </w:r>
      <w:r w:rsidR="00D80DEF" w:rsidRPr="008611CA">
        <w:t xml:space="preserve">of </w:t>
      </w:r>
      <w:r w:rsidRPr="008611CA">
        <w:t xml:space="preserve">key urban centres, such as Shepparton and Wodonga, </w:t>
      </w:r>
      <w:r w:rsidR="001938BB" w:rsidRPr="008611CA">
        <w:t>to reinforce their role as major retail and service hubs. Public sector investment will help stimulate private sector investment in these areas, which in</w:t>
      </w:r>
      <w:r w:rsidR="002503F8" w:rsidRPr="008611CA">
        <w:t xml:space="preserve"> </w:t>
      </w:r>
      <w:r w:rsidR="001938BB" w:rsidRPr="008611CA">
        <w:t xml:space="preserve">turn </w:t>
      </w:r>
      <w:r w:rsidR="00D80DEF" w:rsidRPr="008611CA">
        <w:t xml:space="preserve">will </w:t>
      </w:r>
      <w:r w:rsidR="001938BB" w:rsidRPr="008611CA">
        <w:t>help</w:t>
      </w:r>
      <w:r w:rsidR="002503F8" w:rsidRPr="008611CA">
        <w:t xml:space="preserve"> </w:t>
      </w:r>
      <w:r w:rsidR="001938BB" w:rsidRPr="008611CA">
        <w:t xml:space="preserve">create vibrant and attractive </w:t>
      </w:r>
      <w:r w:rsidR="001E3654" w:rsidRPr="00526583">
        <w:t>CBD</w:t>
      </w:r>
      <w:r w:rsidR="00290C32">
        <w:t>’s</w:t>
      </w:r>
      <w:r w:rsidR="001E3654">
        <w:rPr>
          <w:b/>
        </w:rPr>
        <w:t xml:space="preserve"> </w:t>
      </w:r>
      <w:r w:rsidR="001938BB" w:rsidRPr="008611CA">
        <w:t>and promote business activity and employment.</w:t>
      </w:r>
    </w:p>
    <w:p w:rsidR="008E211D" w:rsidRPr="008611CA" w:rsidRDefault="001938BB" w:rsidP="008611CA">
      <w:pPr>
        <w:pStyle w:val="bt"/>
      </w:pPr>
      <w:r w:rsidRPr="008611CA">
        <w:t>The recent $2 billion investment in irrigation modernisation</w:t>
      </w:r>
      <w:r w:rsidR="002E3C59" w:rsidRPr="008611CA">
        <w:t xml:space="preserve"> and on-farm irrigation efficiency improvements</w:t>
      </w:r>
      <w:r w:rsidRPr="008611CA">
        <w:t xml:space="preserve"> in the Goulburn Valley </w:t>
      </w:r>
      <w:r w:rsidR="00C3506A">
        <w:t>have</w:t>
      </w:r>
      <w:r w:rsidR="00C3506A" w:rsidRPr="008611CA">
        <w:t xml:space="preserve"> </w:t>
      </w:r>
      <w:r w:rsidRPr="008611CA">
        <w:t>significant potential to attract further investment and provide opportunities for capitalising on growing and emerging markets for food products in places like China and India.</w:t>
      </w:r>
    </w:p>
    <w:p w:rsidR="007B2479" w:rsidRDefault="00240170" w:rsidP="008611CA">
      <w:pPr>
        <w:pStyle w:val="bt"/>
      </w:pPr>
      <w:r w:rsidRPr="008611CA">
        <w:t xml:space="preserve">The </w:t>
      </w:r>
      <w:r w:rsidR="00D80DEF" w:rsidRPr="008611CA">
        <w:t xml:space="preserve">Hume </w:t>
      </w:r>
      <w:r w:rsidR="0072417C" w:rsidRPr="008611CA">
        <w:t>R</w:t>
      </w:r>
      <w:r w:rsidRPr="008611CA">
        <w:t xml:space="preserve">egion </w:t>
      </w:r>
      <w:r w:rsidR="0098246C" w:rsidRPr="008611CA">
        <w:t xml:space="preserve">is likely to </w:t>
      </w:r>
      <w:r w:rsidRPr="008611CA">
        <w:t>be an attractive option for a</w:t>
      </w:r>
      <w:r w:rsidR="00D80DEF" w:rsidRPr="008611CA">
        <w:t xml:space="preserve">n expanded </w:t>
      </w:r>
      <w:r w:rsidRPr="008611CA">
        <w:t xml:space="preserve">workforce due to its liveability and investment in educational facilities, </w:t>
      </w:r>
      <w:r w:rsidR="0098246C" w:rsidRPr="008611CA">
        <w:t xml:space="preserve">information and communications technology </w:t>
      </w:r>
      <w:r w:rsidRPr="008611CA">
        <w:t xml:space="preserve">and improved transport links. </w:t>
      </w:r>
      <w:r w:rsidR="0098246C" w:rsidRPr="008611CA">
        <w:t xml:space="preserve">Technological advances will also support </w:t>
      </w:r>
      <w:r w:rsidRPr="008611CA">
        <w:t>alternative working arrangements such as</w:t>
      </w:r>
      <w:r w:rsidR="0098246C" w:rsidRPr="008611CA">
        <w:t xml:space="preserve"> home</w:t>
      </w:r>
      <w:r w:rsidR="00D80DEF" w:rsidRPr="008611CA">
        <w:t>-</w:t>
      </w:r>
      <w:r w:rsidR="0098246C" w:rsidRPr="008611CA">
        <w:t>base</w:t>
      </w:r>
      <w:r w:rsidR="00D80DEF" w:rsidRPr="008611CA">
        <w:t>d</w:t>
      </w:r>
      <w:r w:rsidR="0098246C" w:rsidRPr="008611CA">
        <w:t xml:space="preserve"> businesses and</w:t>
      </w:r>
      <w:r w:rsidRPr="008611CA">
        <w:t xml:space="preserve"> telecommuting. </w:t>
      </w:r>
      <w:r w:rsidR="0098246C" w:rsidRPr="008611CA">
        <w:t>I</w:t>
      </w:r>
      <w:r w:rsidRPr="008611CA">
        <w:t xml:space="preserve">nfrastructure </w:t>
      </w:r>
      <w:r w:rsidR="0098246C" w:rsidRPr="008611CA">
        <w:t xml:space="preserve">will </w:t>
      </w:r>
      <w:r w:rsidRPr="008611CA">
        <w:t>also be needed to support</w:t>
      </w:r>
      <w:r w:rsidR="00A16A1E" w:rsidRPr="008611CA">
        <w:t xml:space="preserve"> renewable energy</w:t>
      </w:r>
      <w:r w:rsidRPr="008611CA">
        <w:t xml:space="preserve"> </w:t>
      </w:r>
      <w:r w:rsidR="0098246C" w:rsidRPr="008611CA">
        <w:t>initiatives</w:t>
      </w:r>
      <w:r w:rsidR="00D842AF" w:rsidRPr="008611CA">
        <w:t>, such as solar energy generation</w:t>
      </w:r>
      <w:r w:rsidR="00A16A1E" w:rsidRPr="008611CA">
        <w:t>,</w:t>
      </w:r>
      <w:r w:rsidR="00D842AF" w:rsidRPr="008611CA">
        <w:t xml:space="preserve"> and energy</w:t>
      </w:r>
      <w:r w:rsidRPr="008611CA">
        <w:t xml:space="preserve"> from waste</w:t>
      </w:r>
      <w:r w:rsidR="00D53A39">
        <w:t>,</w:t>
      </w:r>
      <w:r w:rsidR="0098246C" w:rsidRPr="008611CA">
        <w:t xml:space="preserve"> </w:t>
      </w:r>
      <w:r w:rsidRPr="008611CA">
        <w:t>including green waste from primary production</w:t>
      </w:r>
      <w:r w:rsidR="0098246C" w:rsidRPr="008611CA">
        <w:t xml:space="preserve"> and the </w:t>
      </w:r>
      <w:r w:rsidRPr="008611CA">
        <w:t xml:space="preserve">timber </w:t>
      </w:r>
      <w:r w:rsidR="0098246C" w:rsidRPr="008611CA">
        <w:t>industry</w:t>
      </w:r>
      <w:r w:rsidRPr="008611CA">
        <w:t>. Opportunities may exist in the region to co-locate</w:t>
      </w:r>
      <w:r w:rsidR="0098246C" w:rsidRPr="008611CA">
        <w:t xml:space="preserve"> industries</w:t>
      </w:r>
      <w:r w:rsidRPr="008611CA">
        <w:t xml:space="preserve"> to maximise resource use efficiency and minimise waste generation and waste treatment costs.</w:t>
      </w:r>
    </w:p>
    <w:p w:rsidR="006C37DF" w:rsidRDefault="006C37DF" w:rsidP="0016400E">
      <w:pPr>
        <w:pStyle w:val="Heading3-list"/>
      </w:pPr>
      <w:r w:rsidRPr="006C37DF">
        <w:t>Protect, maintain and enhance tourism assets</w:t>
      </w:r>
    </w:p>
    <w:p w:rsidR="00DE4E99" w:rsidRDefault="00240170" w:rsidP="008611CA">
      <w:pPr>
        <w:pStyle w:val="bt"/>
      </w:pPr>
      <w:r w:rsidRPr="008611CA">
        <w:t xml:space="preserve">The </w:t>
      </w:r>
      <w:r w:rsidR="00D80DEF" w:rsidRPr="008611CA">
        <w:t xml:space="preserve">Hume </w:t>
      </w:r>
      <w:r w:rsidR="0072417C" w:rsidRPr="008611CA">
        <w:t>R</w:t>
      </w:r>
      <w:r w:rsidRPr="008611CA">
        <w:t>egion will continue to offer tourism attractions such as food and wine, snow and other nature</w:t>
      </w:r>
      <w:r w:rsidR="002F42FB" w:rsidRPr="008611CA">
        <w:t>-</w:t>
      </w:r>
      <w:r w:rsidRPr="008611CA">
        <w:t xml:space="preserve">based experiences, </w:t>
      </w:r>
      <w:r w:rsidR="00C3506A" w:rsidRPr="008611CA">
        <w:t>long</w:t>
      </w:r>
      <w:r w:rsidR="00C3506A">
        <w:t>-</w:t>
      </w:r>
      <w:r w:rsidRPr="008611CA">
        <w:t>distance cycling</w:t>
      </w:r>
      <w:r w:rsidR="00E51BFC" w:rsidRPr="008611CA">
        <w:t>, art and culture</w:t>
      </w:r>
      <w:r w:rsidRPr="008611CA">
        <w:t xml:space="preserve"> and unique cultural heritage.</w:t>
      </w:r>
      <w:r w:rsidR="0041206F" w:rsidRPr="008611CA">
        <w:t xml:space="preserve"> Environmental </w:t>
      </w:r>
      <w:r w:rsidR="00610B4C" w:rsidRPr="008611CA">
        <w:t xml:space="preserve">and cultural heritage </w:t>
      </w:r>
      <w:r w:rsidRPr="008611CA">
        <w:t>assets</w:t>
      </w:r>
      <w:r w:rsidR="00D80DEF" w:rsidRPr="008611CA">
        <w:t xml:space="preserve"> such as a</w:t>
      </w:r>
      <w:r w:rsidR="00836C2D" w:rsidRPr="008611CA">
        <w:t xml:space="preserve">lpine areas, national parks and other public land, water bodies and scenic </w:t>
      </w:r>
      <w:r w:rsidR="00836C2D" w:rsidRPr="008611CA">
        <w:lastRenderedPageBreak/>
        <w:t xml:space="preserve">landscapes </w:t>
      </w:r>
      <w:r w:rsidRPr="008611CA">
        <w:t xml:space="preserve">contribute to the economy </w:t>
      </w:r>
      <w:r w:rsidR="00610B4C" w:rsidRPr="008611CA">
        <w:t xml:space="preserve">and liveability of the region </w:t>
      </w:r>
      <w:r w:rsidRPr="008611CA">
        <w:t xml:space="preserve">by attracting visitors and new residents. Protecting, maintaining and enhancing these </w:t>
      </w:r>
      <w:r w:rsidR="00836C2D" w:rsidRPr="008611CA">
        <w:t xml:space="preserve">key regional </w:t>
      </w:r>
      <w:r w:rsidRPr="008611CA">
        <w:t>assets will contribute to building a more diverse economy</w:t>
      </w:r>
      <w:r w:rsidR="00610B4C" w:rsidRPr="008611CA">
        <w:t xml:space="preserve"> and sense of place for the region</w:t>
      </w:r>
      <w:r w:rsidRPr="008611CA">
        <w:t xml:space="preserve">. </w:t>
      </w:r>
    </w:p>
    <w:p w:rsidR="00B310B1" w:rsidRPr="008611CA" w:rsidRDefault="00A16A1E" w:rsidP="008611CA">
      <w:pPr>
        <w:pStyle w:val="bt"/>
      </w:pPr>
      <w:r w:rsidRPr="008611CA">
        <w:t xml:space="preserve">This </w:t>
      </w:r>
      <w:r w:rsidR="00D36385" w:rsidRPr="008611CA">
        <w:t>p</w:t>
      </w:r>
      <w:r w:rsidR="00836C2D" w:rsidRPr="008611CA">
        <w:t>lan supports n</w:t>
      </w:r>
      <w:r w:rsidR="00240170" w:rsidRPr="008611CA">
        <w:t>ature</w:t>
      </w:r>
      <w:r w:rsidR="002F42FB" w:rsidRPr="008611CA">
        <w:t>-</w:t>
      </w:r>
      <w:r w:rsidR="00240170" w:rsidRPr="008611CA">
        <w:t xml:space="preserve">based tourism that takes advantage of </w:t>
      </w:r>
      <w:r w:rsidR="0041206F" w:rsidRPr="008611CA">
        <w:t xml:space="preserve">environmental </w:t>
      </w:r>
      <w:r w:rsidR="00240170" w:rsidRPr="008611CA">
        <w:t xml:space="preserve">assets without compromising </w:t>
      </w:r>
      <w:r w:rsidR="00836C2D" w:rsidRPr="008611CA">
        <w:t>their values</w:t>
      </w:r>
      <w:r w:rsidR="00240170" w:rsidRPr="008611CA">
        <w:t xml:space="preserve">. </w:t>
      </w:r>
      <w:r w:rsidR="00BD5968" w:rsidRPr="008611CA">
        <w:t xml:space="preserve">Examples of key tourism places in the region include </w:t>
      </w:r>
      <w:r w:rsidR="00D80DEF" w:rsidRPr="008611CA">
        <w:t>a</w:t>
      </w:r>
      <w:r w:rsidR="00BD5968" w:rsidRPr="008611CA">
        <w:t>lpine resorts, lakes (such a</w:t>
      </w:r>
      <w:r w:rsidRPr="008611CA">
        <w:t>s</w:t>
      </w:r>
      <w:r w:rsidR="00BD5968" w:rsidRPr="008611CA">
        <w:t xml:space="preserve"> Hume, Eildon and Dartmouth), rivers (such as the Murray River), wetlands (such as the Barmah Forest and Winton Wetlands) and public land (such as the Alpine National Park).</w:t>
      </w:r>
      <w:r w:rsidR="005531FA">
        <w:t xml:space="preserve"> </w:t>
      </w:r>
      <w:r w:rsidR="00240170" w:rsidRPr="008611CA">
        <w:t>Tracks and trails</w:t>
      </w:r>
      <w:r w:rsidR="00836C2D" w:rsidRPr="008611CA">
        <w:t>,</w:t>
      </w:r>
      <w:r w:rsidR="00240170" w:rsidRPr="008611CA">
        <w:t xml:space="preserve"> including rail trails</w:t>
      </w:r>
      <w:r w:rsidR="00836C2D" w:rsidRPr="008611CA">
        <w:t>,</w:t>
      </w:r>
      <w:r w:rsidR="00240170" w:rsidRPr="008611CA">
        <w:t xml:space="preserve"> will continue to offer recreation and tourism experiences in the region</w:t>
      </w:r>
      <w:r w:rsidR="00836C2D" w:rsidRPr="008611CA">
        <w:t>. Opportunities exist to</w:t>
      </w:r>
      <w:r w:rsidR="00240170" w:rsidRPr="008611CA">
        <w:t xml:space="preserve"> </w:t>
      </w:r>
      <w:r w:rsidR="00836C2D" w:rsidRPr="008611CA">
        <w:t>develop compl</w:t>
      </w:r>
      <w:r w:rsidR="00D53A39">
        <w:t>e</w:t>
      </w:r>
      <w:r w:rsidR="00836C2D" w:rsidRPr="008611CA">
        <w:t>mentary land uses, infrastructure and services</w:t>
      </w:r>
      <w:r w:rsidRPr="008611CA">
        <w:t>,</w:t>
      </w:r>
      <w:r w:rsidR="00836C2D" w:rsidRPr="008611CA">
        <w:t xml:space="preserve"> such as accommodation, transport to trails and cycle loops</w:t>
      </w:r>
      <w:r w:rsidRPr="008611CA">
        <w:t>,</w:t>
      </w:r>
      <w:r w:rsidR="00836C2D" w:rsidRPr="008611CA">
        <w:t xml:space="preserve"> to support and build on</w:t>
      </w:r>
      <w:r w:rsidR="00240170" w:rsidRPr="008611CA">
        <w:t xml:space="preserve"> </w:t>
      </w:r>
      <w:r w:rsidR="00836C2D" w:rsidRPr="008611CA">
        <w:t xml:space="preserve">existing </w:t>
      </w:r>
      <w:r w:rsidR="00240170" w:rsidRPr="008611CA">
        <w:t>tracks and trails</w:t>
      </w:r>
      <w:r w:rsidR="00836C2D" w:rsidRPr="008611CA">
        <w:t>.</w:t>
      </w:r>
    </w:p>
    <w:p w:rsidR="007A28AE" w:rsidRPr="008611CA" w:rsidRDefault="00666E96" w:rsidP="008611CA">
      <w:pPr>
        <w:pStyle w:val="bt"/>
      </w:pPr>
      <w:r w:rsidRPr="008611CA">
        <w:t>Alpine resorts have the potential to offer a range of tourism activities throughout</w:t>
      </w:r>
      <w:r w:rsidR="002503F8" w:rsidRPr="008611CA">
        <w:t xml:space="preserve"> the year.</w:t>
      </w:r>
      <w:r w:rsidRPr="008611CA">
        <w:t xml:space="preserve"> </w:t>
      </w:r>
      <w:r w:rsidR="002503F8" w:rsidRPr="008611CA">
        <w:t>Supporting</w:t>
      </w:r>
      <w:r w:rsidRPr="008611CA">
        <w:t xml:space="preserve"> further development of year-round attractions will contribute to the</w:t>
      </w:r>
      <w:r w:rsidR="00836C2D" w:rsidRPr="008611CA">
        <w:t xml:space="preserve"> long-term viability of alpine </w:t>
      </w:r>
      <w:r w:rsidR="005C068C" w:rsidRPr="008611CA">
        <w:t>resorts</w:t>
      </w:r>
      <w:r w:rsidR="005C068C">
        <w:t xml:space="preserve"> and</w:t>
      </w:r>
      <w:r w:rsidR="00290C32">
        <w:t xml:space="preserve"> help diversify the region’s tourism </w:t>
      </w:r>
      <w:r w:rsidR="00321293">
        <w:t>product,</w:t>
      </w:r>
      <w:r w:rsidR="00836C2D" w:rsidRPr="008611CA">
        <w:t xml:space="preserve"> </w:t>
      </w:r>
      <w:r w:rsidR="009E3261" w:rsidRPr="008611CA">
        <w:t xml:space="preserve">with winter tourism </w:t>
      </w:r>
      <w:r w:rsidR="00836C2D" w:rsidRPr="008611CA">
        <w:t xml:space="preserve">under </w:t>
      </w:r>
      <w:r w:rsidR="00D80DEF" w:rsidRPr="008611CA">
        <w:t xml:space="preserve">threat from </w:t>
      </w:r>
      <w:r w:rsidR="00836C2D" w:rsidRPr="008611CA">
        <w:t>the potential impacts of climate change</w:t>
      </w:r>
      <w:r w:rsidR="00C3506A">
        <w:t>,</w:t>
      </w:r>
      <w:r w:rsidR="009E3261" w:rsidRPr="008611CA">
        <w:t xml:space="preserve"> which will reduce the average snow cover and number of snow days</w:t>
      </w:r>
      <w:r w:rsidR="00321293">
        <w:t>.</w:t>
      </w:r>
      <w:r w:rsidR="00836C2D" w:rsidRPr="008611CA">
        <w:t xml:space="preserve"> </w:t>
      </w:r>
      <w:r w:rsidR="00E55341">
        <w:t xml:space="preserve">The fire hazard presented by the environments within which </w:t>
      </w:r>
      <w:r w:rsidR="00C3506A">
        <w:t xml:space="preserve">alpine </w:t>
      </w:r>
      <w:r w:rsidR="00E55341">
        <w:t>resorts are located will need to be considered when planning for the further development of these resorts.</w:t>
      </w:r>
      <w:r w:rsidR="00DB6566">
        <w:t xml:space="preserve"> Locations in close proximity to alpine resorts support tourism activities at resorts by offering accommodation and alternative activities. </w:t>
      </w:r>
    </w:p>
    <w:p w:rsidR="00DE4E99" w:rsidRDefault="00666E96" w:rsidP="008611CA">
      <w:pPr>
        <w:pStyle w:val="bt"/>
      </w:pPr>
      <w:r w:rsidRPr="008611CA">
        <w:t>T</w:t>
      </w:r>
      <w:r w:rsidR="00240170" w:rsidRPr="008611CA">
        <w:t xml:space="preserve">ourism has become an important adjunct to </w:t>
      </w:r>
      <w:r w:rsidRPr="008611CA">
        <w:t xml:space="preserve">many </w:t>
      </w:r>
      <w:r w:rsidR="00240170" w:rsidRPr="008611CA">
        <w:t xml:space="preserve">agricultural enterprises, providing additional income </w:t>
      </w:r>
      <w:r w:rsidRPr="008611CA">
        <w:t>through activities such as cellar door and</w:t>
      </w:r>
      <w:r w:rsidR="00240170" w:rsidRPr="008611CA">
        <w:t xml:space="preserve"> farm gate sales and accommodation. </w:t>
      </w:r>
      <w:r w:rsidR="00B41326">
        <w:t xml:space="preserve">Attractive rural landscapes could provide opportunities </w:t>
      </w:r>
      <w:r w:rsidR="00B41326" w:rsidRPr="00D3295D">
        <w:t>for niche farming and associated tourism.</w:t>
      </w:r>
      <w:r w:rsidR="00240170" w:rsidRPr="008611CA">
        <w:t xml:space="preserve"> </w:t>
      </w:r>
      <w:r w:rsidR="00B41326">
        <w:t>R</w:t>
      </w:r>
      <w:r w:rsidR="00240170" w:rsidRPr="008611CA">
        <w:t xml:space="preserve">ural tourism activities could also contribute to </w:t>
      </w:r>
      <w:r w:rsidR="00075E07" w:rsidRPr="008611CA">
        <w:t xml:space="preserve">the </w:t>
      </w:r>
      <w:r w:rsidR="00240170" w:rsidRPr="008611CA">
        <w:t>diversification of the region</w:t>
      </w:r>
      <w:r w:rsidR="00075E07" w:rsidRPr="008611CA">
        <w:t>’s</w:t>
      </w:r>
      <w:r w:rsidR="00240170" w:rsidRPr="008611CA">
        <w:t xml:space="preserve"> tourism product and mitigat</w:t>
      </w:r>
      <w:r w:rsidRPr="008611CA">
        <w:t>e</w:t>
      </w:r>
      <w:r w:rsidR="00240170" w:rsidRPr="008611CA">
        <w:t xml:space="preserve"> potential economic impacts on the tourism industry as a result of climate change</w:t>
      </w:r>
      <w:r w:rsidR="00683BAF" w:rsidRPr="008611CA">
        <w:t xml:space="preserve">, </w:t>
      </w:r>
      <w:r w:rsidR="001D7E0B" w:rsidRPr="008611CA">
        <w:t>such as reduced snow cover and water available for recreational purposes</w:t>
      </w:r>
      <w:r w:rsidR="00240170" w:rsidRPr="008611CA">
        <w:t xml:space="preserve">. </w:t>
      </w:r>
    </w:p>
    <w:p w:rsidR="007A28AE" w:rsidRPr="008611CA" w:rsidRDefault="00240170" w:rsidP="008611CA">
      <w:pPr>
        <w:pStyle w:val="bt"/>
      </w:pPr>
      <w:r w:rsidRPr="008611CA">
        <w:t>Rural tourism activities should be strategically planned to ensure they are compatible with other rural land uses</w:t>
      </w:r>
      <w:r w:rsidR="002503F8" w:rsidRPr="008611CA">
        <w:t xml:space="preserve"> and</w:t>
      </w:r>
      <w:r w:rsidR="007B3B55" w:rsidRPr="008611CA">
        <w:t xml:space="preserve"> </w:t>
      </w:r>
      <w:r w:rsidR="00E51BFC" w:rsidRPr="008611CA">
        <w:t>protect landscape</w:t>
      </w:r>
      <w:r w:rsidR="00C15B88" w:rsidRPr="008611CA">
        <w:t xml:space="preserve"> and heritage</w:t>
      </w:r>
      <w:r w:rsidR="00E51BFC" w:rsidRPr="008611CA">
        <w:t xml:space="preserve"> values</w:t>
      </w:r>
      <w:r w:rsidRPr="008611CA">
        <w:t>.</w:t>
      </w:r>
      <w:r w:rsidR="00B107AA" w:rsidRPr="008611CA">
        <w:t xml:space="preserve"> High quality and diverse tourist accommodation options, both urban and rural locations, will be encouraged in appropriate locations. </w:t>
      </w:r>
    </w:p>
    <w:p w:rsidR="007A28AE" w:rsidRDefault="00A95F8F" w:rsidP="008611CA">
      <w:pPr>
        <w:pStyle w:val="bt"/>
      </w:pPr>
      <w:r w:rsidRPr="008611CA">
        <w:t xml:space="preserve">The </w:t>
      </w:r>
      <w:r w:rsidR="00075E07" w:rsidRPr="008611CA">
        <w:t xml:space="preserve">Hume </w:t>
      </w:r>
      <w:r w:rsidR="0072417C" w:rsidRPr="008611CA">
        <w:t>R</w:t>
      </w:r>
      <w:r w:rsidRPr="008611CA">
        <w:t xml:space="preserve">egion is home to </w:t>
      </w:r>
      <w:r w:rsidR="00075E07" w:rsidRPr="008611CA">
        <w:t xml:space="preserve">several cultural and sporting </w:t>
      </w:r>
      <w:r w:rsidRPr="008611CA">
        <w:t xml:space="preserve">events that attract </w:t>
      </w:r>
      <w:r w:rsidR="00075E07" w:rsidRPr="008611CA">
        <w:t xml:space="preserve">a large number of </w:t>
      </w:r>
      <w:r w:rsidRPr="008611CA">
        <w:t xml:space="preserve">visitors. Providing </w:t>
      </w:r>
      <w:r w:rsidR="001F74BD" w:rsidRPr="008611CA">
        <w:t xml:space="preserve">and improving </w:t>
      </w:r>
      <w:r w:rsidRPr="008611CA">
        <w:t xml:space="preserve">venues for such events will strengthen the region’s ability to accommodate these types of events and attract </w:t>
      </w:r>
      <w:r w:rsidR="00075E07" w:rsidRPr="008611CA">
        <w:t xml:space="preserve">more </w:t>
      </w:r>
      <w:r w:rsidRPr="008611CA">
        <w:t>visitors.</w:t>
      </w:r>
    </w:p>
    <w:p w:rsidR="000C78A9" w:rsidRPr="008611CA" w:rsidRDefault="000C78A9" w:rsidP="008611CA">
      <w:pPr>
        <w:pStyle w:val="bt"/>
      </w:pPr>
      <w:r>
        <w:t>The improvement of infrastructure could also help support tourism activ</w:t>
      </w:r>
      <w:r w:rsidR="00DE4E99">
        <w:t>ities</w:t>
      </w:r>
      <w:r>
        <w:t xml:space="preserve"> in the region.</w:t>
      </w:r>
    </w:p>
    <w:p w:rsidR="006C37DF" w:rsidRDefault="006C37DF" w:rsidP="0016400E">
      <w:pPr>
        <w:pStyle w:val="Heading3-list"/>
      </w:pPr>
      <w:r w:rsidRPr="006C37DF">
        <w:t>Maximise transport assets to support the regional economy</w:t>
      </w:r>
    </w:p>
    <w:p w:rsidR="00601366" w:rsidRPr="008611CA" w:rsidRDefault="00075E07" w:rsidP="008611CA">
      <w:pPr>
        <w:pStyle w:val="bt"/>
      </w:pPr>
      <w:r w:rsidRPr="008611CA">
        <w:t xml:space="preserve">The </w:t>
      </w:r>
      <w:r w:rsidR="00BB6E71" w:rsidRPr="008611CA">
        <w:t>Hume</w:t>
      </w:r>
      <w:r w:rsidR="00240170" w:rsidRPr="008611CA">
        <w:t xml:space="preserve"> </w:t>
      </w:r>
      <w:r w:rsidR="001F74BD" w:rsidRPr="008611CA">
        <w:t>R</w:t>
      </w:r>
      <w:r w:rsidRPr="008611CA">
        <w:t xml:space="preserve">egion </w:t>
      </w:r>
      <w:r w:rsidR="00240170" w:rsidRPr="008611CA">
        <w:t xml:space="preserve">will continue to capitalise on </w:t>
      </w:r>
      <w:r w:rsidR="00BB6E71" w:rsidRPr="008611CA">
        <w:t xml:space="preserve">its </w:t>
      </w:r>
      <w:r w:rsidR="00240170" w:rsidRPr="008611CA">
        <w:t>national transport links</w:t>
      </w:r>
      <w:r w:rsidR="00BB6E71" w:rsidRPr="008611CA">
        <w:t>, for both passengers and freight,</w:t>
      </w:r>
      <w:r w:rsidR="00240170" w:rsidRPr="008611CA">
        <w:t xml:space="preserve"> to support the regional economy.</w:t>
      </w:r>
      <w:r w:rsidR="002873C3" w:rsidRPr="008611CA">
        <w:t xml:space="preserve"> </w:t>
      </w:r>
      <w:r w:rsidR="00BB6E71" w:rsidRPr="008611CA">
        <w:t>Making the best use</w:t>
      </w:r>
      <w:r w:rsidR="00240170" w:rsidRPr="008611CA">
        <w:t xml:space="preserve"> of the region’s strategic transport assets </w:t>
      </w:r>
      <w:r w:rsidR="00BB6E71" w:rsidRPr="008611CA">
        <w:t>involves continuing development of</w:t>
      </w:r>
      <w:r w:rsidR="00240170" w:rsidRPr="008611CA">
        <w:t xml:space="preserve"> the existing freight </w:t>
      </w:r>
      <w:r w:rsidR="00476025" w:rsidRPr="008611CA">
        <w:t xml:space="preserve">and </w:t>
      </w:r>
      <w:r w:rsidR="00240170" w:rsidRPr="008611CA">
        <w:t>logistics precinct at Wodonga (</w:t>
      </w:r>
      <w:r w:rsidR="00BB6E71" w:rsidRPr="008611CA">
        <w:t>LOGIC</w:t>
      </w:r>
      <w:r w:rsidR="004218AA" w:rsidRPr="008611CA">
        <w:t xml:space="preserve"> freight activity centre</w:t>
      </w:r>
      <w:r w:rsidR="00240170" w:rsidRPr="008611CA">
        <w:t>), establish</w:t>
      </w:r>
      <w:r w:rsidR="00BB6E71" w:rsidRPr="008611CA">
        <w:t>ing</w:t>
      </w:r>
      <w:r w:rsidR="00240170" w:rsidRPr="008611CA">
        <w:t xml:space="preserve"> a consolidated freight </w:t>
      </w:r>
      <w:r w:rsidR="00476025" w:rsidRPr="008611CA">
        <w:t xml:space="preserve">and </w:t>
      </w:r>
      <w:r w:rsidR="00240170" w:rsidRPr="008611CA">
        <w:t xml:space="preserve">logistics precinct south of Mooroopna </w:t>
      </w:r>
      <w:r w:rsidR="00435735" w:rsidRPr="008611CA">
        <w:t>and at the proposed Beveridge Interstate Freight T</w:t>
      </w:r>
      <w:r w:rsidR="00476025" w:rsidRPr="008611CA">
        <w:t>erminal</w:t>
      </w:r>
      <w:r w:rsidRPr="008611CA">
        <w:t>,</w:t>
      </w:r>
      <w:r w:rsidR="00476025" w:rsidRPr="008611CA">
        <w:t xml:space="preserve"> </w:t>
      </w:r>
      <w:r w:rsidR="00240170" w:rsidRPr="008611CA">
        <w:t>and explor</w:t>
      </w:r>
      <w:r w:rsidR="00BB6E71" w:rsidRPr="008611CA">
        <w:t>ing</w:t>
      </w:r>
      <w:r w:rsidR="00240170" w:rsidRPr="008611CA">
        <w:t xml:space="preserve"> opportunities to develop a future freight logistics precinct (road, rail and air) and pilot training facilities at Mangalore </w:t>
      </w:r>
      <w:r w:rsidRPr="008611CA">
        <w:t>A</w:t>
      </w:r>
      <w:r w:rsidR="00240170" w:rsidRPr="008611CA">
        <w:t>irport.</w:t>
      </w:r>
      <w:r w:rsidR="0017740D" w:rsidRPr="008611CA">
        <w:t xml:space="preserve"> </w:t>
      </w:r>
    </w:p>
    <w:p w:rsidR="008611CA" w:rsidRDefault="0017740D" w:rsidP="008611CA">
      <w:pPr>
        <w:pStyle w:val="bt"/>
      </w:pPr>
      <w:r w:rsidRPr="008611CA">
        <w:t>Freight and logistics precincts in the region form part of a national network including existing precincts in</w:t>
      </w:r>
      <w:r w:rsidR="00D239C4">
        <w:t xml:space="preserve"> southern</w:t>
      </w:r>
      <w:r w:rsidRPr="008611CA">
        <w:t xml:space="preserve"> </w:t>
      </w:r>
      <w:r w:rsidR="005C2928">
        <w:t>New South Wales</w:t>
      </w:r>
      <w:r w:rsidR="004627D5">
        <w:t>,</w:t>
      </w:r>
      <w:r w:rsidR="005C2928">
        <w:t xml:space="preserve"> </w:t>
      </w:r>
      <w:r w:rsidRPr="008611CA">
        <w:t>which also serve the region.</w:t>
      </w:r>
      <w:r w:rsidR="00240170" w:rsidRPr="008611CA">
        <w:t xml:space="preserve"> Building the capacity of freight routes will assist with the movement of goods and support the regional economy.</w:t>
      </w:r>
      <w:r w:rsidR="009B78F2" w:rsidRPr="008611CA">
        <w:t xml:space="preserve"> However, passenger rail services to Melbourne are inadequate in comparison to other regions and limit business and investment attractiveness.</w:t>
      </w:r>
      <w:r w:rsidR="00BE5C22">
        <w:t xml:space="preserve"> Affordable, regular and convenient passenger rail services could help attract a wider workforce to the region. </w:t>
      </w:r>
      <w:r w:rsidR="00356B34" w:rsidRPr="008611CA">
        <w:t>Safeguarding transport and tourism routes</w:t>
      </w:r>
      <w:r w:rsidR="00683BAF" w:rsidRPr="008611CA">
        <w:t xml:space="preserve">, </w:t>
      </w:r>
      <w:r w:rsidR="00D9392F" w:rsidRPr="008611CA">
        <w:t>such as national touring routes</w:t>
      </w:r>
      <w:r w:rsidR="00683BAF" w:rsidRPr="008611CA">
        <w:t>,</w:t>
      </w:r>
      <w:r w:rsidR="00356B34" w:rsidRPr="008611CA">
        <w:t xml:space="preserve"> for future use will help support the regional economy.</w:t>
      </w:r>
    </w:p>
    <w:p w:rsidR="00760C4E" w:rsidRDefault="00760C4E" w:rsidP="008611CA">
      <w:pPr>
        <w:pStyle w:val="bt"/>
      </w:pPr>
      <w:r w:rsidRPr="00760C4E">
        <w:lastRenderedPageBreak/>
        <w:t xml:space="preserve">The </w:t>
      </w:r>
      <w:r>
        <w:t xml:space="preserve">potential </w:t>
      </w:r>
      <w:r w:rsidRPr="00760C4E">
        <w:t>impleme</w:t>
      </w:r>
      <w:r>
        <w:t>ntation of high speed rail</w:t>
      </w:r>
      <w:r w:rsidRPr="00760C4E">
        <w:t xml:space="preserve"> </w:t>
      </w:r>
      <w:r>
        <w:t xml:space="preserve">between Melbourne and Sydney following a route through the region and associated station locations (as discussed in </w:t>
      </w:r>
      <w:r w:rsidR="001E3654">
        <w:t>Section</w:t>
      </w:r>
      <w:r>
        <w:t xml:space="preserve"> 14.1</w:t>
      </w:r>
      <w:r w:rsidR="00C638F8">
        <w:t>) could</w:t>
      </w:r>
      <w:r>
        <w:t xml:space="preserve"> have significant economic advantages for the region</w:t>
      </w:r>
      <w:r w:rsidR="00C638F8">
        <w:t>, including improved access to and from the region.</w:t>
      </w:r>
      <w:r w:rsidRPr="00760C4E">
        <w:t xml:space="preserve"> The progress of this potential project should be considered as part of future reviews of this plan.</w:t>
      </w:r>
    </w:p>
    <w:p w:rsidR="00582610" w:rsidRPr="008611CA" w:rsidRDefault="00582610" w:rsidP="008611CA">
      <w:pPr>
        <w:pStyle w:val="Heading2"/>
      </w:pPr>
      <w:bookmarkStart w:id="43" w:name="_Toc376945590"/>
      <w:r w:rsidRPr="008611CA">
        <w:t>Agriculture</w:t>
      </w:r>
      <w:bookmarkEnd w:id="43"/>
    </w:p>
    <w:p w:rsidR="00487403" w:rsidRDefault="00320F79" w:rsidP="008611CA">
      <w:pPr>
        <w:pStyle w:val="bt"/>
      </w:pPr>
      <w:r w:rsidRPr="008611CA">
        <w:t xml:space="preserve">The </w:t>
      </w:r>
      <w:r w:rsidR="00075E07" w:rsidRPr="008611CA">
        <w:t xml:space="preserve">Hume </w:t>
      </w:r>
      <w:r w:rsidR="001F74BD" w:rsidRPr="008611CA">
        <w:t>R</w:t>
      </w:r>
      <w:r w:rsidRPr="008611CA">
        <w:t>egion will continue to be one of Australia’s major food</w:t>
      </w:r>
      <w:r w:rsidR="00075E07" w:rsidRPr="008611CA">
        <w:t>-</w:t>
      </w:r>
      <w:r w:rsidR="002503F8" w:rsidRPr="008611CA">
        <w:t xml:space="preserve">producing </w:t>
      </w:r>
      <w:r w:rsidRPr="008611CA">
        <w:t xml:space="preserve">areas. </w:t>
      </w:r>
      <w:r w:rsidR="00815B85" w:rsidRPr="008611CA">
        <w:t xml:space="preserve">The Goulburn Valley </w:t>
      </w:r>
      <w:r w:rsidR="00050EA9" w:rsidRPr="008611CA">
        <w:t>is part of the Goulburn Murray Irrigation District</w:t>
      </w:r>
      <w:r w:rsidR="004627D5">
        <w:t>,</w:t>
      </w:r>
      <w:r w:rsidR="00050EA9" w:rsidRPr="008611CA">
        <w:t xml:space="preserve"> which </w:t>
      </w:r>
      <w:r w:rsidR="00815B85" w:rsidRPr="008611CA">
        <w:t xml:space="preserve">is a significant agricultural area and is expected to continue to </w:t>
      </w:r>
      <w:r w:rsidR="002503F8" w:rsidRPr="008611CA">
        <w:t>deliver</w:t>
      </w:r>
      <w:r w:rsidR="00815B85" w:rsidRPr="008611CA">
        <w:t xml:space="preserve"> a significant proportion of Victoria’s agricultural product currently about 25</w:t>
      </w:r>
      <w:r w:rsidR="00D53A39">
        <w:t xml:space="preserve"> </w:t>
      </w:r>
      <w:r w:rsidR="002000A4" w:rsidRPr="008611CA">
        <w:t>per cent</w:t>
      </w:r>
      <w:r w:rsidR="00815B85" w:rsidRPr="008611CA">
        <w:t xml:space="preserve"> of the total value of the state’s agricultural production. </w:t>
      </w:r>
      <w:r w:rsidRPr="008611CA">
        <w:t>Agricultural production will be supported through the protection and enhancement of key agricultural assets including land and water resources.</w:t>
      </w:r>
      <w:r w:rsidR="00815B85" w:rsidRPr="008611CA">
        <w:t xml:space="preserve"> </w:t>
      </w:r>
    </w:p>
    <w:p w:rsidR="00601366" w:rsidRPr="008611CA" w:rsidRDefault="00BB6E71" w:rsidP="008611CA">
      <w:pPr>
        <w:pStyle w:val="bt"/>
      </w:pPr>
      <w:r w:rsidRPr="008611CA">
        <w:t>Maintaining and enhancing t</w:t>
      </w:r>
      <w:r w:rsidR="00320F79" w:rsidRPr="008611CA">
        <w:t xml:space="preserve">he </w:t>
      </w:r>
      <w:r w:rsidRPr="008611CA">
        <w:t>contribution</w:t>
      </w:r>
      <w:r w:rsidR="00320F79" w:rsidRPr="008611CA">
        <w:t xml:space="preserve"> of these strategic resources </w:t>
      </w:r>
      <w:r w:rsidRPr="008611CA">
        <w:t>to</w:t>
      </w:r>
      <w:r w:rsidR="002503F8" w:rsidRPr="008611CA">
        <w:t xml:space="preserve"> the</w:t>
      </w:r>
      <w:r w:rsidR="00320F79" w:rsidRPr="008611CA">
        <w:t xml:space="preserve"> production of a diverse range of agricultural commodities is a key component of the region’s economic future. These resources support a resilient agricultural sector with the capacity to adapt to future economic and climatic changes</w:t>
      </w:r>
      <w:r w:rsidR="001B5531" w:rsidRPr="008611CA">
        <w:t xml:space="preserve"> and the potential impacts of the Murray</w:t>
      </w:r>
      <w:r w:rsidR="00075E07" w:rsidRPr="008611CA">
        <w:t>-</w:t>
      </w:r>
      <w:r w:rsidR="001B5531" w:rsidRPr="008611CA">
        <w:t>Darling Basin Plan</w:t>
      </w:r>
      <w:r w:rsidR="00320F79" w:rsidRPr="008611CA">
        <w:t xml:space="preserve">. </w:t>
      </w:r>
    </w:p>
    <w:p w:rsidR="007A28AE" w:rsidRPr="008611CA" w:rsidRDefault="001B5531" w:rsidP="008611CA">
      <w:pPr>
        <w:pStyle w:val="bt"/>
      </w:pPr>
      <w:r w:rsidRPr="008611CA">
        <w:t>M</w:t>
      </w:r>
      <w:r w:rsidR="00320F79" w:rsidRPr="008611CA">
        <w:t>odernisation</w:t>
      </w:r>
      <w:r w:rsidRPr="008611CA">
        <w:t xml:space="preserve"> of irrigation and regional drainage infrastructure, together with improved</w:t>
      </w:r>
      <w:r w:rsidR="00320F79" w:rsidRPr="008611CA">
        <w:t xml:space="preserve"> on-farm efficiency will help protect valuable water resources</w:t>
      </w:r>
      <w:r w:rsidR="00223C39" w:rsidRPr="008611CA">
        <w:t xml:space="preserve"> and support future investment in agriculture</w:t>
      </w:r>
      <w:r w:rsidR="00320F79" w:rsidRPr="008611CA">
        <w:t>. Some agricultural sectors are expected to become more intensive in the future</w:t>
      </w:r>
      <w:r w:rsidR="00BB6E71" w:rsidRPr="008611CA">
        <w:t>.</w:t>
      </w:r>
      <w:r w:rsidR="00320F79" w:rsidRPr="008611CA">
        <w:t xml:space="preserve"> </w:t>
      </w:r>
      <w:r w:rsidR="00BB6E71" w:rsidRPr="008611CA">
        <w:t>O</w:t>
      </w:r>
      <w:r w:rsidR="00320F79" w:rsidRPr="008611CA">
        <w:t xml:space="preserve">pportunities to establish intensive agricultural clusters in strategic locations supported by ancillary </w:t>
      </w:r>
      <w:r w:rsidR="005C068C" w:rsidRPr="008611CA">
        <w:t>infrastructure</w:t>
      </w:r>
      <w:r w:rsidR="005C068C">
        <w:t>,</w:t>
      </w:r>
      <w:r w:rsidR="005C068C" w:rsidRPr="008611CA">
        <w:t xml:space="preserve"> including</w:t>
      </w:r>
      <w:r w:rsidR="008E211D" w:rsidRPr="008611CA">
        <w:t xml:space="preserve"> drainage works</w:t>
      </w:r>
      <w:r w:rsidR="00321293">
        <w:t>,</w:t>
      </w:r>
      <w:r w:rsidR="00320F79" w:rsidRPr="008611CA">
        <w:t xml:space="preserve"> </w:t>
      </w:r>
      <w:r w:rsidR="00BB6E71" w:rsidRPr="008611CA">
        <w:t xml:space="preserve">will </w:t>
      </w:r>
      <w:r w:rsidR="00320F79" w:rsidRPr="008611CA">
        <w:t>be explored further. New agricultural opportunities may emerge in the region over time including new commodities, technology changes and emerging industries</w:t>
      </w:r>
      <w:r w:rsidR="00683BAF" w:rsidRPr="008611CA">
        <w:t xml:space="preserve">, </w:t>
      </w:r>
      <w:r w:rsidR="00320F79" w:rsidRPr="008611CA">
        <w:t>such as energy farming and carbon markets.</w:t>
      </w:r>
    </w:p>
    <w:p w:rsidR="00E00E26" w:rsidRDefault="00E00E26" w:rsidP="00A9426A">
      <w:pPr>
        <w:pStyle w:val="Heading3-list"/>
        <w:numPr>
          <w:ilvl w:val="0"/>
          <w:numId w:val="24"/>
        </w:numPr>
        <w:ind w:left="426"/>
      </w:pPr>
      <w:r w:rsidRPr="00E00E26">
        <w:t>Support the protection of strategic farmland</w:t>
      </w:r>
    </w:p>
    <w:p w:rsidR="007A28AE" w:rsidRPr="008611CA" w:rsidRDefault="00320F79" w:rsidP="008611CA">
      <w:pPr>
        <w:pStyle w:val="bt"/>
      </w:pPr>
      <w:r w:rsidRPr="008611CA">
        <w:t>High quality agricultural land is a finite resource and is an essential basis for many forms of agriculture. The reference in the Victoria Planning Provisions (Clause 14.01-1) to protecting ‘productive farmland that is of strategic significance in the local or regional context’ is an important precept in rural land use planning. It implies a selective approach, the identification of land of better productivity and versatility that has a long</w:t>
      </w:r>
      <w:r w:rsidR="00075E07" w:rsidRPr="008611CA">
        <w:t>-</w:t>
      </w:r>
      <w:r w:rsidRPr="008611CA">
        <w:t xml:space="preserve">term and strategic role in the production of food and fibre. </w:t>
      </w:r>
      <w:r w:rsidR="003C65F2" w:rsidRPr="008611CA">
        <w:t xml:space="preserve">It also helps support and </w:t>
      </w:r>
      <w:proofErr w:type="gramStart"/>
      <w:r w:rsidR="003C65F2" w:rsidRPr="008611CA">
        <w:t>protect</w:t>
      </w:r>
      <w:proofErr w:type="gramEnd"/>
      <w:r w:rsidR="003C65F2" w:rsidRPr="008611CA">
        <w:t xml:space="preserve"> the significant investment in irrigation modernisation in the </w:t>
      </w:r>
      <w:r w:rsidR="00075E07" w:rsidRPr="008611CA">
        <w:t xml:space="preserve">Hume </w:t>
      </w:r>
      <w:r w:rsidR="001F74BD" w:rsidRPr="008611CA">
        <w:t>R</w:t>
      </w:r>
      <w:r w:rsidR="003C65F2" w:rsidRPr="008611CA">
        <w:t xml:space="preserve">egion. </w:t>
      </w:r>
    </w:p>
    <w:p w:rsidR="00730C2B" w:rsidRPr="008611CA" w:rsidRDefault="00320F79" w:rsidP="008611CA">
      <w:pPr>
        <w:pStyle w:val="bt"/>
      </w:pPr>
      <w:r w:rsidRPr="008611CA">
        <w:t xml:space="preserve">Strategic agricultural areas in the </w:t>
      </w:r>
      <w:r w:rsidR="009742C2" w:rsidRPr="008611CA">
        <w:t>region</w:t>
      </w:r>
      <w:r w:rsidRPr="008611CA">
        <w:t xml:space="preserve"> are defined as having versatility in production, being of significant scale, </w:t>
      </w:r>
      <w:r w:rsidR="002503F8" w:rsidRPr="008611CA">
        <w:t xml:space="preserve">located </w:t>
      </w:r>
      <w:r w:rsidRPr="008611CA">
        <w:t>in proximity to value-adding processing and having access</w:t>
      </w:r>
      <w:r w:rsidR="004A738C" w:rsidRPr="008611CA">
        <w:rPr>
          <w:szCs w:val="16"/>
        </w:rPr>
        <w:t xml:space="preserve"> </w:t>
      </w:r>
      <w:r w:rsidRPr="008611CA">
        <w:t>to</w:t>
      </w:r>
      <w:r w:rsidR="004A738C" w:rsidRPr="008611CA">
        <w:rPr>
          <w:szCs w:val="16"/>
        </w:rPr>
        <w:t xml:space="preserve"> </w:t>
      </w:r>
      <w:r w:rsidRPr="008611CA">
        <w:t>secure</w:t>
      </w:r>
      <w:r w:rsidR="004A738C" w:rsidRPr="008611CA">
        <w:rPr>
          <w:szCs w:val="16"/>
        </w:rPr>
        <w:t xml:space="preserve"> </w:t>
      </w:r>
      <w:r w:rsidRPr="008611CA">
        <w:t>water</w:t>
      </w:r>
      <w:r w:rsidR="004A738C" w:rsidRPr="008611CA">
        <w:rPr>
          <w:szCs w:val="16"/>
        </w:rPr>
        <w:t xml:space="preserve"> </w:t>
      </w:r>
      <w:r w:rsidR="002503F8" w:rsidRPr="008611CA">
        <w:t xml:space="preserve">supplies </w:t>
      </w:r>
      <w:r w:rsidRPr="008611CA">
        <w:t>(</w:t>
      </w:r>
      <w:r w:rsidR="002503F8" w:rsidRPr="008611CA">
        <w:t>see</w:t>
      </w:r>
      <w:r w:rsidR="00AF799A">
        <w:t xml:space="preserve"> Map 4</w:t>
      </w:r>
      <w:r w:rsidRPr="008611CA">
        <w:t>).</w:t>
      </w:r>
      <w:r w:rsidR="001773B1" w:rsidRPr="008611CA">
        <w:t xml:space="preserve"> </w:t>
      </w:r>
    </w:p>
    <w:p w:rsidR="00730C2B" w:rsidRPr="008611CA" w:rsidRDefault="00730C2B" w:rsidP="008611CA">
      <w:pPr>
        <w:pStyle w:val="bt"/>
      </w:pPr>
      <w:r w:rsidRPr="008611CA">
        <w:t xml:space="preserve">Section 9 of the </w:t>
      </w:r>
      <w:r w:rsidR="008474E5">
        <w:t>b</w:t>
      </w:r>
      <w:r w:rsidRPr="008611CA">
        <w:t xml:space="preserve">ackground </w:t>
      </w:r>
      <w:r w:rsidR="008474E5">
        <w:t>p</w:t>
      </w:r>
      <w:r w:rsidRPr="008611CA">
        <w:t>aper provides more detail about how areas of strategic significance were identified. These areas will be given the highest level of protection to ensure agriculture remains a viable industry for the future</w:t>
      </w:r>
      <w:r w:rsidR="00126457">
        <w:t>, including providing</w:t>
      </w:r>
      <w:r w:rsidR="0034376E">
        <w:t xml:space="preserve"> certainty for investors</w:t>
      </w:r>
      <w:r w:rsidR="00392796">
        <w:t>.</w:t>
      </w:r>
      <w:r w:rsidRPr="008611CA">
        <w:t xml:space="preserve"> From a regional perspective, measures to protect areas identified as strategic agricultural land of national</w:t>
      </w:r>
      <w:r w:rsidR="001E3654">
        <w:t xml:space="preserve">, </w:t>
      </w:r>
      <w:r w:rsidRPr="008611CA">
        <w:t xml:space="preserve">state, regional or </w:t>
      </w:r>
      <w:r w:rsidR="00112C95">
        <w:t>sub-region</w:t>
      </w:r>
      <w:r w:rsidRPr="008611CA">
        <w:t>al significance should include:</w:t>
      </w:r>
    </w:p>
    <w:p w:rsidR="00730C2B" w:rsidRPr="00C3403D" w:rsidRDefault="00730C2B" w:rsidP="00330D2E">
      <w:pPr>
        <w:pStyle w:val="btbullet"/>
        <w:rPr>
          <w:lang w:eastAsia="en-US"/>
        </w:rPr>
      </w:pPr>
      <w:r w:rsidRPr="00C3403D">
        <w:rPr>
          <w:lang w:eastAsia="en-US"/>
        </w:rPr>
        <w:t>direct</w:t>
      </w:r>
      <w:r>
        <w:rPr>
          <w:lang w:eastAsia="en-US"/>
        </w:rPr>
        <w:t>ing</w:t>
      </w:r>
      <w:r w:rsidRPr="00C3403D">
        <w:rPr>
          <w:lang w:eastAsia="en-US"/>
        </w:rPr>
        <w:t xml:space="preserve"> proposals for settlement in these areas to existing centres and townships</w:t>
      </w:r>
    </w:p>
    <w:p w:rsidR="00730C2B" w:rsidRDefault="00730C2B" w:rsidP="00330D2E">
      <w:pPr>
        <w:pStyle w:val="btbullet"/>
        <w:rPr>
          <w:lang w:eastAsia="en-US"/>
        </w:rPr>
      </w:pPr>
      <w:r w:rsidRPr="00C3403D">
        <w:rPr>
          <w:lang w:eastAsia="en-US"/>
        </w:rPr>
        <w:t xml:space="preserve">directing large commercial tourism uses away from </w:t>
      </w:r>
      <w:r>
        <w:rPr>
          <w:lang w:eastAsia="en-US"/>
        </w:rPr>
        <w:t xml:space="preserve">these </w:t>
      </w:r>
      <w:r w:rsidRPr="00C3403D">
        <w:rPr>
          <w:lang w:eastAsia="en-US"/>
        </w:rPr>
        <w:t>areas to urban locations or to rural areas</w:t>
      </w:r>
      <w:r>
        <w:rPr>
          <w:lang w:eastAsia="en-US"/>
        </w:rPr>
        <w:t xml:space="preserve"> of lower agricultural value</w:t>
      </w:r>
      <w:r w:rsidRPr="00C3403D">
        <w:rPr>
          <w:lang w:eastAsia="en-US"/>
        </w:rPr>
        <w:t xml:space="preserve"> </w:t>
      </w:r>
    </w:p>
    <w:p w:rsidR="00730C2B" w:rsidRDefault="00730C2B" w:rsidP="00330D2E">
      <w:pPr>
        <w:pStyle w:val="btbullet"/>
        <w:rPr>
          <w:lang w:eastAsia="en-US"/>
        </w:rPr>
      </w:pPr>
      <w:proofErr w:type="gramStart"/>
      <w:r w:rsidRPr="00C3403D">
        <w:rPr>
          <w:lang w:eastAsia="en-US"/>
        </w:rPr>
        <w:t>avoid</w:t>
      </w:r>
      <w:r>
        <w:rPr>
          <w:lang w:eastAsia="en-US"/>
        </w:rPr>
        <w:t>ing</w:t>
      </w:r>
      <w:proofErr w:type="gramEnd"/>
      <w:r>
        <w:rPr>
          <w:lang w:eastAsia="en-US"/>
        </w:rPr>
        <w:t xml:space="preserve"> </w:t>
      </w:r>
      <w:r w:rsidRPr="00C3403D">
        <w:rPr>
          <w:lang w:eastAsia="en-US"/>
        </w:rPr>
        <w:t>encroachment from rural residential settlement and other land uses that are non-complementary to agriculture</w:t>
      </w:r>
      <w:r>
        <w:rPr>
          <w:lang w:eastAsia="en-US"/>
        </w:rPr>
        <w:t>.</w:t>
      </w:r>
    </w:p>
    <w:p w:rsidR="00730C2B" w:rsidRPr="008611CA" w:rsidRDefault="00730C2B" w:rsidP="008611CA">
      <w:pPr>
        <w:pStyle w:val="bt"/>
      </w:pPr>
      <w:r w:rsidRPr="008611CA">
        <w:t>In addition to areas shown in</w:t>
      </w:r>
      <w:r w:rsidR="00AF799A">
        <w:t xml:space="preserve"> Map 4</w:t>
      </w:r>
      <w:r w:rsidRPr="008611CA">
        <w:t xml:space="preserve">, councils may identify other important agricultural areas from a local perspective. Consideration should be given to a regional approach to mapping </w:t>
      </w:r>
      <w:r w:rsidR="00680543">
        <w:t xml:space="preserve">existing rural land use and </w:t>
      </w:r>
      <w:r w:rsidRPr="008611CA">
        <w:t>strategic agricultural land of local significance at a scale that would assist councils with local rural land use planning.</w:t>
      </w:r>
    </w:p>
    <w:p w:rsidR="00E00E26" w:rsidRDefault="00E00E26" w:rsidP="0016400E">
      <w:pPr>
        <w:pStyle w:val="Heading3-list"/>
      </w:pPr>
      <w:bookmarkStart w:id="44" w:name="_Toc363456976"/>
      <w:bookmarkStart w:id="45" w:name="_Toc363457084"/>
      <w:bookmarkEnd w:id="44"/>
      <w:bookmarkEnd w:id="45"/>
      <w:r w:rsidRPr="00E00E26">
        <w:lastRenderedPageBreak/>
        <w:t>Support and manage intensive agricultural production</w:t>
      </w:r>
    </w:p>
    <w:p w:rsidR="007563A9" w:rsidRPr="008611CA" w:rsidRDefault="00BE4612" w:rsidP="008611CA">
      <w:pPr>
        <w:pStyle w:val="bt"/>
      </w:pPr>
      <w:r w:rsidRPr="008611CA">
        <w:t>Intensive forms of agriculture</w:t>
      </w:r>
      <w:r w:rsidR="00320F79" w:rsidRPr="008611CA">
        <w:t>,</w:t>
      </w:r>
      <w:r w:rsidRPr="008611CA">
        <w:t xml:space="preserve"> such as broiler farms, piggeries, feedlots and horticulture,</w:t>
      </w:r>
      <w:r w:rsidR="00320F79" w:rsidRPr="008611CA">
        <w:t xml:space="preserve"> can contribute to food production and potential food security. They generate large outputs on small areas of land and are usually not dependent on high quality soils as the driver for location. </w:t>
      </w:r>
      <w:r w:rsidR="00FD7053" w:rsidRPr="008611CA">
        <w:t>Factors</w:t>
      </w:r>
      <w:r w:rsidR="00320F79" w:rsidRPr="008611CA">
        <w:t xml:space="preserve"> such as </w:t>
      </w:r>
      <w:r w:rsidR="00775FA1" w:rsidRPr="008611CA">
        <w:t xml:space="preserve">road </w:t>
      </w:r>
      <w:r w:rsidR="00320F79" w:rsidRPr="008611CA">
        <w:t>access, power, water, processing</w:t>
      </w:r>
      <w:r w:rsidR="00FD7053" w:rsidRPr="008611CA">
        <w:t xml:space="preserve"> facilities</w:t>
      </w:r>
      <w:r w:rsidR="00320F79" w:rsidRPr="008611CA">
        <w:t xml:space="preserve"> and feed supply can be important indicators or drivers for the productive potential of farmland.</w:t>
      </w:r>
      <w:r w:rsidR="00920E04" w:rsidRPr="008611CA">
        <w:t xml:space="preserve"> The relatively small footprint of these intensive agricultural industries, coupled with the buffers required from sensitive uses, provide</w:t>
      </w:r>
      <w:r w:rsidR="00775FA1" w:rsidRPr="008611CA">
        <w:t>s</w:t>
      </w:r>
      <w:r w:rsidR="00920E04" w:rsidRPr="008611CA">
        <w:t xml:space="preserve"> an opportunity for other forms of agriculture to coexist and operate concurrently within or around buffer areas.</w:t>
      </w:r>
      <w:r w:rsidR="00425020" w:rsidRPr="008611CA">
        <w:t xml:space="preserve"> </w:t>
      </w:r>
    </w:p>
    <w:p w:rsidR="007563A9" w:rsidRPr="008611CA" w:rsidRDefault="00425020" w:rsidP="008611CA">
      <w:pPr>
        <w:pStyle w:val="bt"/>
      </w:pPr>
      <w:r w:rsidRPr="008611CA">
        <w:t>Areas could be identified in the region where t</w:t>
      </w:r>
      <w:r w:rsidR="00FD7053" w:rsidRPr="008611CA">
        <w:t xml:space="preserve">hese types of agricultural activities </w:t>
      </w:r>
      <w:r w:rsidR="00775FA1" w:rsidRPr="008611CA">
        <w:t xml:space="preserve">should </w:t>
      </w:r>
      <w:r w:rsidR="00FD7053" w:rsidRPr="008611CA">
        <w:t xml:space="preserve">be encouraged </w:t>
      </w:r>
      <w:r w:rsidRPr="008611CA">
        <w:t>due to locational opportunities, such as</w:t>
      </w:r>
      <w:r w:rsidR="00FD7053" w:rsidRPr="008611CA">
        <w:t xml:space="preserve"> access to water</w:t>
      </w:r>
      <w:r w:rsidRPr="008611CA">
        <w:t>, energy</w:t>
      </w:r>
      <w:r w:rsidR="00FD7053" w:rsidRPr="008611CA">
        <w:t xml:space="preserve"> and transport, and </w:t>
      </w:r>
      <w:r w:rsidRPr="008611CA">
        <w:t>separation from sensitive land uses</w:t>
      </w:r>
      <w:r w:rsidR="00FD7053" w:rsidRPr="008611CA">
        <w:t xml:space="preserve">. </w:t>
      </w:r>
      <w:r w:rsidR="00320F79" w:rsidRPr="008611CA">
        <w:t xml:space="preserve">Consideration </w:t>
      </w:r>
      <w:r w:rsidR="00FD7053" w:rsidRPr="008611CA">
        <w:t xml:space="preserve">will </w:t>
      </w:r>
      <w:r w:rsidR="00320F79" w:rsidRPr="008611CA">
        <w:t>be given to clustering intensive agricultural production in these areas.</w:t>
      </w:r>
      <w:r w:rsidR="004D5431" w:rsidRPr="008611CA">
        <w:t xml:space="preserve"> However, encouragement to locate in these areas would not prevent these industries from locating in other suitable locations where compliance with the relevant </w:t>
      </w:r>
      <w:r w:rsidR="00601366" w:rsidRPr="008611CA">
        <w:t>c</w:t>
      </w:r>
      <w:r w:rsidR="004D5431" w:rsidRPr="008611CA">
        <w:t xml:space="preserve">ode of </w:t>
      </w:r>
      <w:r w:rsidR="000A4643" w:rsidRPr="008611CA">
        <w:t>p</w:t>
      </w:r>
      <w:r w:rsidR="004D5431" w:rsidRPr="008611CA">
        <w:t>ractice and appropriate separation distances can be achieved.</w:t>
      </w:r>
    </w:p>
    <w:p w:rsidR="00E00E26" w:rsidRDefault="00E00E26" w:rsidP="0016400E">
      <w:pPr>
        <w:pStyle w:val="Heading3-list"/>
      </w:pPr>
      <w:r w:rsidRPr="00E00E26">
        <w:t>Support changing farm sizes, methods, strategies and land uses</w:t>
      </w:r>
    </w:p>
    <w:p w:rsidR="007563A9" w:rsidRPr="008611CA" w:rsidRDefault="00143607" w:rsidP="008611CA">
      <w:pPr>
        <w:pStyle w:val="bt"/>
      </w:pPr>
      <w:r w:rsidRPr="008611CA">
        <w:t xml:space="preserve">Increased productivity of agricultural land has led to a general decline in the price of farm </w:t>
      </w:r>
      <w:r w:rsidR="005C068C" w:rsidRPr="008611CA">
        <w:t>produce,</w:t>
      </w:r>
      <w:r w:rsidR="00321293">
        <w:t xml:space="preserve"> </w:t>
      </w:r>
      <w:r w:rsidRPr="008611CA">
        <w:t xml:space="preserve">or terms of trade. Farmers seeking to maintain a consistent level of real income </w:t>
      </w:r>
      <w:r w:rsidR="00EE2982" w:rsidRPr="008611CA">
        <w:t xml:space="preserve">generally consider </w:t>
      </w:r>
      <w:r w:rsidRPr="008611CA">
        <w:t>increas</w:t>
      </w:r>
      <w:r w:rsidR="00EE2982" w:rsidRPr="008611CA">
        <w:t>ing</w:t>
      </w:r>
      <w:r w:rsidRPr="008611CA">
        <w:t xml:space="preserve"> the size of farms</w:t>
      </w:r>
      <w:r w:rsidR="00EE2982" w:rsidRPr="008611CA">
        <w:t>,</w:t>
      </w:r>
      <w:r w:rsidRPr="008611CA">
        <w:t xml:space="preserve"> </w:t>
      </w:r>
      <w:r w:rsidR="00EE2982" w:rsidRPr="008611CA">
        <w:t xml:space="preserve">diversifying activities, </w:t>
      </w:r>
      <w:r w:rsidR="00F95F82" w:rsidRPr="008611CA">
        <w:t>intensify</w:t>
      </w:r>
      <w:r w:rsidR="00775FA1" w:rsidRPr="008611CA">
        <w:t>ing</w:t>
      </w:r>
      <w:r w:rsidR="00F95F82" w:rsidRPr="008611CA">
        <w:t xml:space="preserve"> their </w:t>
      </w:r>
      <w:r w:rsidRPr="008611CA">
        <w:t>production</w:t>
      </w:r>
      <w:r w:rsidR="00EE2982" w:rsidRPr="008611CA">
        <w:t xml:space="preserve"> or seeking niche farming opportunities</w:t>
      </w:r>
      <w:r w:rsidR="00321293">
        <w:t xml:space="preserve">, </w:t>
      </w:r>
      <w:r w:rsidR="00F95F82" w:rsidRPr="008611CA">
        <w:t xml:space="preserve">or </w:t>
      </w:r>
      <w:r w:rsidR="00EE2982" w:rsidRPr="008611CA">
        <w:t>a combination of these</w:t>
      </w:r>
      <w:r w:rsidRPr="008611CA">
        <w:t xml:space="preserve">. </w:t>
      </w:r>
      <w:r w:rsidR="00EE2982" w:rsidRPr="008611CA">
        <w:t>Aggregation</w:t>
      </w:r>
      <w:r w:rsidRPr="008611CA">
        <w:t xml:space="preserve"> of farmed land</w:t>
      </w:r>
      <w:r w:rsidR="00F95F82" w:rsidRPr="008611CA">
        <w:t>,</w:t>
      </w:r>
      <w:r w:rsidRPr="008611CA">
        <w:t xml:space="preserve"> particularly </w:t>
      </w:r>
      <w:r w:rsidR="00F95F82" w:rsidRPr="008611CA">
        <w:t xml:space="preserve">for </w:t>
      </w:r>
      <w:r w:rsidRPr="008611CA">
        <w:t>broad</w:t>
      </w:r>
      <w:r w:rsidR="001E3654">
        <w:t>acre</w:t>
      </w:r>
      <w:r w:rsidR="00F95F82" w:rsidRPr="008611CA">
        <w:t xml:space="preserve"> </w:t>
      </w:r>
      <w:r w:rsidRPr="008611CA">
        <w:t>cropping</w:t>
      </w:r>
      <w:r w:rsidR="00F95F82" w:rsidRPr="008611CA">
        <w:t>,</w:t>
      </w:r>
      <w:r w:rsidRPr="008611CA">
        <w:t xml:space="preserve"> has</w:t>
      </w:r>
      <w:r w:rsidR="00F95F82" w:rsidRPr="008611CA">
        <w:t xml:space="preserve"> </w:t>
      </w:r>
      <w:r w:rsidRPr="008611CA">
        <w:t xml:space="preserve">led to larger farm sizes and fewer </w:t>
      </w:r>
      <w:r w:rsidR="00F95F82" w:rsidRPr="008611CA">
        <w:t xml:space="preserve">farm enterprises </w:t>
      </w:r>
      <w:r w:rsidRPr="008611CA">
        <w:t>in rural Victoria</w:t>
      </w:r>
      <w:r w:rsidR="00F95F82" w:rsidRPr="008611CA">
        <w:t>, including the Hume Region</w:t>
      </w:r>
      <w:r w:rsidRPr="008611CA">
        <w:t xml:space="preserve">. This trend is expected to continue in the future. </w:t>
      </w:r>
    </w:p>
    <w:p w:rsidR="007563A9" w:rsidRPr="008611CA" w:rsidRDefault="00143607" w:rsidP="00666BAF">
      <w:pPr>
        <w:pStyle w:val="bt"/>
      </w:pPr>
      <w:r w:rsidRPr="008611CA">
        <w:t>Despite competition from amenity purchase</w:t>
      </w:r>
      <w:r w:rsidR="007204E9" w:rsidRPr="008611CA">
        <w:t>r</w:t>
      </w:r>
      <w:r w:rsidRPr="008611CA">
        <w:t>s</w:t>
      </w:r>
      <w:r w:rsidR="007204E9" w:rsidRPr="008611CA">
        <w:rPr>
          <w:rStyle w:val="FootnoteReference"/>
          <w:szCs w:val="20"/>
        </w:rPr>
        <w:footnoteReference w:id="6"/>
      </w:r>
      <w:r w:rsidRPr="008611CA">
        <w:t xml:space="preserve"> there </w:t>
      </w:r>
      <w:r w:rsidR="00E84DDB" w:rsidRPr="008611CA">
        <w:t xml:space="preserve">are likely to </w:t>
      </w:r>
      <w:r w:rsidRPr="008611CA">
        <w:t xml:space="preserve">be opportunities for farm businesses to expand production, either through purchasing land and diversifying income streams (such as by adding tourism products or </w:t>
      </w:r>
      <w:r w:rsidR="00917B7C" w:rsidRPr="008611CA">
        <w:t xml:space="preserve">changing the </w:t>
      </w:r>
      <w:r w:rsidRPr="008611CA">
        <w:t xml:space="preserve">mix </w:t>
      </w:r>
      <w:r w:rsidR="00730C2B" w:rsidRPr="008611CA">
        <w:t xml:space="preserve">of </w:t>
      </w:r>
      <w:r w:rsidRPr="008611CA">
        <w:t xml:space="preserve">uses) or by retaining existing land and intensifying production methods (such as by improving grazing management or introducing or expanding irrigation). </w:t>
      </w:r>
      <w:r w:rsidR="002A5024" w:rsidRPr="002A5024">
        <w:t>Attractive rural landscapes may also offer opportunities for niche farming and associated tourism.</w:t>
      </w:r>
      <w:r w:rsidR="002A5024">
        <w:t xml:space="preserve"> </w:t>
      </w:r>
      <w:r w:rsidR="00BB06F0" w:rsidRPr="008611CA">
        <w:t>Additional opportunities also exist for well</w:t>
      </w:r>
      <w:r w:rsidR="00775FA1" w:rsidRPr="008611CA">
        <w:t>-</w:t>
      </w:r>
      <w:r w:rsidR="00BB06F0" w:rsidRPr="008611CA">
        <w:t xml:space="preserve">considered leasehold or share-farming. </w:t>
      </w:r>
    </w:p>
    <w:p w:rsidR="007563A9" w:rsidRPr="008611CA" w:rsidRDefault="00143607" w:rsidP="00666BAF">
      <w:pPr>
        <w:pStyle w:val="bt"/>
      </w:pPr>
      <w:r w:rsidRPr="008611CA">
        <w:t xml:space="preserve">The planning system should continue to support </w:t>
      </w:r>
      <w:r w:rsidR="00917B7C" w:rsidRPr="008611CA">
        <w:t xml:space="preserve">the viability of farming through providing for increasing </w:t>
      </w:r>
      <w:r w:rsidRPr="008611CA">
        <w:t>farm sizes and changing agricultural methods and strategies.</w:t>
      </w:r>
    </w:p>
    <w:p w:rsidR="007563A9" w:rsidRPr="008611CA" w:rsidRDefault="00491D33" w:rsidP="008611CA">
      <w:pPr>
        <w:pStyle w:val="bt"/>
      </w:pPr>
      <w:r>
        <w:t xml:space="preserve">Examples of </w:t>
      </w:r>
      <w:r w:rsidR="00143607" w:rsidRPr="008611CA">
        <w:t>agricultural industries</w:t>
      </w:r>
      <w:r w:rsidRPr="00491D33">
        <w:t xml:space="preserve"> </w:t>
      </w:r>
      <w:r>
        <w:t xml:space="preserve">that </w:t>
      </w:r>
      <w:r w:rsidRPr="008611CA">
        <w:t>have declined</w:t>
      </w:r>
      <w:r>
        <w:t xml:space="preserve"> </w:t>
      </w:r>
      <w:r w:rsidRPr="008611CA">
        <w:t>over the past two decades</w:t>
      </w:r>
      <w:r>
        <w:t xml:space="preserve"> are </w:t>
      </w:r>
      <w:r w:rsidR="00917B7C" w:rsidRPr="008611CA">
        <w:t xml:space="preserve">wool </w:t>
      </w:r>
      <w:r w:rsidR="00BB06F0" w:rsidRPr="008611CA">
        <w:t>and tobacco farming</w:t>
      </w:r>
      <w:r>
        <w:t>.</w:t>
      </w:r>
      <w:r w:rsidR="00143607" w:rsidRPr="008611CA">
        <w:t xml:space="preserve"> </w:t>
      </w:r>
      <w:r w:rsidR="000A7711">
        <w:t xml:space="preserve">While tobacco production declined due to legislative change, wool production and other agricultural industries have declined </w:t>
      </w:r>
      <w:r w:rsidR="00143607" w:rsidRPr="008611CA">
        <w:t xml:space="preserve">due to </w:t>
      </w:r>
      <w:r>
        <w:t xml:space="preserve">a range of factors including </w:t>
      </w:r>
      <w:r w:rsidR="00143607" w:rsidRPr="008611CA">
        <w:t>drought conditions, changing markets</w:t>
      </w:r>
      <w:r w:rsidR="005D02AC" w:rsidRPr="008611CA">
        <w:t>, policy changes</w:t>
      </w:r>
      <w:r w:rsidR="00143607" w:rsidRPr="008611CA">
        <w:t xml:space="preserve"> and difficulties in increasing productivity in labour-intensive industries. Some areas used </w:t>
      </w:r>
      <w:r w:rsidR="00917B7C" w:rsidRPr="008611CA">
        <w:t xml:space="preserve">by </w:t>
      </w:r>
      <w:r w:rsidR="00143607" w:rsidRPr="008611CA">
        <w:t xml:space="preserve">these industries could transition towards other uses such as </w:t>
      </w:r>
      <w:r w:rsidR="00917B7C" w:rsidRPr="008611CA">
        <w:t xml:space="preserve">different </w:t>
      </w:r>
      <w:r w:rsidR="00143607" w:rsidRPr="008611CA">
        <w:t>agricultural activities, forestry</w:t>
      </w:r>
      <w:r w:rsidR="00BB06F0" w:rsidRPr="008611CA">
        <w:t>,</w:t>
      </w:r>
      <w:r w:rsidR="00917B7C" w:rsidRPr="008611CA">
        <w:t xml:space="preserve"> </w:t>
      </w:r>
      <w:r w:rsidR="00143607" w:rsidRPr="008611CA">
        <w:t>renewable energy generation</w:t>
      </w:r>
      <w:r w:rsidR="00BB06F0" w:rsidRPr="008611CA">
        <w:t>, carbon farming and conservation activities</w:t>
      </w:r>
      <w:r w:rsidR="00143607" w:rsidRPr="008611CA">
        <w:t xml:space="preserve">. </w:t>
      </w:r>
      <w:r>
        <w:t xml:space="preserve">Planning for specific activities in these different areas will take place at a local level. </w:t>
      </w:r>
      <w:r w:rsidR="00143607" w:rsidRPr="008611CA">
        <w:t xml:space="preserve">Supporting compatible mixed uses </w:t>
      </w:r>
      <w:r>
        <w:t xml:space="preserve">in suitable locations within these areas </w:t>
      </w:r>
      <w:r w:rsidR="00143607" w:rsidRPr="008611CA">
        <w:t xml:space="preserve">could help </w:t>
      </w:r>
      <w:r w:rsidR="00917B7C" w:rsidRPr="008611CA">
        <w:t xml:space="preserve">diversify </w:t>
      </w:r>
      <w:r w:rsidR="00143607" w:rsidRPr="008611CA">
        <w:t>the regional economy.</w:t>
      </w:r>
    </w:p>
    <w:p w:rsidR="00E00E26" w:rsidRDefault="00E00E26" w:rsidP="0016400E">
      <w:pPr>
        <w:pStyle w:val="Heading3-list"/>
      </w:pPr>
      <w:r w:rsidRPr="00E00E26">
        <w:t>Plan for the potential impacts of climate change on agriculture</w:t>
      </w:r>
    </w:p>
    <w:p w:rsidR="00730C2B" w:rsidRDefault="00C05D0B" w:rsidP="008611CA">
      <w:pPr>
        <w:pStyle w:val="bt"/>
        <w:rPr>
          <w:lang w:eastAsia="en-US"/>
        </w:rPr>
      </w:pPr>
      <w:r>
        <w:rPr>
          <w:lang w:eastAsia="en-US"/>
        </w:rPr>
        <w:t>I</w:t>
      </w:r>
      <w:r w:rsidR="00917B7C">
        <w:rPr>
          <w:lang w:eastAsia="en-US"/>
        </w:rPr>
        <w:t>n addition to reducing the availability of water,</w:t>
      </w:r>
      <w:r w:rsidR="00143607" w:rsidRPr="00A25511">
        <w:rPr>
          <w:lang w:eastAsia="en-US"/>
        </w:rPr>
        <w:t xml:space="preserve"> </w:t>
      </w:r>
      <w:r>
        <w:rPr>
          <w:lang w:eastAsia="en-US"/>
        </w:rPr>
        <w:t xml:space="preserve">climate change </w:t>
      </w:r>
      <w:r w:rsidR="00143607" w:rsidRPr="00A25511">
        <w:rPr>
          <w:lang w:eastAsia="en-US"/>
        </w:rPr>
        <w:t xml:space="preserve">may have other specific impacts on agricultural production in the </w:t>
      </w:r>
      <w:r w:rsidR="00775FA1">
        <w:rPr>
          <w:lang w:eastAsia="en-US"/>
        </w:rPr>
        <w:t xml:space="preserve">Hume </w:t>
      </w:r>
      <w:r w:rsidR="0029120D">
        <w:rPr>
          <w:lang w:eastAsia="en-US"/>
        </w:rPr>
        <w:t>R</w:t>
      </w:r>
      <w:r w:rsidR="00143607" w:rsidRPr="00A25511">
        <w:rPr>
          <w:lang w:eastAsia="en-US"/>
        </w:rPr>
        <w:t>egion</w:t>
      </w:r>
      <w:r w:rsidR="00917B7C">
        <w:rPr>
          <w:lang w:eastAsia="en-US"/>
        </w:rPr>
        <w:t>,</w:t>
      </w:r>
      <w:r w:rsidR="00143607" w:rsidRPr="00A25511">
        <w:rPr>
          <w:lang w:eastAsia="en-US"/>
        </w:rPr>
        <w:t xml:space="preserve"> such as </w:t>
      </w:r>
      <w:r w:rsidR="009E3261">
        <w:rPr>
          <w:lang w:eastAsia="en-US"/>
        </w:rPr>
        <w:t>an increased frequency of</w:t>
      </w:r>
      <w:r w:rsidR="00143607" w:rsidRPr="00A25511">
        <w:rPr>
          <w:lang w:eastAsia="en-US"/>
        </w:rPr>
        <w:t xml:space="preserve"> drought, increase</w:t>
      </w:r>
      <w:r w:rsidR="00917B7C">
        <w:rPr>
          <w:lang w:eastAsia="en-US"/>
        </w:rPr>
        <w:t>s</w:t>
      </w:r>
      <w:r w:rsidR="00143607" w:rsidRPr="00A25511">
        <w:rPr>
          <w:lang w:eastAsia="en-US"/>
        </w:rPr>
        <w:t xml:space="preserve"> in </w:t>
      </w:r>
      <w:r w:rsidR="00112398">
        <w:rPr>
          <w:lang w:eastAsia="en-US"/>
        </w:rPr>
        <w:t>bushfire</w:t>
      </w:r>
      <w:r w:rsidR="00917B7C">
        <w:rPr>
          <w:lang w:eastAsia="en-US"/>
        </w:rPr>
        <w:t xml:space="preserve"> and more severe</w:t>
      </w:r>
      <w:r w:rsidR="00143607" w:rsidRPr="00A25511">
        <w:rPr>
          <w:lang w:eastAsia="en-US"/>
        </w:rPr>
        <w:t xml:space="preserve"> </w:t>
      </w:r>
      <w:r w:rsidR="00F47DC9">
        <w:rPr>
          <w:lang w:eastAsia="en-US"/>
        </w:rPr>
        <w:t>flood</w:t>
      </w:r>
      <w:r w:rsidR="00143607" w:rsidRPr="00A25511">
        <w:rPr>
          <w:lang w:eastAsia="en-US"/>
        </w:rPr>
        <w:t xml:space="preserve">, storms and hail damage. </w:t>
      </w:r>
      <w:r w:rsidR="00917B7C">
        <w:rPr>
          <w:lang w:eastAsia="en-US"/>
        </w:rPr>
        <w:t xml:space="preserve">On the other hand, </w:t>
      </w:r>
      <w:r w:rsidR="00775FA1">
        <w:rPr>
          <w:lang w:eastAsia="en-US"/>
        </w:rPr>
        <w:t xml:space="preserve">climate change </w:t>
      </w:r>
      <w:r w:rsidR="00143607" w:rsidRPr="00A25511">
        <w:rPr>
          <w:lang w:eastAsia="en-US"/>
        </w:rPr>
        <w:t>may create opportunities for different types of agricultural production</w:t>
      </w:r>
      <w:r>
        <w:rPr>
          <w:lang w:eastAsia="en-US"/>
        </w:rPr>
        <w:t xml:space="preserve"> and commodities</w:t>
      </w:r>
      <w:r w:rsidR="00143607" w:rsidRPr="00A25511">
        <w:rPr>
          <w:lang w:eastAsia="en-US"/>
        </w:rPr>
        <w:t>. Land use planning in the region should support the ability of the agricultural sector to respond to the challenges and opportunities presented by climate</w:t>
      </w:r>
      <w:r>
        <w:rPr>
          <w:lang w:eastAsia="en-US"/>
        </w:rPr>
        <w:t xml:space="preserve"> change</w:t>
      </w:r>
      <w:r w:rsidR="00143607" w:rsidRPr="00A25511">
        <w:rPr>
          <w:lang w:eastAsia="en-US"/>
        </w:rPr>
        <w:t>.</w:t>
      </w:r>
    </w:p>
    <w:p w:rsidR="00E00E26" w:rsidRDefault="00E00E26" w:rsidP="0016400E">
      <w:pPr>
        <w:pStyle w:val="Heading3-list"/>
      </w:pPr>
      <w:r w:rsidRPr="00E00E26">
        <w:lastRenderedPageBreak/>
        <w:t>Respond to a changing irrigation landscape</w:t>
      </w:r>
    </w:p>
    <w:p w:rsidR="00DE4E99" w:rsidRDefault="000B684A" w:rsidP="008611CA">
      <w:pPr>
        <w:pStyle w:val="bt"/>
      </w:pPr>
      <w:r w:rsidRPr="008611CA">
        <w:t xml:space="preserve">The irrigation landscape in the Hume Region is changing. While </w:t>
      </w:r>
      <w:r w:rsidR="009B4318" w:rsidRPr="00141FA0">
        <w:t>the Murray-Darling Basin Plan</w:t>
      </w:r>
      <w:r w:rsidRPr="008611CA">
        <w:t xml:space="preserve"> </w:t>
      </w:r>
      <w:r w:rsidR="00C4133D" w:rsidRPr="008611CA">
        <w:t>is likely to</w:t>
      </w:r>
      <w:r w:rsidR="00AC72DB" w:rsidRPr="008611CA">
        <w:t xml:space="preserve"> </w:t>
      </w:r>
      <w:r w:rsidRPr="008611CA">
        <w:t xml:space="preserve">have an impact on </w:t>
      </w:r>
      <w:r w:rsidR="00775FA1" w:rsidRPr="008611CA">
        <w:t xml:space="preserve">the </w:t>
      </w:r>
      <w:r w:rsidRPr="008611CA">
        <w:t>water available</w:t>
      </w:r>
      <w:r w:rsidR="00AC72DB" w:rsidRPr="008611CA">
        <w:t xml:space="preserve"> for irrigation, the</w:t>
      </w:r>
      <w:r w:rsidRPr="008611CA">
        <w:t xml:space="preserve"> extensive network of irrigation infrastructure that supports the region’s high level of production is undergoing the most significant upgrade in its 100</w:t>
      </w:r>
      <w:r w:rsidR="00775FA1" w:rsidRPr="008611CA">
        <w:t>-</w:t>
      </w:r>
      <w:r w:rsidRPr="008611CA">
        <w:t>year history. Th</w:t>
      </w:r>
      <w:r w:rsidR="00AC72DB" w:rsidRPr="008611CA">
        <w:t xml:space="preserve">is </w:t>
      </w:r>
      <w:r w:rsidRPr="008611CA">
        <w:t>irrigation modernisation project will bring the network to a world</w:t>
      </w:r>
      <w:r w:rsidR="00775FA1" w:rsidRPr="008611CA">
        <w:t>-</w:t>
      </w:r>
      <w:r w:rsidRPr="008611CA">
        <w:t xml:space="preserve">class standard and is the biggest investment of its kind in Australia. </w:t>
      </w:r>
    </w:p>
    <w:p w:rsidR="00B40119" w:rsidRDefault="000B684A" w:rsidP="008611CA">
      <w:pPr>
        <w:pStyle w:val="bt"/>
      </w:pPr>
      <w:r w:rsidRPr="008611CA">
        <w:t>By dramatically improving water delivery, security and efficiency modernisation will help secure the future of the region’s agricultural economy. The project will provide a significant economic stimulus for the region</w:t>
      </w:r>
      <w:r w:rsidR="00775FA1" w:rsidRPr="008611CA">
        <w:t>,</w:t>
      </w:r>
      <w:r w:rsidRPr="008611CA">
        <w:t xml:space="preserve"> boost industry confidence, generate opportunities for co-investment and help create new jobs. </w:t>
      </w:r>
      <w:r w:rsidR="00AC72DB" w:rsidRPr="008611CA">
        <w:t>Supporting the ability of the agricultural sector to adapt and take advantage of this changing irrigation landscape will help secure agricultural production in the region</w:t>
      </w:r>
      <w:r w:rsidR="008611CA">
        <w:t>.</w:t>
      </w:r>
    </w:p>
    <w:p w:rsidR="00E00E26" w:rsidRDefault="00E00E26" w:rsidP="0016400E">
      <w:pPr>
        <w:pStyle w:val="Heading3-list"/>
      </w:pPr>
      <w:r w:rsidRPr="00E00E26">
        <w:t>Minimise fragmentation of agricultural land</w:t>
      </w:r>
    </w:p>
    <w:p w:rsidR="00143607" w:rsidRPr="008611CA" w:rsidRDefault="00143607" w:rsidP="008611CA">
      <w:pPr>
        <w:pStyle w:val="bt"/>
      </w:pPr>
      <w:r w:rsidRPr="008611CA">
        <w:t>Fragmentation of farmland occur</w:t>
      </w:r>
      <w:r w:rsidR="00917B7C" w:rsidRPr="008611CA">
        <w:t>s</w:t>
      </w:r>
      <w:r w:rsidRPr="008611CA">
        <w:t xml:space="preserve"> when traditional farming areas are broken up by the introduction of alternative</w:t>
      </w:r>
      <w:r w:rsidR="00917B7C" w:rsidRPr="008611CA">
        <w:t>,</w:t>
      </w:r>
      <w:r w:rsidRPr="008611CA">
        <w:t xml:space="preserve"> predominantly non-farming</w:t>
      </w:r>
      <w:r w:rsidR="00917B7C" w:rsidRPr="008611CA">
        <w:t>,</w:t>
      </w:r>
      <w:r w:rsidRPr="008611CA">
        <w:t xml:space="preserve"> uses such as </w:t>
      </w:r>
      <w:r w:rsidR="00917B7C" w:rsidRPr="008611CA">
        <w:t>lifestyle</w:t>
      </w:r>
      <w:r w:rsidRPr="008611CA">
        <w:t xml:space="preserve"> dwellings and </w:t>
      </w:r>
      <w:r w:rsidR="00917B7C" w:rsidRPr="008611CA">
        <w:t xml:space="preserve">rural residential </w:t>
      </w:r>
      <w:r w:rsidRPr="008611CA">
        <w:t xml:space="preserve">subdivisions, tourism and boutique industries. These changes may limit </w:t>
      </w:r>
      <w:r w:rsidR="00917B7C" w:rsidRPr="008611CA">
        <w:t xml:space="preserve">agricultural </w:t>
      </w:r>
      <w:r w:rsidRPr="008611CA">
        <w:t>intensification</w:t>
      </w:r>
      <w:r w:rsidR="00BB06F0" w:rsidRPr="008611CA">
        <w:t>, diversification</w:t>
      </w:r>
      <w:r w:rsidRPr="008611CA">
        <w:t xml:space="preserve"> or expansion</w:t>
      </w:r>
      <w:r w:rsidR="00917B7C" w:rsidRPr="008611CA">
        <w:t xml:space="preserve"> and</w:t>
      </w:r>
      <w:r w:rsidRPr="008611CA">
        <w:t xml:space="preserve"> restrict</w:t>
      </w:r>
      <w:r w:rsidR="00917B7C" w:rsidRPr="008611CA">
        <w:t xml:space="preserve"> current farming practices</w:t>
      </w:r>
      <w:r w:rsidRPr="008611CA">
        <w:t xml:space="preserve"> or even make </w:t>
      </w:r>
      <w:r w:rsidR="00566EB1" w:rsidRPr="008611CA">
        <w:t xml:space="preserve">them </w:t>
      </w:r>
      <w:r w:rsidRPr="008611CA">
        <w:t>untenable</w:t>
      </w:r>
      <w:r w:rsidR="00566EB1" w:rsidRPr="008611CA">
        <w:t>.</w:t>
      </w:r>
      <w:r w:rsidRPr="008611CA">
        <w:t xml:space="preserve"> </w:t>
      </w:r>
      <w:r w:rsidR="00566EB1" w:rsidRPr="008611CA">
        <w:t>This</w:t>
      </w:r>
      <w:r w:rsidRPr="008611CA">
        <w:t xml:space="preserve"> may result in irreversible land use change. Fragmentation is particularly prevalent where land has high landscape amenity value, is relatively inexpensive, is near sealed roads and has a historical pattern of small allotments.</w:t>
      </w:r>
    </w:p>
    <w:p w:rsidR="00143607" w:rsidRPr="008611CA" w:rsidRDefault="00143607" w:rsidP="008611CA">
      <w:pPr>
        <w:pStyle w:val="bt"/>
      </w:pPr>
      <w:r w:rsidRPr="008611CA">
        <w:t xml:space="preserve">In the Hume Region, pressure for </w:t>
      </w:r>
      <w:r w:rsidR="00566EB1" w:rsidRPr="008611CA">
        <w:t>residential</w:t>
      </w:r>
      <w:r w:rsidRPr="008611CA">
        <w:t xml:space="preserve"> development </w:t>
      </w:r>
      <w:r w:rsidR="00566EB1" w:rsidRPr="008611CA">
        <w:t xml:space="preserve">not related to farming </w:t>
      </w:r>
      <w:r w:rsidRPr="008611CA">
        <w:t>appears to be</w:t>
      </w:r>
      <w:r w:rsidR="0069139B" w:rsidRPr="008611CA">
        <w:t xml:space="preserve"> </w:t>
      </w:r>
      <w:r w:rsidRPr="008611CA">
        <w:t>focused in linear formation</w:t>
      </w:r>
      <w:r w:rsidR="00566EB1" w:rsidRPr="008611CA">
        <w:t>s</w:t>
      </w:r>
      <w:r w:rsidRPr="008611CA">
        <w:t xml:space="preserve"> along roads and valleys, in areas where land is considered to have an uncertain agricultural future, in </w:t>
      </w:r>
      <w:r w:rsidR="00593267" w:rsidRPr="00961F34">
        <w:t>peri-urban region</w:t>
      </w:r>
      <w:r w:rsidRPr="008611CA">
        <w:t>s</w:t>
      </w:r>
      <w:r w:rsidR="00BE19C0" w:rsidRPr="008611CA">
        <w:t>,</w:t>
      </w:r>
      <w:r w:rsidRPr="008611CA">
        <w:t xml:space="preserve"> and in high amenity areas.</w:t>
      </w:r>
    </w:p>
    <w:p w:rsidR="00143607" w:rsidRPr="008611CA" w:rsidRDefault="00143607" w:rsidP="008611CA">
      <w:pPr>
        <w:pStyle w:val="bt"/>
      </w:pPr>
      <w:r w:rsidRPr="008611CA">
        <w:t xml:space="preserve">Strategic planning for these </w:t>
      </w:r>
      <w:r w:rsidR="003A50FF" w:rsidRPr="008611CA">
        <w:t>non</w:t>
      </w:r>
      <w:r w:rsidR="003A50FF">
        <w:t>-</w:t>
      </w:r>
      <w:r w:rsidRPr="008611CA">
        <w:t xml:space="preserve">farming uses in rural areas should continue to </w:t>
      </w:r>
      <w:r w:rsidR="00C4133D" w:rsidRPr="008611CA">
        <w:t>take into account</w:t>
      </w:r>
      <w:r w:rsidRPr="008611CA">
        <w:t xml:space="preserve"> </w:t>
      </w:r>
      <w:r w:rsidR="00BE19C0" w:rsidRPr="008611CA">
        <w:t xml:space="preserve">the </w:t>
      </w:r>
      <w:r w:rsidRPr="008611CA">
        <w:t>potential impact</w:t>
      </w:r>
      <w:r w:rsidR="00C4133D" w:rsidRPr="008611CA">
        <w:t>s</w:t>
      </w:r>
      <w:r w:rsidRPr="008611CA">
        <w:t xml:space="preserve"> on farming activities.</w:t>
      </w:r>
    </w:p>
    <w:p w:rsidR="00E00E26" w:rsidRDefault="00E00E26" w:rsidP="0016400E">
      <w:pPr>
        <w:pStyle w:val="Heading3-list"/>
      </w:pPr>
      <w:r w:rsidRPr="00E00E26">
        <w:t xml:space="preserve">Avoid conflicting land uses and activities </w:t>
      </w:r>
    </w:p>
    <w:p w:rsidR="00143607" w:rsidRDefault="00143607" w:rsidP="008611CA">
      <w:pPr>
        <w:pStyle w:val="bt"/>
      </w:pPr>
      <w:r w:rsidRPr="008611CA">
        <w:t>Introduction of sensitive uses</w:t>
      </w:r>
      <w:r w:rsidR="00C71F01" w:rsidRPr="008611CA">
        <w:t xml:space="preserve">, </w:t>
      </w:r>
      <w:r w:rsidRPr="008611CA">
        <w:t>such as housing</w:t>
      </w:r>
      <w:r w:rsidR="00C71F01" w:rsidRPr="008611CA">
        <w:t>,</w:t>
      </w:r>
      <w:r w:rsidRPr="008611CA">
        <w:t xml:space="preserve"> can compromise opportunities for growth and investment in productive rural areas. Conflicts can arise as a result of noise, dust, spray drift</w:t>
      </w:r>
      <w:r w:rsidR="00A575EF" w:rsidRPr="008611CA">
        <w:t>, water usage</w:t>
      </w:r>
      <w:r w:rsidRPr="008611CA">
        <w:t xml:space="preserve"> and odours from farming activities. </w:t>
      </w:r>
      <w:r w:rsidR="000B1CE7">
        <w:t>Considering the right to farm in these areas and p</w:t>
      </w:r>
      <w:r w:rsidR="00C71F01" w:rsidRPr="008611CA">
        <w:t>roviding for s</w:t>
      </w:r>
      <w:r w:rsidRPr="008611CA">
        <w:t xml:space="preserve">trategically located rural residential </w:t>
      </w:r>
      <w:r w:rsidR="00C71F01" w:rsidRPr="008611CA">
        <w:t xml:space="preserve">developments </w:t>
      </w:r>
      <w:r w:rsidRPr="008611CA">
        <w:t xml:space="preserve">may </w:t>
      </w:r>
      <w:r w:rsidR="00C71F01" w:rsidRPr="008611CA">
        <w:t>help</w:t>
      </w:r>
      <w:r w:rsidRPr="008611CA">
        <w:t xml:space="preserve"> to minimise conflict between sensitive land uses and agricultural </w:t>
      </w:r>
      <w:r w:rsidR="0000771C" w:rsidRPr="008611CA">
        <w:t>activities</w:t>
      </w:r>
      <w:r w:rsidRPr="008611CA">
        <w:t xml:space="preserve"> in rural areas.</w:t>
      </w:r>
      <w:r w:rsidR="000716E5" w:rsidRPr="008611CA">
        <w:t xml:space="preserve"> Applying appropriate buffers between agricultural uses or rural industries and sensitive land uses, such as residential uses, will also contribute to this.</w:t>
      </w:r>
    </w:p>
    <w:p w:rsidR="00D0367C" w:rsidRPr="008611CA" w:rsidRDefault="00D0367C" w:rsidP="008611CA">
      <w:pPr>
        <w:pStyle w:val="bt"/>
      </w:pPr>
      <w:r>
        <w:t>Non-agricultural uses in</w:t>
      </w:r>
      <w:r w:rsidRPr="00D0367C">
        <w:t xml:space="preserve"> </w:t>
      </w:r>
      <w:r w:rsidRPr="008611CA">
        <w:t>productive rural areas</w:t>
      </w:r>
      <w:r w:rsidRPr="00D0367C">
        <w:t xml:space="preserve"> </w:t>
      </w:r>
      <w:r w:rsidR="00F4353C">
        <w:t>need</w:t>
      </w:r>
      <w:r>
        <w:t xml:space="preserve"> to be managed to </w:t>
      </w:r>
      <w:r w:rsidRPr="00D0367C">
        <w:t>minimis</w:t>
      </w:r>
      <w:r>
        <w:t>e</w:t>
      </w:r>
      <w:r w:rsidRPr="00D0367C">
        <w:t xml:space="preserve"> biosecurity risks</w:t>
      </w:r>
      <w:r>
        <w:t xml:space="preserve"> and support ongoing agricultural production</w:t>
      </w:r>
      <w:r w:rsidRPr="00D0367C">
        <w:t>.</w:t>
      </w:r>
    </w:p>
    <w:p w:rsidR="00E00E26" w:rsidRDefault="00E00E26" w:rsidP="0016400E">
      <w:pPr>
        <w:pStyle w:val="Heading3-list"/>
      </w:pPr>
      <w:r w:rsidRPr="00E00E26">
        <w:t>Maintain and enhance infrastructure supporting rural industry</w:t>
      </w:r>
    </w:p>
    <w:p w:rsidR="00475F76" w:rsidRDefault="0000771C" w:rsidP="00475F76">
      <w:pPr>
        <w:pStyle w:val="bt"/>
      </w:pPr>
      <w:r w:rsidRPr="008611CA">
        <w:t>Rural</w:t>
      </w:r>
      <w:r w:rsidR="00143607" w:rsidRPr="008611CA">
        <w:t xml:space="preserve"> industries </w:t>
      </w:r>
      <w:r w:rsidRPr="008611CA">
        <w:t xml:space="preserve">in the Hume Region are supported by significant infrastructure, including </w:t>
      </w:r>
      <w:r w:rsidR="00143607" w:rsidRPr="008611CA">
        <w:t>major transport corridors, irrigation networks</w:t>
      </w:r>
      <w:r w:rsidR="00A575EF" w:rsidRPr="008611CA">
        <w:t xml:space="preserve"> and drainage systems,</w:t>
      </w:r>
      <w:r w:rsidR="00143607" w:rsidRPr="008611CA">
        <w:t xml:space="preserve"> water storages, </w:t>
      </w:r>
      <w:r w:rsidRPr="008611CA">
        <w:t xml:space="preserve">the </w:t>
      </w:r>
      <w:r w:rsidR="00143607" w:rsidRPr="008611CA">
        <w:t xml:space="preserve">natural gas </w:t>
      </w:r>
      <w:r w:rsidRPr="008611CA">
        <w:t xml:space="preserve">supply </w:t>
      </w:r>
      <w:r w:rsidR="00143607" w:rsidRPr="008611CA">
        <w:t>network and electricity generation and transmission systems. The continued maintenance and enhancement of this infrastructure</w:t>
      </w:r>
      <w:r w:rsidRPr="008611CA">
        <w:t xml:space="preserve"> is essential to </w:t>
      </w:r>
      <w:r w:rsidR="00143607" w:rsidRPr="008611CA">
        <w:t xml:space="preserve">securing </w:t>
      </w:r>
      <w:r w:rsidRPr="008611CA">
        <w:t>a productive and sustainable</w:t>
      </w:r>
      <w:r w:rsidR="00143607" w:rsidRPr="008611CA">
        <w:t xml:space="preserve"> agricultural </w:t>
      </w:r>
      <w:r w:rsidRPr="008611CA">
        <w:t xml:space="preserve">sector </w:t>
      </w:r>
      <w:r w:rsidR="00143607" w:rsidRPr="008611CA">
        <w:t>in the region.</w:t>
      </w:r>
      <w:bookmarkStart w:id="46" w:name="_Ref374356409"/>
      <w:bookmarkStart w:id="47" w:name="_Toc374434701"/>
    </w:p>
    <w:p w:rsidR="00D41E24" w:rsidRPr="00475F76" w:rsidRDefault="009D1249" w:rsidP="00475F76">
      <w:pPr>
        <w:pStyle w:val="bt"/>
      </w:pPr>
      <w:r w:rsidRPr="00475F76">
        <w:t xml:space="preserve">Map </w:t>
      </w:r>
      <w:bookmarkEnd w:id="46"/>
      <w:r w:rsidR="00AF799A">
        <w:t xml:space="preserve">4 </w:t>
      </w:r>
      <w:r w:rsidR="00475F76">
        <w:t>is located here in the document and it shows -</w:t>
      </w:r>
      <w:r w:rsidR="00BD7B1F" w:rsidRPr="00475F76">
        <w:t xml:space="preserve"> Strategic agricultural land</w:t>
      </w:r>
      <w:bookmarkEnd w:id="47"/>
    </w:p>
    <w:p w:rsidR="00582610" w:rsidRPr="008611CA" w:rsidRDefault="00E5288B" w:rsidP="008611CA">
      <w:pPr>
        <w:pStyle w:val="Heading2"/>
      </w:pPr>
      <w:bookmarkStart w:id="48" w:name="_Toc376945591"/>
      <w:r w:rsidRPr="008611CA">
        <w:lastRenderedPageBreak/>
        <w:t xml:space="preserve">Energy and </w:t>
      </w:r>
      <w:r w:rsidR="00075E07" w:rsidRPr="008611CA">
        <w:t>e</w:t>
      </w:r>
      <w:r w:rsidRPr="008611CA">
        <w:t xml:space="preserve">arth </w:t>
      </w:r>
      <w:r w:rsidR="00075E07" w:rsidRPr="008611CA">
        <w:t>r</w:t>
      </w:r>
      <w:r w:rsidR="00582610" w:rsidRPr="008611CA">
        <w:t>esources</w:t>
      </w:r>
      <w:bookmarkEnd w:id="48"/>
    </w:p>
    <w:p w:rsidR="00E00E26" w:rsidRDefault="00E00E26" w:rsidP="00D13BBA">
      <w:pPr>
        <w:pStyle w:val="Heading3-list"/>
        <w:numPr>
          <w:ilvl w:val="0"/>
          <w:numId w:val="25"/>
        </w:numPr>
        <w:ind w:left="426"/>
      </w:pPr>
      <w:r w:rsidRPr="00E00E26">
        <w:t>Explore opportunities for renewable energy generation and alternative waste treatment</w:t>
      </w:r>
    </w:p>
    <w:p w:rsidR="00C05D0B" w:rsidRDefault="0082329F">
      <w:pPr>
        <w:pStyle w:val="bt"/>
        <w:spacing w:before="0" w:after="0" w:line="240" w:lineRule="auto"/>
        <w:jc w:val="both"/>
        <w:rPr>
          <w:rFonts w:cs="Calibri"/>
          <w:szCs w:val="20"/>
          <w:lang w:eastAsia="en-US"/>
        </w:rPr>
      </w:pPr>
      <w:r w:rsidRPr="008611CA">
        <w:t>Factors affecting future e</w:t>
      </w:r>
      <w:r w:rsidR="000F187E" w:rsidRPr="008611CA">
        <w:t xml:space="preserve">nergy demands in the </w:t>
      </w:r>
      <w:r w:rsidR="00BE19C0" w:rsidRPr="008611CA">
        <w:t xml:space="preserve">Hume </w:t>
      </w:r>
      <w:r w:rsidR="00565A1C" w:rsidRPr="008611CA">
        <w:t>R</w:t>
      </w:r>
      <w:r w:rsidR="000F187E" w:rsidRPr="008611CA">
        <w:t xml:space="preserve">egion </w:t>
      </w:r>
      <w:r w:rsidRPr="008611CA">
        <w:t>include</w:t>
      </w:r>
      <w:r w:rsidR="00C05D0B">
        <w:rPr>
          <w:rFonts w:cs="Calibri"/>
          <w:szCs w:val="20"/>
          <w:lang w:eastAsia="en-US"/>
        </w:rPr>
        <w:t>:</w:t>
      </w:r>
    </w:p>
    <w:p w:rsidR="006841B0" w:rsidRDefault="000F187E" w:rsidP="00330D2E">
      <w:pPr>
        <w:pStyle w:val="btbullet"/>
        <w:rPr>
          <w:lang w:eastAsia="en-US"/>
        </w:rPr>
      </w:pPr>
      <w:r w:rsidRPr="00C05D0B">
        <w:rPr>
          <w:lang w:eastAsia="en-US"/>
        </w:rPr>
        <w:t>rising electricity costs</w:t>
      </w:r>
    </w:p>
    <w:p w:rsidR="006841B0" w:rsidRDefault="00190036" w:rsidP="00330D2E">
      <w:pPr>
        <w:pStyle w:val="btbullet"/>
        <w:rPr>
          <w:lang w:eastAsia="en-US"/>
        </w:rPr>
      </w:pPr>
      <w:r>
        <w:rPr>
          <w:lang w:eastAsia="en-US"/>
        </w:rPr>
        <w:t xml:space="preserve">the high price of bottled liquefied petroleum gas and </w:t>
      </w:r>
      <w:r w:rsidR="00BE19C0">
        <w:rPr>
          <w:lang w:eastAsia="en-US"/>
        </w:rPr>
        <w:t xml:space="preserve">the </w:t>
      </w:r>
      <w:r>
        <w:rPr>
          <w:lang w:eastAsia="en-US"/>
        </w:rPr>
        <w:t xml:space="preserve">limited </w:t>
      </w:r>
      <w:r w:rsidR="00BE19C0">
        <w:rPr>
          <w:lang w:eastAsia="en-US"/>
        </w:rPr>
        <w:t xml:space="preserve">coverage </w:t>
      </w:r>
      <w:r>
        <w:rPr>
          <w:lang w:eastAsia="en-US"/>
        </w:rPr>
        <w:t>of the reticulated gas network</w:t>
      </w:r>
      <w:r w:rsidR="00BE19C0">
        <w:rPr>
          <w:lang w:eastAsia="en-US"/>
        </w:rPr>
        <w:t>,</w:t>
      </w:r>
      <w:r>
        <w:rPr>
          <w:lang w:eastAsia="en-US"/>
        </w:rPr>
        <w:t xml:space="preserve"> combined with hot summers and cold winters</w:t>
      </w:r>
    </w:p>
    <w:p w:rsidR="006841B0" w:rsidRDefault="00A423E6" w:rsidP="00330D2E">
      <w:pPr>
        <w:pStyle w:val="btbullet"/>
        <w:rPr>
          <w:lang w:eastAsia="en-US"/>
        </w:rPr>
      </w:pPr>
      <w:r>
        <w:rPr>
          <w:lang w:eastAsia="en-US"/>
        </w:rPr>
        <w:t>long-</w:t>
      </w:r>
      <w:r w:rsidR="00190036">
        <w:rPr>
          <w:lang w:eastAsia="en-US"/>
        </w:rPr>
        <w:t>distance commuting</w:t>
      </w:r>
    </w:p>
    <w:p w:rsidR="006841B0" w:rsidRDefault="00190036" w:rsidP="00330D2E">
      <w:pPr>
        <w:pStyle w:val="btbullet"/>
        <w:rPr>
          <w:lang w:eastAsia="en-US"/>
        </w:rPr>
      </w:pPr>
      <w:proofErr w:type="gramStart"/>
      <w:r>
        <w:rPr>
          <w:lang w:eastAsia="en-US"/>
        </w:rPr>
        <w:t>the</w:t>
      </w:r>
      <w:proofErr w:type="gramEnd"/>
      <w:r>
        <w:rPr>
          <w:lang w:eastAsia="en-US"/>
        </w:rPr>
        <w:t xml:space="preserve"> needs of the region’s larger, more energy</w:t>
      </w:r>
      <w:r w:rsidR="000A4643">
        <w:rPr>
          <w:lang w:eastAsia="en-US"/>
        </w:rPr>
        <w:t xml:space="preserve"> </w:t>
      </w:r>
      <w:r>
        <w:rPr>
          <w:lang w:eastAsia="en-US"/>
        </w:rPr>
        <w:t xml:space="preserve">intensive industries. </w:t>
      </w:r>
    </w:p>
    <w:p w:rsidR="00455EFE" w:rsidRPr="008611CA" w:rsidRDefault="00190036" w:rsidP="008611CA">
      <w:pPr>
        <w:pStyle w:val="bt"/>
      </w:pPr>
      <w:r w:rsidRPr="008611CA">
        <w:t xml:space="preserve">Developing alternative energy sources such as solar, wind, geothermal, bioenergy and biofuels will contribute to securing a sustainable energy future for the </w:t>
      </w:r>
      <w:r w:rsidR="000721BA">
        <w:t>r</w:t>
      </w:r>
      <w:r w:rsidRPr="008611CA">
        <w:t xml:space="preserve">egion. </w:t>
      </w:r>
    </w:p>
    <w:p w:rsidR="00455EFE" w:rsidRPr="008611CA" w:rsidRDefault="000F187E" w:rsidP="008611CA">
      <w:pPr>
        <w:pStyle w:val="bt"/>
      </w:pPr>
      <w:r w:rsidRPr="008611CA">
        <w:t xml:space="preserve">Opportunities </w:t>
      </w:r>
      <w:r w:rsidR="00BE19C0" w:rsidRPr="008611CA">
        <w:t xml:space="preserve">exist in the region </w:t>
      </w:r>
      <w:r w:rsidRPr="008611CA">
        <w:t xml:space="preserve">for sustainable electricity generation in close proximity to existing electricity distribution infrastructure. Potential </w:t>
      </w:r>
      <w:r w:rsidR="00C05D0B" w:rsidRPr="008611CA">
        <w:t xml:space="preserve">and existing </w:t>
      </w:r>
      <w:r w:rsidR="0082329F" w:rsidRPr="008611CA">
        <w:t xml:space="preserve">alternative </w:t>
      </w:r>
      <w:r w:rsidRPr="008611CA">
        <w:t xml:space="preserve">energy resources in the </w:t>
      </w:r>
      <w:r w:rsidR="000721BA">
        <w:t>r</w:t>
      </w:r>
      <w:r w:rsidRPr="008611CA">
        <w:t>egion include:</w:t>
      </w:r>
    </w:p>
    <w:p w:rsidR="00455EFE" w:rsidRDefault="000F187E" w:rsidP="00330D2E">
      <w:pPr>
        <w:pStyle w:val="btbullet"/>
        <w:rPr>
          <w:lang w:eastAsia="en-US"/>
        </w:rPr>
      </w:pPr>
      <w:r w:rsidRPr="00A25511">
        <w:rPr>
          <w:lang w:eastAsia="en-US"/>
        </w:rPr>
        <w:t>wind energy in the Strathbogie Ranges</w:t>
      </w:r>
    </w:p>
    <w:p w:rsidR="00455EFE" w:rsidRDefault="000F187E" w:rsidP="00330D2E">
      <w:pPr>
        <w:pStyle w:val="btbullet"/>
        <w:rPr>
          <w:lang w:eastAsia="en-US"/>
        </w:rPr>
      </w:pPr>
      <w:r w:rsidRPr="00A25511">
        <w:rPr>
          <w:lang w:eastAsia="en-US"/>
        </w:rPr>
        <w:t>solar energy</w:t>
      </w:r>
      <w:r w:rsidR="002B0496">
        <w:rPr>
          <w:lang w:eastAsia="en-US"/>
        </w:rPr>
        <w:t>, particularly</w:t>
      </w:r>
      <w:r w:rsidRPr="00A25511">
        <w:rPr>
          <w:lang w:eastAsia="en-US"/>
        </w:rPr>
        <w:t xml:space="preserve"> in the </w:t>
      </w:r>
      <w:r w:rsidR="002B0496">
        <w:rPr>
          <w:lang w:eastAsia="en-US"/>
        </w:rPr>
        <w:t>northern parts of the region</w:t>
      </w:r>
    </w:p>
    <w:p w:rsidR="00523585" w:rsidRDefault="000C4FF3" w:rsidP="00330D2E">
      <w:pPr>
        <w:pStyle w:val="btbullet"/>
        <w:rPr>
          <w:lang w:eastAsia="en-US"/>
        </w:rPr>
      </w:pPr>
      <w:r>
        <w:rPr>
          <w:lang w:eastAsia="en-US"/>
        </w:rPr>
        <w:t>hydro-</w:t>
      </w:r>
      <w:r w:rsidR="00523585">
        <w:rPr>
          <w:lang w:eastAsia="en-US"/>
        </w:rPr>
        <w:t>electricity</w:t>
      </w:r>
      <w:r>
        <w:rPr>
          <w:lang w:eastAsia="en-US"/>
        </w:rPr>
        <w:t xml:space="preserve"> related to key water resources</w:t>
      </w:r>
    </w:p>
    <w:p w:rsidR="00C05D0B" w:rsidRDefault="00C05D0B" w:rsidP="00330D2E">
      <w:pPr>
        <w:pStyle w:val="btbullet"/>
        <w:rPr>
          <w:lang w:eastAsia="en-US"/>
        </w:rPr>
      </w:pPr>
      <w:r>
        <w:rPr>
          <w:lang w:eastAsia="en-US"/>
        </w:rPr>
        <w:t>bioenergy and biofuel generation from waste products</w:t>
      </w:r>
      <w:r w:rsidR="00321293">
        <w:rPr>
          <w:lang w:eastAsia="en-US"/>
        </w:rPr>
        <w:t xml:space="preserve">, </w:t>
      </w:r>
      <w:r>
        <w:rPr>
          <w:lang w:eastAsia="en-US"/>
        </w:rPr>
        <w:t>such as agricultural wastes</w:t>
      </w:r>
    </w:p>
    <w:p w:rsidR="00440E5F" w:rsidRDefault="000F187E" w:rsidP="00330D2E">
      <w:pPr>
        <w:pStyle w:val="btbullet"/>
        <w:rPr>
          <w:lang w:eastAsia="en-US"/>
        </w:rPr>
      </w:pPr>
      <w:proofErr w:type="gramStart"/>
      <w:r w:rsidRPr="00A25511">
        <w:rPr>
          <w:lang w:eastAsia="en-US"/>
        </w:rPr>
        <w:t>other</w:t>
      </w:r>
      <w:proofErr w:type="gramEnd"/>
      <w:r w:rsidRPr="00A25511">
        <w:rPr>
          <w:lang w:eastAsia="en-US"/>
        </w:rPr>
        <w:t xml:space="preserve"> opportunities for local power generation and distribution.</w:t>
      </w:r>
    </w:p>
    <w:p w:rsidR="006C1A3E" w:rsidRPr="008611CA" w:rsidRDefault="00440E5F" w:rsidP="008611CA">
      <w:pPr>
        <w:pStyle w:val="bt"/>
      </w:pPr>
      <w:r w:rsidRPr="008611CA">
        <w:t xml:space="preserve">The </w:t>
      </w:r>
      <w:r w:rsidR="000721BA">
        <w:t>r</w:t>
      </w:r>
      <w:r w:rsidRPr="008611CA">
        <w:t>egion is home to key electricity distribution infrastructure, such as substations and networks</w:t>
      </w:r>
      <w:r w:rsidR="00BE19C0" w:rsidRPr="008611CA">
        <w:t>. S</w:t>
      </w:r>
      <w:r w:rsidRPr="008611CA">
        <w:t xml:space="preserve">ustainable electricity </w:t>
      </w:r>
      <w:r w:rsidR="00BE19C0" w:rsidRPr="008611CA">
        <w:t xml:space="preserve">generation </w:t>
      </w:r>
      <w:r w:rsidRPr="008611CA">
        <w:t xml:space="preserve">that </w:t>
      </w:r>
      <w:r w:rsidR="005A7CDD">
        <w:t xml:space="preserve">is </w:t>
      </w:r>
      <w:r w:rsidRPr="008611CA">
        <w:t>connect</w:t>
      </w:r>
      <w:r w:rsidR="00BE19C0" w:rsidRPr="008611CA">
        <w:t>ed</w:t>
      </w:r>
      <w:r w:rsidRPr="008611CA">
        <w:t xml:space="preserve"> to existing infrastructure could </w:t>
      </w:r>
      <w:r w:rsidR="00BE19C0" w:rsidRPr="008611CA">
        <w:t xml:space="preserve">offer </w:t>
      </w:r>
      <w:r w:rsidRPr="008611CA">
        <w:t>a regional advantage, particularly as</w:t>
      </w:r>
      <w:r w:rsidR="00C4133D" w:rsidRPr="008611CA">
        <w:t xml:space="preserve"> the</w:t>
      </w:r>
      <w:r w:rsidRPr="008611CA">
        <w:t xml:space="preserve"> technology used to generate sustainable electricity improves.</w:t>
      </w:r>
      <w:r w:rsidR="00AE1141" w:rsidRPr="008611CA">
        <w:t xml:space="preserve"> </w:t>
      </w:r>
    </w:p>
    <w:p w:rsidR="000F187E" w:rsidRPr="008611CA" w:rsidRDefault="000F187E" w:rsidP="008611CA">
      <w:pPr>
        <w:pStyle w:val="bt"/>
      </w:pPr>
      <w:r w:rsidRPr="008611CA">
        <w:t xml:space="preserve">Opportunities </w:t>
      </w:r>
      <w:r w:rsidR="00E665A4" w:rsidRPr="008611CA">
        <w:t xml:space="preserve">also </w:t>
      </w:r>
      <w:r w:rsidRPr="008611CA">
        <w:t xml:space="preserve">exist </w:t>
      </w:r>
      <w:r w:rsidR="00E665A4" w:rsidRPr="008611CA">
        <w:t xml:space="preserve">in </w:t>
      </w:r>
      <w:r w:rsidRPr="008611CA">
        <w:t xml:space="preserve">the waste sector for localised waste management solutions relating to alternative treatment technologies for solid waste including waste composting, recycling and reuse. This is particularly relevant in areas where solid waste is generated, specifically around towns with </w:t>
      </w:r>
      <w:r w:rsidR="00E665A4" w:rsidRPr="008611CA">
        <w:t xml:space="preserve">industries processing food and fibre </w:t>
      </w:r>
      <w:r w:rsidRPr="008611CA">
        <w:t xml:space="preserve">and </w:t>
      </w:r>
      <w:r w:rsidR="00E665A4" w:rsidRPr="008611CA">
        <w:t xml:space="preserve">near clusters of </w:t>
      </w:r>
      <w:r w:rsidRPr="008611CA">
        <w:t>intensive animal</w:t>
      </w:r>
      <w:r w:rsidR="00E665A4" w:rsidRPr="008611CA">
        <w:t xml:space="preserve"> raising</w:t>
      </w:r>
      <w:r w:rsidRPr="008611CA">
        <w:t xml:space="preserve"> industries.</w:t>
      </w:r>
    </w:p>
    <w:p w:rsidR="00995B32" w:rsidRDefault="00995B32" w:rsidP="0016400E">
      <w:pPr>
        <w:pStyle w:val="Heading3-list"/>
      </w:pPr>
      <w:r w:rsidRPr="00995B32">
        <w:t>Explore, support and manage opportunities to take advantage of earth resources</w:t>
      </w:r>
    </w:p>
    <w:p w:rsidR="00B82C58" w:rsidRDefault="000F187E" w:rsidP="008611CA">
      <w:pPr>
        <w:pStyle w:val="bt"/>
      </w:pPr>
      <w:r w:rsidRPr="008611CA">
        <w:t>Earth resources</w:t>
      </w:r>
      <w:r w:rsidR="00BE19C0" w:rsidRPr="008611CA">
        <w:t>,</w:t>
      </w:r>
      <w:r w:rsidRPr="008611CA">
        <w:t xml:space="preserve"> in the form of minerals and quarry products</w:t>
      </w:r>
      <w:r w:rsidR="00BE19C0" w:rsidRPr="008611CA">
        <w:t>,</w:t>
      </w:r>
      <w:r w:rsidRPr="008611CA">
        <w:t xml:space="preserve"> make a valuable economic and social contribution to the </w:t>
      </w:r>
      <w:r w:rsidR="00BE19C0" w:rsidRPr="008611CA">
        <w:t xml:space="preserve">Hume </w:t>
      </w:r>
      <w:r w:rsidR="002C22CC" w:rsidRPr="008611CA">
        <w:t>R</w:t>
      </w:r>
      <w:r w:rsidRPr="008611CA">
        <w:t xml:space="preserve">egion. </w:t>
      </w:r>
      <w:r w:rsidR="00D91593">
        <w:t>Opportunities to take further advantage of earth resources could support</w:t>
      </w:r>
      <w:r w:rsidR="00F5333C">
        <w:t xml:space="preserve"> the diversification of the </w:t>
      </w:r>
      <w:r w:rsidR="00D91593">
        <w:t xml:space="preserve">regional economy. </w:t>
      </w:r>
      <w:proofErr w:type="gramStart"/>
      <w:r w:rsidR="00721426">
        <w:t>Planning for these activities needs to continue to consider environmental and community values and access to markets.</w:t>
      </w:r>
      <w:proofErr w:type="gramEnd"/>
      <w:r w:rsidR="00566D12" w:rsidRPr="008611CA">
        <w:t xml:space="preserve"> </w:t>
      </w:r>
      <w:r w:rsidRPr="008611CA">
        <w:t xml:space="preserve">Opportunities to develop </w:t>
      </w:r>
      <w:r w:rsidR="00B0241B">
        <w:t xml:space="preserve">minerals and </w:t>
      </w:r>
      <w:r w:rsidRPr="008611CA">
        <w:t>extractive industries should be further explored, supported and managed. Past mining activities in the region have degraded substantial areas of alluvial soils</w:t>
      </w:r>
      <w:r w:rsidR="00566D12" w:rsidRPr="008611CA">
        <w:t>.</w:t>
      </w:r>
      <w:r w:rsidR="002877CE" w:rsidRPr="002877CE">
        <w:t xml:space="preserve"> </w:t>
      </w:r>
      <w:r w:rsidR="002877CE">
        <w:t xml:space="preserve">Minerals and extractive industry activities are now regulated to manage environmental impacts such as potential impacts on ground water. </w:t>
      </w:r>
    </w:p>
    <w:p w:rsidR="002325CD" w:rsidRDefault="002325CD" w:rsidP="008611CA">
      <w:pPr>
        <w:pStyle w:val="bt"/>
      </w:pPr>
      <w:r w:rsidRPr="002325CD">
        <w:t>Extractive industry interest areas</w:t>
      </w:r>
      <w:r w:rsidR="00D41E24">
        <w:t xml:space="preserve"> </w:t>
      </w:r>
      <w:r w:rsidRPr="002325CD">
        <w:t>occur within the region</w:t>
      </w:r>
      <w:r w:rsidR="00DE4E99">
        <w:t xml:space="preserve"> and</w:t>
      </w:r>
      <w:r w:rsidRPr="002325CD">
        <w:t xml:space="preserve"> contain areas of known future interest to the extractive minerals industry</w:t>
      </w:r>
      <w:r w:rsidR="00321293">
        <w:t xml:space="preserve">, </w:t>
      </w:r>
      <w:r>
        <w:t>for example</w:t>
      </w:r>
      <w:r w:rsidRPr="002325CD">
        <w:t xml:space="preserve"> sand and stone. Areas are based on suitable geological occurrence and also take into account existing local government planning schemes. They are intended to provide a guide to local government in developing future planning policy. In response to </w:t>
      </w:r>
      <w:r w:rsidR="00041B30">
        <w:t xml:space="preserve">the Economic Development and Infrastructure Committee’s </w:t>
      </w:r>
      <w:r w:rsidR="00041B30">
        <w:rPr>
          <w:i/>
        </w:rPr>
        <w:t xml:space="preserve">Inquiry into greenfields mineral exploration and project development in </w:t>
      </w:r>
      <w:r w:rsidR="007E4618" w:rsidRPr="00921AD0">
        <w:rPr>
          <w:i/>
        </w:rPr>
        <w:t>Victoria</w:t>
      </w:r>
      <w:r w:rsidR="00041B30">
        <w:t xml:space="preserve">, </w:t>
      </w:r>
      <w:r w:rsidRPr="002325CD">
        <w:t xml:space="preserve">the Victorian Government has committed to various activities that will undertake further data gathering and planning to better protect the </w:t>
      </w:r>
      <w:r w:rsidR="00A423E6">
        <w:t>s</w:t>
      </w:r>
      <w:r w:rsidR="00A423E6" w:rsidRPr="002325CD">
        <w:t>tate</w:t>
      </w:r>
      <w:r w:rsidR="00A423E6">
        <w:t>’</w:t>
      </w:r>
      <w:r w:rsidR="00A423E6" w:rsidRPr="002325CD">
        <w:t xml:space="preserve">s </w:t>
      </w:r>
      <w:r w:rsidRPr="002325CD">
        <w:t>extractive resources for future development. The outcomes of these activities may have implications for future planning provisions.</w:t>
      </w:r>
      <w:r w:rsidR="00321293">
        <w:t xml:space="preserve"> Extractive industry interest areas located in the region are shown in Figure 14 of the background paper.</w:t>
      </w:r>
    </w:p>
    <w:p w:rsidR="00E11E43" w:rsidRPr="008611CA" w:rsidRDefault="00E11E43" w:rsidP="00E11E43">
      <w:pPr>
        <w:pStyle w:val="bt"/>
      </w:pPr>
      <w:r>
        <w:lastRenderedPageBreak/>
        <w:t xml:space="preserve">A </w:t>
      </w:r>
      <w:r w:rsidR="00201DFE" w:rsidRPr="00201DFE">
        <w:t xml:space="preserve">locally available </w:t>
      </w:r>
      <w:r>
        <w:t xml:space="preserve">supply of earth resources, including heavy construction materials, will support settlement growth, economic development and the provision of </w:t>
      </w:r>
      <w:r w:rsidR="00A423E6">
        <w:t>cost-</w:t>
      </w:r>
      <w:r>
        <w:t>effective infrastructure.</w:t>
      </w:r>
      <w:r w:rsidR="00147F4E">
        <w:t xml:space="preserve"> Consideration could be given to measure</w:t>
      </w:r>
      <w:r w:rsidR="00CC6B6C">
        <w:t>s</w:t>
      </w:r>
      <w:r w:rsidR="00147F4E">
        <w:t xml:space="preserve"> </w:t>
      </w:r>
      <w:r w:rsidR="00A423E6">
        <w:t xml:space="preserve">that </w:t>
      </w:r>
      <w:r w:rsidR="00CC6B6C">
        <w:t>help</w:t>
      </w:r>
      <w:r w:rsidR="00147F4E">
        <w:t xml:space="preserve"> facilitate and manage the future extraction of earth resources in the region as part of diversifying its economy.</w:t>
      </w:r>
    </w:p>
    <w:p w:rsidR="009675F8" w:rsidRPr="00A25511" w:rsidRDefault="004C47F5" w:rsidP="009675F8">
      <w:pPr>
        <w:pStyle w:val="Heading11"/>
      </w:pPr>
      <w:bookmarkStart w:id="49" w:name="_Toc364247443"/>
      <w:bookmarkStart w:id="50" w:name="_Toc336871224"/>
      <w:bookmarkStart w:id="51" w:name="_Toc376945592"/>
      <w:bookmarkEnd w:id="49"/>
      <w:r w:rsidRPr="00A25511">
        <w:t xml:space="preserve">Environment and </w:t>
      </w:r>
      <w:bookmarkEnd w:id="50"/>
      <w:r w:rsidR="00075E07">
        <w:t>h</w:t>
      </w:r>
      <w:r w:rsidR="00706461" w:rsidRPr="00A25511">
        <w:t>eritage</w:t>
      </w:r>
      <w:bookmarkEnd w:id="51"/>
    </w:p>
    <w:p w:rsidR="007563A9" w:rsidRDefault="008611CA" w:rsidP="00B06C2C">
      <w:pPr>
        <w:pStyle w:val="bt"/>
        <w:rPr>
          <w:rStyle w:val="Strong"/>
          <w:i/>
        </w:rPr>
      </w:pPr>
      <w:r w:rsidRPr="008611CA">
        <w:rPr>
          <w:rStyle w:val="Strong"/>
          <w:i/>
        </w:rPr>
        <w:t>The Hume Strategy aims to protect and enhance the Hume Region’s environmental assets for current and future generations by conserving these assets, protecting their intrinsic values and supporting sustainable communities.</w:t>
      </w:r>
    </w:p>
    <w:p w:rsidR="00896278" w:rsidRPr="00A25511" w:rsidRDefault="00896278" w:rsidP="008611CA">
      <w:pPr>
        <w:pStyle w:val="bt"/>
      </w:pPr>
      <w:r w:rsidRPr="00A25511">
        <w:t>The Hume Region has rich and diverse environmental and heritage assets. The</w:t>
      </w:r>
      <w:r w:rsidR="00B65C24">
        <w:t>se</w:t>
      </w:r>
      <w:r w:rsidRPr="00A25511">
        <w:t xml:space="preserve"> include</w:t>
      </w:r>
      <w:r w:rsidR="00B65C24">
        <w:t xml:space="preserve"> snow</w:t>
      </w:r>
      <w:r w:rsidR="00AD5CBD">
        <w:t>-</w:t>
      </w:r>
      <w:r w:rsidR="00B65C24">
        <w:t>covered mountains,</w:t>
      </w:r>
      <w:r w:rsidRPr="00A25511">
        <w:t xml:space="preserve"> </w:t>
      </w:r>
      <w:r w:rsidR="00AD5CBD">
        <w:t>a</w:t>
      </w:r>
      <w:r w:rsidR="00B65C24">
        <w:t>lpine areas</w:t>
      </w:r>
      <w:r w:rsidRPr="00A25511">
        <w:t>, lush river valleys, forests</w:t>
      </w:r>
      <w:r w:rsidR="00B65C24">
        <w:t xml:space="preserve"> and woodlands</w:t>
      </w:r>
      <w:r w:rsidRPr="00A25511">
        <w:t xml:space="preserve">, </w:t>
      </w:r>
      <w:r w:rsidR="00B65C24" w:rsidRPr="00A25511">
        <w:t>granit</w:t>
      </w:r>
      <w:r w:rsidR="00B65C24">
        <w:t>e</w:t>
      </w:r>
      <w:r w:rsidR="00B65C24" w:rsidRPr="00A25511">
        <w:t xml:space="preserve"> </w:t>
      </w:r>
      <w:r w:rsidRPr="00A25511">
        <w:t>outcrops</w:t>
      </w:r>
      <w:r w:rsidR="00B65C24">
        <w:t xml:space="preserve"> and</w:t>
      </w:r>
      <w:r w:rsidRPr="00A25511">
        <w:t xml:space="preserve"> floodplains.</w:t>
      </w:r>
      <w:r w:rsidR="00D9392F">
        <w:t xml:space="preserve"> They also include </w:t>
      </w:r>
      <w:r w:rsidR="008E28B3">
        <w:t xml:space="preserve">a </w:t>
      </w:r>
      <w:r w:rsidR="00D9392F">
        <w:t>myriad of cultural heritage</w:t>
      </w:r>
      <w:r w:rsidR="00487403">
        <w:t>,</w:t>
      </w:r>
      <w:r w:rsidR="00D9392F">
        <w:t xml:space="preserve"> including both Aboriginal and historic places and objects.</w:t>
      </w:r>
      <w:r w:rsidRPr="00A25511">
        <w:t xml:space="preserve"> </w:t>
      </w:r>
      <w:r w:rsidR="00D9392F">
        <w:t>Cultural l</w:t>
      </w:r>
      <w:r w:rsidRPr="00A25511">
        <w:t xml:space="preserve">andscapes are important for their </w:t>
      </w:r>
      <w:r w:rsidR="00D9392F">
        <w:t xml:space="preserve">heritage and environmental </w:t>
      </w:r>
      <w:r w:rsidRPr="00A25511">
        <w:t xml:space="preserve">values as well as their scenic beauty. </w:t>
      </w:r>
      <w:r w:rsidR="003E44F0">
        <w:t>E</w:t>
      </w:r>
      <w:r w:rsidR="003E44F0" w:rsidRPr="00A25511">
        <w:t>nvironmental and heritage assets</w:t>
      </w:r>
      <w:r w:rsidRPr="00A25511">
        <w:t xml:space="preserve"> contribute to the economic success of the region, </w:t>
      </w:r>
      <w:r w:rsidR="00A12B03">
        <w:t xml:space="preserve">enhance </w:t>
      </w:r>
      <w:r w:rsidRPr="00A25511">
        <w:t xml:space="preserve">liveability for its residents and provide an attraction for visitors and tourists. </w:t>
      </w:r>
    </w:p>
    <w:p w:rsidR="00896278" w:rsidRPr="00A25511" w:rsidRDefault="00896278" w:rsidP="008611CA">
      <w:pPr>
        <w:pStyle w:val="bt"/>
      </w:pPr>
      <w:r w:rsidRPr="00A25511">
        <w:t>The region is home to water</w:t>
      </w:r>
      <w:r w:rsidR="00B24A43">
        <w:t>way</w:t>
      </w:r>
      <w:r w:rsidRPr="00A25511">
        <w:t xml:space="preserve"> assets of </w:t>
      </w:r>
      <w:r w:rsidR="001A5891">
        <w:t>s</w:t>
      </w:r>
      <w:r w:rsidRPr="00A25511">
        <w:t xml:space="preserve">tate, national and international importance such as </w:t>
      </w:r>
      <w:r w:rsidR="00B24A43">
        <w:t xml:space="preserve">internationally recognised </w:t>
      </w:r>
      <w:r w:rsidRPr="00A25511">
        <w:t xml:space="preserve">wetlands and the headwaters and catchments of many </w:t>
      </w:r>
      <w:r w:rsidR="00B24A43">
        <w:t>Murray-Darling Basin</w:t>
      </w:r>
      <w:r w:rsidRPr="00A25511">
        <w:t xml:space="preserve"> rivers.</w:t>
      </w:r>
    </w:p>
    <w:p w:rsidR="00896278" w:rsidRDefault="00896278" w:rsidP="008611CA">
      <w:pPr>
        <w:pStyle w:val="bt"/>
      </w:pPr>
      <w:r w:rsidRPr="00A25511">
        <w:t>The Hume Region has large numbers of endemic species</w:t>
      </w:r>
      <w:r w:rsidR="00455EFE">
        <w:t xml:space="preserve"> (those found only in this region)</w:t>
      </w:r>
      <w:r w:rsidR="00A3214C">
        <w:t xml:space="preserve"> and</w:t>
      </w:r>
      <w:r w:rsidRPr="00A25511">
        <w:t xml:space="preserve"> the greatest number of threatened flora and fauna species in </w:t>
      </w:r>
      <w:r w:rsidR="001A5891">
        <w:t>Victoria</w:t>
      </w:r>
      <w:r w:rsidRPr="00A25511">
        <w:t xml:space="preserve">. </w:t>
      </w:r>
      <w:r w:rsidR="00A3214C">
        <w:t xml:space="preserve">A large proportion </w:t>
      </w:r>
      <w:r w:rsidRPr="00A25511">
        <w:t>of the region is public land</w:t>
      </w:r>
      <w:r w:rsidR="00A3214C">
        <w:t xml:space="preserve">, particularly in </w:t>
      </w:r>
      <w:r w:rsidR="00C4133D">
        <w:t>the</w:t>
      </w:r>
      <w:r w:rsidRPr="00A25511">
        <w:t xml:space="preserve"> east and south</w:t>
      </w:r>
      <w:r w:rsidR="00A423E6">
        <w:t xml:space="preserve"> </w:t>
      </w:r>
      <w:r w:rsidRPr="00A25511">
        <w:t>east. While much of the remainder of the region has been cleared</w:t>
      </w:r>
      <w:r w:rsidR="00A3214C">
        <w:t xml:space="preserve">, </w:t>
      </w:r>
      <w:r w:rsidR="00EB4A31">
        <w:t xml:space="preserve">significant areas of </w:t>
      </w:r>
      <w:r w:rsidRPr="00A25511">
        <w:t xml:space="preserve">remnant vegetation can still be found </w:t>
      </w:r>
      <w:r w:rsidR="00EB4A31">
        <w:t>in these areas</w:t>
      </w:r>
      <w:r w:rsidR="00330D2E">
        <w:t>.</w:t>
      </w:r>
    </w:p>
    <w:p w:rsidR="00896278" w:rsidRPr="00A25511" w:rsidRDefault="00896278" w:rsidP="008611CA">
      <w:pPr>
        <w:pStyle w:val="bt"/>
      </w:pPr>
      <w:r w:rsidRPr="00A25511">
        <w:t xml:space="preserve">The region is subject to </w:t>
      </w:r>
      <w:r w:rsidR="002B0496">
        <w:t xml:space="preserve">natural hazards </w:t>
      </w:r>
      <w:r w:rsidRPr="00A25511">
        <w:t xml:space="preserve">such as </w:t>
      </w:r>
      <w:r w:rsidR="00112398">
        <w:t>bushfire</w:t>
      </w:r>
      <w:r w:rsidRPr="00A25511">
        <w:t xml:space="preserve">, </w:t>
      </w:r>
      <w:r w:rsidR="00112398">
        <w:t>flood</w:t>
      </w:r>
      <w:r w:rsidRPr="00A25511">
        <w:t xml:space="preserve"> and drought, </w:t>
      </w:r>
      <w:r w:rsidR="00F50390">
        <w:t xml:space="preserve">and the risk of these events </w:t>
      </w:r>
      <w:r w:rsidRPr="00A25511">
        <w:t>may intensify as a result of climate</w:t>
      </w:r>
      <w:r w:rsidR="00F50390">
        <w:t xml:space="preserve"> change</w:t>
      </w:r>
      <w:r w:rsidRPr="00A25511">
        <w:t xml:space="preserve">. </w:t>
      </w:r>
    </w:p>
    <w:p w:rsidR="00896278" w:rsidRPr="00A25511" w:rsidRDefault="00896278" w:rsidP="008611CA">
      <w:pPr>
        <w:pStyle w:val="bt"/>
      </w:pPr>
      <w:r w:rsidRPr="00A25511">
        <w:t xml:space="preserve">Key </w:t>
      </w:r>
      <w:r w:rsidR="00BB36E6" w:rsidRPr="00A25511">
        <w:t xml:space="preserve">environmental </w:t>
      </w:r>
      <w:r w:rsidR="00BB36E6">
        <w:t>and</w:t>
      </w:r>
      <w:r w:rsidR="00295DAD">
        <w:t xml:space="preserve"> heritage </w:t>
      </w:r>
      <w:r w:rsidRPr="00A25511">
        <w:t xml:space="preserve">issues for the </w:t>
      </w:r>
      <w:r w:rsidR="00D36385">
        <w:t>p</w:t>
      </w:r>
      <w:r w:rsidRPr="00A25511">
        <w:t>lan include:</w:t>
      </w:r>
    </w:p>
    <w:p w:rsidR="00896278" w:rsidRPr="00A25511" w:rsidRDefault="00896278" w:rsidP="00330D2E">
      <w:pPr>
        <w:pStyle w:val="btbullet"/>
      </w:pPr>
      <w:r w:rsidRPr="00A25511">
        <w:t xml:space="preserve">adapting to the </w:t>
      </w:r>
      <w:r w:rsidR="00F50390">
        <w:t xml:space="preserve">potential </w:t>
      </w:r>
      <w:r w:rsidRPr="00A25511">
        <w:t>impacts of climate change</w:t>
      </w:r>
    </w:p>
    <w:p w:rsidR="00896278" w:rsidRPr="00A25511" w:rsidRDefault="00896278" w:rsidP="00330D2E">
      <w:pPr>
        <w:pStyle w:val="btbullet"/>
      </w:pPr>
      <w:r w:rsidRPr="00A25511">
        <w:t>protecti</w:t>
      </w:r>
      <w:r w:rsidR="00455EFE">
        <w:t>ng</w:t>
      </w:r>
      <w:r w:rsidRPr="00A25511">
        <w:t xml:space="preserve"> significant </w:t>
      </w:r>
      <w:r w:rsidR="00BB36E6">
        <w:t xml:space="preserve">cultural </w:t>
      </w:r>
      <w:r w:rsidRPr="00A25511">
        <w:t xml:space="preserve">landscapes </w:t>
      </w:r>
    </w:p>
    <w:p w:rsidR="00896278" w:rsidRDefault="00455EFE" w:rsidP="00330D2E">
      <w:pPr>
        <w:pStyle w:val="btbullet"/>
      </w:pPr>
      <w:r w:rsidRPr="00A25511">
        <w:t>protecti</w:t>
      </w:r>
      <w:r>
        <w:t>ng</w:t>
      </w:r>
      <w:r w:rsidRPr="00A25511">
        <w:t xml:space="preserve"> </w:t>
      </w:r>
      <w:r w:rsidR="00896278" w:rsidRPr="00A25511">
        <w:t xml:space="preserve">and </w:t>
      </w:r>
      <w:r w:rsidRPr="00A25511">
        <w:t>e</w:t>
      </w:r>
      <w:r>
        <w:t>nhancing</w:t>
      </w:r>
      <w:r w:rsidRPr="00A25511">
        <w:t xml:space="preserve"> </w:t>
      </w:r>
      <w:r w:rsidR="00195583">
        <w:t>terrestrial habitat</w:t>
      </w:r>
      <w:r w:rsidR="00195583" w:rsidRPr="00A25511">
        <w:t xml:space="preserve"> </w:t>
      </w:r>
      <w:r w:rsidR="00896278" w:rsidRPr="00A25511">
        <w:t>assets</w:t>
      </w:r>
    </w:p>
    <w:p w:rsidR="00A010B8" w:rsidRPr="00A010B8" w:rsidRDefault="00A010B8" w:rsidP="00330D2E">
      <w:pPr>
        <w:pStyle w:val="btbullet"/>
      </w:pPr>
      <w:r w:rsidRPr="00A25511">
        <w:t>us</w:t>
      </w:r>
      <w:r>
        <w:t>ing</w:t>
      </w:r>
      <w:r w:rsidRPr="00A25511">
        <w:t xml:space="preserve"> and protecti</w:t>
      </w:r>
      <w:r>
        <w:t>ng</w:t>
      </w:r>
      <w:r w:rsidRPr="00A25511">
        <w:t xml:space="preserve"> </w:t>
      </w:r>
      <w:r>
        <w:t>soils</w:t>
      </w:r>
    </w:p>
    <w:p w:rsidR="00295DAD" w:rsidRDefault="00455EFE" w:rsidP="00330D2E">
      <w:pPr>
        <w:pStyle w:val="btbullet"/>
      </w:pPr>
      <w:r w:rsidRPr="00A25511">
        <w:t>protecti</w:t>
      </w:r>
      <w:r>
        <w:t>ng</w:t>
      </w:r>
      <w:r w:rsidRPr="00A25511">
        <w:t xml:space="preserve"> </w:t>
      </w:r>
      <w:r w:rsidR="00896278" w:rsidRPr="00A25511">
        <w:t>water</w:t>
      </w:r>
      <w:r w:rsidR="00195583">
        <w:t xml:space="preserve"> assets</w:t>
      </w:r>
    </w:p>
    <w:p w:rsidR="00896278" w:rsidRPr="00A25511" w:rsidRDefault="00295DAD" w:rsidP="00330D2E">
      <w:pPr>
        <w:pStyle w:val="btbullet"/>
      </w:pPr>
      <w:proofErr w:type="gramStart"/>
      <w:r>
        <w:t>identifying</w:t>
      </w:r>
      <w:proofErr w:type="gramEnd"/>
      <w:r>
        <w:t xml:space="preserve"> and conserving significant cultural heritage</w:t>
      </w:r>
      <w:r w:rsidR="00896278" w:rsidRPr="00A25511">
        <w:t>.</w:t>
      </w:r>
    </w:p>
    <w:p w:rsidR="00DD6BFE" w:rsidRPr="00945DFD" w:rsidRDefault="00DD6BFE" w:rsidP="008611CA">
      <w:pPr>
        <w:pStyle w:val="bt"/>
      </w:pPr>
      <w:r w:rsidRPr="00945DFD">
        <w:t xml:space="preserve">The North East </w:t>
      </w:r>
      <w:r w:rsidR="00455EFE" w:rsidRPr="00945DFD">
        <w:t>C</w:t>
      </w:r>
      <w:r w:rsidR="001A5891">
        <w:t xml:space="preserve">atchment Management Authority </w:t>
      </w:r>
      <w:r w:rsidRPr="00945DFD">
        <w:t xml:space="preserve">and </w:t>
      </w:r>
      <w:r w:rsidR="00455EFE" w:rsidRPr="00945DFD">
        <w:t xml:space="preserve">the </w:t>
      </w:r>
      <w:r w:rsidRPr="00945DFD">
        <w:t>Goulburn Broken C</w:t>
      </w:r>
      <w:r w:rsidR="001A5891">
        <w:t xml:space="preserve">atchment Management Authority </w:t>
      </w:r>
      <w:r w:rsidRPr="00945DFD">
        <w:t xml:space="preserve">coordinate investment in the protection and enhancement of environmental assets throughout the region, along with public land managers. Regional </w:t>
      </w:r>
      <w:r w:rsidR="000721BA">
        <w:t>c</w:t>
      </w:r>
      <w:r w:rsidRPr="00945DFD">
        <w:t xml:space="preserve">atchment </w:t>
      </w:r>
      <w:r w:rsidR="000721BA">
        <w:t>s</w:t>
      </w:r>
      <w:r w:rsidRPr="00945DFD">
        <w:t xml:space="preserve">trategies have been developed to provide integrated regional strategies for achieving improved environmental outcomes in the region. Regionally significant environmental assets have been identified in this </w:t>
      </w:r>
      <w:r w:rsidR="001800ED">
        <w:t xml:space="preserve">regional growth </w:t>
      </w:r>
      <w:r w:rsidR="00D36385">
        <w:t>p</w:t>
      </w:r>
      <w:r w:rsidRPr="00945DFD">
        <w:t xml:space="preserve">lan and these align with those identified in </w:t>
      </w:r>
      <w:r w:rsidR="00A81CE4" w:rsidRPr="00945DFD">
        <w:t>the</w:t>
      </w:r>
      <w:r w:rsidR="00A81CE4">
        <w:t xml:space="preserve"> regional</w:t>
      </w:r>
      <w:r w:rsidR="000721BA">
        <w:t xml:space="preserve"> catchment strategies</w:t>
      </w:r>
      <w:r w:rsidRPr="00945DFD">
        <w:t xml:space="preserve">. The </w:t>
      </w:r>
      <w:r w:rsidR="00D36385">
        <w:t>p</w:t>
      </w:r>
      <w:r w:rsidRPr="00945DFD">
        <w:t xml:space="preserve">lan proposes a land use response </w:t>
      </w:r>
      <w:r w:rsidR="001A5891">
        <w:t xml:space="preserve">that </w:t>
      </w:r>
      <w:r w:rsidRPr="00945DFD">
        <w:t xml:space="preserve">complements </w:t>
      </w:r>
      <w:r w:rsidR="00A81CE4" w:rsidRPr="00945DFD">
        <w:t>the</w:t>
      </w:r>
      <w:r w:rsidR="00A81CE4">
        <w:t xml:space="preserve"> regional</w:t>
      </w:r>
      <w:r w:rsidR="000721BA">
        <w:t xml:space="preserve"> catchment strategies</w:t>
      </w:r>
      <w:r w:rsidRPr="00945DFD">
        <w:t>.</w:t>
      </w:r>
    </w:p>
    <w:p w:rsidR="00C913BE" w:rsidRDefault="00DD6BFE" w:rsidP="008611CA">
      <w:pPr>
        <w:pStyle w:val="bt"/>
      </w:pPr>
      <w:r w:rsidRPr="00945DFD">
        <w:t>Key areas where potential growth or land use change may intersect with environmental and heritage assets have been identified</w:t>
      </w:r>
      <w:r w:rsidR="00295DAD">
        <w:t xml:space="preserve"> in the </w:t>
      </w:r>
      <w:r w:rsidR="00D36385">
        <w:t>p</w:t>
      </w:r>
      <w:r w:rsidR="00295DAD">
        <w:t>lan</w:t>
      </w:r>
      <w:r w:rsidRPr="00945DFD">
        <w:t>. Natural hazards</w:t>
      </w:r>
      <w:r w:rsidR="00623045" w:rsidRPr="00945DFD">
        <w:t xml:space="preserve"> and risks</w:t>
      </w:r>
      <w:r w:rsidRPr="00945DFD">
        <w:t xml:space="preserve"> have been mapped and form part of the considerations for urban growth. This </w:t>
      </w:r>
      <w:r w:rsidR="00D36385">
        <w:t>p</w:t>
      </w:r>
      <w:r w:rsidRPr="00945DFD">
        <w:t>lan provides direction on these issues.</w:t>
      </w:r>
    </w:p>
    <w:p w:rsidR="00995B32" w:rsidRDefault="00995B32" w:rsidP="00995B32">
      <w:pPr>
        <w:pStyle w:val="Heading3"/>
      </w:pPr>
      <w:r>
        <w:t>Overall approach</w:t>
      </w:r>
    </w:p>
    <w:p w:rsidR="003C65F9" w:rsidRDefault="00DD6BFE" w:rsidP="003C65F9">
      <w:pPr>
        <w:pStyle w:val="bt"/>
      </w:pPr>
      <w:r w:rsidRPr="00A25511">
        <w:lastRenderedPageBreak/>
        <w:t xml:space="preserve">Considering the vision and principles established in Part B of this </w:t>
      </w:r>
      <w:r w:rsidR="00D36385">
        <w:t>p</w:t>
      </w:r>
      <w:r w:rsidRPr="00A25511">
        <w:t xml:space="preserve">lan, the Hume Strategy and the </w:t>
      </w:r>
      <w:r w:rsidR="000721BA">
        <w:t>regional catchment strategies</w:t>
      </w:r>
      <w:r w:rsidR="001800ED">
        <w:t>,</w:t>
      </w:r>
      <w:r w:rsidRPr="00A25511">
        <w:t xml:space="preserve"> the overall approach is </w:t>
      </w:r>
      <w:r w:rsidRPr="000A4643">
        <w:t xml:space="preserve">to </w:t>
      </w:r>
      <w:r w:rsidR="00440E5F" w:rsidRPr="008611CA">
        <w:rPr>
          <w:rStyle w:val="Strong"/>
        </w:rPr>
        <w:t xml:space="preserve">protect environmental </w:t>
      </w:r>
      <w:r w:rsidR="008919D9" w:rsidRPr="008611CA">
        <w:rPr>
          <w:rStyle w:val="Strong"/>
        </w:rPr>
        <w:t xml:space="preserve">and heritage </w:t>
      </w:r>
      <w:r w:rsidR="00440E5F" w:rsidRPr="008611CA">
        <w:rPr>
          <w:rStyle w:val="Strong"/>
        </w:rPr>
        <w:t>assets and</w:t>
      </w:r>
      <w:r w:rsidR="002E6D30" w:rsidRPr="008611CA">
        <w:rPr>
          <w:rStyle w:val="Strong"/>
        </w:rPr>
        <w:t xml:space="preserve"> </w:t>
      </w:r>
      <w:r w:rsidRPr="008611CA">
        <w:rPr>
          <w:rStyle w:val="Strong"/>
        </w:rPr>
        <w:t xml:space="preserve">maximise the regional benefit from </w:t>
      </w:r>
      <w:r w:rsidR="002E6D30" w:rsidRPr="008611CA">
        <w:rPr>
          <w:rStyle w:val="Strong"/>
        </w:rPr>
        <w:t xml:space="preserve">them, whilst </w:t>
      </w:r>
      <w:r w:rsidR="000925D8" w:rsidRPr="008611CA">
        <w:rPr>
          <w:rStyle w:val="Strong"/>
        </w:rPr>
        <w:t>managing exposure to</w:t>
      </w:r>
      <w:r w:rsidR="00AE5108" w:rsidRPr="008611CA">
        <w:rPr>
          <w:rStyle w:val="Strong"/>
        </w:rPr>
        <w:t xml:space="preserve"> </w:t>
      </w:r>
      <w:r w:rsidR="00806881" w:rsidRPr="008611CA">
        <w:rPr>
          <w:rStyle w:val="Strong"/>
        </w:rPr>
        <w:t xml:space="preserve">natural hazards </w:t>
      </w:r>
      <w:r w:rsidRPr="008611CA">
        <w:rPr>
          <w:rStyle w:val="Strong"/>
        </w:rPr>
        <w:t xml:space="preserve">and </w:t>
      </w:r>
      <w:r w:rsidR="000925D8" w:rsidRPr="008611CA">
        <w:rPr>
          <w:rStyle w:val="Strong"/>
        </w:rPr>
        <w:t xml:space="preserve">planning for </w:t>
      </w:r>
      <w:r w:rsidRPr="008611CA">
        <w:rPr>
          <w:rStyle w:val="Strong"/>
        </w:rPr>
        <w:t>the potential impacts of climate change</w:t>
      </w:r>
      <w:r w:rsidRPr="000A4643">
        <w:t xml:space="preserve">. </w:t>
      </w:r>
      <w:r w:rsidR="001A5046" w:rsidRPr="000A4643">
        <w:t>F</w:t>
      </w:r>
      <w:r w:rsidRPr="000A4643">
        <w:t>uture directions to achieve</w:t>
      </w:r>
      <w:r w:rsidRPr="00A25511">
        <w:t xml:space="preserve"> this are shown </w:t>
      </w:r>
      <w:r w:rsidRPr="00B75B26">
        <w:t>in</w:t>
      </w:r>
      <w:r w:rsidR="00AF799A">
        <w:t xml:space="preserve"> Map 5</w:t>
      </w:r>
      <w:r w:rsidR="00D12457">
        <w:t xml:space="preserve"> </w:t>
      </w:r>
      <w:r w:rsidR="00B107AA">
        <w:t xml:space="preserve">and discussed under </w:t>
      </w:r>
      <w:r w:rsidR="001E3654">
        <w:t>Section</w:t>
      </w:r>
      <w:r w:rsidR="00B107AA">
        <w:t>s 12.1 and 12.2 below.</w:t>
      </w:r>
      <w:bookmarkStart w:id="52" w:name="_Ref374356461"/>
      <w:bookmarkStart w:id="53" w:name="_Toc374434702"/>
    </w:p>
    <w:p w:rsidR="00A56ADD" w:rsidRPr="003C65F9" w:rsidRDefault="009D1249" w:rsidP="003C65F9">
      <w:pPr>
        <w:pStyle w:val="bt"/>
      </w:pPr>
      <w:r w:rsidRPr="003C65F9">
        <w:t xml:space="preserve">Map </w:t>
      </w:r>
      <w:bookmarkEnd w:id="52"/>
      <w:r w:rsidR="00AF799A">
        <w:t>5</w:t>
      </w:r>
      <w:r w:rsidR="003C65F9" w:rsidRPr="003C65F9">
        <w:t xml:space="preserve"> </w:t>
      </w:r>
      <w:r w:rsidR="003C65F9">
        <w:t>is located here in the document and it shows -</w:t>
      </w:r>
      <w:r w:rsidR="00BD7B1F" w:rsidRPr="003C65F9">
        <w:t xml:space="preserve"> Future </w:t>
      </w:r>
      <w:r w:rsidR="000A2EA0" w:rsidRPr="003C65F9">
        <w:t xml:space="preserve">directions </w:t>
      </w:r>
      <w:r w:rsidR="00BD7B1F" w:rsidRPr="003C65F9">
        <w:t xml:space="preserve">– </w:t>
      </w:r>
      <w:r w:rsidR="00A05995">
        <w:t>E</w:t>
      </w:r>
      <w:r w:rsidR="00BD7B1F" w:rsidRPr="003C65F9">
        <w:t>nvironment and heritage</w:t>
      </w:r>
      <w:bookmarkEnd w:id="53"/>
    </w:p>
    <w:p w:rsidR="007A28AE" w:rsidRPr="008611CA" w:rsidRDefault="00B4157C" w:rsidP="008611CA">
      <w:pPr>
        <w:pStyle w:val="Heading2"/>
      </w:pPr>
      <w:bookmarkStart w:id="54" w:name="_Toc376945593"/>
      <w:r w:rsidRPr="008611CA">
        <w:t>Environment</w:t>
      </w:r>
      <w:r w:rsidR="00E16A94" w:rsidRPr="008611CA">
        <w:t>al</w:t>
      </w:r>
      <w:r w:rsidR="00706461" w:rsidRPr="008611CA">
        <w:t xml:space="preserve"> </w:t>
      </w:r>
      <w:r w:rsidR="00E16A94" w:rsidRPr="008611CA">
        <w:t>a</w:t>
      </w:r>
      <w:r w:rsidR="00B26F55" w:rsidRPr="008611CA">
        <w:t>ssets</w:t>
      </w:r>
      <w:bookmarkEnd w:id="54"/>
    </w:p>
    <w:p w:rsidR="008C6AF5" w:rsidRDefault="008C6AF5" w:rsidP="00A9426A">
      <w:pPr>
        <w:pStyle w:val="Heading3-list"/>
        <w:numPr>
          <w:ilvl w:val="0"/>
          <w:numId w:val="26"/>
        </w:numPr>
        <w:ind w:left="426"/>
      </w:pPr>
      <w:r w:rsidRPr="008C6AF5">
        <w:t>Identify, manage and protect significant regional cultural landscapes</w:t>
      </w:r>
    </w:p>
    <w:p w:rsidR="007A28AE" w:rsidRPr="008611CA" w:rsidRDefault="001A5891" w:rsidP="008611CA">
      <w:pPr>
        <w:pStyle w:val="bt"/>
      </w:pPr>
      <w:r w:rsidRPr="008611CA">
        <w:t>Landscapes i</w:t>
      </w:r>
      <w:r w:rsidR="00DD6BFE" w:rsidRPr="008611CA">
        <w:t xml:space="preserve">n the Hume Region are </w:t>
      </w:r>
      <w:r w:rsidR="00782502" w:rsidRPr="008611CA">
        <w:t xml:space="preserve">highly </w:t>
      </w:r>
      <w:r w:rsidR="00DD6BFE" w:rsidRPr="008611CA">
        <w:t>valued by the community, tourists and visitors for their scenic amenity</w:t>
      </w:r>
      <w:r w:rsidR="00455EFE" w:rsidRPr="008611CA">
        <w:t xml:space="preserve"> and heritage values</w:t>
      </w:r>
      <w:r w:rsidR="00DD6BFE" w:rsidRPr="008611CA">
        <w:t xml:space="preserve">. </w:t>
      </w:r>
      <w:r w:rsidR="006D539F">
        <w:t>They</w:t>
      </w:r>
      <w:r w:rsidR="006D539F" w:rsidRPr="006D539F">
        <w:t xml:space="preserve"> contribute to the economy and liveability of the region </w:t>
      </w:r>
      <w:r w:rsidR="006D539F">
        <w:t xml:space="preserve">and </w:t>
      </w:r>
      <w:r w:rsidR="000C78A9">
        <w:t>attract investment, residents and visitors. T</w:t>
      </w:r>
      <w:r w:rsidR="006D539F">
        <w:t>here is a need for these</w:t>
      </w:r>
      <w:r w:rsidR="00DD6BFE" w:rsidRPr="008611CA">
        <w:t xml:space="preserve"> landscapes </w:t>
      </w:r>
      <w:r w:rsidR="00455EFE" w:rsidRPr="008611CA">
        <w:t xml:space="preserve">to </w:t>
      </w:r>
      <w:r w:rsidR="00DD6BFE" w:rsidRPr="008611CA">
        <w:t>be identified</w:t>
      </w:r>
      <w:r w:rsidR="00782502" w:rsidRPr="008611CA">
        <w:t>, classified</w:t>
      </w:r>
      <w:r w:rsidR="00DD6BFE" w:rsidRPr="008611CA">
        <w:t xml:space="preserve"> and described in a consistent way so they can be protected and </w:t>
      </w:r>
      <w:r w:rsidR="00455EFE" w:rsidRPr="008611CA">
        <w:t>managed</w:t>
      </w:r>
      <w:r w:rsidR="00782502" w:rsidRPr="008611CA">
        <w:t xml:space="preserve"> </w:t>
      </w:r>
      <w:r w:rsidRPr="008611CA">
        <w:t>by</w:t>
      </w:r>
      <w:r w:rsidR="00782502" w:rsidRPr="008611CA">
        <w:t xml:space="preserve"> suitable mechanisms such as land use planning tools</w:t>
      </w:r>
      <w:r w:rsidR="00DD6BFE" w:rsidRPr="008611CA">
        <w:t>.</w:t>
      </w:r>
    </w:p>
    <w:p w:rsidR="007A28AE" w:rsidRPr="008611CA" w:rsidRDefault="00BB36E6" w:rsidP="008611CA">
      <w:pPr>
        <w:pStyle w:val="bt"/>
      </w:pPr>
      <w:r w:rsidRPr="008611CA">
        <w:t xml:space="preserve">Cultural landscapes are significant due to their aesthetic (including scenic), historic, scientific, social, archaeological and environmental values. </w:t>
      </w:r>
      <w:r w:rsidR="00CF6574" w:rsidRPr="008611CA">
        <w:t>These landscapes</w:t>
      </w:r>
      <w:r w:rsidR="00DD6BFE" w:rsidRPr="008611CA">
        <w:t xml:space="preserve"> can be strong contributor</w:t>
      </w:r>
      <w:r w:rsidR="00CF6574" w:rsidRPr="008611CA">
        <w:t>s</w:t>
      </w:r>
      <w:r w:rsidR="00DD6BFE" w:rsidRPr="008611CA">
        <w:t xml:space="preserve"> to the character of a place</w:t>
      </w:r>
      <w:r w:rsidR="00CF6574" w:rsidRPr="008611CA">
        <w:t>.</w:t>
      </w:r>
      <w:r w:rsidR="00DD6BFE" w:rsidRPr="008611CA">
        <w:t xml:space="preserve"> </w:t>
      </w:r>
      <w:r w:rsidR="00CF6574" w:rsidRPr="008611CA">
        <w:t>Although there has been no systematic identification, classification and recording of broader cultural landscapes across the Hume Region</w:t>
      </w:r>
      <w:r w:rsidR="00DD6BFE" w:rsidRPr="008611CA">
        <w:t xml:space="preserve">, it is highly likely the region would have national, state and regionally significant </w:t>
      </w:r>
      <w:r w:rsidR="00CF6574" w:rsidRPr="008611CA">
        <w:t>landscapes</w:t>
      </w:r>
      <w:r w:rsidR="00DD6BFE" w:rsidRPr="008611CA">
        <w:t>.</w:t>
      </w:r>
    </w:p>
    <w:p w:rsidR="007A28AE" w:rsidRPr="008611CA" w:rsidRDefault="00DD6BFE" w:rsidP="008611CA">
      <w:pPr>
        <w:pStyle w:val="bt"/>
      </w:pPr>
      <w:r w:rsidRPr="008611CA">
        <w:t>A</w:t>
      </w:r>
      <w:r w:rsidR="00455EFE" w:rsidRPr="008611CA">
        <w:t>n integrated and</w:t>
      </w:r>
      <w:r w:rsidRPr="008611CA">
        <w:t xml:space="preserve"> comprehensive regional</w:t>
      </w:r>
      <w:r w:rsidR="00455EFE" w:rsidRPr="008611CA">
        <w:t xml:space="preserve"> landscape study is needed to </w:t>
      </w:r>
      <w:r w:rsidR="00CF6574" w:rsidRPr="008611CA">
        <w:t>identify landscapes of value within the region</w:t>
      </w:r>
      <w:r w:rsidR="001800ED">
        <w:t xml:space="preserve">, </w:t>
      </w:r>
      <w:r w:rsidR="00CF6574" w:rsidRPr="008611CA">
        <w:t xml:space="preserve">including consideration of </w:t>
      </w:r>
      <w:r w:rsidR="00455EFE" w:rsidRPr="008611CA">
        <w:t xml:space="preserve">both </w:t>
      </w:r>
      <w:r w:rsidR="001A5891" w:rsidRPr="008611CA">
        <w:t xml:space="preserve">the </w:t>
      </w:r>
      <w:r w:rsidR="00455EFE" w:rsidRPr="008611CA">
        <w:t>scenic quality and heritage values of landscapes</w:t>
      </w:r>
      <w:r w:rsidR="001800ED">
        <w:t>,</w:t>
      </w:r>
      <w:r w:rsidR="00EA04A5" w:rsidRPr="008611CA">
        <w:t xml:space="preserve"> and </w:t>
      </w:r>
      <w:r w:rsidR="001800ED">
        <w:t xml:space="preserve">to </w:t>
      </w:r>
      <w:r w:rsidR="00EA04A5" w:rsidRPr="008611CA">
        <w:t xml:space="preserve">identify suitable planning </w:t>
      </w:r>
      <w:r w:rsidR="00CF6574" w:rsidRPr="008611CA">
        <w:t>mechanisms for their protection</w:t>
      </w:r>
      <w:r w:rsidR="00455EFE" w:rsidRPr="008611CA">
        <w:t xml:space="preserve">. </w:t>
      </w:r>
    </w:p>
    <w:p w:rsidR="00050EA9" w:rsidRPr="008611CA" w:rsidRDefault="007D7221" w:rsidP="008611CA">
      <w:pPr>
        <w:pStyle w:val="bt"/>
      </w:pPr>
      <w:r w:rsidRPr="008611CA">
        <w:t>The p</w:t>
      </w:r>
      <w:r w:rsidR="00455EFE" w:rsidRPr="008611CA">
        <w:t xml:space="preserve">rotection and promotion of </w:t>
      </w:r>
      <w:r w:rsidR="00CF6574" w:rsidRPr="008611CA">
        <w:t xml:space="preserve">cultural </w:t>
      </w:r>
      <w:r w:rsidRPr="008611CA">
        <w:t xml:space="preserve">landscapes </w:t>
      </w:r>
      <w:r w:rsidR="00455EFE" w:rsidRPr="008611CA">
        <w:t xml:space="preserve">can </w:t>
      </w:r>
      <w:r w:rsidR="00CF6574" w:rsidRPr="008611CA">
        <w:t xml:space="preserve">help </w:t>
      </w:r>
      <w:r w:rsidR="00455EFE" w:rsidRPr="008611CA">
        <w:t>expand tourism</w:t>
      </w:r>
      <w:r w:rsidR="00CF6574" w:rsidRPr="008611CA">
        <w:t xml:space="preserve"> opportunities</w:t>
      </w:r>
      <w:r w:rsidR="00455EFE" w:rsidRPr="008611CA">
        <w:t xml:space="preserve"> and associated economic activity.</w:t>
      </w:r>
    </w:p>
    <w:p w:rsidR="008C6AF5" w:rsidRDefault="008C6AF5" w:rsidP="0016400E">
      <w:pPr>
        <w:pStyle w:val="Heading3-list"/>
      </w:pPr>
      <w:r w:rsidRPr="008C6AF5">
        <w:t>Protect and enhance terrestrial habitat</w:t>
      </w:r>
    </w:p>
    <w:p w:rsidR="008A7F5F" w:rsidRPr="008611CA" w:rsidRDefault="008A7F5F" w:rsidP="008611CA">
      <w:pPr>
        <w:pStyle w:val="bt"/>
      </w:pPr>
      <w:r w:rsidRPr="008611CA">
        <w:t xml:space="preserve">In order to protect and enhance </w:t>
      </w:r>
      <w:r w:rsidR="00005E2D" w:rsidRPr="008611CA">
        <w:t>terrestrial habitat</w:t>
      </w:r>
      <w:r w:rsidR="001800ED">
        <w:t xml:space="preserve">, </w:t>
      </w:r>
      <w:r w:rsidR="00005E2D" w:rsidRPr="008611CA">
        <w:t xml:space="preserve">including associated biodiversity assets </w:t>
      </w:r>
      <w:r w:rsidRPr="008611CA">
        <w:t xml:space="preserve">and their economic contribution, the impacts of land use change and development on </w:t>
      </w:r>
      <w:r w:rsidR="00005E2D" w:rsidRPr="008611CA">
        <w:t>these assets</w:t>
      </w:r>
      <w:r w:rsidRPr="008611CA">
        <w:t xml:space="preserve"> can be minimised by:</w:t>
      </w:r>
    </w:p>
    <w:p w:rsidR="008A7F5F" w:rsidRPr="00A25511" w:rsidRDefault="008A7F5F" w:rsidP="00330D2E">
      <w:pPr>
        <w:pStyle w:val="btbullet"/>
        <w:rPr>
          <w:lang w:eastAsia="en-US"/>
        </w:rPr>
      </w:pPr>
      <w:r w:rsidRPr="00A25511">
        <w:rPr>
          <w:lang w:eastAsia="en-US"/>
        </w:rPr>
        <w:t>directing growth towards areas identified as having lower environmental values</w:t>
      </w:r>
    </w:p>
    <w:p w:rsidR="00005E2D" w:rsidRDefault="008A7F5F" w:rsidP="00330D2E">
      <w:pPr>
        <w:pStyle w:val="btbullet"/>
        <w:rPr>
          <w:lang w:eastAsia="en-US"/>
        </w:rPr>
      </w:pPr>
      <w:r w:rsidRPr="00A25511">
        <w:rPr>
          <w:lang w:eastAsia="en-US"/>
        </w:rPr>
        <w:t xml:space="preserve">avoiding development in areas with regionally significant </w:t>
      </w:r>
      <w:r w:rsidR="00005E2D" w:rsidRPr="00005E2D">
        <w:rPr>
          <w:lang w:eastAsia="en-US"/>
        </w:rPr>
        <w:t>terrestrial habitat</w:t>
      </w:r>
    </w:p>
    <w:p w:rsidR="008A7F5F" w:rsidRPr="00A25511" w:rsidRDefault="00005E2D" w:rsidP="00330D2E">
      <w:pPr>
        <w:pStyle w:val="btbullet"/>
        <w:rPr>
          <w:lang w:eastAsia="en-US"/>
        </w:rPr>
      </w:pPr>
      <w:r>
        <w:rPr>
          <w:lang w:eastAsia="en-US"/>
        </w:rPr>
        <w:t>protecting significant vegetation assets through strategic planning</w:t>
      </w:r>
    </w:p>
    <w:p w:rsidR="008A7F5F" w:rsidRPr="00A25511" w:rsidRDefault="008A7F5F" w:rsidP="00330D2E">
      <w:pPr>
        <w:pStyle w:val="btbullet"/>
        <w:rPr>
          <w:lang w:eastAsia="en-US"/>
        </w:rPr>
      </w:pPr>
      <w:proofErr w:type="gramStart"/>
      <w:r w:rsidRPr="00A25511">
        <w:rPr>
          <w:lang w:eastAsia="en-US"/>
        </w:rPr>
        <w:t>improving</w:t>
      </w:r>
      <w:proofErr w:type="gramEnd"/>
      <w:r w:rsidRPr="00A25511">
        <w:rPr>
          <w:lang w:eastAsia="en-US"/>
        </w:rPr>
        <w:t xml:space="preserve"> regional vegetation connectivity</w:t>
      </w:r>
      <w:r w:rsidR="004476AA">
        <w:rPr>
          <w:lang w:eastAsia="en-US"/>
        </w:rPr>
        <w:t xml:space="preserve"> (landscape connectivity)</w:t>
      </w:r>
      <w:r w:rsidR="00005E2D">
        <w:rPr>
          <w:lang w:eastAsia="en-US"/>
        </w:rPr>
        <w:t>, including enhancing vegetation corridors between existing native vegetation</w:t>
      </w:r>
      <w:r w:rsidRPr="00A25511">
        <w:rPr>
          <w:lang w:eastAsia="en-US"/>
        </w:rPr>
        <w:t>.</w:t>
      </w:r>
    </w:p>
    <w:p w:rsidR="00487403" w:rsidRDefault="008A7F5F" w:rsidP="008611CA">
      <w:pPr>
        <w:pStyle w:val="bt"/>
      </w:pPr>
      <w:r w:rsidRPr="008611CA">
        <w:t xml:space="preserve">Re-establishing </w:t>
      </w:r>
      <w:r w:rsidR="00EA1331" w:rsidRPr="008611CA">
        <w:t xml:space="preserve">vegetation links </w:t>
      </w:r>
      <w:r w:rsidRPr="008611CA">
        <w:t xml:space="preserve">between areas of </w:t>
      </w:r>
      <w:r w:rsidR="00EA1331" w:rsidRPr="008611CA">
        <w:t xml:space="preserve">existing native </w:t>
      </w:r>
      <w:r w:rsidRPr="008611CA">
        <w:t xml:space="preserve">vegetation and along waterways is important for sustaining the productivity of landscapes and for enhancing environmental values. Actions aimed at </w:t>
      </w:r>
      <w:r w:rsidR="00EA1331" w:rsidRPr="008611CA">
        <w:t>enhancing vegetation corridors</w:t>
      </w:r>
      <w:r w:rsidRPr="008611CA">
        <w:t xml:space="preserve"> will require careful planning </w:t>
      </w:r>
      <w:r w:rsidR="00EA1331" w:rsidRPr="008611CA">
        <w:t>that considers</w:t>
      </w:r>
      <w:r w:rsidRPr="008611CA">
        <w:t xml:space="preserve"> ecological </w:t>
      </w:r>
      <w:r w:rsidR="00EA1331" w:rsidRPr="008611CA">
        <w:t>benefits</w:t>
      </w:r>
      <w:r w:rsidRPr="008611CA">
        <w:t xml:space="preserve">, </w:t>
      </w:r>
      <w:r w:rsidR="00D07054" w:rsidRPr="008611CA">
        <w:t>bush</w:t>
      </w:r>
      <w:r w:rsidRPr="008611CA">
        <w:t xml:space="preserve">fire management and implications for nearby settlements. </w:t>
      </w:r>
      <w:r w:rsidR="00EA1331" w:rsidRPr="008611CA">
        <w:t>O</w:t>
      </w:r>
      <w:r w:rsidRPr="008611CA">
        <w:t xml:space="preserve">pportunities exist to </w:t>
      </w:r>
      <w:r w:rsidR="00EA1331" w:rsidRPr="008611CA">
        <w:t xml:space="preserve">strategically locate </w:t>
      </w:r>
      <w:r w:rsidRPr="008611CA">
        <w:t xml:space="preserve">offset planting associated with clearing of vegetation for the enhancement of vegetation corridors within the landscape. </w:t>
      </w:r>
    </w:p>
    <w:p w:rsidR="007A28AE" w:rsidRPr="008611CA" w:rsidRDefault="008A7F5F" w:rsidP="008611CA">
      <w:pPr>
        <w:pStyle w:val="bt"/>
      </w:pPr>
      <w:r w:rsidRPr="008611CA">
        <w:t xml:space="preserve">Strategic planning processes should continue to </w:t>
      </w:r>
      <w:r w:rsidR="00523E8C" w:rsidRPr="008611CA">
        <w:t xml:space="preserve">identify opportunities for </w:t>
      </w:r>
      <w:r w:rsidRPr="008611CA">
        <w:t>the establishment of vegetation networks at a local and regional level</w:t>
      </w:r>
      <w:r w:rsidR="00EA1331" w:rsidRPr="008611CA">
        <w:t xml:space="preserve"> </w:t>
      </w:r>
      <w:r w:rsidRPr="008611CA">
        <w:t xml:space="preserve">to help maintain and enhance the region’s </w:t>
      </w:r>
      <w:r w:rsidR="00EA1331" w:rsidRPr="008611CA">
        <w:t>terrestrial habitat and links to waterways and wetlands</w:t>
      </w:r>
      <w:r w:rsidRPr="008611CA">
        <w:t>.</w:t>
      </w:r>
      <w:r w:rsidR="00EA1331" w:rsidRPr="008611CA">
        <w:t xml:space="preserve"> The provision of strategic direction for vegetation protection and clearing</w:t>
      </w:r>
      <w:r w:rsidR="00D07054" w:rsidRPr="008611CA">
        <w:t xml:space="preserve"> is encouraged. Such strategic direction would help to enhance vegetation networks and could include measures </w:t>
      </w:r>
      <w:r w:rsidR="00D07054" w:rsidRPr="008611CA">
        <w:lastRenderedPageBreak/>
        <w:t>such as</w:t>
      </w:r>
      <w:r w:rsidR="00B44EA3" w:rsidRPr="008611CA">
        <w:t xml:space="preserve"> permanently protecting native vegetation by establishing </w:t>
      </w:r>
      <w:r w:rsidR="00EA1331" w:rsidRPr="008611CA">
        <w:t>public reserves. An example of such an approach is the Wodonga Retained Environmental Network</w:t>
      </w:r>
      <w:r w:rsidR="00B44EA3" w:rsidRPr="008611CA">
        <w:t>.</w:t>
      </w:r>
    </w:p>
    <w:p w:rsidR="007A28AE" w:rsidRPr="008611CA" w:rsidRDefault="008A7F5F" w:rsidP="008611CA">
      <w:pPr>
        <w:pStyle w:val="bt"/>
      </w:pPr>
      <w:r w:rsidRPr="008611CA">
        <w:t xml:space="preserve">In the irrigated areas in </w:t>
      </w:r>
      <w:r w:rsidR="00523E8C" w:rsidRPr="008611CA">
        <w:t xml:space="preserve">Hume’s </w:t>
      </w:r>
      <w:proofErr w:type="gramStart"/>
      <w:r w:rsidRPr="008611CA">
        <w:t>north</w:t>
      </w:r>
      <w:r w:rsidR="000A2EA0">
        <w:t xml:space="preserve"> </w:t>
      </w:r>
      <w:r w:rsidRPr="008611CA">
        <w:t>west</w:t>
      </w:r>
      <w:proofErr w:type="gramEnd"/>
      <w:r w:rsidRPr="008611CA">
        <w:t xml:space="preserve">, where a large proportion of vegetation has been cleared, opportunities </w:t>
      </w:r>
      <w:r w:rsidR="00523E8C" w:rsidRPr="008611CA">
        <w:t xml:space="preserve">will </w:t>
      </w:r>
      <w:r w:rsidRPr="008611CA">
        <w:t xml:space="preserve">be sought to protect and enhance biodiversity that is representative of this part of the region. </w:t>
      </w:r>
      <w:r w:rsidR="001A5891" w:rsidRPr="008611CA">
        <w:t>A</w:t>
      </w:r>
      <w:r w:rsidRPr="008611CA">
        <w:t xml:space="preserve"> range of measures </w:t>
      </w:r>
      <w:r w:rsidR="001A5891" w:rsidRPr="008611CA">
        <w:t xml:space="preserve">could be used </w:t>
      </w:r>
      <w:r w:rsidR="002E6211" w:rsidRPr="008611CA">
        <w:t xml:space="preserve">including protecting vegetation </w:t>
      </w:r>
      <w:r w:rsidR="001A5891" w:rsidRPr="008611CA">
        <w:t>with</w:t>
      </w:r>
      <w:r w:rsidR="002E6211" w:rsidRPr="008611CA">
        <w:t xml:space="preserve"> appropriate land use planning mechanisms</w:t>
      </w:r>
      <w:r w:rsidRPr="008611CA">
        <w:t>.</w:t>
      </w:r>
    </w:p>
    <w:p w:rsidR="007A28AE" w:rsidRPr="008611CA" w:rsidRDefault="008A7F5F" w:rsidP="008611CA">
      <w:pPr>
        <w:pStyle w:val="bt"/>
      </w:pPr>
      <w:r w:rsidRPr="008611CA">
        <w:t xml:space="preserve">Pressure for urban and rural residential development in areas of high amenity or </w:t>
      </w:r>
      <w:r w:rsidR="00FD7BCD" w:rsidRPr="008611CA">
        <w:t xml:space="preserve">environmental </w:t>
      </w:r>
      <w:r w:rsidRPr="008611CA">
        <w:t xml:space="preserve">value, such as in </w:t>
      </w:r>
      <w:r w:rsidR="00FD7BCD" w:rsidRPr="008611CA">
        <w:t xml:space="preserve">Melbourne’s </w:t>
      </w:r>
      <w:r w:rsidRPr="008611CA">
        <w:t xml:space="preserve">peri-urban hills, </w:t>
      </w:r>
      <w:r w:rsidR="00794BDD" w:rsidRPr="008611CA">
        <w:t xml:space="preserve">can </w:t>
      </w:r>
      <w:r w:rsidRPr="008611CA">
        <w:t xml:space="preserve">present a threat to environmental </w:t>
      </w:r>
      <w:r w:rsidR="00FD7BCD" w:rsidRPr="008611CA">
        <w:t>assets</w:t>
      </w:r>
      <w:r w:rsidRPr="008611CA">
        <w:t>, but also provide</w:t>
      </w:r>
      <w:r w:rsidR="00523E8C" w:rsidRPr="008611CA">
        <w:t>s</w:t>
      </w:r>
      <w:r w:rsidRPr="008611CA">
        <w:t xml:space="preserve"> opportunities for tourism and other economic diversification in the region. Balancing these pressures</w:t>
      </w:r>
      <w:r w:rsidR="00523E8C" w:rsidRPr="008611CA">
        <w:t>,</w:t>
      </w:r>
      <w:r w:rsidRPr="008611CA">
        <w:t xml:space="preserve"> along with </w:t>
      </w:r>
      <w:r w:rsidR="00FD7BCD" w:rsidRPr="008611CA">
        <w:t>the natural hazards and potentially</w:t>
      </w:r>
      <w:r w:rsidRPr="008611CA">
        <w:t xml:space="preserve"> </w:t>
      </w:r>
      <w:r w:rsidR="00FD7BCD" w:rsidRPr="008611CA">
        <w:t>prohibitive infrastructure cost</w:t>
      </w:r>
      <w:r w:rsidR="001800ED">
        <w:t>s</w:t>
      </w:r>
      <w:r w:rsidR="00FD7BCD" w:rsidRPr="008611CA">
        <w:t xml:space="preserve"> associated with these areas</w:t>
      </w:r>
      <w:r w:rsidRPr="008611CA">
        <w:t>, is a key challenge for regional and local planning.</w:t>
      </w:r>
    </w:p>
    <w:p w:rsidR="007A28AE" w:rsidRDefault="008A7F5F" w:rsidP="008611CA">
      <w:pPr>
        <w:pStyle w:val="bt"/>
      </w:pPr>
      <w:r w:rsidRPr="008611CA">
        <w:t xml:space="preserve">Future land use planning decisions </w:t>
      </w:r>
      <w:r w:rsidR="00FD7BCD" w:rsidRPr="008611CA">
        <w:t>will</w:t>
      </w:r>
      <w:r w:rsidRPr="008611CA">
        <w:t xml:space="preserve"> be guided by the strategic directions of the </w:t>
      </w:r>
      <w:r w:rsidR="000721BA">
        <w:t>regional catchment strategies</w:t>
      </w:r>
      <w:r w:rsidRPr="008611CA">
        <w:t xml:space="preserve"> and sub-strategies</w:t>
      </w:r>
      <w:r w:rsidR="001F35F3">
        <w:t>,</w:t>
      </w:r>
      <w:r w:rsidRPr="008611CA">
        <w:t xml:space="preserve"> as well as other relevant strategic documents such as local government environment strategies and planning schemes.</w:t>
      </w:r>
      <w:r w:rsidR="00FD7BCD" w:rsidRPr="008611CA">
        <w:t xml:space="preserve"> Revisions to these complementary strategies should </w:t>
      </w:r>
      <w:r w:rsidR="001A5891" w:rsidRPr="008611CA">
        <w:t xml:space="preserve">also </w:t>
      </w:r>
      <w:r w:rsidR="00FD7BCD" w:rsidRPr="008611CA">
        <w:t xml:space="preserve">consider the directions of this </w:t>
      </w:r>
      <w:r w:rsidR="00D36385" w:rsidRPr="008611CA">
        <w:t>p</w:t>
      </w:r>
      <w:r w:rsidR="00FD7BCD" w:rsidRPr="008611CA">
        <w:t>lan.</w:t>
      </w:r>
    </w:p>
    <w:p w:rsidR="008C6AF5" w:rsidRDefault="008C6AF5" w:rsidP="0016400E">
      <w:pPr>
        <w:pStyle w:val="Heading3-list"/>
      </w:pPr>
      <w:r w:rsidRPr="008C6AF5">
        <w:t>Manage water as a key environmental, social and economic asset</w:t>
      </w:r>
    </w:p>
    <w:p w:rsidR="007A28AE" w:rsidRPr="008611CA" w:rsidRDefault="00E265C3" w:rsidP="008611CA">
      <w:pPr>
        <w:pStyle w:val="bt"/>
      </w:pPr>
      <w:r w:rsidRPr="008611CA">
        <w:t xml:space="preserve">The waterways </w:t>
      </w:r>
      <w:r w:rsidR="00CB1174" w:rsidRPr="008611CA">
        <w:t xml:space="preserve">(rivers and </w:t>
      </w:r>
      <w:r w:rsidRPr="008611CA">
        <w:t>wetlands</w:t>
      </w:r>
      <w:r w:rsidR="00CB1174" w:rsidRPr="008611CA">
        <w:t>)</w:t>
      </w:r>
      <w:r w:rsidRPr="008611CA">
        <w:t xml:space="preserve"> of the Hume Region are highly significant environmental </w:t>
      </w:r>
      <w:r w:rsidR="00CB1174" w:rsidRPr="008611CA">
        <w:t xml:space="preserve">and economic </w:t>
      </w:r>
      <w:r w:rsidRPr="008611CA">
        <w:t xml:space="preserve">assets, providing water supply to one of </w:t>
      </w:r>
      <w:r w:rsidR="00523E8C" w:rsidRPr="008611CA">
        <w:t xml:space="preserve">Australia’s </w:t>
      </w:r>
      <w:r w:rsidRPr="008611CA">
        <w:t xml:space="preserve">major food-producing areas. </w:t>
      </w:r>
      <w:r w:rsidR="00CB1174" w:rsidRPr="008611CA">
        <w:t xml:space="preserve">Along with providing water for the environment, these waterways also feed </w:t>
      </w:r>
      <w:r w:rsidRPr="008611CA">
        <w:t xml:space="preserve">major water storages and significant irrigation </w:t>
      </w:r>
      <w:r w:rsidR="00A01BCE" w:rsidRPr="008611CA">
        <w:t>infrastructure that</w:t>
      </w:r>
      <w:r w:rsidR="00CB1174" w:rsidRPr="008611CA">
        <w:t xml:space="preserve"> suppl</w:t>
      </w:r>
      <w:r w:rsidR="00C4133D" w:rsidRPr="008611CA">
        <w:t>y water to settlements, industries</w:t>
      </w:r>
      <w:r w:rsidR="00A01BCE" w:rsidRPr="008611CA">
        <w:t xml:space="preserve"> and</w:t>
      </w:r>
      <w:r w:rsidR="00CB1174" w:rsidRPr="008611CA">
        <w:t xml:space="preserve"> farms</w:t>
      </w:r>
      <w:r w:rsidR="001800ED">
        <w:t xml:space="preserve">, </w:t>
      </w:r>
      <w:r w:rsidR="00B02045" w:rsidRPr="008611CA">
        <w:t xml:space="preserve">particularly in the </w:t>
      </w:r>
      <w:r w:rsidR="001F35F3">
        <w:t>f</w:t>
      </w:r>
      <w:r w:rsidR="001F35F3" w:rsidRPr="008611CA">
        <w:t xml:space="preserve">ood </w:t>
      </w:r>
      <w:r w:rsidR="001F35F3">
        <w:t>b</w:t>
      </w:r>
      <w:r w:rsidR="001F35F3" w:rsidRPr="008611CA">
        <w:t xml:space="preserve">owl </w:t>
      </w:r>
      <w:r w:rsidR="00C4133D" w:rsidRPr="008611CA">
        <w:t>area in the north</w:t>
      </w:r>
      <w:r w:rsidR="001F35F3">
        <w:t xml:space="preserve"> </w:t>
      </w:r>
      <w:r w:rsidR="00C4133D" w:rsidRPr="008611CA">
        <w:t xml:space="preserve">west of the region. </w:t>
      </w:r>
      <w:r w:rsidR="00CB1174" w:rsidRPr="008611CA">
        <w:t>Major rivers</w:t>
      </w:r>
      <w:r w:rsidR="00683BAF" w:rsidRPr="008611CA">
        <w:t xml:space="preserve">, </w:t>
      </w:r>
      <w:r w:rsidR="00CB1174" w:rsidRPr="008611CA">
        <w:t>such as the Murray River, water bodies and significant wetland complexes provide opportunities for nature</w:t>
      </w:r>
      <w:r w:rsidR="004B7FBE" w:rsidRPr="008611CA">
        <w:t>-</w:t>
      </w:r>
      <w:r w:rsidR="00CB1174" w:rsidRPr="008611CA">
        <w:t>based and recreational tourism</w:t>
      </w:r>
      <w:r w:rsidR="00084B4F">
        <w:t>, which may be enhanced by environmental watering programs</w:t>
      </w:r>
      <w:r w:rsidR="001800ED">
        <w:t>,</w:t>
      </w:r>
      <w:r w:rsidR="00084B4F">
        <w:t xml:space="preserve"> such as those related to the outcomes of the Murray-Darling Basin Plan.</w:t>
      </w:r>
    </w:p>
    <w:p w:rsidR="007A28AE" w:rsidRPr="008611CA" w:rsidRDefault="00E265C3" w:rsidP="008611CA">
      <w:pPr>
        <w:pStyle w:val="bt"/>
      </w:pPr>
      <w:r w:rsidRPr="008611CA">
        <w:t xml:space="preserve">The </w:t>
      </w:r>
      <w:r w:rsidR="000943DE" w:rsidRPr="008611CA">
        <w:t xml:space="preserve">potential </w:t>
      </w:r>
      <w:r w:rsidRPr="008611CA">
        <w:t>impacts of climate change are expected to lead to a general reduction in</w:t>
      </w:r>
      <w:r w:rsidR="00FF0A72" w:rsidRPr="008611CA">
        <w:t xml:space="preserve"> stream flow and consequently</w:t>
      </w:r>
      <w:r w:rsidRPr="008611CA">
        <w:t xml:space="preserve"> water availability for the environment and water users. </w:t>
      </w:r>
    </w:p>
    <w:p w:rsidR="007A28AE" w:rsidRPr="008611CA" w:rsidRDefault="00E265C3" w:rsidP="008611CA">
      <w:pPr>
        <w:pStyle w:val="bt"/>
      </w:pPr>
      <w:r w:rsidRPr="008611CA">
        <w:t xml:space="preserve">Many urban settlements in the region are located adjacent to </w:t>
      </w:r>
      <w:r w:rsidR="005F5052" w:rsidRPr="008611CA">
        <w:t>rivers</w:t>
      </w:r>
      <w:r w:rsidR="00D424E4" w:rsidRPr="008611CA">
        <w:t xml:space="preserve">, </w:t>
      </w:r>
      <w:r w:rsidR="00921AD0">
        <w:t xml:space="preserve">and riverbank improvements add to their attraction </w:t>
      </w:r>
      <w:r w:rsidRPr="008611CA">
        <w:t>within the urban landscape. This enhance</w:t>
      </w:r>
      <w:r w:rsidR="002E2AC7" w:rsidRPr="008611CA">
        <w:t>s</w:t>
      </w:r>
      <w:r w:rsidRPr="008611CA">
        <w:t xml:space="preserve"> urban liveability and connections </w:t>
      </w:r>
      <w:r w:rsidR="00C4133D" w:rsidRPr="008611CA">
        <w:t xml:space="preserve">to </w:t>
      </w:r>
      <w:r w:rsidRPr="008611CA">
        <w:t>environmental assets.</w:t>
      </w:r>
      <w:r w:rsidR="005F5052" w:rsidRPr="008611CA">
        <w:t xml:space="preserve"> Coordinating urban and water planning will help reduce the impact of urban development on rivers and wetlands, including water quality</w:t>
      </w:r>
      <w:r w:rsidR="00C4133D" w:rsidRPr="008611CA">
        <w:t xml:space="preserve"> and flow</w:t>
      </w:r>
      <w:r w:rsidR="005F5052" w:rsidRPr="008611CA">
        <w:t>. There is also continued pressure to develop residential uses around some water bodies</w:t>
      </w:r>
      <w:r w:rsidR="00683BAF" w:rsidRPr="008611CA">
        <w:t>,</w:t>
      </w:r>
      <w:r w:rsidR="005F5052" w:rsidRPr="008611CA">
        <w:t xml:space="preserve"> such as Lake Hume, which need to be carefully balanced with the environmental assets and natural hazards associated with these areas.</w:t>
      </w:r>
    </w:p>
    <w:p w:rsidR="007A28AE" w:rsidRPr="008611CA" w:rsidRDefault="00E265C3" w:rsidP="008611CA">
      <w:pPr>
        <w:pStyle w:val="bt"/>
      </w:pPr>
      <w:r w:rsidRPr="008611CA">
        <w:t xml:space="preserve">The highly dynamic nature of some waterways in the region </w:t>
      </w:r>
      <w:r w:rsidR="00D424E4" w:rsidRPr="008611CA">
        <w:t xml:space="preserve">needs to </w:t>
      </w:r>
      <w:r w:rsidRPr="008611CA">
        <w:t>be considered as part of land use planning processes. Decisions regarding the use and development of land along major waterways</w:t>
      </w:r>
      <w:r w:rsidR="005F5052" w:rsidRPr="008611CA">
        <w:t>, within floodplains</w:t>
      </w:r>
      <w:r w:rsidRPr="008611CA">
        <w:t xml:space="preserve"> and around water bodies should be consistent across the region to manage potential impacts on </w:t>
      </w:r>
      <w:r w:rsidR="005F5052" w:rsidRPr="008611CA">
        <w:t xml:space="preserve">waterways and </w:t>
      </w:r>
      <w:r w:rsidRPr="008611CA">
        <w:t>water assets.</w:t>
      </w:r>
    </w:p>
    <w:p w:rsidR="007A28AE" w:rsidRPr="008611CA" w:rsidRDefault="00E265C3" w:rsidP="008611CA">
      <w:pPr>
        <w:pStyle w:val="bt"/>
      </w:pPr>
      <w:r w:rsidRPr="008611CA">
        <w:t xml:space="preserve">Groundwater is a significant but variable resource within the </w:t>
      </w:r>
      <w:r w:rsidR="00C917A3" w:rsidRPr="008611CA">
        <w:t xml:space="preserve">Hume </w:t>
      </w:r>
      <w:r w:rsidR="00720BB6" w:rsidRPr="008611CA">
        <w:t>R</w:t>
      </w:r>
      <w:r w:rsidRPr="008611CA">
        <w:t xml:space="preserve">egion. Groundwater supplies in some areas may not be suitable for potable use and this could become an issue if access to groundwater is essential </w:t>
      </w:r>
      <w:r w:rsidR="00C917A3" w:rsidRPr="008611CA">
        <w:t xml:space="preserve">for </w:t>
      </w:r>
      <w:r w:rsidRPr="008611CA">
        <w:t xml:space="preserve">meeting </w:t>
      </w:r>
      <w:r w:rsidR="00C917A3" w:rsidRPr="008611CA">
        <w:t xml:space="preserve">the </w:t>
      </w:r>
      <w:r w:rsidRPr="008611CA">
        <w:t>future supply needs</w:t>
      </w:r>
      <w:r w:rsidR="003E3935" w:rsidRPr="008611CA">
        <w:t xml:space="preserve"> </w:t>
      </w:r>
      <w:r w:rsidR="00C917A3" w:rsidRPr="008611CA">
        <w:t xml:space="preserve">of </w:t>
      </w:r>
      <w:r w:rsidR="003E3935" w:rsidRPr="008611CA">
        <w:t>settlements</w:t>
      </w:r>
      <w:r w:rsidRPr="008611CA">
        <w:t xml:space="preserve">. </w:t>
      </w:r>
      <w:r w:rsidR="003E3935" w:rsidRPr="008611CA">
        <w:t>This water is often a viable resource for agricultural and industrial</w:t>
      </w:r>
      <w:r w:rsidR="00B8418C" w:rsidRPr="008611CA">
        <w:t xml:space="preserve"> use and s</w:t>
      </w:r>
      <w:r w:rsidRPr="008611CA">
        <w:t xml:space="preserve">ome opportunities may exist to </w:t>
      </w:r>
      <w:r w:rsidR="00B8418C" w:rsidRPr="008611CA">
        <w:t xml:space="preserve">increase </w:t>
      </w:r>
      <w:r w:rsidRPr="008611CA">
        <w:t xml:space="preserve">use </w:t>
      </w:r>
      <w:r w:rsidR="00B8418C" w:rsidRPr="008611CA">
        <w:t xml:space="preserve">of </w:t>
      </w:r>
      <w:r w:rsidRPr="008611CA">
        <w:t xml:space="preserve">groundwater for </w:t>
      </w:r>
      <w:r w:rsidR="00B8418C" w:rsidRPr="008611CA">
        <w:t xml:space="preserve">these </w:t>
      </w:r>
      <w:r w:rsidRPr="008611CA">
        <w:t>purposes</w:t>
      </w:r>
      <w:r w:rsidR="005F37B8" w:rsidRPr="008611CA">
        <w:t>. H</w:t>
      </w:r>
      <w:r w:rsidRPr="008611CA">
        <w:t>owever</w:t>
      </w:r>
      <w:r w:rsidR="005F37B8" w:rsidRPr="008611CA">
        <w:t>,</w:t>
      </w:r>
      <w:r w:rsidRPr="008611CA">
        <w:t xml:space="preserve"> due to the links between rainfall, groundwater levels and salinity, groundwater resources </w:t>
      </w:r>
      <w:r w:rsidR="00C4133D" w:rsidRPr="008611CA">
        <w:t>need</w:t>
      </w:r>
      <w:r w:rsidR="00B8418C" w:rsidRPr="008611CA">
        <w:t xml:space="preserve"> </w:t>
      </w:r>
      <w:r w:rsidRPr="008611CA">
        <w:t xml:space="preserve">to be managed carefully. Land use planning </w:t>
      </w:r>
      <w:r w:rsidR="000F573B" w:rsidRPr="008611CA">
        <w:t xml:space="preserve">supporting such </w:t>
      </w:r>
      <w:r w:rsidRPr="008611CA">
        <w:t xml:space="preserve">activity </w:t>
      </w:r>
      <w:r w:rsidR="000F573B" w:rsidRPr="008611CA">
        <w:t>will help promote diversification of the regional economy</w:t>
      </w:r>
      <w:r w:rsidRPr="008611CA">
        <w:t>.</w:t>
      </w:r>
    </w:p>
    <w:p w:rsidR="00475DEF" w:rsidRDefault="0008506D" w:rsidP="008611CA">
      <w:pPr>
        <w:pStyle w:val="bt"/>
      </w:pPr>
      <w:r w:rsidRPr="0008506D">
        <w:t>The region is home to a significant reticulated network of irrigation infrastructure in the Goulburn</w:t>
      </w:r>
      <w:r w:rsidR="001F35F3">
        <w:t>-</w:t>
      </w:r>
      <w:r w:rsidRPr="0008506D">
        <w:t>Broken Valley.</w:t>
      </w:r>
      <w:r>
        <w:t xml:space="preserve"> In other parts of the region </w:t>
      </w:r>
      <w:r w:rsidRPr="0008506D">
        <w:t>irrigation water is extracted direct</w:t>
      </w:r>
      <w:r w:rsidR="00147F4E">
        <w:t>ly</w:t>
      </w:r>
      <w:r w:rsidRPr="0008506D">
        <w:t xml:space="preserve"> from the source</w:t>
      </w:r>
      <w:r w:rsidR="00DE4E99">
        <w:t xml:space="preserve">, for </w:t>
      </w:r>
      <w:proofErr w:type="gramStart"/>
      <w:r w:rsidR="00DE4E99">
        <w:t>example</w:t>
      </w:r>
      <w:r w:rsidR="00C24E5B">
        <w:t xml:space="preserve"> </w:t>
      </w:r>
      <w:r w:rsidR="00147F4E">
        <w:t>rivers</w:t>
      </w:r>
      <w:proofErr w:type="gramEnd"/>
      <w:r w:rsidR="00DE4E99">
        <w:t>,</w:t>
      </w:r>
      <w:r w:rsidRPr="0008506D">
        <w:t xml:space="preserve"> to support agricultural production.</w:t>
      </w:r>
    </w:p>
    <w:p w:rsidR="00C913BE" w:rsidRDefault="001007DE" w:rsidP="008611CA">
      <w:pPr>
        <w:pStyle w:val="bt"/>
      </w:pPr>
      <w:r w:rsidRPr="008611CA">
        <w:lastRenderedPageBreak/>
        <w:t xml:space="preserve">Land use planning </w:t>
      </w:r>
      <w:r w:rsidR="00E265C3" w:rsidRPr="008611CA">
        <w:t xml:space="preserve">challenges arise due to the </w:t>
      </w:r>
      <w:r w:rsidRPr="008611CA">
        <w:t xml:space="preserve">large areas </w:t>
      </w:r>
      <w:r w:rsidR="00E265C3" w:rsidRPr="008611CA">
        <w:t xml:space="preserve">of </w:t>
      </w:r>
      <w:r w:rsidRPr="008611CA">
        <w:t>declared</w:t>
      </w:r>
      <w:r w:rsidR="00E265C3" w:rsidRPr="008611CA">
        <w:t xml:space="preserve"> water supply catchment</w:t>
      </w:r>
      <w:r w:rsidRPr="008611CA">
        <w:t>s</w:t>
      </w:r>
      <w:r w:rsidR="00E265C3" w:rsidRPr="008611CA">
        <w:t xml:space="preserve"> within the region, which </w:t>
      </w:r>
      <w:r w:rsidRPr="008611CA">
        <w:t>are</w:t>
      </w:r>
      <w:r w:rsidR="00E265C3" w:rsidRPr="008611CA">
        <w:t xml:space="preserve"> under pressure for development. In these catchments,</w:t>
      </w:r>
      <w:r w:rsidR="00C4133D" w:rsidRPr="008611CA">
        <w:t xml:space="preserve"> land use and development, such as</w:t>
      </w:r>
      <w:r w:rsidR="00E265C3" w:rsidRPr="008611CA">
        <w:t xml:space="preserve"> </w:t>
      </w:r>
      <w:r w:rsidR="00E21A95" w:rsidRPr="008611CA">
        <w:t xml:space="preserve">certain types of agriculture and </w:t>
      </w:r>
      <w:r w:rsidR="00E265C3" w:rsidRPr="008611CA">
        <w:t>unsewered residential development</w:t>
      </w:r>
      <w:r w:rsidR="009C094C">
        <w:t>,</w:t>
      </w:r>
      <w:r w:rsidR="00E265C3" w:rsidRPr="008611CA">
        <w:t xml:space="preserve"> have the potential to impact adversely on water quality</w:t>
      </w:r>
      <w:r w:rsidR="00E21A95" w:rsidRPr="008611CA">
        <w:t xml:space="preserve"> if not managed appropriately.</w:t>
      </w:r>
      <w:r w:rsidR="00E265C3" w:rsidRPr="008611CA">
        <w:t xml:space="preserve"> Land use planning decisions in these areas need to consider the management of risks relating to wastewater </w:t>
      </w:r>
      <w:r w:rsidR="00E21A95" w:rsidRPr="008611CA">
        <w:t xml:space="preserve">and the individual and cumulative implications of development on groundwater and surface water uses. Domestic </w:t>
      </w:r>
      <w:r w:rsidR="000721BA">
        <w:t>w</w:t>
      </w:r>
      <w:r w:rsidR="00E21A95" w:rsidRPr="008611CA">
        <w:t xml:space="preserve">astewater </w:t>
      </w:r>
      <w:r w:rsidR="000721BA">
        <w:t>m</w:t>
      </w:r>
      <w:r w:rsidR="00E21A95" w:rsidRPr="008611CA">
        <w:t xml:space="preserve">anagement </w:t>
      </w:r>
      <w:r w:rsidR="000721BA">
        <w:t>p</w:t>
      </w:r>
      <w:r w:rsidR="00E21A95" w:rsidRPr="008611CA">
        <w:t>lans may need to be reviewed to enable effective planning for the type of economic and settlement growth that can occur in these areas while protecting catchment health.</w:t>
      </w:r>
    </w:p>
    <w:p w:rsidR="008C6AF5" w:rsidRDefault="008C6AF5" w:rsidP="0016400E">
      <w:pPr>
        <w:pStyle w:val="Heading3-list"/>
      </w:pPr>
      <w:r w:rsidRPr="008C6AF5">
        <w:t>Support the appropriate use and management of soils</w:t>
      </w:r>
    </w:p>
    <w:p w:rsidR="00DF25F1" w:rsidRDefault="00E96CEE" w:rsidP="008611CA">
      <w:pPr>
        <w:pStyle w:val="bt"/>
        <w:rPr>
          <w:lang w:eastAsia="en-US"/>
        </w:rPr>
      </w:pPr>
      <w:r w:rsidRPr="00E96CEE">
        <w:rPr>
          <w:lang w:eastAsia="en-US"/>
        </w:rPr>
        <w:t xml:space="preserve">Healthy soils are critical to the continued economic growth of the </w:t>
      </w:r>
      <w:r w:rsidR="005F37B8">
        <w:rPr>
          <w:lang w:eastAsia="en-US"/>
        </w:rPr>
        <w:t xml:space="preserve">Hume </w:t>
      </w:r>
      <w:r w:rsidR="00720BB6">
        <w:rPr>
          <w:lang w:eastAsia="en-US"/>
        </w:rPr>
        <w:t>R</w:t>
      </w:r>
      <w:r w:rsidRPr="00E96CEE">
        <w:rPr>
          <w:lang w:eastAsia="en-US"/>
        </w:rPr>
        <w:t>egi</w:t>
      </w:r>
      <w:r>
        <w:rPr>
          <w:lang w:eastAsia="en-US"/>
        </w:rPr>
        <w:t xml:space="preserve">on, </w:t>
      </w:r>
      <w:r w:rsidR="00C4133D">
        <w:rPr>
          <w:lang w:eastAsia="en-US"/>
        </w:rPr>
        <w:t>such as for agricultural production and maintaining biodiversity</w:t>
      </w:r>
      <w:r>
        <w:rPr>
          <w:lang w:eastAsia="en-US"/>
        </w:rPr>
        <w:t>.</w:t>
      </w:r>
      <w:r w:rsidRPr="00E96CEE">
        <w:rPr>
          <w:lang w:eastAsia="en-US"/>
        </w:rPr>
        <w:t xml:space="preserve"> </w:t>
      </w:r>
      <w:r>
        <w:rPr>
          <w:lang w:eastAsia="en-US"/>
        </w:rPr>
        <w:t>T</w:t>
      </w:r>
      <w:r w:rsidRPr="00E96CEE">
        <w:rPr>
          <w:lang w:eastAsia="en-US"/>
        </w:rPr>
        <w:t>he region has highly productive soils, often associated with the strategic agricultural land identified in</w:t>
      </w:r>
      <w:r w:rsidR="00AF799A">
        <w:rPr>
          <w:lang w:eastAsia="en-US"/>
        </w:rPr>
        <w:t xml:space="preserve"> Map 4</w:t>
      </w:r>
      <w:r w:rsidR="00983401">
        <w:rPr>
          <w:szCs w:val="20"/>
        </w:rPr>
        <w:t>.</w:t>
      </w:r>
      <w:r w:rsidRPr="00E96CEE">
        <w:rPr>
          <w:lang w:eastAsia="en-US"/>
        </w:rPr>
        <w:t xml:space="preserve"> </w:t>
      </w:r>
      <w:r w:rsidR="00E265C3" w:rsidRPr="00A25511">
        <w:rPr>
          <w:lang w:eastAsia="en-US"/>
        </w:rPr>
        <w:t xml:space="preserve">Appropriate use and management of soils </w:t>
      </w:r>
      <w:r w:rsidR="002E2AC7">
        <w:rPr>
          <w:lang w:eastAsia="en-US"/>
        </w:rPr>
        <w:t>is</w:t>
      </w:r>
      <w:r w:rsidR="002E2AC7" w:rsidRPr="00A25511">
        <w:rPr>
          <w:lang w:eastAsia="en-US"/>
        </w:rPr>
        <w:t xml:space="preserve"> </w:t>
      </w:r>
      <w:r w:rsidR="00E265C3" w:rsidRPr="00A25511">
        <w:rPr>
          <w:lang w:eastAsia="en-US"/>
        </w:rPr>
        <w:t xml:space="preserve">necessary to prevent </w:t>
      </w:r>
      <w:r>
        <w:rPr>
          <w:lang w:eastAsia="en-US"/>
        </w:rPr>
        <w:t xml:space="preserve">their </w:t>
      </w:r>
      <w:r w:rsidR="00E265C3" w:rsidRPr="00A25511">
        <w:rPr>
          <w:lang w:eastAsia="en-US"/>
        </w:rPr>
        <w:t xml:space="preserve">widespread degradation </w:t>
      </w:r>
      <w:r>
        <w:rPr>
          <w:lang w:eastAsia="en-US"/>
        </w:rPr>
        <w:t xml:space="preserve">and minimise the potential impact on </w:t>
      </w:r>
      <w:r w:rsidR="00E265C3" w:rsidRPr="00A25511">
        <w:rPr>
          <w:lang w:eastAsia="en-US"/>
        </w:rPr>
        <w:t>other assets that are affected by soil degradation</w:t>
      </w:r>
      <w:r w:rsidR="006F34CD">
        <w:rPr>
          <w:lang w:eastAsia="en-US"/>
        </w:rPr>
        <w:t xml:space="preserve">. </w:t>
      </w:r>
      <w:r w:rsidR="00C4133D">
        <w:rPr>
          <w:lang w:eastAsia="en-US"/>
        </w:rPr>
        <w:t>S</w:t>
      </w:r>
      <w:r>
        <w:rPr>
          <w:lang w:eastAsia="en-US"/>
        </w:rPr>
        <w:t>oil degradation</w:t>
      </w:r>
      <w:r w:rsidR="00683BAF">
        <w:rPr>
          <w:lang w:eastAsia="en-US"/>
        </w:rPr>
        <w:t xml:space="preserve">, </w:t>
      </w:r>
      <w:r>
        <w:rPr>
          <w:lang w:eastAsia="en-US"/>
        </w:rPr>
        <w:t xml:space="preserve">particularly </w:t>
      </w:r>
      <w:r w:rsidR="00E265C3" w:rsidRPr="00A25511">
        <w:rPr>
          <w:lang w:eastAsia="en-US"/>
        </w:rPr>
        <w:t xml:space="preserve">soil acidity, erosion and salinity </w:t>
      </w:r>
      <w:r w:rsidR="00C4133D">
        <w:rPr>
          <w:lang w:eastAsia="en-US"/>
        </w:rPr>
        <w:t xml:space="preserve">can </w:t>
      </w:r>
      <w:r w:rsidR="00C4133D" w:rsidRPr="00A25511">
        <w:rPr>
          <w:lang w:eastAsia="en-US"/>
        </w:rPr>
        <w:t xml:space="preserve">variously </w:t>
      </w:r>
      <w:r w:rsidR="00C4133D">
        <w:rPr>
          <w:lang w:eastAsia="en-US"/>
        </w:rPr>
        <w:t>impact on</w:t>
      </w:r>
      <w:r w:rsidR="00C4133D" w:rsidRPr="00C4133D">
        <w:rPr>
          <w:lang w:eastAsia="en-US"/>
        </w:rPr>
        <w:t xml:space="preserve"> </w:t>
      </w:r>
      <w:r w:rsidR="00C4133D" w:rsidRPr="00A25511">
        <w:rPr>
          <w:lang w:eastAsia="en-US"/>
        </w:rPr>
        <w:t>roads, buildings and bridges, productive agricultural land</w:t>
      </w:r>
      <w:r w:rsidR="00C4133D">
        <w:rPr>
          <w:lang w:eastAsia="en-US"/>
        </w:rPr>
        <w:t xml:space="preserve"> and</w:t>
      </w:r>
      <w:r w:rsidR="00C4133D" w:rsidRPr="00A25511">
        <w:rPr>
          <w:lang w:eastAsia="en-US"/>
        </w:rPr>
        <w:t xml:space="preserve"> </w:t>
      </w:r>
      <w:r w:rsidR="00C4133D">
        <w:rPr>
          <w:lang w:eastAsia="en-US"/>
        </w:rPr>
        <w:t>waterways.</w:t>
      </w:r>
    </w:p>
    <w:p w:rsidR="007A28AE" w:rsidRDefault="00C42979" w:rsidP="008611CA">
      <w:pPr>
        <w:pStyle w:val="bt"/>
        <w:rPr>
          <w:lang w:eastAsia="en-US"/>
        </w:rPr>
      </w:pPr>
      <w:r w:rsidRPr="00C42979">
        <w:rPr>
          <w:lang w:eastAsia="en-US"/>
        </w:rPr>
        <w:t>Land use planning can assist in the protection of the region’s soil assets by</w:t>
      </w:r>
      <w:r w:rsidR="00720BB6">
        <w:rPr>
          <w:lang w:eastAsia="en-US"/>
        </w:rPr>
        <w:t xml:space="preserve"> helping to avoid</w:t>
      </w:r>
      <w:r w:rsidRPr="00C42979">
        <w:rPr>
          <w:lang w:eastAsia="en-US"/>
        </w:rPr>
        <w:t xml:space="preserve"> land use change that could result in deterioration of the soil asset within the region, or further contribute to the pollution or degradation of other assets. Overlays</w:t>
      </w:r>
      <w:r w:rsidR="00683BAF">
        <w:rPr>
          <w:lang w:eastAsia="en-US"/>
        </w:rPr>
        <w:t xml:space="preserve">, </w:t>
      </w:r>
      <w:r w:rsidRPr="00C42979">
        <w:rPr>
          <w:lang w:eastAsia="en-US"/>
        </w:rPr>
        <w:t xml:space="preserve">such as the </w:t>
      </w:r>
      <w:r w:rsidR="002A2D7F">
        <w:rPr>
          <w:lang w:eastAsia="en-US"/>
        </w:rPr>
        <w:t>E</w:t>
      </w:r>
      <w:r w:rsidRPr="00C42979">
        <w:rPr>
          <w:lang w:eastAsia="en-US"/>
        </w:rPr>
        <w:t xml:space="preserve">nvironmental </w:t>
      </w:r>
      <w:r w:rsidR="002A2D7F">
        <w:rPr>
          <w:lang w:eastAsia="en-US"/>
        </w:rPr>
        <w:t>S</w:t>
      </w:r>
      <w:r w:rsidRPr="00C42979">
        <w:rPr>
          <w:lang w:eastAsia="en-US"/>
        </w:rPr>
        <w:t xml:space="preserve">ignificance or </w:t>
      </w:r>
      <w:r w:rsidR="002A2D7F">
        <w:rPr>
          <w:lang w:eastAsia="en-US"/>
        </w:rPr>
        <w:t>E</w:t>
      </w:r>
      <w:r w:rsidRPr="00C42979">
        <w:rPr>
          <w:lang w:eastAsia="en-US"/>
        </w:rPr>
        <w:t xml:space="preserve">rosion </w:t>
      </w:r>
      <w:r w:rsidR="002A2D7F">
        <w:rPr>
          <w:lang w:eastAsia="en-US"/>
        </w:rPr>
        <w:t>M</w:t>
      </w:r>
      <w:r w:rsidRPr="00C42979">
        <w:rPr>
          <w:lang w:eastAsia="en-US"/>
        </w:rPr>
        <w:t xml:space="preserve">anagement </w:t>
      </w:r>
      <w:r w:rsidR="002A2D7F">
        <w:rPr>
          <w:lang w:eastAsia="en-US"/>
        </w:rPr>
        <w:t>O</w:t>
      </w:r>
      <w:r w:rsidRPr="00C42979">
        <w:rPr>
          <w:lang w:eastAsia="en-US"/>
        </w:rPr>
        <w:t>verlay</w:t>
      </w:r>
      <w:r w:rsidR="00683BAF">
        <w:rPr>
          <w:lang w:eastAsia="en-US"/>
        </w:rPr>
        <w:t>,</w:t>
      </w:r>
      <w:r w:rsidRPr="00C42979">
        <w:rPr>
          <w:lang w:eastAsia="en-US"/>
        </w:rPr>
        <w:t xml:space="preserve"> can be used to </w:t>
      </w:r>
      <w:r w:rsidR="00C4133D">
        <w:rPr>
          <w:lang w:eastAsia="en-US"/>
        </w:rPr>
        <w:t>help protect</w:t>
      </w:r>
      <w:r w:rsidRPr="00C42979">
        <w:rPr>
          <w:lang w:eastAsia="en-US"/>
        </w:rPr>
        <w:t xml:space="preserve"> soils.</w:t>
      </w:r>
    </w:p>
    <w:p w:rsidR="008C6AF5" w:rsidRDefault="008C6AF5" w:rsidP="0016400E">
      <w:pPr>
        <w:pStyle w:val="Heading3-list"/>
      </w:pPr>
      <w:r w:rsidRPr="008C6AF5">
        <w:t>Recognise public land as a substantial environmental and economic asset</w:t>
      </w:r>
    </w:p>
    <w:p w:rsidR="007A28AE" w:rsidRPr="008611CA" w:rsidRDefault="00E265C3" w:rsidP="008611CA">
      <w:pPr>
        <w:pStyle w:val="bt"/>
      </w:pPr>
      <w:r w:rsidRPr="008611CA">
        <w:t xml:space="preserve">The </w:t>
      </w:r>
      <w:r w:rsidR="00977A2F" w:rsidRPr="008611CA">
        <w:t xml:space="preserve">substantial </w:t>
      </w:r>
      <w:r w:rsidRPr="008611CA">
        <w:t xml:space="preserve">public land estate is a </w:t>
      </w:r>
      <w:r w:rsidR="00977A2F" w:rsidRPr="008611CA">
        <w:t xml:space="preserve">significant </w:t>
      </w:r>
      <w:r w:rsidRPr="008611CA">
        <w:t xml:space="preserve">asset of the </w:t>
      </w:r>
      <w:r w:rsidR="005F37B8" w:rsidRPr="008611CA">
        <w:t>Hum</w:t>
      </w:r>
      <w:r w:rsidR="00720BB6" w:rsidRPr="008611CA">
        <w:t>e</w:t>
      </w:r>
      <w:r w:rsidR="005F37B8" w:rsidRPr="008611CA">
        <w:t xml:space="preserve"> </w:t>
      </w:r>
      <w:r w:rsidR="00720BB6" w:rsidRPr="008611CA">
        <w:t>R</w:t>
      </w:r>
      <w:r w:rsidRPr="008611CA">
        <w:t>egion</w:t>
      </w:r>
      <w:r w:rsidR="002F42FB" w:rsidRPr="008611CA">
        <w:t>.</w:t>
      </w:r>
      <w:r w:rsidRPr="008611CA">
        <w:t xml:space="preserve"> </w:t>
      </w:r>
      <w:r w:rsidR="002F42FB" w:rsidRPr="008611CA">
        <w:t xml:space="preserve">It </w:t>
      </w:r>
      <w:r w:rsidRPr="008611CA">
        <w:t xml:space="preserve">will continue to be recognised and managed for the protection of </w:t>
      </w:r>
      <w:r w:rsidR="00977A2F" w:rsidRPr="008611CA">
        <w:t>environmental</w:t>
      </w:r>
      <w:r w:rsidR="00295DAD" w:rsidRPr="008611CA">
        <w:t xml:space="preserve"> and heritage</w:t>
      </w:r>
      <w:r w:rsidR="00977A2F" w:rsidRPr="008611CA">
        <w:t xml:space="preserve"> </w:t>
      </w:r>
      <w:r w:rsidRPr="008611CA">
        <w:t xml:space="preserve">assets, </w:t>
      </w:r>
      <w:r w:rsidR="002F42FB" w:rsidRPr="008611CA">
        <w:t>for</w:t>
      </w:r>
      <w:r w:rsidR="000943DE" w:rsidRPr="008611CA">
        <w:t xml:space="preserve"> providing environmental values</w:t>
      </w:r>
      <w:r w:rsidR="00683BAF" w:rsidRPr="008611CA">
        <w:t>,</w:t>
      </w:r>
      <w:r w:rsidR="000943DE" w:rsidRPr="008611CA">
        <w:t xml:space="preserve"> such as</w:t>
      </w:r>
      <w:r w:rsidR="002F42FB" w:rsidRPr="008611CA">
        <w:t xml:space="preserve"> </w:t>
      </w:r>
      <w:r w:rsidRPr="008611CA">
        <w:t xml:space="preserve">ecosystem services </w:t>
      </w:r>
      <w:r w:rsidR="000943DE" w:rsidRPr="008611CA">
        <w:t xml:space="preserve">that provide </w:t>
      </w:r>
      <w:r w:rsidRPr="008611CA">
        <w:t xml:space="preserve">pollination, </w:t>
      </w:r>
      <w:r w:rsidR="002F42FB" w:rsidRPr="008611CA">
        <w:t xml:space="preserve">clean air and </w:t>
      </w:r>
      <w:r w:rsidRPr="008611CA">
        <w:t>water</w:t>
      </w:r>
      <w:r w:rsidR="00683BAF" w:rsidRPr="008611CA">
        <w:t>,</w:t>
      </w:r>
      <w:r w:rsidR="002F42FB" w:rsidRPr="008611CA">
        <w:t xml:space="preserve"> and for activities such as</w:t>
      </w:r>
      <w:r w:rsidRPr="008611CA">
        <w:t xml:space="preserve"> timber </w:t>
      </w:r>
      <w:r w:rsidR="00977A2F" w:rsidRPr="008611CA">
        <w:t xml:space="preserve">and firewood </w:t>
      </w:r>
      <w:r w:rsidRPr="008611CA">
        <w:t>production, recreation and nature</w:t>
      </w:r>
      <w:r w:rsidR="002F42FB" w:rsidRPr="008611CA">
        <w:t>-</w:t>
      </w:r>
      <w:r w:rsidRPr="008611CA">
        <w:t xml:space="preserve">based tourism. </w:t>
      </w:r>
      <w:r w:rsidR="00977A2F" w:rsidRPr="008611CA">
        <w:t>P</w:t>
      </w:r>
      <w:r w:rsidRPr="008611CA">
        <w:t xml:space="preserve">ublic land will </w:t>
      </w:r>
      <w:r w:rsidR="00977A2F" w:rsidRPr="008611CA">
        <w:t xml:space="preserve">continue to </w:t>
      </w:r>
      <w:r w:rsidRPr="008611CA">
        <w:t xml:space="preserve">be valued for its role in carbon </w:t>
      </w:r>
      <w:r w:rsidR="00977A2F" w:rsidRPr="008611CA">
        <w:t>storage</w:t>
      </w:r>
      <w:r w:rsidRPr="008611CA">
        <w:t xml:space="preserve">. </w:t>
      </w:r>
    </w:p>
    <w:p w:rsidR="007A28AE" w:rsidRPr="008611CA" w:rsidRDefault="00977A2F" w:rsidP="008611CA">
      <w:pPr>
        <w:pStyle w:val="bt"/>
      </w:pPr>
      <w:r w:rsidRPr="008611CA">
        <w:t xml:space="preserve">The bulk of the </w:t>
      </w:r>
      <w:r w:rsidR="005F37B8" w:rsidRPr="008611CA">
        <w:t xml:space="preserve">region’s </w:t>
      </w:r>
      <w:r w:rsidRPr="008611CA">
        <w:t xml:space="preserve">public land is protected in parks, reserves and state forest, where land use is highly regulated. </w:t>
      </w:r>
      <w:r w:rsidR="00683BAF" w:rsidRPr="008611CA">
        <w:t xml:space="preserve">The Victorian Government has established new guidelines relating to private tourism development in national parks. </w:t>
      </w:r>
      <w:r w:rsidRPr="008611CA">
        <w:t xml:space="preserve">There are </w:t>
      </w:r>
      <w:r w:rsidR="00C4133D" w:rsidRPr="008611CA">
        <w:t>some</w:t>
      </w:r>
      <w:r w:rsidRPr="008611CA">
        <w:t xml:space="preserve"> opportunities for private sector investment in sensitive</w:t>
      </w:r>
      <w:r w:rsidR="001800ED">
        <w:t xml:space="preserve"> development of</w:t>
      </w:r>
      <w:r w:rsidRPr="008611CA">
        <w:t xml:space="preserve"> tourism infrastructure within national parks.</w:t>
      </w:r>
      <w:r w:rsidR="00683BAF" w:rsidRPr="008611CA">
        <w:t xml:space="preserve"> </w:t>
      </w:r>
      <w:r w:rsidR="00E265C3" w:rsidRPr="008611CA">
        <w:t xml:space="preserve">Land use is more likely to change on </w:t>
      </w:r>
      <w:r w:rsidR="00D35BB0" w:rsidRPr="008611CA">
        <w:t xml:space="preserve">smaller pockets of </w:t>
      </w:r>
      <w:r w:rsidR="00E265C3" w:rsidRPr="008611CA">
        <w:t xml:space="preserve">public land such as roadsides, </w:t>
      </w:r>
      <w:r w:rsidRPr="008611CA">
        <w:t xml:space="preserve">leased </w:t>
      </w:r>
      <w:r w:rsidR="00E265C3" w:rsidRPr="008611CA">
        <w:t xml:space="preserve">unused roads, land managed under </w:t>
      </w:r>
      <w:r w:rsidR="002A2D7F">
        <w:t>c</w:t>
      </w:r>
      <w:r w:rsidR="00E265C3" w:rsidRPr="008611CA">
        <w:t xml:space="preserve">ommittees of </w:t>
      </w:r>
      <w:r w:rsidR="002A2D7F">
        <w:t>m</w:t>
      </w:r>
      <w:r w:rsidR="00E265C3" w:rsidRPr="008611CA">
        <w:t xml:space="preserve">anagement and in </w:t>
      </w:r>
      <w:r w:rsidR="002A2D7F">
        <w:t>s</w:t>
      </w:r>
      <w:r w:rsidR="00E265C3" w:rsidRPr="008611CA">
        <w:t xml:space="preserve">treamside </w:t>
      </w:r>
      <w:r w:rsidR="002A2D7F">
        <w:t>r</w:t>
      </w:r>
      <w:r w:rsidR="00E265C3" w:rsidRPr="008611CA">
        <w:t xml:space="preserve">eserves. </w:t>
      </w:r>
    </w:p>
    <w:p w:rsidR="007A28AE" w:rsidRPr="008611CA" w:rsidRDefault="00EF2B4D" w:rsidP="008611CA">
      <w:pPr>
        <w:pStyle w:val="bt"/>
      </w:pPr>
      <w:r w:rsidRPr="008611CA">
        <w:t xml:space="preserve">In planning for land use and development in and adjacent to any public land, consideration needs to be given to managing threats to this substantial asset and minimising bushfire hazards to both public and private land. </w:t>
      </w:r>
      <w:r w:rsidR="00E265C3" w:rsidRPr="008611CA">
        <w:t xml:space="preserve">With the prospect of a drying climate, the buffering of public land from built development, especially residential development, will be a key consideration over the next 30 years. Buffering can also reduce </w:t>
      </w:r>
      <w:r w:rsidR="00D35BB0" w:rsidRPr="008611CA">
        <w:t xml:space="preserve">other </w:t>
      </w:r>
      <w:r w:rsidR="00E265C3" w:rsidRPr="008611CA">
        <w:t xml:space="preserve">development pressures on </w:t>
      </w:r>
      <w:r w:rsidRPr="008611CA">
        <w:t xml:space="preserve">the environmental </w:t>
      </w:r>
      <w:r w:rsidR="00E265C3" w:rsidRPr="008611CA">
        <w:t xml:space="preserve">values </w:t>
      </w:r>
      <w:r w:rsidR="005F37B8" w:rsidRPr="008611CA">
        <w:t xml:space="preserve">of </w:t>
      </w:r>
      <w:r w:rsidR="00E265C3" w:rsidRPr="008611CA">
        <w:t>public land.</w:t>
      </w:r>
    </w:p>
    <w:p w:rsidR="00C21CA2" w:rsidRPr="00A25511" w:rsidRDefault="00814EBF" w:rsidP="00C21CA2">
      <w:pPr>
        <w:pStyle w:val="Heading2"/>
      </w:pPr>
      <w:bookmarkStart w:id="55" w:name="_Toc376945594"/>
      <w:r>
        <w:t>Cultural h</w:t>
      </w:r>
      <w:r w:rsidR="00C21CA2">
        <w:t xml:space="preserve">eritage </w:t>
      </w:r>
      <w:r w:rsidR="001A5891">
        <w:t>a</w:t>
      </w:r>
      <w:r w:rsidR="00C21CA2">
        <w:t>ssets</w:t>
      </w:r>
      <w:bookmarkEnd w:id="55"/>
    </w:p>
    <w:p w:rsidR="007A28AE" w:rsidRPr="008611CA" w:rsidRDefault="00C21CA2" w:rsidP="008611CA">
      <w:pPr>
        <w:pStyle w:val="bt"/>
      </w:pPr>
      <w:r w:rsidRPr="008611CA">
        <w:t>Aboriginal</w:t>
      </w:r>
      <w:r w:rsidR="00DF25F1" w:rsidRPr="008611CA">
        <w:t xml:space="preserve"> cultural heritage</w:t>
      </w:r>
      <w:r w:rsidRPr="008611CA">
        <w:t xml:space="preserve"> </w:t>
      </w:r>
      <w:r w:rsidR="0096386D" w:rsidRPr="008611CA">
        <w:t xml:space="preserve">and </w:t>
      </w:r>
      <w:r w:rsidR="00814EBF" w:rsidRPr="008611CA">
        <w:t>historic</w:t>
      </w:r>
      <w:r w:rsidRPr="008611CA">
        <w:t xml:space="preserve"> heritage in the </w:t>
      </w:r>
      <w:r w:rsidR="00921AD0">
        <w:t>Hume Region include</w:t>
      </w:r>
      <w:r w:rsidRPr="008611CA">
        <w:t xml:space="preserve"> places that demonstrate key phases and events in the history of the region, as well as the stories and ongoing cultural p</w:t>
      </w:r>
      <w:r w:rsidR="00F271A1">
        <w:t>ractices associated with them.</w:t>
      </w:r>
    </w:p>
    <w:p w:rsidR="007A28AE" w:rsidRPr="008611CA" w:rsidRDefault="00C21CA2" w:rsidP="008611CA">
      <w:pPr>
        <w:pStyle w:val="bt"/>
      </w:pPr>
      <w:r w:rsidRPr="008611CA">
        <w:t>Aboriginal people have strong relationships with, custodianship of, and decision</w:t>
      </w:r>
      <w:r w:rsidR="00583D91" w:rsidRPr="008611CA">
        <w:t xml:space="preserve"> </w:t>
      </w:r>
      <w:r w:rsidRPr="008611CA">
        <w:t>making roles about cultural heritage places and objects. The cultural obligation of Aboriginal people</w:t>
      </w:r>
      <w:r w:rsidR="003F3B01" w:rsidRPr="008611CA">
        <w:t xml:space="preserve"> (an</w:t>
      </w:r>
      <w:r w:rsidR="000C3FC1" w:rsidRPr="008611CA">
        <w:t>d</w:t>
      </w:r>
      <w:r w:rsidR="003F3B01" w:rsidRPr="008611CA">
        <w:t xml:space="preserve"> all Victorians)</w:t>
      </w:r>
      <w:r w:rsidRPr="008611CA">
        <w:t xml:space="preserve"> to manage and </w:t>
      </w:r>
      <w:r w:rsidRPr="008611CA">
        <w:lastRenderedPageBreak/>
        <w:t>sustain heritage places is an important aspect of expressing</w:t>
      </w:r>
      <w:r w:rsidR="000C3FC1" w:rsidRPr="008611CA">
        <w:t>,</w:t>
      </w:r>
      <w:r w:rsidRPr="008611CA">
        <w:t xml:space="preserve"> strengthening and maintaining relationships with these places. </w:t>
      </w:r>
      <w:r w:rsidR="000C3FC1" w:rsidRPr="008611CA">
        <w:t>This contributes to a sense of place and the liveability of the region.</w:t>
      </w:r>
    </w:p>
    <w:p w:rsidR="000721BA" w:rsidRDefault="00C21CA2" w:rsidP="008611CA">
      <w:pPr>
        <w:pStyle w:val="bt"/>
      </w:pPr>
      <w:r w:rsidRPr="008611CA">
        <w:t xml:space="preserve">The region’s </w:t>
      </w:r>
      <w:r w:rsidR="00814EBF" w:rsidRPr="008611CA">
        <w:t>historic heritage</w:t>
      </w:r>
      <w:r w:rsidRPr="008611CA">
        <w:t xml:space="preserve"> </w:t>
      </w:r>
      <w:r w:rsidR="000943DE" w:rsidRPr="008611CA">
        <w:t>places</w:t>
      </w:r>
      <w:r w:rsidRPr="008611CA">
        <w:t xml:space="preserve"> include those representing early European exploration and settlement, sites linked to bushrangers, important towns and buildings, parks and landscapes and places associated with the historic and cultural development of </w:t>
      </w:r>
      <w:r w:rsidR="005F37B8" w:rsidRPr="008611CA">
        <w:t>Victoria</w:t>
      </w:r>
      <w:r w:rsidRPr="008611CA">
        <w:t>. Important historical themes include pastoral expansion, goldmining, industrial development and economic expansion and growth.</w:t>
      </w:r>
    </w:p>
    <w:p w:rsidR="0032734C" w:rsidRDefault="0032734C" w:rsidP="008A3FA1">
      <w:pPr>
        <w:pStyle w:val="Heading3-list"/>
        <w:numPr>
          <w:ilvl w:val="0"/>
          <w:numId w:val="36"/>
        </w:numPr>
        <w:ind w:left="426"/>
      </w:pPr>
      <w:r w:rsidRPr="0032734C">
        <w:t xml:space="preserve">Maintain and enhance cultural heritage assets </w:t>
      </w:r>
    </w:p>
    <w:p w:rsidR="007A28AE" w:rsidRDefault="00C21CA2" w:rsidP="008611CA">
      <w:pPr>
        <w:pStyle w:val="bt"/>
        <w:rPr>
          <w:lang w:eastAsia="en-US"/>
        </w:rPr>
      </w:pPr>
      <w:r>
        <w:rPr>
          <w:lang w:eastAsia="en-US"/>
        </w:rPr>
        <w:t xml:space="preserve">In planning for growth and future land use change, cultural heritage is considered to be a community, economic and social asset. </w:t>
      </w:r>
      <w:r w:rsidRPr="00A25511">
        <w:rPr>
          <w:lang w:eastAsia="en-US"/>
        </w:rPr>
        <w:t xml:space="preserve">The Hume Region’s </w:t>
      </w:r>
      <w:r w:rsidR="00DF25F1">
        <w:rPr>
          <w:lang w:eastAsia="en-US"/>
        </w:rPr>
        <w:t xml:space="preserve">cultural </w:t>
      </w:r>
      <w:r w:rsidRPr="00A25511">
        <w:rPr>
          <w:lang w:eastAsia="en-US"/>
        </w:rPr>
        <w:t>heritage</w:t>
      </w:r>
      <w:r>
        <w:rPr>
          <w:lang w:eastAsia="en-US"/>
        </w:rPr>
        <w:t xml:space="preserve"> assets, both Aboriginal and </w:t>
      </w:r>
      <w:r w:rsidR="00814EBF">
        <w:rPr>
          <w:lang w:eastAsia="en-US"/>
        </w:rPr>
        <w:t>historic</w:t>
      </w:r>
      <w:r>
        <w:rPr>
          <w:lang w:eastAsia="en-US"/>
        </w:rPr>
        <w:t>,</w:t>
      </w:r>
      <w:r w:rsidRPr="00A25511">
        <w:rPr>
          <w:lang w:eastAsia="en-US"/>
        </w:rPr>
        <w:t xml:space="preserve"> </w:t>
      </w:r>
      <w:r>
        <w:rPr>
          <w:lang w:eastAsia="en-US"/>
        </w:rPr>
        <w:t>are</w:t>
      </w:r>
      <w:r w:rsidRPr="00A25511">
        <w:rPr>
          <w:lang w:eastAsia="en-US"/>
        </w:rPr>
        <w:t xml:space="preserve"> important to contemporary communities </w:t>
      </w:r>
      <w:r>
        <w:rPr>
          <w:lang w:eastAsia="en-US"/>
        </w:rPr>
        <w:t xml:space="preserve">and heritage </w:t>
      </w:r>
      <w:r w:rsidRPr="00A25511">
        <w:rPr>
          <w:lang w:eastAsia="en-US"/>
        </w:rPr>
        <w:t xml:space="preserve">is integral </w:t>
      </w:r>
      <w:r w:rsidR="005F37B8">
        <w:rPr>
          <w:lang w:eastAsia="en-US"/>
        </w:rPr>
        <w:t xml:space="preserve">to </w:t>
      </w:r>
      <w:r w:rsidRPr="00A25511">
        <w:rPr>
          <w:lang w:eastAsia="en-US"/>
        </w:rPr>
        <w:t>creating a sense of place.</w:t>
      </w:r>
    </w:p>
    <w:p w:rsidR="00DF25F1" w:rsidRDefault="00C21CA2" w:rsidP="008611CA">
      <w:pPr>
        <w:pStyle w:val="bt"/>
        <w:rPr>
          <w:lang w:eastAsia="en-US"/>
        </w:rPr>
      </w:pPr>
      <w:r w:rsidRPr="00A25511">
        <w:rPr>
          <w:lang w:eastAsia="en-US"/>
        </w:rPr>
        <w:t xml:space="preserve">Many tourists seek heritage tourism experiences. </w:t>
      </w:r>
      <w:r w:rsidR="00814EBF">
        <w:rPr>
          <w:lang w:eastAsia="en-US"/>
        </w:rPr>
        <w:t xml:space="preserve">Aboriginal </w:t>
      </w:r>
      <w:r w:rsidR="00DF25F1">
        <w:rPr>
          <w:lang w:eastAsia="en-US"/>
        </w:rPr>
        <w:t xml:space="preserve">cultural heritage </w:t>
      </w:r>
      <w:r w:rsidR="00814EBF">
        <w:rPr>
          <w:lang w:eastAsia="en-US"/>
        </w:rPr>
        <w:t>and historic h</w:t>
      </w:r>
      <w:r w:rsidRPr="00A25511">
        <w:rPr>
          <w:lang w:eastAsia="en-US"/>
        </w:rPr>
        <w:t xml:space="preserve">eritage </w:t>
      </w:r>
      <w:r w:rsidR="00814EBF">
        <w:rPr>
          <w:lang w:eastAsia="en-US"/>
        </w:rPr>
        <w:t>attractions and services</w:t>
      </w:r>
      <w:r w:rsidRPr="00A25511">
        <w:rPr>
          <w:lang w:eastAsia="en-US"/>
        </w:rPr>
        <w:t xml:space="preserve"> contribute to the regional economy and employment. Building a comprehensive sense of place around heritage sites is important </w:t>
      </w:r>
      <w:r w:rsidR="005F37B8">
        <w:rPr>
          <w:lang w:eastAsia="en-US"/>
        </w:rPr>
        <w:t xml:space="preserve">to help </w:t>
      </w:r>
      <w:r w:rsidRPr="00A25511">
        <w:rPr>
          <w:lang w:eastAsia="en-US"/>
        </w:rPr>
        <w:t>develop resilient and sustainable communities.</w:t>
      </w:r>
    </w:p>
    <w:p w:rsidR="000C3FC1" w:rsidRPr="00141FA0" w:rsidRDefault="000C3FC1" w:rsidP="008611CA">
      <w:pPr>
        <w:pStyle w:val="bt"/>
        <w:rPr>
          <w:color w:val="4F81BD"/>
          <w:lang w:eastAsia="en-US"/>
        </w:rPr>
      </w:pPr>
      <w:r w:rsidRPr="003255C7">
        <w:t xml:space="preserve">Registered Aboriginal Parties will have an important role in </w:t>
      </w:r>
      <w:r>
        <w:t>planning and development, and there are benefits to engaging with the relevant Aboriginal community organisations early in strategic planning processes</w:t>
      </w:r>
      <w:r w:rsidRPr="003255C7">
        <w:t xml:space="preserve">. </w:t>
      </w:r>
      <w:r>
        <w:t>Currently t</w:t>
      </w:r>
      <w:r w:rsidRPr="003255C7">
        <w:t xml:space="preserve">he </w:t>
      </w:r>
      <w:proofErr w:type="spellStart"/>
      <w:r>
        <w:t>Yorta</w:t>
      </w:r>
      <w:proofErr w:type="spellEnd"/>
      <w:r>
        <w:t xml:space="preserve"> </w:t>
      </w:r>
      <w:proofErr w:type="spellStart"/>
      <w:r>
        <w:t>Yorta</w:t>
      </w:r>
      <w:proofErr w:type="spellEnd"/>
      <w:r>
        <w:t xml:space="preserve"> Nation Aboriginal Corporation, </w:t>
      </w:r>
      <w:proofErr w:type="spellStart"/>
      <w:r>
        <w:t>Taungurung</w:t>
      </w:r>
      <w:proofErr w:type="spellEnd"/>
      <w:r>
        <w:t xml:space="preserve"> Clans Aboriginal Corporation, </w:t>
      </w:r>
      <w:proofErr w:type="spellStart"/>
      <w:r>
        <w:t>Wurundjeri</w:t>
      </w:r>
      <w:proofErr w:type="spellEnd"/>
      <w:r>
        <w:t xml:space="preserve"> Tribe Land and Compensation Cultural Heritage Council and </w:t>
      </w:r>
      <w:proofErr w:type="spellStart"/>
      <w:r>
        <w:t>Gunaikurnai</w:t>
      </w:r>
      <w:proofErr w:type="spellEnd"/>
      <w:r>
        <w:t xml:space="preserve"> Land and Waters Aboriginal Corporation have legislated</w:t>
      </w:r>
      <w:r w:rsidRPr="003255C7">
        <w:t xml:space="preserve"> responsibilities relating to the management of Aboriginal cultur</w:t>
      </w:r>
      <w:r>
        <w:t xml:space="preserve">al heritage places </w:t>
      </w:r>
      <w:r w:rsidRPr="003255C7">
        <w:t xml:space="preserve">in the </w:t>
      </w:r>
      <w:r>
        <w:t>Hume Region</w:t>
      </w:r>
      <w:r w:rsidRPr="003255C7">
        <w:t xml:space="preserve">. </w:t>
      </w:r>
      <w:r>
        <w:t xml:space="preserve">This arrangement recognises the key role that Aboriginal traditional owners have in the protection and management of significant Aboriginal cultural heritage places. </w:t>
      </w:r>
    </w:p>
    <w:p w:rsidR="006F6B96" w:rsidRPr="008611CA" w:rsidRDefault="00613085" w:rsidP="008611CA">
      <w:pPr>
        <w:pStyle w:val="Heading2"/>
      </w:pPr>
      <w:bookmarkStart w:id="56" w:name="_Toc376945595"/>
      <w:r w:rsidRPr="008611CA">
        <w:t xml:space="preserve">Natural </w:t>
      </w:r>
      <w:r w:rsidR="001A5891" w:rsidRPr="008611CA">
        <w:t>h</w:t>
      </w:r>
      <w:r w:rsidRPr="008611CA">
        <w:t xml:space="preserve">azards and </w:t>
      </w:r>
      <w:r w:rsidR="001A5891" w:rsidRPr="008611CA">
        <w:t>r</w:t>
      </w:r>
      <w:r w:rsidR="006F6B96" w:rsidRPr="008611CA">
        <w:t>isks</w:t>
      </w:r>
      <w:bookmarkEnd w:id="56"/>
    </w:p>
    <w:p w:rsidR="00222A04" w:rsidRPr="008611CA" w:rsidRDefault="00222A04" w:rsidP="008611CA">
      <w:pPr>
        <w:pStyle w:val="bt"/>
      </w:pPr>
      <w:r w:rsidRPr="008611CA">
        <w:t xml:space="preserve">This </w:t>
      </w:r>
      <w:r w:rsidR="002A2D7F">
        <w:t>s</w:t>
      </w:r>
      <w:r w:rsidR="001E3654">
        <w:t>ection</w:t>
      </w:r>
      <w:r w:rsidRPr="008611CA">
        <w:t xml:space="preserve"> </w:t>
      </w:r>
      <w:r w:rsidR="00620DE2" w:rsidRPr="008611CA">
        <w:t xml:space="preserve">outlines </w:t>
      </w:r>
      <w:r w:rsidRPr="008611CA">
        <w:t>the natural hazards</w:t>
      </w:r>
      <w:r w:rsidR="00623045" w:rsidRPr="008611CA">
        <w:t xml:space="preserve"> and </w:t>
      </w:r>
      <w:r w:rsidRPr="008611CA">
        <w:t xml:space="preserve">risks </w:t>
      </w:r>
      <w:r w:rsidR="00620DE2" w:rsidRPr="008611CA">
        <w:t xml:space="preserve">impacting on the Hume </w:t>
      </w:r>
      <w:r w:rsidR="00720BB6" w:rsidRPr="008611CA">
        <w:t>R</w:t>
      </w:r>
      <w:r w:rsidR="00620DE2" w:rsidRPr="008611CA">
        <w:t>egion</w:t>
      </w:r>
      <w:r w:rsidRPr="008611CA">
        <w:t>.</w:t>
      </w:r>
      <w:r w:rsidR="00720BB6" w:rsidRPr="008611CA">
        <w:t xml:space="preserve"> These natural hazards and risks are considered throughout this document.</w:t>
      </w:r>
    </w:p>
    <w:p w:rsidR="00DC104E" w:rsidRDefault="00DC104E" w:rsidP="008A3FA1">
      <w:pPr>
        <w:pStyle w:val="Heading3-list"/>
        <w:numPr>
          <w:ilvl w:val="0"/>
          <w:numId w:val="27"/>
        </w:numPr>
        <w:ind w:left="426"/>
      </w:pPr>
      <w:r w:rsidRPr="00DC104E">
        <w:t xml:space="preserve">Plan for the potential impacts of, and opportunities arising from, climate change </w:t>
      </w:r>
    </w:p>
    <w:p w:rsidR="00613085" w:rsidRPr="008611CA" w:rsidRDefault="00222A04" w:rsidP="008611CA">
      <w:pPr>
        <w:pStyle w:val="bt"/>
      </w:pPr>
      <w:r w:rsidRPr="008611CA">
        <w:t xml:space="preserve">The future climate of the Hume Region is predicted to be hotter and drier than </w:t>
      </w:r>
      <w:r w:rsidR="00613085" w:rsidRPr="008611CA">
        <w:t>the long</w:t>
      </w:r>
      <w:r w:rsidR="00620DE2" w:rsidRPr="008611CA">
        <w:t>-</w:t>
      </w:r>
      <w:r w:rsidR="00613085" w:rsidRPr="008611CA">
        <w:t>term average, resulting in a</w:t>
      </w:r>
      <w:r w:rsidR="009E3261" w:rsidRPr="008611CA">
        <w:t>n increased risk</w:t>
      </w:r>
      <w:r w:rsidR="00613085" w:rsidRPr="008611CA">
        <w:t xml:space="preserve"> of droughts and </w:t>
      </w:r>
      <w:r w:rsidR="000943DE" w:rsidRPr="008611CA">
        <w:t xml:space="preserve">extreme </w:t>
      </w:r>
      <w:r w:rsidR="00613085" w:rsidRPr="008611CA">
        <w:t>fire danger days</w:t>
      </w:r>
      <w:r w:rsidRPr="008611CA">
        <w:t xml:space="preserve">. Future land use planning decisions should be based on the best available information </w:t>
      </w:r>
      <w:r w:rsidR="00620DE2" w:rsidRPr="008611CA">
        <w:t xml:space="preserve">about </w:t>
      </w:r>
      <w:r w:rsidR="00613085" w:rsidRPr="008611CA">
        <w:t>the potential</w:t>
      </w:r>
      <w:r w:rsidRPr="008611CA">
        <w:t xml:space="preserve"> impact</w:t>
      </w:r>
      <w:r w:rsidR="00D35BB0" w:rsidRPr="008611CA">
        <w:t>s</w:t>
      </w:r>
      <w:r w:rsidRPr="008611CA">
        <w:t xml:space="preserve"> </w:t>
      </w:r>
      <w:r w:rsidR="00613085" w:rsidRPr="008611CA">
        <w:t>of</w:t>
      </w:r>
      <w:r w:rsidRPr="008611CA">
        <w:t>, and adaptation to</w:t>
      </w:r>
      <w:r w:rsidR="00613085" w:rsidRPr="008611CA">
        <w:t>,</w:t>
      </w:r>
      <w:r w:rsidRPr="008611CA">
        <w:t xml:space="preserve"> climate change. </w:t>
      </w:r>
    </w:p>
    <w:p w:rsidR="00222A04" w:rsidRPr="008611CA" w:rsidRDefault="00613085" w:rsidP="008611CA">
      <w:pPr>
        <w:pStyle w:val="bt"/>
      </w:pPr>
      <w:r w:rsidRPr="008611CA">
        <w:t xml:space="preserve">Land use planning should also respond to opportunities for innovation and industry development arising from climate change and </w:t>
      </w:r>
      <w:r w:rsidR="00E90D0B" w:rsidRPr="00E90D0B">
        <w:t xml:space="preserve">initiatives that support </w:t>
      </w:r>
      <w:r w:rsidR="00E90D0B">
        <w:t>the reduction</w:t>
      </w:r>
      <w:r w:rsidR="00E90D0B" w:rsidRPr="00E90D0B">
        <w:t xml:space="preserve"> </w:t>
      </w:r>
      <w:r w:rsidR="00814FCD">
        <w:t xml:space="preserve">of </w:t>
      </w:r>
      <w:r w:rsidR="00E90D0B" w:rsidRPr="00E90D0B">
        <w:t>greenhouse gas emissions</w:t>
      </w:r>
      <w:r w:rsidRPr="008611CA">
        <w:t xml:space="preserve"> and where appropriate remove any barriers to such action. </w:t>
      </w:r>
      <w:r w:rsidR="00222A04" w:rsidRPr="008611CA">
        <w:t xml:space="preserve">Consideration </w:t>
      </w:r>
      <w:r w:rsidR="00D76ED9" w:rsidRPr="008611CA">
        <w:t>must</w:t>
      </w:r>
      <w:r w:rsidR="00222A04" w:rsidRPr="008611CA">
        <w:t xml:space="preserve"> be given to the appropriate design of urban environments to address potential risks</w:t>
      </w:r>
      <w:r w:rsidR="00D35BB0" w:rsidRPr="008611CA">
        <w:t xml:space="preserve"> for local communities from</w:t>
      </w:r>
      <w:r w:rsidR="00222A04" w:rsidRPr="008611CA">
        <w:t xml:space="preserve"> climate change</w:t>
      </w:r>
      <w:r w:rsidRPr="008611CA">
        <w:t xml:space="preserve">, such as </w:t>
      </w:r>
      <w:r w:rsidR="00B269CF" w:rsidRPr="008611CA">
        <w:t xml:space="preserve">the effects of increased urban </w:t>
      </w:r>
      <w:r w:rsidR="00BE6287" w:rsidRPr="008611CA">
        <w:t>temperatures</w:t>
      </w:r>
      <w:r w:rsidR="00B269CF" w:rsidRPr="008611CA">
        <w:t>.</w:t>
      </w:r>
    </w:p>
    <w:p w:rsidR="00DC104E" w:rsidRDefault="00DC104E" w:rsidP="0016400E">
      <w:pPr>
        <w:pStyle w:val="Heading3-list"/>
      </w:pPr>
      <w:r w:rsidRPr="00DC104E">
        <w:t>Minimise flood risk</w:t>
      </w:r>
    </w:p>
    <w:p w:rsidR="00DF25F1" w:rsidRPr="008611CA" w:rsidRDefault="00030278" w:rsidP="008611CA">
      <w:pPr>
        <w:pStyle w:val="bt"/>
      </w:pPr>
      <w:r w:rsidRPr="008611CA">
        <w:t xml:space="preserve">Parts of the </w:t>
      </w:r>
      <w:r w:rsidR="00620DE2" w:rsidRPr="008611CA">
        <w:t xml:space="preserve">Hume </w:t>
      </w:r>
      <w:r w:rsidR="00720BB6" w:rsidRPr="008611CA">
        <w:t>R</w:t>
      </w:r>
      <w:r w:rsidRPr="008611CA">
        <w:t xml:space="preserve">egion have been impacted by </w:t>
      </w:r>
      <w:r w:rsidR="00F47DC9">
        <w:t>flood</w:t>
      </w:r>
      <w:r w:rsidRPr="008611CA">
        <w:t xml:space="preserve"> and climate predictions indicate future flood events may be more extreme </w:t>
      </w:r>
      <w:r w:rsidR="00620DE2" w:rsidRPr="008611CA">
        <w:t>al</w:t>
      </w:r>
      <w:r w:rsidRPr="008611CA">
        <w:t xml:space="preserve">though they may be less frequent. </w:t>
      </w:r>
      <w:r w:rsidR="00222A04" w:rsidRPr="008611CA">
        <w:t xml:space="preserve">Many of the region’s urban centres are located </w:t>
      </w:r>
      <w:r w:rsidR="00E101A2" w:rsidRPr="008611CA">
        <w:t>within the floodplains of</w:t>
      </w:r>
      <w:r w:rsidR="00222A04" w:rsidRPr="008611CA">
        <w:t xml:space="preserve"> major rivers including Benalla on the Broken River, </w:t>
      </w:r>
      <w:r w:rsidR="002E2AC7" w:rsidRPr="008611CA">
        <w:t xml:space="preserve">Shepparton on the Broken and Goulburn </w:t>
      </w:r>
      <w:r w:rsidR="00620DE2" w:rsidRPr="008611CA">
        <w:t>r</w:t>
      </w:r>
      <w:r w:rsidR="002E2AC7" w:rsidRPr="008611CA">
        <w:t xml:space="preserve">ivers, </w:t>
      </w:r>
      <w:r w:rsidR="00222A04" w:rsidRPr="008611CA">
        <w:t xml:space="preserve">Seymour on the Goulburn River, Wangaratta on the Ovens and King </w:t>
      </w:r>
      <w:r w:rsidR="00620DE2" w:rsidRPr="008611CA">
        <w:t>r</w:t>
      </w:r>
      <w:r w:rsidR="00222A04" w:rsidRPr="008611CA">
        <w:t>ivers an</w:t>
      </w:r>
      <w:r w:rsidR="00F271A1">
        <w:t>d Wodonga on the Murray River.</w:t>
      </w:r>
    </w:p>
    <w:p w:rsidR="00222A04" w:rsidRPr="008611CA" w:rsidRDefault="00C169FF" w:rsidP="008611CA">
      <w:pPr>
        <w:pStyle w:val="bt"/>
      </w:pPr>
      <w:r w:rsidRPr="008611CA">
        <w:lastRenderedPageBreak/>
        <w:t xml:space="preserve">The risks </w:t>
      </w:r>
      <w:r w:rsidR="00620DE2" w:rsidRPr="008611CA">
        <w:t xml:space="preserve">of </w:t>
      </w:r>
      <w:r w:rsidR="00F47DC9">
        <w:t>flood</w:t>
      </w:r>
      <w:r w:rsidRPr="008611CA">
        <w:t xml:space="preserve"> must be considered in land use planning decisions. These decisions should be based on the best quality information on </w:t>
      </w:r>
      <w:r w:rsidR="00F47DC9">
        <w:t>flood</w:t>
      </w:r>
      <w:r w:rsidRPr="008611CA">
        <w:t xml:space="preserve"> hazard</w:t>
      </w:r>
      <w:r w:rsidR="00776C75">
        <w:t>s</w:t>
      </w:r>
      <w:r w:rsidRPr="008611CA">
        <w:t xml:space="preserve"> to minimise risk to life, property, community infrastructure and environmental assets. Flood provisions in planning schemes should be used consistently across the region to avoid inappropriate development or require appropriate development responses, as well as </w:t>
      </w:r>
      <w:r w:rsidR="00620DE2" w:rsidRPr="008611CA">
        <w:t xml:space="preserve">to </w:t>
      </w:r>
      <w:r w:rsidRPr="008611CA">
        <w:t xml:space="preserve">apply design responses. </w:t>
      </w:r>
      <w:r w:rsidR="00222A04" w:rsidRPr="008611CA">
        <w:t xml:space="preserve">New development </w:t>
      </w:r>
      <w:r w:rsidRPr="008611CA">
        <w:t>will be directed</w:t>
      </w:r>
      <w:r w:rsidR="00222A04" w:rsidRPr="008611CA">
        <w:t xml:space="preserve"> away from</w:t>
      </w:r>
      <w:r w:rsidRPr="008611CA">
        <w:t xml:space="preserve"> areas of highest</w:t>
      </w:r>
      <w:r w:rsidR="00222A04" w:rsidRPr="008611CA">
        <w:t xml:space="preserve"> flood</w:t>
      </w:r>
      <w:r w:rsidRPr="008611CA">
        <w:t xml:space="preserve"> hazard</w:t>
      </w:r>
      <w:r w:rsidR="00222A04" w:rsidRPr="008611CA">
        <w:t xml:space="preserve"> and development should not be supported if it increases the flood risk for other sensitive areas or development. </w:t>
      </w:r>
      <w:r w:rsidR="00DA5F7D" w:rsidRPr="008611CA">
        <w:t xml:space="preserve">Flood hazard has been explicitly considered in the development of this </w:t>
      </w:r>
      <w:r w:rsidR="00D36385" w:rsidRPr="008611CA">
        <w:t>p</w:t>
      </w:r>
      <w:r w:rsidR="00DA5F7D" w:rsidRPr="008611CA">
        <w:t xml:space="preserve">lan, particularly in assessing potential future development directions for specific settlements. </w:t>
      </w:r>
    </w:p>
    <w:p w:rsidR="00D57BCF" w:rsidRPr="008611CA" w:rsidRDefault="00D57BCF" w:rsidP="008611CA">
      <w:pPr>
        <w:pStyle w:val="bt"/>
      </w:pPr>
      <w:r w:rsidRPr="008611CA">
        <w:t>Some existing urban areas are flood prone. Local planning for these areas should consider the inherent risk to these communities and help to build their resilience to such risk. Local plans should establish and confirm measures to manage development in these areas.</w:t>
      </w:r>
    </w:p>
    <w:p w:rsidR="00DC104E" w:rsidRDefault="00DC104E" w:rsidP="0016400E">
      <w:pPr>
        <w:pStyle w:val="Heading3-list"/>
      </w:pPr>
      <w:r w:rsidRPr="00DC104E">
        <w:t xml:space="preserve">Minimise bushfire risk </w:t>
      </w:r>
    </w:p>
    <w:p w:rsidR="001369A5" w:rsidRDefault="00222A04" w:rsidP="001369A5">
      <w:pPr>
        <w:pStyle w:val="bt"/>
        <w:rPr>
          <w:lang w:eastAsia="en-US"/>
        </w:rPr>
      </w:pPr>
      <w:r w:rsidRPr="00A25511">
        <w:rPr>
          <w:lang w:eastAsia="en-US"/>
        </w:rPr>
        <w:t xml:space="preserve">Many of the landscapes most attractive to residents and visitors are also </w:t>
      </w:r>
      <w:r w:rsidR="00BC3816">
        <w:rPr>
          <w:lang w:eastAsia="en-US"/>
        </w:rPr>
        <w:t xml:space="preserve">in </w:t>
      </w:r>
      <w:r w:rsidR="001369A5">
        <w:rPr>
          <w:lang w:eastAsia="en-US"/>
        </w:rPr>
        <w:t xml:space="preserve">locations containing large areas of </w:t>
      </w:r>
      <w:r w:rsidRPr="00A25511">
        <w:rPr>
          <w:lang w:eastAsia="en-US"/>
        </w:rPr>
        <w:t>bushfire</w:t>
      </w:r>
      <w:r w:rsidR="00BC3816">
        <w:rPr>
          <w:lang w:eastAsia="en-US"/>
        </w:rPr>
        <w:t xml:space="preserve"> hazard</w:t>
      </w:r>
      <w:r w:rsidR="00620DE2">
        <w:rPr>
          <w:lang w:eastAsia="en-US"/>
        </w:rPr>
        <w:t>,</w:t>
      </w:r>
      <w:r w:rsidR="00030278">
        <w:rPr>
          <w:lang w:eastAsia="en-US"/>
        </w:rPr>
        <w:t xml:space="preserve"> and f</w:t>
      </w:r>
      <w:r w:rsidR="00030278" w:rsidRPr="00A25511">
        <w:rPr>
          <w:lang w:eastAsia="en-US"/>
        </w:rPr>
        <w:t xml:space="preserve">uture climate predictions indicate bushfire </w:t>
      </w:r>
      <w:r w:rsidR="009E3261">
        <w:rPr>
          <w:lang w:eastAsia="en-US"/>
        </w:rPr>
        <w:t xml:space="preserve">risk </w:t>
      </w:r>
      <w:r w:rsidR="00030278" w:rsidRPr="00A25511">
        <w:rPr>
          <w:lang w:eastAsia="en-US"/>
        </w:rPr>
        <w:t>is likely to increase</w:t>
      </w:r>
      <w:r w:rsidR="00030278">
        <w:rPr>
          <w:lang w:eastAsia="en-US"/>
        </w:rPr>
        <w:t>.</w:t>
      </w:r>
      <w:r w:rsidRPr="00A25511">
        <w:rPr>
          <w:lang w:eastAsia="en-US"/>
        </w:rPr>
        <w:t xml:space="preserve"> </w:t>
      </w:r>
      <w:r w:rsidR="001369A5">
        <w:rPr>
          <w:lang w:eastAsia="en-US"/>
        </w:rPr>
        <w:t>When addressing bushfire risk, community resilience will be strengthened by:</w:t>
      </w:r>
    </w:p>
    <w:p w:rsidR="001369A5" w:rsidRDefault="001369A5" w:rsidP="00EE492B">
      <w:pPr>
        <w:pStyle w:val="btbullet"/>
        <w:rPr>
          <w:lang w:eastAsia="en-US"/>
        </w:rPr>
      </w:pPr>
      <w:r>
        <w:rPr>
          <w:lang w:eastAsia="en-US"/>
        </w:rPr>
        <w:t xml:space="preserve">prioritising the protection of human life over other policy considerations when planning to create or expand a settlement at risk from </w:t>
      </w:r>
      <w:r w:rsidR="00112398">
        <w:rPr>
          <w:lang w:eastAsia="en-US"/>
        </w:rPr>
        <w:t>bushfire</w:t>
      </w:r>
    </w:p>
    <w:p w:rsidR="001369A5" w:rsidRDefault="001369A5" w:rsidP="00EE492B">
      <w:pPr>
        <w:pStyle w:val="btbullet"/>
        <w:rPr>
          <w:lang w:eastAsia="en-US"/>
        </w:rPr>
      </w:pPr>
      <w:r>
        <w:rPr>
          <w:lang w:eastAsia="en-US"/>
        </w:rPr>
        <w:t>applying a precautionary approach to planning and decision</w:t>
      </w:r>
      <w:r w:rsidR="00776C75">
        <w:rPr>
          <w:lang w:eastAsia="en-US"/>
        </w:rPr>
        <w:t xml:space="preserve"> </w:t>
      </w:r>
      <w:r>
        <w:rPr>
          <w:lang w:eastAsia="en-US"/>
        </w:rPr>
        <w:t xml:space="preserve">making when assessing the risk to life, property and community infrastructure from </w:t>
      </w:r>
      <w:r w:rsidR="00112398">
        <w:rPr>
          <w:lang w:eastAsia="en-US"/>
        </w:rPr>
        <w:t>bushfire</w:t>
      </w:r>
    </w:p>
    <w:p w:rsidR="00222A04" w:rsidRPr="00A25511" w:rsidRDefault="001369A5" w:rsidP="00EE492B">
      <w:pPr>
        <w:pStyle w:val="btbullet"/>
        <w:rPr>
          <w:lang w:eastAsia="en-US"/>
        </w:rPr>
      </w:pPr>
      <w:proofErr w:type="gramStart"/>
      <w:r>
        <w:rPr>
          <w:lang w:eastAsia="en-US"/>
        </w:rPr>
        <w:t>taking</w:t>
      </w:r>
      <w:proofErr w:type="gramEnd"/>
      <w:r>
        <w:rPr>
          <w:lang w:eastAsia="en-US"/>
        </w:rPr>
        <w:t xml:space="preserve"> advantage of existing settlement patterns where new development will not expose the community to increased risk from </w:t>
      </w:r>
      <w:r w:rsidR="00112398">
        <w:rPr>
          <w:lang w:eastAsia="en-US"/>
        </w:rPr>
        <w:t>bushfire</w:t>
      </w:r>
      <w:r>
        <w:rPr>
          <w:lang w:eastAsia="en-US"/>
        </w:rPr>
        <w:t>.</w:t>
      </w:r>
    </w:p>
    <w:p w:rsidR="00CF34EF" w:rsidRPr="00C913BE" w:rsidRDefault="008917A6" w:rsidP="008611CA">
      <w:pPr>
        <w:pStyle w:val="bt"/>
        <w:rPr>
          <w:lang w:eastAsia="en-US"/>
        </w:rPr>
      </w:pPr>
      <w:proofErr w:type="gramStart"/>
      <w:r w:rsidRPr="008917A6">
        <w:rPr>
          <w:lang w:eastAsia="en-US"/>
        </w:rPr>
        <w:t xml:space="preserve">Regional and localised planning </w:t>
      </w:r>
      <w:r w:rsidR="00BE6287">
        <w:rPr>
          <w:lang w:eastAsia="en-US"/>
        </w:rPr>
        <w:t>take into account</w:t>
      </w:r>
      <w:r w:rsidRPr="008917A6">
        <w:rPr>
          <w:lang w:eastAsia="en-US"/>
        </w:rPr>
        <w:t xml:space="preserve"> bushfire hazard in detail, with the assistance of planning tools</w:t>
      </w:r>
      <w:r w:rsidR="00683BAF">
        <w:rPr>
          <w:lang w:eastAsia="en-US"/>
        </w:rPr>
        <w:t>,</w:t>
      </w:r>
      <w:r w:rsidRPr="008917A6">
        <w:rPr>
          <w:lang w:eastAsia="en-US"/>
        </w:rPr>
        <w:t xml:space="preserve"> such as the Bushfire Management Overlay, Regional Bushfire Planning Assessments and Bushfire Prone Areas, as well as input from the Country Fire Authority.</w:t>
      </w:r>
      <w:proofErr w:type="gramEnd"/>
      <w:r w:rsidRPr="008917A6">
        <w:rPr>
          <w:lang w:eastAsia="en-US"/>
        </w:rPr>
        <w:t xml:space="preserve"> </w:t>
      </w:r>
      <w:r w:rsidR="00843A7D">
        <w:rPr>
          <w:lang w:eastAsia="en-US"/>
        </w:rPr>
        <w:t xml:space="preserve">Such planning should also consider </w:t>
      </w:r>
      <w:r w:rsidR="00843A7D" w:rsidRPr="00843A7D">
        <w:rPr>
          <w:lang w:eastAsia="en-US"/>
        </w:rPr>
        <w:t xml:space="preserve">potential risk from urban areas interfacing with </w:t>
      </w:r>
      <w:r w:rsidR="00843A7D">
        <w:rPr>
          <w:lang w:eastAsia="en-US"/>
        </w:rPr>
        <w:t xml:space="preserve">areas of </w:t>
      </w:r>
      <w:r w:rsidR="00843A7D" w:rsidRPr="00843A7D">
        <w:rPr>
          <w:lang w:eastAsia="en-US"/>
        </w:rPr>
        <w:t>bushfire hazard.</w:t>
      </w:r>
      <w:r w:rsidR="00843A7D">
        <w:rPr>
          <w:lang w:eastAsia="en-US"/>
        </w:rPr>
        <w:t xml:space="preserve"> </w:t>
      </w:r>
      <w:r w:rsidRPr="008917A6">
        <w:rPr>
          <w:lang w:eastAsia="en-US"/>
        </w:rPr>
        <w:t xml:space="preserve">Some settlements identified for growth </w:t>
      </w:r>
      <w:r w:rsidR="001800ED">
        <w:rPr>
          <w:lang w:eastAsia="en-US"/>
        </w:rPr>
        <w:t>are located</w:t>
      </w:r>
      <w:r w:rsidRPr="008917A6">
        <w:rPr>
          <w:lang w:eastAsia="en-US"/>
        </w:rPr>
        <w:t xml:space="preserve"> in areas with bushfire hazard (illustrated in</w:t>
      </w:r>
      <w:r w:rsidR="00AF799A">
        <w:rPr>
          <w:lang w:eastAsia="en-US"/>
        </w:rPr>
        <w:t xml:space="preserve"> Map 5</w:t>
      </w:r>
      <w:r w:rsidRPr="00B75B26">
        <w:rPr>
          <w:lang w:eastAsia="en-US"/>
        </w:rPr>
        <w:t>).</w:t>
      </w:r>
      <w:r w:rsidRPr="008917A6">
        <w:rPr>
          <w:lang w:eastAsia="en-US"/>
        </w:rPr>
        <w:t xml:space="preserve"> Bushfire hazard has been explicitly considered in the development of this </w:t>
      </w:r>
      <w:r w:rsidR="00D36385">
        <w:rPr>
          <w:lang w:eastAsia="en-US"/>
        </w:rPr>
        <w:t>p</w:t>
      </w:r>
      <w:r w:rsidRPr="008917A6">
        <w:rPr>
          <w:lang w:eastAsia="en-US"/>
        </w:rPr>
        <w:t>lan, particularly in assessing potential future development directions for specific settlements.</w:t>
      </w:r>
      <w:r w:rsidR="00963DE3">
        <w:rPr>
          <w:lang w:eastAsia="en-US"/>
        </w:rPr>
        <w:t xml:space="preserve"> </w:t>
      </w:r>
      <w:r w:rsidR="009B707F">
        <w:rPr>
          <w:lang w:eastAsia="en-US"/>
        </w:rPr>
        <w:t>G</w:t>
      </w:r>
      <w:r w:rsidR="00963DE3" w:rsidRPr="00963DE3">
        <w:rPr>
          <w:lang w:eastAsia="en-US"/>
        </w:rPr>
        <w:t xml:space="preserve">rowth </w:t>
      </w:r>
      <w:r w:rsidR="009B707F">
        <w:rPr>
          <w:lang w:eastAsia="en-US"/>
        </w:rPr>
        <w:t>opportunities</w:t>
      </w:r>
      <w:r w:rsidR="00963DE3" w:rsidRPr="00963DE3">
        <w:rPr>
          <w:lang w:eastAsia="en-US"/>
        </w:rPr>
        <w:t xml:space="preserve"> </w:t>
      </w:r>
      <w:r w:rsidR="009B707F">
        <w:rPr>
          <w:lang w:eastAsia="en-US"/>
        </w:rPr>
        <w:t xml:space="preserve">in settlements constrained by bushfire hazard </w:t>
      </w:r>
      <w:r w:rsidR="00963DE3" w:rsidRPr="00963DE3">
        <w:rPr>
          <w:lang w:eastAsia="en-US"/>
        </w:rPr>
        <w:t xml:space="preserve">may </w:t>
      </w:r>
      <w:r w:rsidR="009B707F">
        <w:rPr>
          <w:lang w:eastAsia="en-US"/>
        </w:rPr>
        <w:t xml:space="preserve">occur by </w:t>
      </w:r>
      <w:r w:rsidR="00963DE3" w:rsidRPr="00963DE3">
        <w:rPr>
          <w:lang w:eastAsia="en-US"/>
        </w:rPr>
        <w:t>expansion in areas of lower bushfire risk and infill opportunities.</w:t>
      </w:r>
    </w:p>
    <w:p w:rsidR="004F7078" w:rsidRPr="008611CA" w:rsidRDefault="004F7078" w:rsidP="008611CA">
      <w:pPr>
        <w:pStyle w:val="Heading11"/>
      </w:pPr>
      <w:bookmarkStart w:id="57" w:name="_Toc376945596"/>
      <w:r w:rsidRPr="008611CA">
        <w:t xml:space="preserve">Living in the </w:t>
      </w:r>
      <w:r w:rsidR="005F37B8" w:rsidRPr="008611CA">
        <w:t>r</w:t>
      </w:r>
      <w:r w:rsidRPr="008611CA">
        <w:t>egion</w:t>
      </w:r>
      <w:bookmarkEnd w:id="57"/>
    </w:p>
    <w:p w:rsidR="007563A9" w:rsidRDefault="00147715" w:rsidP="008611CA">
      <w:pPr>
        <w:pStyle w:val="bt"/>
      </w:pPr>
      <w:r w:rsidRPr="00A25511">
        <w:t>This section considers settlement in the Hume Region and how future growth can be focused, managed and directed to take advantage of regional strengths.</w:t>
      </w:r>
    </w:p>
    <w:p w:rsidR="008611CA" w:rsidRPr="00664362" w:rsidRDefault="00222E07" w:rsidP="00664362">
      <w:pPr>
        <w:pStyle w:val="bt"/>
        <w:rPr>
          <w:rStyle w:val="Emphasis"/>
          <w:i w:val="0"/>
          <w:iCs w:val="0"/>
        </w:rPr>
      </w:pPr>
      <w:r w:rsidRPr="00664362">
        <w:rPr>
          <w:rStyle w:val="Emphasis"/>
          <w:i w:val="0"/>
          <w:iCs w:val="0"/>
        </w:rPr>
        <w:t>“</w:t>
      </w:r>
      <w:r w:rsidR="008611CA" w:rsidRPr="00664362">
        <w:rPr>
          <w:rStyle w:val="Emphasis"/>
          <w:i w:val="0"/>
          <w:iCs w:val="0"/>
        </w:rPr>
        <w:t xml:space="preserve">The Hume Strategy aims for an efficient pattern of urban and rural land use and development by consolidating the development of four </w:t>
      </w:r>
      <w:r w:rsidR="00112C95" w:rsidRPr="00664362">
        <w:rPr>
          <w:rStyle w:val="Emphasis"/>
          <w:i w:val="0"/>
          <w:iCs w:val="0"/>
        </w:rPr>
        <w:t>sub-region</w:t>
      </w:r>
      <w:r w:rsidR="008611CA" w:rsidRPr="00664362">
        <w:rPr>
          <w:rStyle w:val="Emphasis"/>
          <w:i w:val="0"/>
          <w:iCs w:val="0"/>
        </w:rPr>
        <w:t>s with high functioning networked centres.</w:t>
      </w:r>
      <w:r w:rsidRPr="00664362">
        <w:rPr>
          <w:rStyle w:val="Emphasis"/>
          <w:i w:val="0"/>
          <w:iCs w:val="0"/>
        </w:rPr>
        <w:t>”</w:t>
      </w:r>
    </w:p>
    <w:p w:rsidR="00AB1700" w:rsidRPr="00A25511" w:rsidRDefault="00AB1700" w:rsidP="004A17B6">
      <w:pPr>
        <w:pStyle w:val="Heading2"/>
      </w:pPr>
      <w:bookmarkStart w:id="58" w:name="_Toc376945597"/>
      <w:r w:rsidRPr="00A25511">
        <w:t xml:space="preserve">Existing </w:t>
      </w:r>
      <w:r w:rsidR="005F37B8">
        <w:t>s</w:t>
      </w:r>
      <w:r w:rsidRPr="00A25511">
        <w:t xml:space="preserve">ettlement </w:t>
      </w:r>
      <w:r w:rsidR="005F37B8">
        <w:t>n</w:t>
      </w:r>
      <w:r w:rsidR="00DE7E93">
        <w:t>etwork</w:t>
      </w:r>
      <w:bookmarkEnd w:id="58"/>
    </w:p>
    <w:p w:rsidR="00147715" w:rsidRPr="00A25511" w:rsidRDefault="00147715" w:rsidP="008611CA">
      <w:pPr>
        <w:pStyle w:val="bt"/>
      </w:pPr>
      <w:r w:rsidRPr="00A25511">
        <w:t>The existing network of regional cities</w:t>
      </w:r>
      <w:r w:rsidR="0095290A">
        <w:t xml:space="preserve">, which support their </w:t>
      </w:r>
      <w:r w:rsidR="00112C95">
        <w:t>sub-region</w:t>
      </w:r>
      <w:r w:rsidR="0095290A">
        <w:t>s,</w:t>
      </w:r>
      <w:r w:rsidRPr="00A25511">
        <w:t xml:space="preserve"> is a point of difference for Hume compared </w:t>
      </w:r>
      <w:r w:rsidR="008E5BDE">
        <w:t>with most</w:t>
      </w:r>
      <w:r w:rsidR="008E5BDE" w:rsidRPr="00A25511">
        <w:t xml:space="preserve"> </w:t>
      </w:r>
      <w:r w:rsidRPr="00A25511">
        <w:t>other regions in Victoria. In this regard the Hume Strategy states:</w:t>
      </w:r>
    </w:p>
    <w:p w:rsidR="008611CA" w:rsidRPr="00664362" w:rsidRDefault="008611CA" w:rsidP="00664362">
      <w:pPr>
        <w:pStyle w:val="bt"/>
        <w:rPr>
          <w:rStyle w:val="Emphasis"/>
          <w:i w:val="0"/>
          <w:iCs w:val="0"/>
        </w:rPr>
      </w:pPr>
      <w:r w:rsidRPr="00664362">
        <w:rPr>
          <w:rStyle w:val="Emphasis"/>
          <w:i w:val="0"/>
          <w:iCs w:val="0"/>
        </w:rPr>
        <w:t xml:space="preserve">“The Hume Region is comprised of four distinct and interconnected </w:t>
      </w:r>
      <w:r w:rsidR="00112C95" w:rsidRPr="00664362">
        <w:rPr>
          <w:rStyle w:val="Emphasis"/>
          <w:i w:val="0"/>
          <w:iCs w:val="0"/>
        </w:rPr>
        <w:t>sub-region</w:t>
      </w:r>
      <w:r w:rsidRPr="00664362">
        <w:rPr>
          <w:rStyle w:val="Emphasis"/>
          <w:i w:val="0"/>
          <w:iCs w:val="0"/>
        </w:rPr>
        <w:t xml:space="preserve">s. The region is characterised by a network of </w:t>
      </w:r>
      <w:r w:rsidR="00776C75" w:rsidRPr="00664362">
        <w:rPr>
          <w:rStyle w:val="Emphasis"/>
          <w:i w:val="0"/>
          <w:iCs w:val="0"/>
        </w:rPr>
        <w:t>high-</w:t>
      </w:r>
      <w:r w:rsidRPr="00664362">
        <w:rPr>
          <w:rStyle w:val="Emphasis"/>
          <w:i w:val="0"/>
          <w:iCs w:val="0"/>
        </w:rPr>
        <w:t xml:space="preserve">functioning regional cities and centres located along major transport routes </w:t>
      </w:r>
      <w:r w:rsidR="00776C75" w:rsidRPr="00664362">
        <w:rPr>
          <w:rStyle w:val="Emphasis"/>
          <w:i w:val="0"/>
          <w:iCs w:val="0"/>
        </w:rPr>
        <w:t xml:space="preserve">that </w:t>
      </w:r>
      <w:r w:rsidRPr="00664362">
        <w:rPr>
          <w:rStyle w:val="Emphasis"/>
          <w:i w:val="0"/>
          <w:iCs w:val="0"/>
        </w:rPr>
        <w:t>support, and are supported by, a network of district towns, towns and villages. Unlike other regions in provincial Victoria</w:t>
      </w:r>
      <w:r w:rsidR="00776C75" w:rsidRPr="00664362">
        <w:rPr>
          <w:rStyle w:val="Emphasis"/>
          <w:i w:val="0"/>
          <w:iCs w:val="0"/>
        </w:rPr>
        <w:t>,</w:t>
      </w:r>
      <w:r w:rsidRPr="00664362">
        <w:rPr>
          <w:rStyle w:val="Emphasis"/>
          <w:i w:val="0"/>
          <w:iCs w:val="0"/>
        </w:rPr>
        <w:t xml:space="preserve"> there is no single dominant major regional city in the Hume Region.”</w:t>
      </w:r>
    </w:p>
    <w:p w:rsidR="001B1505" w:rsidRDefault="00374641" w:rsidP="008611CA">
      <w:pPr>
        <w:pStyle w:val="bt"/>
      </w:pPr>
      <w:r w:rsidRPr="008611CA">
        <w:lastRenderedPageBreak/>
        <w:t>The Hume Region is home to significant urban settlements such as Albury</w:t>
      </w:r>
      <w:r w:rsidR="00A84EC8" w:rsidRPr="008611CA">
        <w:t>-</w:t>
      </w:r>
      <w:r w:rsidRPr="008611CA">
        <w:t xml:space="preserve">Wodonga, which is recognised as one of </w:t>
      </w:r>
      <w:r w:rsidR="00A84EC8" w:rsidRPr="008611CA">
        <w:t xml:space="preserve">Australia’s 18 major cities, and </w:t>
      </w:r>
      <w:r w:rsidRPr="008611CA">
        <w:t>Shepparton</w:t>
      </w:r>
      <w:r w:rsidR="00A84EC8" w:rsidRPr="008611CA">
        <w:t xml:space="preserve">, which is the </w:t>
      </w:r>
      <w:r w:rsidR="00A84EC8" w:rsidRPr="00A05995">
        <w:t>fourth largest</w:t>
      </w:r>
      <w:r w:rsidR="00A84EC8" w:rsidRPr="008611CA">
        <w:t xml:space="preserve"> regional city in Victoria</w:t>
      </w:r>
      <w:r w:rsidRPr="008611CA">
        <w:t xml:space="preserve">. </w:t>
      </w:r>
      <w:r w:rsidR="00147715" w:rsidRPr="008611CA">
        <w:t xml:space="preserve">The network of regional cities and </w:t>
      </w:r>
      <w:r w:rsidRPr="008611CA">
        <w:t xml:space="preserve">their respective </w:t>
      </w:r>
      <w:r w:rsidR="00112C95">
        <w:t>sub-region</w:t>
      </w:r>
      <w:r w:rsidRPr="008611CA">
        <w:t>s</w:t>
      </w:r>
      <w:r w:rsidR="00BE6287" w:rsidRPr="008611CA">
        <w:t xml:space="preserve"> </w:t>
      </w:r>
      <w:r w:rsidR="00147715" w:rsidRPr="008611CA">
        <w:t xml:space="preserve">is considered a major strength of the region. </w:t>
      </w:r>
    </w:p>
    <w:p w:rsidR="007563A9" w:rsidRPr="008611CA" w:rsidRDefault="00147715" w:rsidP="008611CA">
      <w:pPr>
        <w:pStyle w:val="bt"/>
      </w:pPr>
      <w:r w:rsidRPr="008611CA">
        <w:t>The Hume Strategy considers the sustainable growth and development of the region and the importance of making the best use of existing assets</w:t>
      </w:r>
      <w:r w:rsidR="008E5BDE" w:rsidRPr="008611CA">
        <w:t>,</w:t>
      </w:r>
      <w:r w:rsidRPr="008611CA">
        <w:t xml:space="preserve"> </w:t>
      </w:r>
      <w:r w:rsidR="003328AA" w:rsidRPr="008611CA">
        <w:t>including</w:t>
      </w:r>
      <w:r w:rsidRPr="008611CA">
        <w:t xml:space="preserve"> infrastructure and services. Larger settlements with a good base of existing services and facilities are spread across the region</w:t>
      </w:r>
      <w:r w:rsidR="009E73D6" w:rsidRPr="008611CA">
        <w:t>,</w:t>
      </w:r>
      <w:r w:rsidRPr="008611CA">
        <w:t xml:space="preserve"> supporting and complemented by a network of smaller settlements. This network provides communities with accessibility to services and facilities. In this network, the largest settlements </w:t>
      </w:r>
      <w:r w:rsidR="0095290A" w:rsidRPr="008611CA">
        <w:t>of Shepparton</w:t>
      </w:r>
      <w:r w:rsidR="00FE4AC6" w:rsidRPr="008611CA">
        <w:t xml:space="preserve">, </w:t>
      </w:r>
      <w:r w:rsidR="0095290A" w:rsidRPr="008611CA">
        <w:t>Wodonga</w:t>
      </w:r>
      <w:r w:rsidR="00FE4AC6" w:rsidRPr="008611CA">
        <w:t xml:space="preserve"> and Wangaratta</w:t>
      </w:r>
      <w:r w:rsidR="0095290A" w:rsidRPr="008611CA">
        <w:t xml:space="preserve"> have </w:t>
      </w:r>
      <w:r w:rsidRPr="008611CA">
        <w:t>the widest range of services and facilities</w:t>
      </w:r>
      <w:r w:rsidR="0095290A" w:rsidRPr="008611CA">
        <w:t xml:space="preserve"> and provide those services to a wider catchment extending beyond the region (into Campaspe Shire and southern N</w:t>
      </w:r>
      <w:r w:rsidR="00583D91" w:rsidRPr="008611CA">
        <w:t xml:space="preserve">ew </w:t>
      </w:r>
      <w:r w:rsidR="00345ED5" w:rsidRPr="008611CA">
        <w:t>South</w:t>
      </w:r>
      <w:r w:rsidR="00583D91" w:rsidRPr="008611CA">
        <w:t xml:space="preserve"> </w:t>
      </w:r>
      <w:r w:rsidR="0095290A" w:rsidRPr="008611CA">
        <w:t>W</w:t>
      </w:r>
      <w:r w:rsidR="00583D91" w:rsidRPr="008611CA">
        <w:t>ales</w:t>
      </w:r>
      <w:r w:rsidR="0095290A" w:rsidRPr="008611CA">
        <w:t>).</w:t>
      </w:r>
      <w:r w:rsidRPr="008611CA">
        <w:t xml:space="preserve"> </w:t>
      </w:r>
      <w:r w:rsidR="00833271" w:rsidRPr="008611CA">
        <w:t>Benalla and Seymour</w:t>
      </w:r>
      <w:r w:rsidR="00833271" w:rsidRPr="008611CA" w:rsidDel="00833271">
        <w:t xml:space="preserve"> </w:t>
      </w:r>
      <w:r w:rsidR="0095290A" w:rsidRPr="008611CA">
        <w:t>also prov</w:t>
      </w:r>
      <w:r w:rsidR="00833271" w:rsidRPr="008611CA">
        <w:t>ide</w:t>
      </w:r>
      <w:r w:rsidR="0095290A" w:rsidRPr="008611CA">
        <w:t xml:space="preserve"> a range of services and facilities to relatively smaller catchment</w:t>
      </w:r>
      <w:r w:rsidR="00833271" w:rsidRPr="008611CA">
        <w:t>s</w:t>
      </w:r>
      <w:r w:rsidR="0095290A" w:rsidRPr="008611CA">
        <w:t>.</w:t>
      </w:r>
    </w:p>
    <w:p w:rsidR="00DF25F1" w:rsidRDefault="00147715" w:rsidP="00983401">
      <w:pPr>
        <w:pStyle w:val="bt"/>
      </w:pPr>
      <w:r w:rsidRPr="008611CA">
        <w:t xml:space="preserve">The Hume Strategy recognises that </w:t>
      </w:r>
      <w:r w:rsidR="003328AA" w:rsidRPr="008611CA">
        <w:t xml:space="preserve">having </w:t>
      </w:r>
      <w:r w:rsidRPr="008611CA">
        <w:t>multiple centres mean</w:t>
      </w:r>
      <w:r w:rsidR="006339C0">
        <w:t>s</w:t>
      </w:r>
      <w:r w:rsidRPr="008611CA">
        <w:t xml:space="preserve"> that higher order facilities and services are spread more evenly across the region making </w:t>
      </w:r>
      <w:r w:rsidR="003328AA" w:rsidRPr="008611CA">
        <w:t>them</w:t>
      </w:r>
      <w:r w:rsidRPr="008611CA">
        <w:t xml:space="preserve"> accessible to even the most remote communities. </w:t>
      </w:r>
      <w:r w:rsidR="00953826" w:rsidRPr="008611CA">
        <w:t>Some services in Hume’s regional cities are not provided at a simi</w:t>
      </w:r>
      <w:r w:rsidR="00C45679" w:rsidRPr="008611CA">
        <w:t>lar level to those provided in regional c</w:t>
      </w:r>
      <w:r w:rsidR="00953826" w:rsidRPr="008611CA">
        <w:t xml:space="preserve">ities outside of the Hume Region. </w:t>
      </w:r>
      <w:r w:rsidRPr="008611CA">
        <w:t xml:space="preserve">The four </w:t>
      </w:r>
      <w:r w:rsidR="00112C95">
        <w:t>sub-region</w:t>
      </w:r>
      <w:r w:rsidRPr="008611CA">
        <w:t>s</w:t>
      </w:r>
      <w:r w:rsidR="001800ED">
        <w:t xml:space="preserve">, </w:t>
      </w:r>
      <w:r w:rsidRPr="008611CA">
        <w:t>Central Hume, Goulburn Valley, Lower Hume and Upper Hume and the regional settlement network are shown in</w:t>
      </w:r>
      <w:r w:rsidR="00AF799A">
        <w:t xml:space="preserve"> Map 6</w:t>
      </w:r>
      <w:r w:rsidR="00983401">
        <w:rPr>
          <w:szCs w:val="20"/>
        </w:rPr>
        <w:t>.</w:t>
      </w:r>
    </w:p>
    <w:p w:rsidR="00DC104E" w:rsidRDefault="00DC104E" w:rsidP="00DC104E">
      <w:pPr>
        <w:pStyle w:val="Heading3"/>
      </w:pPr>
      <w:r>
        <w:t>Overall approach</w:t>
      </w:r>
    </w:p>
    <w:p w:rsidR="00DF25F1" w:rsidRPr="00345ED5" w:rsidRDefault="00DF25F1" w:rsidP="00345ED5">
      <w:pPr>
        <w:pStyle w:val="bt"/>
      </w:pPr>
      <w:r w:rsidRPr="00345ED5">
        <w:t xml:space="preserve">Considering the vision and principles established in Part B of this </w:t>
      </w:r>
      <w:r w:rsidR="00D36385" w:rsidRPr="00345ED5">
        <w:t>p</w:t>
      </w:r>
      <w:r w:rsidRPr="00345ED5">
        <w:t>lan, the Hume Strategy and other regional factors</w:t>
      </w:r>
      <w:r w:rsidR="001800ED">
        <w:t>,</w:t>
      </w:r>
      <w:r w:rsidRPr="00345ED5">
        <w:t xml:space="preserve"> the overall approach is to </w:t>
      </w:r>
      <w:r w:rsidRPr="00345ED5">
        <w:rPr>
          <w:rStyle w:val="Strong"/>
        </w:rPr>
        <w:t>focus growth and development to maximise the strengths of existing settlements</w:t>
      </w:r>
      <w:r w:rsidRPr="00345ED5">
        <w:t>. Future directions to achieve this are discussed below.</w:t>
      </w:r>
    </w:p>
    <w:p w:rsidR="00DF25F1" w:rsidRPr="00345ED5" w:rsidRDefault="00DF25F1" w:rsidP="00345ED5">
      <w:pPr>
        <w:pStyle w:val="Heading2"/>
      </w:pPr>
      <w:bookmarkStart w:id="59" w:name="_Toc376945598"/>
      <w:r w:rsidRPr="00345ED5">
        <w:t>Urban settlement framework</w:t>
      </w:r>
      <w:bookmarkEnd w:id="59"/>
    </w:p>
    <w:p w:rsidR="00F7261F" w:rsidRDefault="00F7261F" w:rsidP="008A3FA1">
      <w:pPr>
        <w:pStyle w:val="Heading3-list"/>
        <w:numPr>
          <w:ilvl w:val="0"/>
          <w:numId w:val="28"/>
        </w:numPr>
        <w:ind w:left="426"/>
      </w:pPr>
      <w:r w:rsidRPr="00F7261F">
        <w:t>Build on and strengthen the existing urban settlement network</w:t>
      </w:r>
    </w:p>
    <w:p w:rsidR="00B717C7" w:rsidRDefault="00DF25F1">
      <w:pPr>
        <w:pStyle w:val="bt"/>
      </w:pPr>
      <w:r w:rsidRPr="00A25511">
        <w:t xml:space="preserve">The key underlying principle for future urban growth is to build on </w:t>
      </w:r>
      <w:r>
        <w:t>the Hume Region’s</w:t>
      </w:r>
      <w:r w:rsidRPr="00A25511">
        <w:t xml:space="preserve"> strengths by supporting and developing the existing network of settlements to ensure that infrastructure and services </w:t>
      </w:r>
      <w:r>
        <w:t>both present and future</w:t>
      </w:r>
      <w:r w:rsidRPr="00A25511">
        <w:t xml:space="preserve"> are used efficiently</w:t>
      </w:r>
      <w:r>
        <w:t xml:space="preserve"> and maximise benefits for the community</w:t>
      </w:r>
      <w:r w:rsidRPr="00A25511">
        <w:t xml:space="preserve">. </w:t>
      </w:r>
      <w:r>
        <w:t>Growth will be directed to those urban locations with the greatest capacity to accommodate it. Existing gaps in the provision of services and facilities in these urban settlements will also need to be addressed to support growth in these locations.</w:t>
      </w:r>
      <w:bookmarkStart w:id="60" w:name="_Ref347403508"/>
      <w:bookmarkStart w:id="61" w:name="_Ref341088254"/>
      <w:bookmarkStart w:id="62" w:name="_Ref347403504"/>
    </w:p>
    <w:p w:rsidR="003A0DF0" w:rsidRDefault="00B85119">
      <w:pPr>
        <w:pStyle w:val="bt"/>
      </w:pPr>
      <w:r w:rsidRPr="00B85119">
        <w:t xml:space="preserve">Direction 6.2 of </w:t>
      </w:r>
      <w:r w:rsidRPr="00B85119">
        <w:rPr>
          <w:i/>
        </w:rPr>
        <w:t>Plan Melbourne</w:t>
      </w:r>
      <w:r w:rsidRPr="00B85119">
        <w:t xml:space="preserve"> seeks to rebalance Victoria’s population growth from Melbourne to rural and regional Victoria over the life of the metropolitan planning strategy. Initiative 6.2.1 states: “In partnership with local government develop peri-urban town plans to increase the supply of land for housing and attract population growth out of Melbourne.” Kilmore</w:t>
      </w:r>
      <w:r w:rsidR="00E63DD4">
        <w:t>, Broadford and Seymour</w:t>
      </w:r>
      <w:r w:rsidRPr="00B85119">
        <w:t xml:space="preserve"> are identified as potential towns for growth.</w:t>
      </w:r>
    </w:p>
    <w:p w:rsidR="0069462F" w:rsidRPr="003C65F9" w:rsidRDefault="009D1249" w:rsidP="003C65F9">
      <w:pPr>
        <w:pStyle w:val="bt"/>
      </w:pPr>
      <w:bookmarkStart w:id="63" w:name="_Ref374356555"/>
      <w:bookmarkStart w:id="64" w:name="_Toc374434703"/>
      <w:bookmarkEnd w:id="60"/>
      <w:r w:rsidRPr="003C65F9">
        <w:t xml:space="preserve">Map </w:t>
      </w:r>
      <w:bookmarkEnd w:id="63"/>
      <w:r w:rsidR="00AF799A">
        <w:t>6</w:t>
      </w:r>
      <w:r w:rsidR="003C65F9" w:rsidRPr="003C65F9">
        <w:t xml:space="preserve"> </w:t>
      </w:r>
      <w:r w:rsidR="003C65F9">
        <w:t>is located here in the document and it shows -</w:t>
      </w:r>
      <w:r w:rsidR="00BD7B1F" w:rsidRPr="003C65F9">
        <w:t xml:space="preserve"> Existing urban settlement network</w:t>
      </w:r>
      <w:bookmarkEnd w:id="61"/>
      <w:bookmarkEnd w:id="62"/>
      <w:bookmarkEnd w:id="64"/>
    </w:p>
    <w:p w:rsidR="007A28AE" w:rsidRPr="00345ED5" w:rsidRDefault="0005662E" w:rsidP="004151A0">
      <w:pPr>
        <w:pStyle w:val="bt"/>
        <w:spacing w:before="120" w:after="120"/>
      </w:pPr>
      <w:r w:rsidRPr="00345ED5">
        <w:t>The existing network of settlements in the region will be strengthened by focusing growth and change</w:t>
      </w:r>
      <w:r w:rsidR="00C722E3" w:rsidRPr="00345ED5">
        <w:t xml:space="preserve"> primarily</w:t>
      </w:r>
      <w:r w:rsidRPr="00345ED5">
        <w:t xml:space="preserve"> in Shepparton</w:t>
      </w:r>
      <w:r w:rsidR="00092187" w:rsidRPr="00345ED5">
        <w:rPr>
          <w:rStyle w:val="FootnoteReference"/>
          <w:szCs w:val="20"/>
        </w:rPr>
        <w:footnoteReference w:id="7"/>
      </w:r>
      <w:r w:rsidR="00656688" w:rsidRPr="00345ED5">
        <w:t xml:space="preserve">, </w:t>
      </w:r>
      <w:r w:rsidRPr="00345ED5">
        <w:t>Wodonga</w:t>
      </w:r>
      <w:r w:rsidR="00656688" w:rsidRPr="00345ED5">
        <w:t xml:space="preserve"> and Wangaratta,</w:t>
      </w:r>
      <w:r w:rsidR="00C722E3" w:rsidRPr="00345ED5">
        <w:t xml:space="preserve"> encouraging growth in </w:t>
      </w:r>
      <w:r w:rsidRPr="00345ED5">
        <w:t>Benalla</w:t>
      </w:r>
      <w:r w:rsidR="00C722E3" w:rsidRPr="00345ED5">
        <w:t>,</w:t>
      </w:r>
      <w:r w:rsidRPr="00345ED5">
        <w:t xml:space="preserve"> </w:t>
      </w:r>
      <w:r w:rsidR="00C722E3" w:rsidRPr="00345ED5">
        <w:t xml:space="preserve">bolstering economic development in </w:t>
      </w:r>
      <w:r w:rsidRPr="00345ED5">
        <w:t>Seymour</w:t>
      </w:r>
      <w:r w:rsidR="00C722E3" w:rsidRPr="00345ED5">
        <w:t>,</w:t>
      </w:r>
      <w:r w:rsidRPr="00345ED5">
        <w:t xml:space="preserve"> </w:t>
      </w:r>
      <w:r w:rsidR="001A5046" w:rsidRPr="00345ED5">
        <w:t xml:space="preserve">and </w:t>
      </w:r>
      <w:r w:rsidRPr="00345ED5">
        <w:t xml:space="preserve">supporting growth in other settlements. This will help maximise the use of existing </w:t>
      </w:r>
      <w:r w:rsidR="001A5046" w:rsidRPr="00345ED5">
        <w:t xml:space="preserve">infrastructure and services, </w:t>
      </w:r>
      <w:r w:rsidR="00C722E3" w:rsidRPr="00345ED5">
        <w:t xml:space="preserve">direct and prioritise </w:t>
      </w:r>
      <w:r w:rsidRPr="00345ED5">
        <w:t>future investment</w:t>
      </w:r>
      <w:r w:rsidR="001A5046" w:rsidRPr="00345ED5">
        <w:t>,</w:t>
      </w:r>
      <w:r w:rsidRPr="00345ED5">
        <w:t xml:space="preserve"> </w:t>
      </w:r>
      <w:r w:rsidR="00192912" w:rsidRPr="00345ED5">
        <w:t>and could help determine gaps</w:t>
      </w:r>
      <w:r w:rsidRPr="00345ED5">
        <w:t xml:space="preserve">. Residential, industrial and commercial development </w:t>
      </w:r>
      <w:r w:rsidR="001A5046" w:rsidRPr="00345ED5">
        <w:t xml:space="preserve">will </w:t>
      </w:r>
      <w:r w:rsidRPr="00345ED5">
        <w:t>be consolidated in settlements with</w:t>
      </w:r>
      <w:r w:rsidR="00E43251" w:rsidRPr="00345ED5">
        <w:t xml:space="preserve"> </w:t>
      </w:r>
      <w:r w:rsidRPr="00345ED5">
        <w:t xml:space="preserve">strategic advantages, making efficient use of infrastructure and minimising the </w:t>
      </w:r>
      <w:r w:rsidR="00D06528" w:rsidRPr="00345ED5">
        <w:t xml:space="preserve">urban </w:t>
      </w:r>
      <w:r w:rsidRPr="00345ED5">
        <w:t xml:space="preserve">footprint. This approach recognises that </w:t>
      </w:r>
      <w:r w:rsidR="00627D1A" w:rsidRPr="00345ED5">
        <w:t xml:space="preserve">regional cities </w:t>
      </w:r>
      <w:r w:rsidRPr="00345ED5">
        <w:t xml:space="preserve">function as </w:t>
      </w:r>
      <w:r w:rsidR="00627D1A" w:rsidRPr="00345ED5">
        <w:t>hubs</w:t>
      </w:r>
      <w:r w:rsidR="00C722E3" w:rsidRPr="00345ED5">
        <w:t>, each</w:t>
      </w:r>
      <w:r w:rsidR="00627D1A" w:rsidRPr="00345ED5">
        <w:t xml:space="preserve"> supporting a </w:t>
      </w:r>
      <w:r w:rsidRPr="00345ED5">
        <w:t xml:space="preserve">network </w:t>
      </w:r>
      <w:r w:rsidR="00627D1A" w:rsidRPr="00345ED5">
        <w:t>of settlements</w:t>
      </w:r>
      <w:r w:rsidRPr="00345ED5">
        <w:t>.</w:t>
      </w:r>
    </w:p>
    <w:p w:rsidR="007A28AE" w:rsidRPr="00345ED5" w:rsidRDefault="0005662E" w:rsidP="004151A0">
      <w:pPr>
        <w:pStyle w:val="bt"/>
        <w:spacing w:before="120" w:after="120"/>
      </w:pPr>
      <w:r w:rsidRPr="00345ED5">
        <w:lastRenderedPageBreak/>
        <w:t xml:space="preserve">Parts of urban locations identified for growth may be subject to </w:t>
      </w:r>
      <w:r w:rsidR="00627D1A" w:rsidRPr="00345ED5">
        <w:t xml:space="preserve">natural hazards </w:t>
      </w:r>
      <w:r w:rsidRPr="00345ED5">
        <w:t xml:space="preserve">such as </w:t>
      </w:r>
      <w:r w:rsidR="00112398">
        <w:t>bushfire</w:t>
      </w:r>
      <w:r w:rsidRPr="00345ED5">
        <w:t xml:space="preserve"> and </w:t>
      </w:r>
      <w:r w:rsidR="00112398">
        <w:t>flood</w:t>
      </w:r>
      <w:r w:rsidRPr="00345ED5">
        <w:t xml:space="preserve">. Such </w:t>
      </w:r>
      <w:r w:rsidR="00D06528" w:rsidRPr="00345ED5">
        <w:t xml:space="preserve">hazards and related </w:t>
      </w:r>
      <w:r w:rsidRPr="00345ED5">
        <w:t xml:space="preserve">risks </w:t>
      </w:r>
      <w:r w:rsidR="00627D1A" w:rsidRPr="00345ED5">
        <w:t xml:space="preserve">must </w:t>
      </w:r>
      <w:r w:rsidRPr="00345ED5">
        <w:t>be considered in detail when planning for growth at a local level.</w:t>
      </w:r>
    </w:p>
    <w:p w:rsidR="007A28AE" w:rsidRPr="00345ED5" w:rsidRDefault="0005662E" w:rsidP="004151A0">
      <w:pPr>
        <w:pStyle w:val="bt"/>
        <w:spacing w:before="120" w:after="120"/>
      </w:pPr>
      <w:r w:rsidRPr="00345ED5">
        <w:t>Urban growth and development will include consideration of access to employment and services</w:t>
      </w:r>
      <w:r w:rsidR="00E43251" w:rsidRPr="00345ED5">
        <w:t xml:space="preserve"> </w:t>
      </w:r>
      <w:r w:rsidR="0083550C">
        <w:t>that</w:t>
      </w:r>
      <w:r w:rsidR="0083550C" w:rsidRPr="00345ED5">
        <w:t xml:space="preserve"> </w:t>
      </w:r>
      <w:r w:rsidR="00362BB2" w:rsidRPr="00345ED5">
        <w:t>makes use of the existing transport network</w:t>
      </w:r>
      <w:r w:rsidRPr="00345ED5">
        <w:t>.</w:t>
      </w:r>
    </w:p>
    <w:p w:rsidR="00F7261F" w:rsidRPr="00A05995" w:rsidRDefault="00F7261F" w:rsidP="00A05995">
      <w:pPr>
        <w:pStyle w:val="Heading3"/>
      </w:pPr>
      <w:r w:rsidRPr="00A05995">
        <w:t>Regional perspective (refer to</w:t>
      </w:r>
      <w:r w:rsidR="00AF799A">
        <w:t xml:space="preserve"> Map 7</w:t>
      </w:r>
      <w:r w:rsidRPr="00A05995">
        <w:t>)</w:t>
      </w:r>
    </w:p>
    <w:p w:rsidR="006841B0" w:rsidRPr="00345ED5" w:rsidRDefault="0005662E" w:rsidP="004151A0">
      <w:pPr>
        <w:pStyle w:val="bt"/>
        <w:spacing w:before="120" w:after="120"/>
      </w:pPr>
      <w:r w:rsidRPr="00345ED5">
        <w:t xml:space="preserve">Major urban growth, development and change to support population and economic growth will be </w:t>
      </w:r>
      <w:r w:rsidR="00FB5593" w:rsidRPr="00345ED5">
        <w:t>focused</w:t>
      </w:r>
      <w:r w:rsidRPr="00345ED5">
        <w:t xml:space="preserve"> in Shepparton and Wodonga. Medium to high growth will be encouraged in Wangaratta</w:t>
      </w:r>
      <w:r w:rsidR="00656688" w:rsidRPr="00345ED5">
        <w:t xml:space="preserve"> and</w:t>
      </w:r>
      <w:r w:rsidRPr="00345ED5">
        <w:t xml:space="preserve"> Benalla. Significant economic change will be supported in Seymour, </w:t>
      </w:r>
      <w:r w:rsidR="00A547E4" w:rsidRPr="00345ED5">
        <w:t xml:space="preserve">exploring opportunities </w:t>
      </w:r>
      <w:r w:rsidRPr="00345ED5">
        <w:t xml:space="preserve">to grow </w:t>
      </w:r>
      <w:r w:rsidR="00A547E4" w:rsidRPr="00345ED5">
        <w:t xml:space="preserve">Seymour </w:t>
      </w:r>
      <w:r w:rsidRPr="00345ED5">
        <w:t xml:space="preserve">into a </w:t>
      </w:r>
      <w:r w:rsidR="00A547E4" w:rsidRPr="00345ED5">
        <w:t>significant</w:t>
      </w:r>
      <w:r w:rsidRPr="00345ED5">
        <w:t xml:space="preserve"> employment hub </w:t>
      </w:r>
      <w:r w:rsidR="00FB5593" w:rsidRPr="00345ED5">
        <w:t xml:space="preserve">as a consequence of </w:t>
      </w:r>
      <w:r w:rsidRPr="00345ED5">
        <w:t>its strategic location</w:t>
      </w:r>
      <w:r w:rsidR="00FB5593" w:rsidRPr="00345ED5">
        <w:t xml:space="preserve"> in relation to key transport corridors and Melbourne</w:t>
      </w:r>
      <w:r w:rsidRPr="00345ED5">
        <w:t xml:space="preserve">. These five urban locations will continue as the foundation of the urban settlement network in each of the four </w:t>
      </w:r>
      <w:r w:rsidR="00112C95">
        <w:t>sub-region</w:t>
      </w:r>
      <w:r w:rsidRPr="00345ED5">
        <w:t>s.</w:t>
      </w:r>
    </w:p>
    <w:p w:rsidR="005377B2" w:rsidRPr="00345ED5" w:rsidRDefault="0005662E" w:rsidP="004151A0">
      <w:pPr>
        <w:pStyle w:val="bt"/>
        <w:spacing w:before="120" w:after="120"/>
      </w:pPr>
      <w:r w:rsidRPr="00345ED5">
        <w:t>A sufficient supply of residential, commercial and industrial land will be needed in urban locations to accommodate growth. This will support a diverse economy and improved access to employment and services. A broad assessment of residential land supply indicate</w:t>
      </w:r>
      <w:r w:rsidR="00B34CF4" w:rsidRPr="00345ED5">
        <w:t>s</w:t>
      </w:r>
      <w:r w:rsidRPr="00345ED5">
        <w:t xml:space="preserve"> that sufficient land </w:t>
      </w:r>
      <w:r w:rsidR="00B34CF4" w:rsidRPr="00345ED5">
        <w:t xml:space="preserve">has been zoned for residential use or identified for future residential expansion </w:t>
      </w:r>
      <w:r w:rsidRPr="00345ED5">
        <w:t xml:space="preserve">to accommodate </w:t>
      </w:r>
      <w:r w:rsidR="00B34CF4" w:rsidRPr="00345ED5">
        <w:t xml:space="preserve">a population </w:t>
      </w:r>
      <w:r w:rsidRPr="00345ED5">
        <w:t xml:space="preserve">well in </w:t>
      </w:r>
      <w:r w:rsidR="00D53A39">
        <w:t>ex</w:t>
      </w:r>
      <w:r w:rsidRPr="00345ED5">
        <w:t xml:space="preserve">cess of the projected </w:t>
      </w:r>
      <w:r w:rsidR="00B34CF4" w:rsidRPr="00345ED5">
        <w:t>increase</w:t>
      </w:r>
      <w:r w:rsidRPr="00345ED5">
        <w:t xml:space="preserve"> for the </w:t>
      </w:r>
      <w:r w:rsidR="00B34CF4" w:rsidRPr="00345ED5">
        <w:t xml:space="preserve">Hume Region </w:t>
      </w:r>
      <w:r w:rsidRPr="00345ED5">
        <w:t>of 80</w:t>
      </w:r>
      <w:r w:rsidR="005713B3" w:rsidRPr="00345ED5">
        <w:t>,</w:t>
      </w:r>
      <w:r w:rsidRPr="00345ED5">
        <w:t>000 additional people by 2041</w:t>
      </w:r>
      <w:r w:rsidR="001800ED">
        <w:t xml:space="preserve">, </w:t>
      </w:r>
      <w:r w:rsidR="00B34CF4" w:rsidRPr="00345ED5">
        <w:t>excluding expected increases in the metropolitan growth areas of Mitchell Shire</w:t>
      </w:r>
      <w:r w:rsidR="00846FB5" w:rsidRPr="00345ED5">
        <w:rPr>
          <w:rStyle w:val="FootnoteReference"/>
          <w:szCs w:val="20"/>
        </w:rPr>
        <w:footnoteReference w:id="8"/>
      </w:r>
      <w:r w:rsidRPr="00345ED5">
        <w:t xml:space="preserve">. </w:t>
      </w:r>
    </w:p>
    <w:p w:rsidR="007A28AE" w:rsidRPr="00345ED5" w:rsidRDefault="0005662E" w:rsidP="004151A0">
      <w:pPr>
        <w:pStyle w:val="bt"/>
        <w:spacing w:before="120" w:after="120"/>
      </w:pPr>
      <w:r w:rsidRPr="00345ED5">
        <w:t>A coordinated approach to plan and develop growth areas is preferred</w:t>
      </w:r>
      <w:r w:rsidR="00BA0B28" w:rsidRPr="00345ED5">
        <w:t>,</w:t>
      </w:r>
      <w:r w:rsidRPr="00345ED5">
        <w:t xml:space="preserve"> including coordinated </w:t>
      </w:r>
      <w:r w:rsidR="00B34CF4" w:rsidRPr="00345ED5">
        <w:t xml:space="preserve">and timely </w:t>
      </w:r>
      <w:r w:rsidRPr="00345ED5">
        <w:t xml:space="preserve">provision of physical and social infrastructure. </w:t>
      </w:r>
      <w:r w:rsidR="00F74295">
        <w:t>Some settlements have fluctuating populations due to factors such as tourism</w:t>
      </w:r>
      <w:r w:rsidR="00392796">
        <w:t xml:space="preserve"> and seasonal labour. P</w:t>
      </w:r>
      <w:r w:rsidR="00F74295">
        <w:t>roviding</w:t>
      </w:r>
      <w:r w:rsidR="0079371D">
        <w:t xml:space="preserve"> services and infrastructure</w:t>
      </w:r>
      <w:r w:rsidR="00F74295">
        <w:t xml:space="preserve"> </w:t>
      </w:r>
      <w:r w:rsidR="00392796">
        <w:t>to support</w:t>
      </w:r>
      <w:r w:rsidR="00F74295">
        <w:t xml:space="preserve"> peak seasonal populations is a challenge for these locations. </w:t>
      </w:r>
      <w:r w:rsidRPr="00345ED5">
        <w:t xml:space="preserve">Land use planning processes relating to future growth areas </w:t>
      </w:r>
      <w:r w:rsidR="00A547E4" w:rsidRPr="00345ED5">
        <w:t>will</w:t>
      </w:r>
      <w:r w:rsidR="006019F2" w:rsidRPr="00345ED5">
        <w:t xml:space="preserve"> need to </w:t>
      </w:r>
      <w:r w:rsidRPr="00345ED5">
        <w:t>careful</w:t>
      </w:r>
      <w:r w:rsidR="001A5046" w:rsidRPr="00345ED5">
        <w:t>ly</w:t>
      </w:r>
      <w:r w:rsidRPr="00345ED5">
        <w:t xml:space="preserve"> consider environmental </w:t>
      </w:r>
      <w:r w:rsidR="006019F2" w:rsidRPr="00345ED5">
        <w:t xml:space="preserve">assets </w:t>
      </w:r>
      <w:r w:rsidRPr="00345ED5">
        <w:t xml:space="preserve">and </w:t>
      </w:r>
      <w:r w:rsidR="006019F2" w:rsidRPr="00345ED5">
        <w:t>natural hazards</w:t>
      </w:r>
      <w:r w:rsidRPr="00345ED5">
        <w:t xml:space="preserve">. The provision of emergency services </w:t>
      </w:r>
      <w:r w:rsidR="0034756B">
        <w:t>needs to</w:t>
      </w:r>
      <w:r w:rsidRPr="00345ED5">
        <w:t xml:space="preserve"> be considered when planning for growth</w:t>
      </w:r>
      <w:r w:rsidR="002A0C8C" w:rsidRPr="00345ED5">
        <w:t>.</w:t>
      </w:r>
    </w:p>
    <w:p w:rsidR="00F7261F" w:rsidRDefault="00F7261F" w:rsidP="00F7261F">
      <w:pPr>
        <w:pStyle w:val="Heading3"/>
      </w:pPr>
      <w:r>
        <w:t>Sub-regional perspective</w:t>
      </w:r>
    </w:p>
    <w:p w:rsidR="006841B0" w:rsidRPr="004D2CC1" w:rsidRDefault="00693054" w:rsidP="004151A0">
      <w:pPr>
        <w:pStyle w:val="bt"/>
        <w:spacing w:before="120" w:after="120"/>
      </w:pPr>
      <w:r w:rsidRPr="004D2CC1">
        <w:t>Urban growth locations have been selected on the basis of factors such as available physical and social infrastructure, access to economic opportunities and employment, protection of environmental assets and exposure to natural hazards. Detailed structure planning is required in many instances to refine or update plans for identified growth locations.</w:t>
      </w:r>
    </w:p>
    <w:p w:rsidR="00487403" w:rsidRDefault="00693054" w:rsidP="004151A0">
      <w:pPr>
        <w:pStyle w:val="bt"/>
        <w:spacing w:before="120" w:after="120"/>
      </w:pPr>
      <w:r w:rsidRPr="004D2CC1">
        <w:t xml:space="preserve">Planning for growth and development will strive to provide a diversity of housing options, including residential development associated with the specific characteristics of a location, such as lifestyle and holiday housing, low density residential and higher density development. In major growth locations, medium to high growth locations and significant change locations, higher residential densities will be promoted in close proximity to central activity areas and other suitable locations. Infill development and urban renewal will also be encouraged in these locations. </w:t>
      </w:r>
    </w:p>
    <w:p w:rsidR="00013777" w:rsidRDefault="00693054" w:rsidP="00013777">
      <w:pPr>
        <w:pStyle w:val="bt"/>
        <w:spacing w:before="120" w:after="120"/>
      </w:pPr>
      <w:r w:rsidRPr="004D2CC1">
        <w:t xml:space="preserve">Rural residential opportunities will be directed to selected locations in close proximity to urban centres to maximise the use of existing infrastructure, minimise the need to travel to services and facilities and minimise the potential impacts on rural production and environmental assets, </w:t>
      </w:r>
      <w:r w:rsidR="00795428" w:rsidRPr="004D2CC1">
        <w:t>whil</w:t>
      </w:r>
      <w:r w:rsidR="00795428">
        <w:t>e</w:t>
      </w:r>
      <w:r w:rsidR="00795428" w:rsidRPr="004D2CC1">
        <w:t xml:space="preserve"> </w:t>
      </w:r>
      <w:r w:rsidRPr="004D2CC1">
        <w:t>not impeding urban expansion.</w:t>
      </w:r>
      <w:bookmarkStart w:id="65" w:name="_Ref374356571"/>
      <w:bookmarkStart w:id="66" w:name="_Toc374434704"/>
    </w:p>
    <w:p w:rsidR="00E64D6D" w:rsidRPr="00013777" w:rsidRDefault="009D1249" w:rsidP="00013777">
      <w:pPr>
        <w:pStyle w:val="bt"/>
      </w:pPr>
      <w:r w:rsidRPr="00013777">
        <w:t xml:space="preserve">Map </w:t>
      </w:r>
      <w:bookmarkEnd w:id="65"/>
      <w:r w:rsidR="00AF799A">
        <w:t xml:space="preserve">7 </w:t>
      </w:r>
      <w:r w:rsidR="00013777">
        <w:t>is located here in the document and it shows -</w:t>
      </w:r>
      <w:r w:rsidR="00BD7B1F" w:rsidRPr="00013777">
        <w:t xml:space="preserve"> Hume – </w:t>
      </w:r>
      <w:r w:rsidR="00A05995">
        <w:t>F</w:t>
      </w:r>
      <w:r w:rsidR="00BD7B1F" w:rsidRPr="00013777">
        <w:t>uture urban growth</w:t>
      </w:r>
      <w:bookmarkEnd w:id="66"/>
    </w:p>
    <w:p w:rsidR="00731290" w:rsidRPr="00CF73A1" w:rsidRDefault="00C4419F" w:rsidP="004D2CC1">
      <w:pPr>
        <w:pStyle w:val="bt"/>
        <w:rPr>
          <w:rStyle w:val="Strong"/>
        </w:rPr>
      </w:pPr>
      <w:proofErr w:type="spellStart"/>
      <w:r w:rsidRPr="00CF73A1">
        <w:rPr>
          <w:rStyle w:val="Strong"/>
        </w:rPr>
        <w:t>i</w:t>
      </w:r>
      <w:proofErr w:type="spellEnd"/>
      <w:r w:rsidRPr="00CF73A1">
        <w:rPr>
          <w:rStyle w:val="Strong"/>
        </w:rPr>
        <w:t>)</w:t>
      </w:r>
      <w:r w:rsidRPr="00CF73A1">
        <w:rPr>
          <w:rStyle w:val="Strong"/>
        </w:rPr>
        <w:tab/>
        <w:t>Central Hume</w:t>
      </w:r>
      <w:r w:rsidR="00B107AA" w:rsidRPr="00CF73A1">
        <w:rPr>
          <w:rStyle w:val="Strong"/>
        </w:rPr>
        <w:t xml:space="preserve"> </w:t>
      </w:r>
      <w:r w:rsidR="004A738C" w:rsidRPr="00CF73A1">
        <w:rPr>
          <w:rStyle w:val="Strong"/>
        </w:rPr>
        <w:t>(refer to</w:t>
      </w:r>
      <w:r w:rsidR="00AF799A">
        <w:rPr>
          <w:rStyle w:val="Strong"/>
        </w:rPr>
        <w:t xml:space="preserve"> Map 8</w:t>
      </w:r>
      <w:r w:rsidR="004A738C" w:rsidRPr="00CF73A1">
        <w:rPr>
          <w:rStyle w:val="Strong"/>
        </w:rPr>
        <w:t>)</w:t>
      </w:r>
      <w:r w:rsidR="00B107AA" w:rsidRPr="00CF73A1" w:rsidDel="00B107AA">
        <w:rPr>
          <w:rStyle w:val="Strong"/>
        </w:rPr>
        <w:t xml:space="preserve"> </w:t>
      </w:r>
    </w:p>
    <w:p w:rsidR="00731290" w:rsidRPr="004D2CC1" w:rsidRDefault="00731290" w:rsidP="004D2CC1">
      <w:pPr>
        <w:pStyle w:val="bt"/>
      </w:pPr>
      <w:r w:rsidRPr="004D2CC1">
        <w:t xml:space="preserve">Medium to high urban growth and development in the Central Hume </w:t>
      </w:r>
      <w:r w:rsidR="00112C95">
        <w:t>sub-region</w:t>
      </w:r>
      <w:r w:rsidRPr="004D2CC1">
        <w:t xml:space="preserve"> will be focused in Wangaratta and Benalla. Together these centres will continue to expand their higher order services to the communities of the Central Hume </w:t>
      </w:r>
      <w:r w:rsidR="00112C95">
        <w:t>sub-region</w:t>
      </w:r>
      <w:r w:rsidRPr="004D2CC1">
        <w:t xml:space="preserve">, specifically to those communities in the Ovens, King and Broken river valleys. </w:t>
      </w:r>
    </w:p>
    <w:p w:rsidR="00731290" w:rsidRPr="004D2CC1" w:rsidRDefault="00731290" w:rsidP="004D2CC1">
      <w:pPr>
        <w:pStyle w:val="bt"/>
      </w:pPr>
      <w:r w:rsidRPr="004D2CC1">
        <w:lastRenderedPageBreak/>
        <w:t>The relationship between Wangaratta and Benalla and surrounding communities will be important to provide access to employment and services. Strengthening linkages between them will enhance this relationship.</w:t>
      </w:r>
    </w:p>
    <w:p w:rsidR="00731290" w:rsidRPr="004D2CC1" w:rsidRDefault="00731290" w:rsidP="004D2CC1">
      <w:pPr>
        <w:pStyle w:val="bt"/>
      </w:pPr>
      <w:r w:rsidRPr="004D2CC1">
        <w:t>Population growth in Wangaratta and Benalla will be accommodated in a number of growth fronts, supported by investment in physical infrastructure and expansion of employment opportunities. Investment in new and upgraded social infrastructure will support future population growth in these two urban locations and their surrounding catchment areas. Some infill and urban renewal opportunities exist in Wangaratta and Benalla.</w:t>
      </w:r>
    </w:p>
    <w:p w:rsidR="00731290" w:rsidRPr="004D2CC1" w:rsidRDefault="00731290" w:rsidP="004D2CC1">
      <w:pPr>
        <w:pStyle w:val="bt"/>
      </w:pPr>
      <w:r w:rsidRPr="004D2CC1">
        <w:t xml:space="preserve">Results from the 2011 Urban Development Program, Regional Residential Report for the Rural City of Wangaratta </w:t>
      </w:r>
      <w:proofErr w:type="gramStart"/>
      <w:r w:rsidRPr="004D2CC1">
        <w:t>indicate</w:t>
      </w:r>
      <w:proofErr w:type="gramEnd"/>
      <w:r w:rsidRPr="004D2CC1">
        <w:t xml:space="preserve"> that:</w:t>
      </w:r>
    </w:p>
    <w:p w:rsidR="00731290" w:rsidRPr="00EE492B" w:rsidRDefault="00731290" w:rsidP="00EE492B">
      <w:pPr>
        <w:pStyle w:val="btbullet"/>
      </w:pPr>
      <w:r w:rsidRPr="00EE492B">
        <w:t>there was sufficient zoned land to provide approximately 870 residential lots</w:t>
      </w:r>
    </w:p>
    <w:p w:rsidR="00731290" w:rsidRPr="00EE492B" w:rsidRDefault="00731290" w:rsidP="00EE492B">
      <w:pPr>
        <w:pStyle w:val="btbullet"/>
      </w:pPr>
      <w:r w:rsidRPr="00EE492B">
        <w:t>a further 7200 lots could be created on land designated for future residential use</w:t>
      </w:r>
    </w:p>
    <w:p w:rsidR="00731290" w:rsidRPr="00EE492B" w:rsidRDefault="00731290" w:rsidP="00EE492B">
      <w:pPr>
        <w:pStyle w:val="btbullet"/>
      </w:pPr>
      <w:r w:rsidRPr="00EE492B">
        <w:t>approximately 50 infill lots were also available</w:t>
      </w:r>
    </w:p>
    <w:p w:rsidR="00731290" w:rsidRPr="00EE492B" w:rsidRDefault="00731290" w:rsidP="00EE492B">
      <w:pPr>
        <w:pStyle w:val="btbullet"/>
      </w:pPr>
      <w:proofErr w:type="gramStart"/>
      <w:r w:rsidRPr="00EE492B">
        <w:t>there</w:t>
      </w:r>
      <w:proofErr w:type="gramEnd"/>
      <w:r w:rsidRPr="00EE492B">
        <w:t xml:space="preserve"> is over 15 years</w:t>
      </w:r>
      <w:r w:rsidR="007C06DD" w:rsidRPr="00EE492B">
        <w:t>’</w:t>
      </w:r>
      <w:r w:rsidRPr="00EE492B">
        <w:t xml:space="preserve"> total supply of residential land stocks.</w:t>
      </w:r>
    </w:p>
    <w:p w:rsidR="00731290" w:rsidRPr="004D2CC1" w:rsidRDefault="00CF73A1" w:rsidP="004D2CC1">
      <w:pPr>
        <w:pStyle w:val="bt"/>
      </w:pPr>
      <w:r>
        <w:t xml:space="preserve">Maps 9 and 10 </w:t>
      </w:r>
      <w:r w:rsidR="00731290" w:rsidRPr="004D2CC1">
        <w:t>are conceptual urban growth frameworks for Wangaratta and Benalla and show strategic opportunities for urban growth, including key growth fronts, commercial nodes, industrial nodes, key linkages and potential sites for infill or urban renewal.</w:t>
      </w:r>
    </w:p>
    <w:p w:rsidR="004F652A" w:rsidRPr="004D2CC1" w:rsidRDefault="004F652A" w:rsidP="004D2CC1">
      <w:pPr>
        <w:pStyle w:val="bt"/>
      </w:pPr>
      <w:r w:rsidRPr="004D2CC1">
        <w:t xml:space="preserve">Further growth is likely to occur in other urban locations in this </w:t>
      </w:r>
      <w:r w:rsidR="00112C95">
        <w:t>sub-region</w:t>
      </w:r>
      <w:r w:rsidRPr="004D2CC1">
        <w:t xml:space="preserve">, particularly </w:t>
      </w:r>
      <w:r w:rsidR="007C06DD">
        <w:t xml:space="preserve">in </w:t>
      </w:r>
      <w:r w:rsidRPr="004D2CC1">
        <w:t>those with good access to either Wangaratta or Benalla, including locations such as Mansfield, Myrtleford and Bright (incorporating Porepunkah). These towns will provide for increased tourist development while continuing to support surrounding rural communities by providing services and access to services in larger urban localities. Some of these localities offer unique growth opportunities related to natural characteristics</w:t>
      </w:r>
      <w:r w:rsidR="00BB5802">
        <w:t xml:space="preserve"> and in some instances </w:t>
      </w:r>
      <w:r w:rsidR="00BB5802" w:rsidRPr="00BB5802">
        <w:t>growth occurs d</w:t>
      </w:r>
      <w:r w:rsidR="00F10167">
        <w:t xml:space="preserve">ue to the lifestyle offered, </w:t>
      </w:r>
      <w:r w:rsidR="00BB5802" w:rsidRPr="00BB5802">
        <w:t>despite constraints</w:t>
      </w:r>
      <w:r w:rsidR="00BB5802">
        <w:t>.</w:t>
      </w:r>
      <w:r w:rsidRPr="004D2CC1">
        <w:t xml:space="preserve"> </w:t>
      </w:r>
      <w:r w:rsidR="00BB5802">
        <w:t>G</w:t>
      </w:r>
      <w:r w:rsidRPr="004D2CC1">
        <w:t xml:space="preserve">rowth needs to be managed to protect environmental </w:t>
      </w:r>
      <w:r w:rsidR="00E6463B">
        <w:t xml:space="preserve">assets and </w:t>
      </w:r>
      <w:r w:rsidRPr="004D2CC1">
        <w:t xml:space="preserve">values and </w:t>
      </w:r>
      <w:r w:rsidR="00D4261F">
        <w:t>limit</w:t>
      </w:r>
      <w:r w:rsidR="00BB5802">
        <w:t xml:space="preserve"> </w:t>
      </w:r>
      <w:r w:rsidRPr="004D2CC1">
        <w:t>exposure to natural hazards</w:t>
      </w:r>
      <w:r w:rsidR="00DD5599">
        <w:t xml:space="preserve"> such as </w:t>
      </w:r>
      <w:r w:rsidR="00112398">
        <w:t>bushfire</w:t>
      </w:r>
      <w:r w:rsidR="009B707F">
        <w:t xml:space="preserve"> and </w:t>
      </w:r>
      <w:r w:rsidR="00F47DC9">
        <w:t>flood</w:t>
      </w:r>
      <w:r w:rsidRPr="004D2CC1">
        <w:t>.</w:t>
      </w:r>
    </w:p>
    <w:p w:rsidR="00013777" w:rsidRDefault="004F652A" w:rsidP="00013777">
      <w:pPr>
        <w:pStyle w:val="bt"/>
      </w:pPr>
      <w:r w:rsidRPr="004D2CC1">
        <w:t>Settlements in the Kiewa Valley including Mount Beauty-Tawonga South are strongly linked to Albury-Wodonga</w:t>
      </w:r>
      <w:r w:rsidR="009265C5">
        <w:t xml:space="preserve">, </w:t>
      </w:r>
      <w:r w:rsidRPr="004D2CC1">
        <w:t xml:space="preserve">in the Upper Hume </w:t>
      </w:r>
      <w:r w:rsidR="00112C95">
        <w:t>sub-region</w:t>
      </w:r>
      <w:r w:rsidR="004D2CC1">
        <w:t>.</w:t>
      </w:r>
      <w:bookmarkStart w:id="67" w:name="_Ref374356589"/>
      <w:bookmarkStart w:id="68" w:name="_Toc374434705"/>
      <w:bookmarkStart w:id="69" w:name="_Ref341088828"/>
    </w:p>
    <w:p w:rsidR="004152CA" w:rsidRPr="00013777" w:rsidRDefault="009D1249" w:rsidP="00013777">
      <w:pPr>
        <w:pStyle w:val="bt"/>
      </w:pPr>
      <w:r w:rsidRPr="00013777">
        <w:t xml:space="preserve">Map </w:t>
      </w:r>
      <w:bookmarkEnd w:id="67"/>
      <w:r w:rsidR="00AF799A">
        <w:t>8</w:t>
      </w:r>
      <w:r w:rsidR="00013777" w:rsidRPr="00013777">
        <w:t xml:space="preserve"> </w:t>
      </w:r>
      <w:r w:rsidR="00013777">
        <w:t>is located here in the document and it shows -</w:t>
      </w:r>
      <w:r w:rsidR="00013777" w:rsidRPr="008561D9">
        <w:t xml:space="preserve"> </w:t>
      </w:r>
      <w:r w:rsidR="004152CA" w:rsidRPr="00013777">
        <w:t xml:space="preserve">Central Hume – </w:t>
      </w:r>
      <w:r w:rsidR="00CF73A1">
        <w:t>F</w:t>
      </w:r>
      <w:r w:rsidR="004152CA" w:rsidRPr="00013777">
        <w:t>uture urban growth</w:t>
      </w:r>
      <w:bookmarkEnd w:id="68"/>
    </w:p>
    <w:p w:rsidR="00FA2949" w:rsidRDefault="009D1249" w:rsidP="00013777">
      <w:pPr>
        <w:pStyle w:val="bt"/>
      </w:pPr>
      <w:bookmarkStart w:id="70" w:name="_Ref374356618"/>
      <w:bookmarkStart w:id="71" w:name="_Toc374434706"/>
      <w:r w:rsidRPr="00517662">
        <w:t xml:space="preserve">Map </w:t>
      </w:r>
      <w:bookmarkEnd w:id="70"/>
      <w:r w:rsidR="00AF799A">
        <w:t>9</w:t>
      </w:r>
      <w:r w:rsidR="00013777" w:rsidRPr="00013777">
        <w:t xml:space="preserve"> </w:t>
      </w:r>
      <w:r w:rsidR="00013777">
        <w:t>is located here in the document and it shows -</w:t>
      </w:r>
      <w:r w:rsidR="00013777" w:rsidRPr="008561D9">
        <w:t xml:space="preserve"> </w:t>
      </w:r>
      <w:r w:rsidR="004152CA" w:rsidRPr="00517662">
        <w:t>Wangaratta Urban Growth Framework</w:t>
      </w:r>
      <w:bookmarkEnd w:id="71"/>
    </w:p>
    <w:p w:rsidR="004152CA" w:rsidRPr="00013777" w:rsidRDefault="009D1249" w:rsidP="00013777">
      <w:pPr>
        <w:pStyle w:val="bt"/>
      </w:pPr>
      <w:bookmarkStart w:id="72" w:name="_Ref374356647"/>
      <w:bookmarkStart w:id="73" w:name="_Toc374434707"/>
      <w:r w:rsidRPr="00013777">
        <w:t xml:space="preserve">Map </w:t>
      </w:r>
      <w:bookmarkEnd w:id="72"/>
      <w:r w:rsidR="00AF799A">
        <w:t>10</w:t>
      </w:r>
      <w:r w:rsidR="00013777" w:rsidRPr="00013777">
        <w:t xml:space="preserve"> </w:t>
      </w:r>
      <w:r w:rsidR="00013777">
        <w:t>is located here in the document and it shows -</w:t>
      </w:r>
      <w:r w:rsidR="004152CA" w:rsidRPr="00013777">
        <w:t xml:space="preserve"> Benalla Urban Growth Framework</w:t>
      </w:r>
      <w:bookmarkEnd w:id="73"/>
    </w:p>
    <w:bookmarkEnd w:id="69"/>
    <w:p w:rsidR="00FC0546" w:rsidRPr="00CF73A1" w:rsidRDefault="00FF0C87" w:rsidP="004D2CC1">
      <w:pPr>
        <w:pStyle w:val="bt"/>
        <w:rPr>
          <w:rStyle w:val="Strong"/>
        </w:rPr>
      </w:pPr>
      <w:r w:rsidRPr="00CF73A1">
        <w:rPr>
          <w:rStyle w:val="Strong"/>
        </w:rPr>
        <w:t>ii)</w:t>
      </w:r>
      <w:r w:rsidRPr="00CF73A1">
        <w:rPr>
          <w:rStyle w:val="Strong"/>
        </w:rPr>
        <w:tab/>
        <w:t>Goulburn Valley</w:t>
      </w:r>
      <w:r w:rsidR="00B107AA" w:rsidRPr="00CF73A1">
        <w:rPr>
          <w:rStyle w:val="Strong"/>
        </w:rPr>
        <w:t xml:space="preserve"> </w:t>
      </w:r>
      <w:r w:rsidR="004A738C" w:rsidRPr="00CF73A1">
        <w:rPr>
          <w:rStyle w:val="Strong"/>
        </w:rPr>
        <w:t xml:space="preserve">(refer </w:t>
      </w:r>
      <w:r w:rsidR="00DA07F9" w:rsidRPr="00CF73A1">
        <w:rPr>
          <w:rStyle w:val="Strong"/>
        </w:rPr>
        <w:t>to</w:t>
      </w:r>
      <w:r w:rsidR="00AF799A">
        <w:rPr>
          <w:rStyle w:val="Strong"/>
        </w:rPr>
        <w:t xml:space="preserve"> Map 11</w:t>
      </w:r>
      <w:r w:rsidR="004A738C" w:rsidRPr="00CF73A1">
        <w:rPr>
          <w:rStyle w:val="Strong"/>
        </w:rPr>
        <w:t>)</w:t>
      </w:r>
    </w:p>
    <w:p w:rsidR="004F652A" w:rsidRPr="004D2CC1" w:rsidRDefault="004F652A" w:rsidP="004D2CC1">
      <w:pPr>
        <w:pStyle w:val="bt"/>
      </w:pPr>
      <w:r w:rsidRPr="004D2CC1">
        <w:t xml:space="preserve">Major urban growth and development in the Goulburn Valley </w:t>
      </w:r>
      <w:r w:rsidR="00112C95">
        <w:t>sub-region</w:t>
      </w:r>
      <w:r w:rsidRPr="004D2CC1">
        <w:t xml:space="preserve"> will be focused in the major regional city of Shepparton. </w:t>
      </w:r>
    </w:p>
    <w:p w:rsidR="004F652A" w:rsidRPr="004D2CC1" w:rsidRDefault="004F652A" w:rsidP="004D2CC1">
      <w:pPr>
        <w:pStyle w:val="bt"/>
      </w:pPr>
      <w:r w:rsidRPr="004D2CC1">
        <w:t xml:space="preserve">Results from the 2011 Urban Development Program, Regional Residential Report for the City Greater Shepparton </w:t>
      </w:r>
      <w:proofErr w:type="gramStart"/>
      <w:r w:rsidRPr="004D2CC1">
        <w:t>indicate</w:t>
      </w:r>
      <w:proofErr w:type="gramEnd"/>
      <w:r w:rsidRPr="004D2CC1">
        <w:t xml:space="preserve"> that:</w:t>
      </w:r>
    </w:p>
    <w:p w:rsidR="004F652A" w:rsidRPr="005A19BB" w:rsidRDefault="004F652A" w:rsidP="00EE492B">
      <w:pPr>
        <w:pStyle w:val="btbullet"/>
      </w:pPr>
      <w:r w:rsidRPr="005A19BB">
        <w:t>zoned land could potentially provide approximately 4000 residential lots</w:t>
      </w:r>
    </w:p>
    <w:p w:rsidR="004F652A" w:rsidRPr="005A19BB" w:rsidRDefault="004F652A" w:rsidP="00EE492B">
      <w:pPr>
        <w:pStyle w:val="btbullet"/>
      </w:pPr>
      <w:r w:rsidRPr="005A19BB">
        <w:t>a further 7400 further lots could be provided on land designated for future residential use</w:t>
      </w:r>
    </w:p>
    <w:p w:rsidR="00097318" w:rsidRPr="005A19BB" w:rsidRDefault="004F652A" w:rsidP="00EE492B">
      <w:pPr>
        <w:pStyle w:val="btbullet"/>
      </w:pPr>
      <w:r w:rsidRPr="005A19BB">
        <w:t xml:space="preserve">approximately 100 infill lots were also </w:t>
      </w:r>
      <w:r w:rsidR="00A81CE4" w:rsidRPr="005A19BB">
        <w:t xml:space="preserve">available </w:t>
      </w:r>
    </w:p>
    <w:p w:rsidR="006841B0" w:rsidRPr="005A19BB" w:rsidRDefault="00A81CE4" w:rsidP="00EE492B">
      <w:pPr>
        <w:pStyle w:val="btbullet"/>
      </w:pPr>
      <w:proofErr w:type="gramStart"/>
      <w:r w:rsidRPr="005A19BB">
        <w:t>there</w:t>
      </w:r>
      <w:proofErr w:type="gramEnd"/>
      <w:r w:rsidR="004F652A" w:rsidRPr="005A19BB">
        <w:t xml:space="preserve"> is </w:t>
      </w:r>
      <w:r w:rsidR="004E23AF">
        <w:t>more than</w:t>
      </w:r>
      <w:r w:rsidR="004F652A" w:rsidRPr="005A19BB">
        <w:t xml:space="preserve"> 15 years’ total supply of residential land stocks.</w:t>
      </w:r>
    </w:p>
    <w:p w:rsidR="00613BE0" w:rsidRDefault="004F652A" w:rsidP="00613BE0">
      <w:pPr>
        <w:pStyle w:val="bt"/>
      </w:pPr>
      <w:r w:rsidRPr="005A19BB">
        <w:t xml:space="preserve">Future population growth in Shepparton will be accommodated in a number of key growth fronts. These growth fronts, and the potential number of people they could accommodate, are shown in </w:t>
      </w:r>
      <w:r w:rsidR="00983401" w:rsidRPr="005A19BB">
        <w:t xml:space="preserve">Table 2. </w:t>
      </w:r>
    </w:p>
    <w:p w:rsidR="004F652A" w:rsidRDefault="00BD7B1F" w:rsidP="00674FA7">
      <w:pPr>
        <w:pStyle w:val="Caption"/>
      </w:pPr>
      <w:bookmarkStart w:id="74" w:name="_Ref356472117"/>
      <w:bookmarkStart w:id="75" w:name="_Toc373414221"/>
      <w:r w:rsidRPr="00BD7B1F">
        <w:lastRenderedPageBreak/>
        <w:t xml:space="preserve">Table </w:t>
      </w:r>
      <w:r w:rsidR="005F523F">
        <w:fldChar w:fldCharType="begin"/>
      </w:r>
      <w:r w:rsidR="008E0CEC">
        <w:instrText xml:space="preserve"> SEQ Table \* ARABIC </w:instrText>
      </w:r>
      <w:r w:rsidR="005F523F">
        <w:fldChar w:fldCharType="separate"/>
      </w:r>
      <w:r w:rsidR="006A067A">
        <w:t>2</w:t>
      </w:r>
      <w:r w:rsidR="005F523F">
        <w:fldChar w:fldCharType="end"/>
      </w:r>
      <w:bookmarkEnd w:id="74"/>
      <w:r w:rsidRPr="00BD7B1F">
        <w:t xml:space="preserve">: </w:t>
      </w:r>
      <w:r w:rsidRPr="00217B20">
        <w:rPr>
          <w:b w:val="0"/>
        </w:rPr>
        <w:t>Growth corridors – Shepparton</w:t>
      </w:r>
      <w:bookmarkEnd w:id="75"/>
    </w:p>
    <w:p w:rsidR="00051695" w:rsidRPr="00051695" w:rsidRDefault="00051695" w:rsidP="00051695">
      <w:pPr>
        <w:pStyle w:val="bt"/>
        <w:rPr>
          <w:rStyle w:val="Strong"/>
          <w:rFonts w:ascii="Calibri" w:hAnsi="Calibri" w:cs="Times New Roman"/>
          <w:b w:val="0"/>
          <w:bCs w:val="0"/>
        </w:rPr>
      </w:pPr>
      <w:r>
        <w:rPr>
          <w:rStyle w:val="Strong"/>
        </w:rPr>
        <w:t xml:space="preserve">Growth corridor: </w:t>
      </w:r>
      <w:r w:rsidRPr="00051695">
        <w:t>Mooroopna West</w:t>
      </w:r>
    </w:p>
    <w:p w:rsidR="00051695" w:rsidRPr="00051695" w:rsidRDefault="00051695" w:rsidP="00051695">
      <w:pPr>
        <w:pStyle w:val="bt"/>
      </w:pPr>
      <w:r>
        <w:rPr>
          <w:rStyle w:val="Strong"/>
        </w:rPr>
        <w:t xml:space="preserve">No. of lots: </w:t>
      </w:r>
      <w:r w:rsidRPr="00051695">
        <w:t>1600</w:t>
      </w:r>
    </w:p>
    <w:p w:rsidR="00051695" w:rsidRDefault="00051695" w:rsidP="00051695">
      <w:pPr>
        <w:pStyle w:val="bt"/>
      </w:pPr>
      <w:r>
        <w:rPr>
          <w:rStyle w:val="Strong"/>
        </w:rPr>
        <w:t xml:space="preserve">Population: </w:t>
      </w:r>
      <w:r w:rsidRPr="00051695">
        <w:t>4000</w:t>
      </w:r>
    </w:p>
    <w:p w:rsidR="00051695" w:rsidRPr="00051695" w:rsidRDefault="00051695" w:rsidP="00051695">
      <w:pPr>
        <w:pStyle w:val="bt"/>
        <w:rPr>
          <w:rStyle w:val="Strong"/>
          <w:rFonts w:ascii="Calibri" w:hAnsi="Calibri" w:cs="Times New Roman"/>
          <w:b w:val="0"/>
          <w:bCs w:val="0"/>
        </w:rPr>
      </w:pPr>
      <w:r>
        <w:rPr>
          <w:rStyle w:val="Strong"/>
        </w:rPr>
        <w:t xml:space="preserve">Growth corridor: </w:t>
      </w:r>
      <w:r>
        <w:t>North</w:t>
      </w:r>
    </w:p>
    <w:p w:rsidR="00051695" w:rsidRPr="00051695" w:rsidRDefault="00051695" w:rsidP="00051695">
      <w:pPr>
        <w:pStyle w:val="bt"/>
      </w:pPr>
      <w:r>
        <w:rPr>
          <w:rStyle w:val="Strong"/>
        </w:rPr>
        <w:t xml:space="preserve">No. of lots: </w:t>
      </w:r>
      <w:r>
        <w:t>1000</w:t>
      </w:r>
    </w:p>
    <w:p w:rsidR="00051695" w:rsidRPr="00051695" w:rsidRDefault="00051695" w:rsidP="00051695">
      <w:pPr>
        <w:pStyle w:val="bt"/>
      </w:pPr>
      <w:r>
        <w:rPr>
          <w:rStyle w:val="Strong"/>
        </w:rPr>
        <w:t xml:space="preserve">Population: </w:t>
      </w:r>
      <w:r>
        <w:t>2700</w:t>
      </w:r>
    </w:p>
    <w:p w:rsidR="00051695" w:rsidRPr="00051695" w:rsidRDefault="00051695" w:rsidP="00051695">
      <w:pPr>
        <w:pStyle w:val="bt"/>
        <w:rPr>
          <w:rStyle w:val="Strong"/>
          <w:rFonts w:ascii="Calibri" w:hAnsi="Calibri" w:cs="Times New Roman"/>
          <w:b w:val="0"/>
          <w:bCs w:val="0"/>
        </w:rPr>
      </w:pPr>
      <w:r>
        <w:rPr>
          <w:rStyle w:val="Strong"/>
        </w:rPr>
        <w:t xml:space="preserve">Growth corridor: </w:t>
      </w:r>
      <w:r>
        <w:t>North East</w:t>
      </w:r>
    </w:p>
    <w:p w:rsidR="00051695" w:rsidRPr="00051695" w:rsidRDefault="00051695" w:rsidP="00051695">
      <w:pPr>
        <w:pStyle w:val="bt"/>
      </w:pPr>
      <w:r>
        <w:rPr>
          <w:rStyle w:val="Strong"/>
        </w:rPr>
        <w:t xml:space="preserve">No. of lots: </w:t>
      </w:r>
      <w:r>
        <w:t>17</w:t>
      </w:r>
      <w:r w:rsidRPr="00051695">
        <w:t>00</w:t>
      </w:r>
    </w:p>
    <w:p w:rsidR="00051695" w:rsidRPr="00051695" w:rsidRDefault="00051695" w:rsidP="00051695">
      <w:pPr>
        <w:pStyle w:val="bt"/>
      </w:pPr>
      <w:r>
        <w:rPr>
          <w:rStyle w:val="Strong"/>
        </w:rPr>
        <w:t xml:space="preserve">Population: </w:t>
      </w:r>
      <w:r>
        <w:t>39</w:t>
      </w:r>
      <w:r w:rsidRPr="00051695">
        <w:t>00</w:t>
      </w:r>
    </w:p>
    <w:p w:rsidR="00051695" w:rsidRPr="00051695" w:rsidRDefault="00051695" w:rsidP="00051695">
      <w:pPr>
        <w:pStyle w:val="bt"/>
        <w:rPr>
          <w:rStyle w:val="Strong"/>
          <w:rFonts w:ascii="Calibri" w:hAnsi="Calibri" w:cs="Times New Roman"/>
          <w:b w:val="0"/>
          <w:bCs w:val="0"/>
        </w:rPr>
      </w:pPr>
      <w:r>
        <w:rPr>
          <w:rStyle w:val="Strong"/>
        </w:rPr>
        <w:t xml:space="preserve">Growth corridor: </w:t>
      </w:r>
      <w:r>
        <w:t>South</w:t>
      </w:r>
    </w:p>
    <w:p w:rsidR="00051695" w:rsidRPr="00051695" w:rsidRDefault="00051695" w:rsidP="00051695">
      <w:pPr>
        <w:pStyle w:val="bt"/>
      </w:pPr>
      <w:r>
        <w:rPr>
          <w:rStyle w:val="Strong"/>
        </w:rPr>
        <w:t xml:space="preserve">No. of lots: </w:t>
      </w:r>
      <w:r>
        <w:t>14</w:t>
      </w:r>
      <w:r w:rsidRPr="00051695">
        <w:t>00</w:t>
      </w:r>
    </w:p>
    <w:p w:rsidR="00051695" w:rsidRPr="00051695" w:rsidRDefault="00051695" w:rsidP="00051695">
      <w:pPr>
        <w:pStyle w:val="bt"/>
      </w:pPr>
      <w:r>
        <w:rPr>
          <w:rStyle w:val="Strong"/>
        </w:rPr>
        <w:t xml:space="preserve">Population: </w:t>
      </w:r>
      <w:r>
        <w:t>3650</w:t>
      </w:r>
    </w:p>
    <w:p w:rsidR="00051695" w:rsidRPr="00051695" w:rsidRDefault="00051695" w:rsidP="00051695">
      <w:pPr>
        <w:pStyle w:val="bt"/>
        <w:rPr>
          <w:rStyle w:val="Strong"/>
          <w:rFonts w:ascii="Calibri" w:hAnsi="Calibri" w:cs="Times New Roman"/>
          <w:b w:val="0"/>
          <w:bCs w:val="0"/>
        </w:rPr>
      </w:pPr>
      <w:r>
        <w:rPr>
          <w:rStyle w:val="Strong"/>
        </w:rPr>
        <w:t xml:space="preserve">Growth corridor: </w:t>
      </w:r>
      <w:r>
        <w:t>South East</w:t>
      </w:r>
    </w:p>
    <w:p w:rsidR="00051695" w:rsidRPr="00051695" w:rsidRDefault="00051695" w:rsidP="00051695">
      <w:pPr>
        <w:pStyle w:val="bt"/>
      </w:pPr>
      <w:r>
        <w:rPr>
          <w:rStyle w:val="Strong"/>
        </w:rPr>
        <w:t xml:space="preserve">No. of lots: </w:t>
      </w:r>
      <w:r>
        <w:t>145</w:t>
      </w:r>
      <w:r w:rsidRPr="00051695">
        <w:t>0</w:t>
      </w:r>
    </w:p>
    <w:p w:rsidR="00051695" w:rsidRPr="00051695" w:rsidRDefault="00051695" w:rsidP="00051695">
      <w:pPr>
        <w:pStyle w:val="bt"/>
      </w:pPr>
      <w:r>
        <w:rPr>
          <w:rStyle w:val="Strong"/>
        </w:rPr>
        <w:t xml:space="preserve">Population: </w:t>
      </w:r>
      <w:r>
        <w:t>335</w:t>
      </w:r>
      <w:r w:rsidRPr="00051695">
        <w:t>0</w:t>
      </w:r>
    </w:p>
    <w:p w:rsidR="00574E99" w:rsidRPr="00A83935" w:rsidRDefault="008F0044" w:rsidP="00666BAF">
      <w:pPr>
        <w:pStyle w:val="source"/>
      </w:pPr>
      <w:r w:rsidRPr="00A83935">
        <w:t xml:space="preserve">Source: Greater Shepparton </w:t>
      </w:r>
      <w:r w:rsidR="009265C5">
        <w:t xml:space="preserve">City </w:t>
      </w:r>
      <w:r w:rsidRPr="00A83935">
        <w:t>Council</w:t>
      </w:r>
    </w:p>
    <w:p w:rsidR="004F652A" w:rsidRPr="004D2CC1" w:rsidRDefault="004F652A" w:rsidP="004D2CC1">
      <w:pPr>
        <w:pStyle w:val="bt"/>
      </w:pPr>
      <w:r w:rsidRPr="004D2CC1">
        <w:t xml:space="preserve">Population growth will require significant infrastructure investment and expansion of employment opportunities. </w:t>
      </w:r>
      <w:r w:rsidR="00A81CE4" w:rsidRPr="004D2CC1">
        <w:t xml:space="preserve">Shepparton is the </w:t>
      </w:r>
      <w:r w:rsidR="00A81CE4" w:rsidRPr="000405A5">
        <w:t>fourth largest regional urban centre</w:t>
      </w:r>
      <w:r w:rsidR="00A81CE4" w:rsidRPr="004D2CC1">
        <w:t xml:space="preserve"> in Victoria and will continue as the primary urban centre for the Goulburn Valley </w:t>
      </w:r>
      <w:r w:rsidR="00A81CE4">
        <w:t>sub-region</w:t>
      </w:r>
      <w:r w:rsidR="00A81CE4" w:rsidRPr="004D2CC1">
        <w:t xml:space="preserve">, but </w:t>
      </w:r>
      <w:r w:rsidR="00484875">
        <w:t xml:space="preserve">will </w:t>
      </w:r>
      <w:r w:rsidR="00A81CE4" w:rsidRPr="004D2CC1">
        <w:t xml:space="preserve">also </w:t>
      </w:r>
      <w:r w:rsidR="00484875" w:rsidRPr="004D2CC1">
        <w:t>provid</w:t>
      </w:r>
      <w:r w:rsidR="00484875">
        <w:t>e</w:t>
      </w:r>
      <w:r w:rsidR="00484875" w:rsidRPr="004D2CC1">
        <w:t xml:space="preserve"> </w:t>
      </w:r>
      <w:r w:rsidR="00A81CE4" w:rsidRPr="004D2CC1">
        <w:t>regional services and facilities to a wider catchment of some 230,000 people, including the Campaspe Shire area and southern Riverina in</w:t>
      </w:r>
      <w:r w:rsidR="00A81CE4">
        <w:t xml:space="preserve"> New South Wales</w:t>
      </w:r>
      <w:r w:rsidR="00A81CE4" w:rsidRPr="004D2CC1">
        <w:t xml:space="preserve">. </w:t>
      </w:r>
    </w:p>
    <w:p w:rsidR="00487403" w:rsidRDefault="004F652A" w:rsidP="004D2CC1">
      <w:pPr>
        <w:pStyle w:val="bt"/>
      </w:pPr>
      <w:r w:rsidRPr="004D2CC1">
        <w:t xml:space="preserve">Significant investment and support will be required for Shepparton and the Goulburn Valley to continue </w:t>
      </w:r>
      <w:r w:rsidR="00E174AA">
        <w:t>their</w:t>
      </w:r>
      <w:r w:rsidR="00E174AA" w:rsidRPr="004D2CC1">
        <w:t xml:space="preserve"> </w:t>
      </w:r>
      <w:r w:rsidRPr="004D2CC1">
        <w:t xml:space="preserve">development as a dynamic, </w:t>
      </w:r>
      <w:r w:rsidR="00E174AA" w:rsidRPr="004D2CC1">
        <w:t>investment</w:t>
      </w:r>
      <w:r w:rsidR="00E174AA">
        <w:t>-</w:t>
      </w:r>
      <w:r w:rsidRPr="004D2CC1">
        <w:t xml:space="preserve">attractive and liveable city and </w:t>
      </w:r>
      <w:r w:rsidR="009265C5">
        <w:t>sub-</w:t>
      </w:r>
      <w:r w:rsidRPr="004D2CC1">
        <w:t>region. Investment is required to meet current service demands and service levels expected of a regional city when compared to other regional cities</w:t>
      </w:r>
      <w:r w:rsidR="00E174AA">
        <w:t>,</w:t>
      </w:r>
      <w:r w:rsidRPr="004D2CC1">
        <w:t xml:space="preserve"> and to support future population growth in Shepparton and its catchment area. </w:t>
      </w:r>
    </w:p>
    <w:p w:rsidR="004F652A" w:rsidRPr="004D2CC1" w:rsidRDefault="004F652A" w:rsidP="004D2CC1">
      <w:pPr>
        <w:pStyle w:val="bt"/>
      </w:pPr>
      <w:r w:rsidRPr="004D2CC1">
        <w:t>Further planning is needed for new and upgraded social infrastructure, including health, education, justice, sport and recreation facilities. Such new and upgraded facilities will support the needs of regional communities and help to:</w:t>
      </w:r>
    </w:p>
    <w:p w:rsidR="004F652A" w:rsidRDefault="004F652A" w:rsidP="00EE492B">
      <w:pPr>
        <w:pStyle w:val="btbullet"/>
      </w:pPr>
      <w:r>
        <w:t>provide additional service capacity to meet growing demand</w:t>
      </w:r>
    </w:p>
    <w:p w:rsidR="004F652A" w:rsidRDefault="004F652A" w:rsidP="00EE492B">
      <w:pPr>
        <w:pStyle w:val="btbullet"/>
      </w:pPr>
      <w:r>
        <w:t>improve access to higher education and improve retention rates</w:t>
      </w:r>
    </w:p>
    <w:p w:rsidR="004F652A" w:rsidRDefault="004F652A" w:rsidP="00EE492B">
      <w:pPr>
        <w:pStyle w:val="btbullet"/>
      </w:pPr>
      <w:r>
        <w:t>support a skilled workforce</w:t>
      </w:r>
    </w:p>
    <w:p w:rsidR="004F652A" w:rsidRDefault="004F652A" w:rsidP="00EE492B">
      <w:pPr>
        <w:pStyle w:val="btbullet"/>
      </w:pPr>
      <w:r>
        <w:t>provide</w:t>
      </w:r>
      <w:r w:rsidRPr="00A358C0">
        <w:t xml:space="preserve"> appropriate support services to culturally diverse communities</w:t>
      </w:r>
      <w:r>
        <w:t xml:space="preserve"> and</w:t>
      </w:r>
      <w:r w:rsidRPr="00A358C0">
        <w:t xml:space="preserve"> a si</w:t>
      </w:r>
      <w:r>
        <w:t>gnificant Aboriginal population</w:t>
      </w:r>
      <w:r w:rsidRPr="00A358C0">
        <w:t xml:space="preserve"> in Shepparton </w:t>
      </w:r>
      <w:r>
        <w:t>and the Goulburn Valley</w:t>
      </w:r>
    </w:p>
    <w:p w:rsidR="004F652A" w:rsidRDefault="004F652A" w:rsidP="00EE492B">
      <w:pPr>
        <w:pStyle w:val="btbullet"/>
      </w:pPr>
      <w:r>
        <w:t>provide a catalyst for other redevelopment opportunities</w:t>
      </w:r>
    </w:p>
    <w:p w:rsidR="004F652A" w:rsidRDefault="004F652A" w:rsidP="00EE492B">
      <w:pPr>
        <w:pStyle w:val="btbullet"/>
      </w:pPr>
      <w:proofErr w:type="gramStart"/>
      <w:r>
        <w:lastRenderedPageBreak/>
        <w:t>continue</w:t>
      </w:r>
      <w:proofErr w:type="gramEnd"/>
      <w:r>
        <w:t xml:space="preserve"> to strengthen and expand the already significant contribution that sport and events tourism makes to the regional economy.</w:t>
      </w:r>
    </w:p>
    <w:p w:rsidR="004F652A" w:rsidRPr="004D2CC1" w:rsidRDefault="004F652A" w:rsidP="004D2CC1">
      <w:pPr>
        <w:pStyle w:val="bt"/>
      </w:pPr>
      <w:r w:rsidRPr="004D2CC1">
        <w:t>Some infill and urban renewal opportunities exist in Shepparton.</w:t>
      </w:r>
    </w:p>
    <w:p w:rsidR="004016D4" w:rsidRDefault="004016D4" w:rsidP="004D2CC1">
      <w:pPr>
        <w:pStyle w:val="bt"/>
      </w:pPr>
      <w:r w:rsidRPr="004016D4">
        <w:t xml:space="preserve">Two preferred station locations for the potential </w:t>
      </w:r>
      <w:r w:rsidR="00593267" w:rsidRPr="00593267">
        <w:t>high-speed rail (HSR)</w:t>
      </w:r>
      <w:r w:rsidR="004E23AF">
        <w:t xml:space="preserve"> </w:t>
      </w:r>
      <w:r w:rsidRPr="004016D4">
        <w:t xml:space="preserve">system between Melbourne and Sydney have been identified for the Hume Region. One of these preferred station locations </w:t>
      </w:r>
      <w:r w:rsidR="009265C5">
        <w:t xml:space="preserve">is </w:t>
      </w:r>
      <w:r w:rsidR="004E23AF">
        <w:t xml:space="preserve">east of </w:t>
      </w:r>
      <w:r w:rsidRPr="004016D4">
        <w:t xml:space="preserve">Shepparton. The establishment of this </w:t>
      </w:r>
      <w:r w:rsidR="00E174AA" w:rsidRPr="004016D4">
        <w:t>high</w:t>
      </w:r>
      <w:r w:rsidR="00E174AA">
        <w:t>-</w:t>
      </w:r>
      <w:r w:rsidRPr="004016D4">
        <w:t>speed rail station could significantly enhance Shepparton’s regional role and growth potential.</w:t>
      </w:r>
    </w:p>
    <w:p w:rsidR="00276723" w:rsidRDefault="004F652A" w:rsidP="00276723">
      <w:pPr>
        <w:pStyle w:val="bt"/>
      </w:pPr>
      <w:r w:rsidRPr="004D2CC1">
        <w:t xml:space="preserve">The relationship between Shepparton and surrounding communities is important to provide these communities with access to employment and services in Shepparton. </w:t>
      </w:r>
      <w:bookmarkStart w:id="76" w:name="_Ref374356700"/>
      <w:bookmarkStart w:id="77" w:name="_Toc374434708"/>
    </w:p>
    <w:p w:rsidR="004152CA" w:rsidRPr="00276723" w:rsidRDefault="009D1249" w:rsidP="00276723">
      <w:pPr>
        <w:pStyle w:val="bt"/>
      </w:pPr>
      <w:r w:rsidRPr="00276723">
        <w:t xml:space="preserve">Map </w:t>
      </w:r>
      <w:bookmarkEnd w:id="76"/>
      <w:r w:rsidR="00AF799A">
        <w:t>11</w:t>
      </w:r>
      <w:r w:rsidR="00276723">
        <w:t xml:space="preserve"> is located here in the document and it shows -</w:t>
      </w:r>
      <w:r w:rsidR="00BD7B1F" w:rsidRPr="00276723">
        <w:t xml:space="preserve"> Goulburn Valley – </w:t>
      </w:r>
      <w:r w:rsidR="00CF73A1">
        <w:t>F</w:t>
      </w:r>
      <w:r w:rsidR="00BD7B1F" w:rsidRPr="00276723">
        <w:t>uture urban growth</w:t>
      </w:r>
      <w:bookmarkEnd w:id="77"/>
    </w:p>
    <w:p w:rsidR="00487403" w:rsidRDefault="007A5A04" w:rsidP="004D2CC1">
      <w:pPr>
        <w:pStyle w:val="bt"/>
      </w:pPr>
      <w:r w:rsidRPr="00A25511">
        <w:t>Shepparton will continue to capitalise on</w:t>
      </w:r>
      <w:r w:rsidR="00302C57">
        <w:t xml:space="preserve"> and develop</w:t>
      </w:r>
      <w:r w:rsidRPr="00A25511">
        <w:t xml:space="preserve"> its </w:t>
      </w:r>
      <w:r w:rsidR="00302C57">
        <w:t xml:space="preserve">role as a business, retail and services hub for the </w:t>
      </w:r>
      <w:r w:rsidR="0041374D">
        <w:t xml:space="preserve">Hume </w:t>
      </w:r>
      <w:r w:rsidR="002F3A18">
        <w:t>R</w:t>
      </w:r>
      <w:r w:rsidR="00302C57">
        <w:t xml:space="preserve">egion. The nationally significant cluster of food manufacturing industries and transport and logistics providers in Greater Shepparton and the Goulburn Valley and its </w:t>
      </w:r>
      <w:r w:rsidRPr="00A25511">
        <w:t>strategic location on</w:t>
      </w:r>
      <w:r w:rsidR="0053009B">
        <w:t xml:space="preserve"> the Goulburn Valley </w:t>
      </w:r>
      <w:r w:rsidR="00302C57">
        <w:t xml:space="preserve">transport </w:t>
      </w:r>
      <w:r w:rsidR="0053009B">
        <w:t>corridor</w:t>
      </w:r>
      <w:r w:rsidR="00302C57">
        <w:t xml:space="preserve"> </w:t>
      </w:r>
      <w:r w:rsidR="002A3FDE">
        <w:t>(</w:t>
      </w:r>
      <w:r w:rsidR="00302C57">
        <w:t>that links</w:t>
      </w:r>
      <w:r w:rsidRPr="00A25511">
        <w:t xml:space="preserve"> Melbourne and Brisbane</w:t>
      </w:r>
      <w:r w:rsidR="002A3FDE">
        <w:t>)</w:t>
      </w:r>
      <w:r w:rsidRPr="00A25511">
        <w:t xml:space="preserve"> will </w:t>
      </w:r>
      <w:r w:rsidR="00302C57">
        <w:t xml:space="preserve">continue to </w:t>
      </w:r>
      <w:r w:rsidRPr="00A25511">
        <w:t>build and strengthen its role as a</w:t>
      </w:r>
      <w:r w:rsidR="00302C57">
        <w:t xml:space="preserve"> key Victorian and national</w:t>
      </w:r>
      <w:r w:rsidRPr="00A25511">
        <w:t xml:space="preserve"> logist</w:t>
      </w:r>
      <w:r w:rsidR="00302C57">
        <w:t>ics</w:t>
      </w:r>
      <w:r w:rsidRPr="00A25511">
        <w:t xml:space="preserve"> </w:t>
      </w:r>
      <w:r w:rsidR="00302C57">
        <w:t>centre</w:t>
      </w:r>
      <w:r w:rsidRPr="00A25511">
        <w:t xml:space="preserve">. </w:t>
      </w:r>
    </w:p>
    <w:p w:rsidR="007A5A04" w:rsidRDefault="0053009B" w:rsidP="004D2CC1">
      <w:pPr>
        <w:pStyle w:val="bt"/>
      </w:pPr>
      <w:r>
        <w:t>T</w:t>
      </w:r>
      <w:r w:rsidR="007A5A04" w:rsidRPr="00A25511">
        <w:t xml:space="preserve">ransport </w:t>
      </w:r>
      <w:r w:rsidR="00302C57">
        <w:t xml:space="preserve">and logistics </w:t>
      </w:r>
      <w:r w:rsidR="007A5A04" w:rsidRPr="00A25511">
        <w:t xml:space="preserve">related opportunities will be an important part of economic development of this </w:t>
      </w:r>
      <w:r w:rsidR="00112C95">
        <w:t>sub-region</w:t>
      </w:r>
      <w:r w:rsidR="007A5A04" w:rsidRPr="00A25511">
        <w:t>. Investment in transport logistics</w:t>
      </w:r>
      <w:r w:rsidR="00D462D5">
        <w:t>,</w:t>
      </w:r>
      <w:r w:rsidR="0041374D">
        <w:t xml:space="preserve"> </w:t>
      </w:r>
      <w:r>
        <w:t xml:space="preserve">through the development of the </w:t>
      </w:r>
      <w:r w:rsidR="007A5A04" w:rsidRPr="00A25511">
        <w:t>GV Link</w:t>
      </w:r>
      <w:r>
        <w:t xml:space="preserve"> project</w:t>
      </w:r>
      <w:r w:rsidR="00D462D5">
        <w:t xml:space="preserve">, </w:t>
      </w:r>
      <w:r>
        <w:t xml:space="preserve">will </w:t>
      </w:r>
      <w:r w:rsidR="007A5A04" w:rsidRPr="00A25511">
        <w:t xml:space="preserve">contribute to the state’s freight </w:t>
      </w:r>
      <w:r w:rsidR="00EF4AE1">
        <w:t xml:space="preserve">and logistics </w:t>
      </w:r>
      <w:r w:rsidR="00EF4AE1" w:rsidRPr="00A25511">
        <w:t>capa</w:t>
      </w:r>
      <w:r w:rsidR="00EF4AE1">
        <w:t>city</w:t>
      </w:r>
      <w:r w:rsidR="007A5A04" w:rsidRPr="00A25511">
        <w:t xml:space="preserve">. </w:t>
      </w:r>
      <w:r w:rsidR="00EF4AE1">
        <w:t xml:space="preserve">Investment in the Shepparton Bypass and the Strathmerton </w:t>
      </w:r>
      <w:r w:rsidR="00812D76">
        <w:t>D</w:t>
      </w:r>
      <w:r w:rsidR="00EF4AE1">
        <w:t>eviation are required to help achieve a more efficient transport network.</w:t>
      </w:r>
    </w:p>
    <w:p w:rsidR="002A3FDE" w:rsidRDefault="002A3FDE" w:rsidP="004D2CC1">
      <w:pPr>
        <w:pStyle w:val="bt"/>
      </w:pPr>
      <w:r>
        <w:t>On-</w:t>
      </w:r>
      <w:r w:rsidRPr="00B031C8">
        <w:t>farm cool stores and packing sheds across the Goulburn Valley</w:t>
      </w:r>
      <w:r>
        <w:t xml:space="preserve"> are being used as storage facilities for manufacture</w:t>
      </w:r>
      <w:r w:rsidR="0041374D">
        <w:t>r</w:t>
      </w:r>
      <w:r>
        <w:t xml:space="preserve">s, as a </w:t>
      </w:r>
      <w:r w:rsidR="00DF5703">
        <w:t>low-</w:t>
      </w:r>
      <w:r>
        <w:t>cost alternative</w:t>
      </w:r>
      <w:r w:rsidRPr="00B031C8">
        <w:t xml:space="preserve"> to major consolidated investment </w:t>
      </w:r>
      <w:r>
        <w:t>in a freight and logistics precinct</w:t>
      </w:r>
      <w:r w:rsidR="00D462D5">
        <w:t xml:space="preserve">, </w:t>
      </w:r>
      <w:r>
        <w:t xml:space="preserve">such as </w:t>
      </w:r>
      <w:r w:rsidR="00DF5703">
        <w:t xml:space="preserve">the </w:t>
      </w:r>
      <w:r>
        <w:t>GV Link</w:t>
      </w:r>
      <w:r w:rsidRPr="00B031C8">
        <w:t xml:space="preserve">. </w:t>
      </w:r>
      <w:r>
        <w:t>These activities could lead to land use conflicts related</w:t>
      </w:r>
      <w:r w:rsidRPr="00B031C8">
        <w:t xml:space="preserve"> </w:t>
      </w:r>
      <w:r>
        <w:t xml:space="preserve">to </w:t>
      </w:r>
      <w:r w:rsidRPr="00B031C8">
        <w:t>transport activity</w:t>
      </w:r>
      <w:r>
        <w:t xml:space="preserve"> associated with these land uses</w:t>
      </w:r>
      <w:r w:rsidRPr="00B031C8">
        <w:t xml:space="preserve">. </w:t>
      </w:r>
      <w:r>
        <w:t xml:space="preserve">The development of </w:t>
      </w:r>
      <w:r w:rsidR="00DF5703">
        <w:t xml:space="preserve">the </w:t>
      </w:r>
      <w:r>
        <w:t>GV Link</w:t>
      </w:r>
      <w:r w:rsidR="00D462D5">
        <w:t>,</w:t>
      </w:r>
      <w:r w:rsidR="00B30076">
        <w:t xml:space="preserve"> </w:t>
      </w:r>
      <w:r>
        <w:t>providing a consolidated, fit</w:t>
      </w:r>
      <w:r w:rsidR="009306FB">
        <w:t xml:space="preserve"> </w:t>
      </w:r>
      <w:r>
        <w:t>for</w:t>
      </w:r>
      <w:r w:rsidR="009306FB">
        <w:t xml:space="preserve"> </w:t>
      </w:r>
      <w:r>
        <w:t>purpose site for such activities</w:t>
      </w:r>
      <w:r w:rsidR="00D462D5">
        <w:t xml:space="preserve">, </w:t>
      </w:r>
      <w:r>
        <w:t xml:space="preserve">would </w:t>
      </w:r>
      <w:r w:rsidR="00B30076">
        <w:t xml:space="preserve">help </w:t>
      </w:r>
      <w:r>
        <w:t>address this land use issue.</w:t>
      </w:r>
    </w:p>
    <w:p w:rsidR="00691769" w:rsidRPr="00A25511" w:rsidRDefault="00691769" w:rsidP="004D2CC1">
      <w:pPr>
        <w:pStyle w:val="bt"/>
      </w:pPr>
      <w:r w:rsidRPr="00691769">
        <w:t>Major industrial and commercial development opportunities will be strengthened in Shepparton as a result of population growth</w:t>
      </w:r>
      <w:r w:rsidR="00520267">
        <w:t>.</w:t>
      </w:r>
      <w:r w:rsidRPr="00691769">
        <w:t xml:space="preserve"> </w:t>
      </w:r>
      <w:r w:rsidR="00520267">
        <w:t>The</w:t>
      </w:r>
      <w:r w:rsidRPr="00691769">
        <w:t xml:space="preserve"> redevelopment of Shepparton’s </w:t>
      </w:r>
      <w:r w:rsidR="00543A56">
        <w:t>C</w:t>
      </w:r>
      <w:r w:rsidR="002A2D7F">
        <w:t>BD</w:t>
      </w:r>
      <w:r w:rsidR="00543A56">
        <w:t xml:space="preserve"> </w:t>
      </w:r>
      <w:r w:rsidRPr="00691769">
        <w:t xml:space="preserve">will be an important factor in reinforcing </w:t>
      </w:r>
      <w:r>
        <w:t>its</w:t>
      </w:r>
      <w:r w:rsidRPr="00691769">
        <w:t xml:space="preserve"> role as a regional retail and professional services centre.</w:t>
      </w:r>
    </w:p>
    <w:p w:rsidR="00DC6AAC" w:rsidRDefault="00AF799A" w:rsidP="004D2CC1">
      <w:pPr>
        <w:pStyle w:val="bt"/>
      </w:pPr>
      <w:r>
        <w:t xml:space="preserve">Map 12 </w:t>
      </w:r>
      <w:r w:rsidR="007A5A04" w:rsidRPr="00A25511">
        <w:t>is a</w:t>
      </w:r>
      <w:r w:rsidR="00D74A58">
        <w:t xml:space="preserve"> conceptual</w:t>
      </w:r>
      <w:r w:rsidR="007A5A04" w:rsidRPr="00A25511">
        <w:t xml:space="preserve"> urban growth framework for Shepparton and shows strategic opportunities </w:t>
      </w:r>
      <w:r w:rsidR="00D74A58">
        <w:t xml:space="preserve">for urban growth, </w:t>
      </w:r>
      <w:r w:rsidR="007A5A04" w:rsidRPr="00A25511">
        <w:t xml:space="preserve">including key growth fronts, commercial nodes, industrial nodes, key linkages and </w:t>
      </w:r>
      <w:r w:rsidR="00D74A58">
        <w:t xml:space="preserve">potential locations for </w:t>
      </w:r>
      <w:r w:rsidR="007A5A04" w:rsidRPr="00A25511">
        <w:t>infill and urban renewal.</w:t>
      </w:r>
      <w:r w:rsidR="00CF73A1">
        <w:t xml:space="preserve"> </w:t>
      </w:r>
      <w:r w:rsidR="00DC6AAC" w:rsidRPr="00D11DCD">
        <w:t xml:space="preserve">The Hume Strategy </w:t>
      </w:r>
      <w:r w:rsidR="00DC6AAC">
        <w:t>identifies</w:t>
      </w:r>
      <w:r w:rsidR="00DC6AAC" w:rsidRPr="00D11DCD">
        <w:t xml:space="preserve"> Shepparton </w:t>
      </w:r>
      <w:r w:rsidR="00DC6AAC">
        <w:t>as</w:t>
      </w:r>
      <w:r w:rsidR="00DC6AAC" w:rsidRPr="00D11DCD">
        <w:t xml:space="preserve"> the pre</w:t>
      </w:r>
      <w:r w:rsidR="00DC6AAC">
        <w:t>-</w:t>
      </w:r>
      <w:r w:rsidR="00DC6AAC" w:rsidRPr="00D11DCD">
        <w:t xml:space="preserve">eminent centre for population growth within </w:t>
      </w:r>
      <w:r w:rsidR="00DC6AAC">
        <w:t xml:space="preserve">the Goulburn Valley </w:t>
      </w:r>
      <w:r w:rsidR="00112C95">
        <w:t>sub-region</w:t>
      </w:r>
      <w:r w:rsidR="00DC6AAC" w:rsidRPr="00D11DCD">
        <w:t xml:space="preserve">. </w:t>
      </w:r>
      <w:r w:rsidR="00DC6AAC">
        <w:t>L</w:t>
      </w:r>
      <w:r w:rsidR="00DC6AAC" w:rsidRPr="00D11DCD">
        <w:t xml:space="preserve">ack of public transport to Melbourne from the </w:t>
      </w:r>
      <w:r w:rsidR="00112C95">
        <w:t>sub-region</w:t>
      </w:r>
      <w:r w:rsidR="00DC6AAC" w:rsidRPr="00D11DCD">
        <w:t xml:space="preserve"> </w:t>
      </w:r>
      <w:r w:rsidR="00DC6AAC">
        <w:t>may be</w:t>
      </w:r>
      <w:r w:rsidR="00DC6AAC" w:rsidRPr="00D11DCD">
        <w:t xml:space="preserve"> impeding competitiveness, investment attractiveness and liveability. </w:t>
      </w:r>
      <w:r w:rsidR="00DC6AAC">
        <w:t>C</w:t>
      </w:r>
      <w:r w:rsidR="00DC6AAC" w:rsidRPr="00D11DCD">
        <w:t>urrent passenger rail service</w:t>
      </w:r>
      <w:r w:rsidR="00DC6AAC">
        <w:t>s</w:t>
      </w:r>
      <w:r w:rsidR="00DC6AAC" w:rsidRPr="00D11DCD">
        <w:t xml:space="preserve"> between Melbourne and Shepparton </w:t>
      </w:r>
      <w:r w:rsidR="00DC6AAC">
        <w:t>are not</w:t>
      </w:r>
      <w:r w:rsidR="00DC6AAC" w:rsidRPr="00D11DCD">
        <w:t xml:space="preserve"> compar</w:t>
      </w:r>
      <w:r w:rsidR="00DC6AAC">
        <w:t>able</w:t>
      </w:r>
      <w:r w:rsidR="00DC6AAC" w:rsidRPr="00D11DCD">
        <w:t xml:space="preserve"> to that of the other regional </w:t>
      </w:r>
      <w:r w:rsidR="00DC6AAC">
        <w:t>cities</w:t>
      </w:r>
      <w:r w:rsidR="00DC6AAC" w:rsidRPr="00D11DCD">
        <w:t xml:space="preserve"> and</w:t>
      </w:r>
      <w:r w:rsidR="00DC6AAC">
        <w:t xml:space="preserve"> could be limiting</w:t>
      </w:r>
      <w:r w:rsidR="00DC6AAC" w:rsidRPr="00D11DCD">
        <w:t xml:space="preserve"> business opportunities and ac</w:t>
      </w:r>
      <w:r w:rsidR="00DC6AAC">
        <w:t>cess to education and services</w:t>
      </w:r>
      <w:r w:rsidR="00DC6AAC" w:rsidRPr="00D11DCD">
        <w:t>.</w:t>
      </w:r>
      <w:r w:rsidR="00DC6AAC">
        <w:t xml:space="preserve"> This issue will need to be addressed, particularly considering the growth expected in Shepparton.</w:t>
      </w:r>
    </w:p>
    <w:p w:rsidR="00DC6AAC" w:rsidRDefault="00DC6AAC" w:rsidP="004D2CC1">
      <w:pPr>
        <w:pStyle w:val="bt"/>
      </w:pPr>
      <w:r w:rsidRPr="00A25511">
        <w:t xml:space="preserve">A number of other urban localities </w:t>
      </w:r>
      <w:r>
        <w:t xml:space="preserve">in the </w:t>
      </w:r>
      <w:r w:rsidR="00112C95">
        <w:t>sub-region</w:t>
      </w:r>
      <w:r>
        <w:t xml:space="preserve"> </w:t>
      </w:r>
      <w:r w:rsidRPr="00A25511">
        <w:t>will continue to accommodate some growth including Tatura, Numurkah, Nagambie,</w:t>
      </w:r>
      <w:r w:rsidR="003C50AD">
        <w:t xml:space="preserve"> Nathalia,</w:t>
      </w:r>
      <w:r w:rsidRPr="00A25511">
        <w:t xml:space="preserve"> Euroa, Yarrawonga and Cobram. Some of these locations offer natural attractions and lifestyle opportunities such as rural settings and access to significant water bodies. These </w:t>
      </w:r>
      <w:r>
        <w:t>towns</w:t>
      </w:r>
      <w:r w:rsidRPr="00A25511">
        <w:t xml:space="preserve"> will continue to support surrounding rural communities by providing services and access to services in larger urban localities. Some of these localities offer unique growth opportunities related to natural characteristics, but growth </w:t>
      </w:r>
      <w:r>
        <w:t>needs to</w:t>
      </w:r>
      <w:r w:rsidRPr="00A25511">
        <w:t xml:space="preserve"> be managed to </w:t>
      </w:r>
      <w:r>
        <w:t xml:space="preserve">protect environmental </w:t>
      </w:r>
      <w:r w:rsidR="00E6463B">
        <w:t xml:space="preserve">assets and </w:t>
      </w:r>
      <w:r>
        <w:t xml:space="preserve">values and </w:t>
      </w:r>
      <w:r w:rsidR="00D4261F">
        <w:t xml:space="preserve">limit </w:t>
      </w:r>
      <w:r>
        <w:t>exposure to natural hazards</w:t>
      </w:r>
      <w:r w:rsidR="00E6463B">
        <w:t xml:space="preserve">, especially </w:t>
      </w:r>
      <w:r w:rsidR="00112398">
        <w:t>bushfire</w:t>
      </w:r>
      <w:r w:rsidR="00E6463B">
        <w:t xml:space="preserve"> and </w:t>
      </w:r>
      <w:r w:rsidR="00112398">
        <w:t>flood</w:t>
      </w:r>
      <w:r w:rsidRPr="00A25511">
        <w:t>.</w:t>
      </w:r>
    </w:p>
    <w:p w:rsidR="00DC6AAC" w:rsidRDefault="00DC6AAC" w:rsidP="004D2CC1">
      <w:pPr>
        <w:pStyle w:val="bt"/>
      </w:pPr>
      <w:r w:rsidRPr="00A25511">
        <w:lastRenderedPageBreak/>
        <w:t xml:space="preserve">Cobram and Yarrawonga are located on the Murray River (Victoria-New South </w:t>
      </w:r>
      <w:proofErr w:type="gramStart"/>
      <w:r w:rsidRPr="00A25511">
        <w:t>Wales</w:t>
      </w:r>
      <w:proofErr w:type="gramEnd"/>
      <w:r w:rsidRPr="00A25511">
        <w:t xml:space="preserve"> border) and form part of the </w:t>
      </w:r>
      <w:r w:rsidR="00543A56" w:rsidRPr="00A25511">
        <w:t>cross</w:t>
      </w:r>
      <w:r w:rsidR="00543A56">
        <w:t>-</w:t>
      </w:r>
      <w:r w:rsidRPr="00A25511">
        <w:t>border twin towns of Cobram-Barooga and Yarrawonga-Mulwala. These urban locations will continue to provide services to communities on both sides of the border.</w:t>
      </w:r>
      <w:r>
        <w:t xml:space="preserve"> However, connections across the Murray River may need to be enhanced, particularly via a new bridge at Yarrawonga.</w:t>
      </w:r>
      <w:r w:rsidR="008A6C7F">
        <w:t xml:space="preserve"> Cobram is </w:t>
      </w:r>
      <w:r w:rsidR="00F10167">
        <w:t>strategically</w:t>
      </w:r>
      <w:r w:rsidR="008A6C7F">
        <w:t xml:space="preserve"> located </w:t>
      </w:r>
      <w:r w:rsidR="00F10167">
        <w:t xml:space="preserve">near </w:t>
      </w:r>
      <w:r w:rsidR="008A6C7F">
        <w:t>the intersection of key transport routes linking Melbourne and Brisbane and Albury</w:t>
      </w:r>
      <w:r w:rsidR="008A6C7F" w:rsidRPr="00A25511">
        <w:t>-Wodonga</w:t>
      </w:r>
      <w:r w:rsidR="008A6C7F">
        <w:t xml:space="preserve"> and Adelaide.</w:t>
      </w:r>
    </w:p>
    <w:p w:rsidR="00276723" w:rsidRDefault="00DC6AAC" w:rsidP="00276723">
      <w:pPr>
        <w:pStyle w:val="bt"/>
      </w:pPr>
      <w:r>
        <w:t xml:space="preserve">There is a strong relationship between the Goulburn Valley </w:t>
      </w:r>
      <w:r w:rsidR="00112C95">
        <w:t>sub-region</w:t>
      </w:r>
      <w:r>
        <w:t xml:space="preserve"> and the Campaspe Shire and linkages between settlements in these areas are important to continue to deliver services to the wider community.</w:t>
      </w:r>
      <w:bookmarkStart w:id="78" w:name="_Ref374356723"/>
      <w:bookmarkStart w:id="79" w:name="_Toc374434709"/>
    </w:p>
    <w:p w:rsidR="004152CA" w:rsidRPr="00276723" w:rsidRDefault="009D1249" w:rsidP="00276723">
      <w:pPr>
        <w:pStyle w:val="bt"/>
      </w:pPr>
      <w:r w:rsidRPr="00276723">
        <w:t xml:space="preserve">Map </w:t>
      </w:r>
      <w:bookmarkEnd w:id="78"/>
      <w:r w:rsidR="00AF799A">
        <w:t>12</w:t>
      </w:r>
      <w:r w:rsidR="00276723">
        <w:t xml:space="preserve"> is located here in the document and it shows -</w:t>
      </w:r>
      <w:r w:rsidR="00BD7B1F" w:rsidRPr="00276723">
        <w:t xml:space="preserve"> Shepparton Urban Growth Framework</w:t>
      </w:r>
      <w:bookmarkEnd w:id="79"/>
    </w:p>
    <w:p w:rsidR="007A5A04" w:rsidRPr="00CF73A1" w:rsidRDefault="007A5A04" w:rsidP="004D2CC1">
      <w:pPr>
        <w:pStyle w:val="bt"/>
        <w:rPr>
          <w:rStyle w:val="Strong"/>
        </w:rPr>
      </w:pPr>
      <w:r w:rsidRPr="00CF73A1">
        <w:rPr>
          <w:rStyle w:val="Strong"/>
        </w:rPr>
        <w:t>iii)</w:t>
      </w:r>
      <w:r w:rsidRPr="00CF73A1">
        <w:rPr>
          <w:rStyle w:val="Strong"/>
        </w:rPr>
        <w:tab/>
        <w:t>Lower Hume (refer to</w:t>
      </w:r>
      <w:r w:rsidR="00AF799A">
        <w:rPr>
          <w:rStyle w:val="Strong"/>
        </w:rPr>
        <w:t xml:space="preserve"> Map 13</w:t>
      </w:r>
      <w:r w:rsidRPr="00CF73A1">
        <w:rPr>
          <w:rStyle w:val="Strong"/>
        </w:rPr>
        <w:t>)</w:t>
      </w:r>
    </w:p>
    <w:p w:rsidR="00DC6AAC" w:rsidRPr="004D2CC1" w:rsidRDefault="00DC6AAC" w:rsidP="005A19BB">
      <w:pPr>
        <w:pStyle w:val="bt"/>
        <w:spacing w:after="200"/>
      </w:pPr>
      <w:r w:rsidRPr="00A25511">
        <w:t xml:space="preserve">A key characteristic of the Lower Hume </w:t>
      </w:r>
      <w:r w:rsidR="00112C95">
        <w:t>sub-region</w:t>
      </w:r>
      <w:r w:rsidRPr="00A25511">
        <w:t xml:space="preserve"> is its close proximity to the Melbourne metropolitan area </w:t>
      </w:r>
      <w:r w:rsidRPr="004D2CC1">
        <w:t xml:space="preserve">and identified metropolitan growth areas. The northern expansion of metropolitan growth has been confirmed recently by the extension of Melbourne’s Urban Growth Boundary to include parts of the Hume Region. The proximity of the Lower Hume </w:t>
      </w:r>
      <w:r w:rsidR="00112C95">
        <w:t>sub-region</w:t>
      </w:r>
      <w:r w:rsidRPr="004D2CC1">
        <w:t xml:space="preserve"> to metropolitan Melbourne, and the strong transport linkages it has with Melbourne, have translated into significant growth pressures in this </w:t>
      </w:r>
      <w:r w:rsidR="00112C95">
        <w:t>sub-region</w:t>
      </w:r>
      <w:r w:rsidRPr="004D2CC1">
        <w:t xml:space="preserve">, particularly in those places closer to Melbourne on the Hume corridor. </w:t>
      </w:r>
    </w:p>
    <w:p w:rsidR="00DC6AAC" w:rsidRDefault="00DC6AAC" w:rsidP="005A19BB">
      <w:pPr>
        <w:pStyle w:val="bt"/>
        <w:spacing w:after="200"/>
      </w:pPr>
      <w:r w:rsidRPr="004D2CC1">
        <w:t xml:space="preserve">Beveridge and Wallan are part of the Hume Region </w:t>
      </w:r>
      <w:r w:rsidR="00124AC9" w:rsidRPr="004D2CC1">
        <w:t xml:space="preserve">and </w:t>
      </w:r>
      <w:r w:rsidRPr="004D2CC1">
        <w:t>are included in Melbourne’s U</w:t>
      </w:r>
      <w:r w:rsidR="000721BA">
        <w:t xml:space="preserve">rban </w:t>
      </w:r>
      <w:r w:rsidRPr="004D2CC1">
        <w:t>G</w:t>
      </w:r>
      <w:r w:rsidR="000721BA">
        <w:t xml:space="preserve">rowth </w:t>
      </w:r>
      <w:r w:rsidRPr="004D2CC1">
        <w:t>B</w:t>
      </w:r>
      <w:r w:rsidR="000721BA">
        <w:t>oundary</w:t>
      </w:r>
      <w:r w:rsidRPr="004D2CC1">
        <w:t xml:space="preserve">. Planning for growth and development in these locations is being undertaken as part of growth area planning and through the preparation of </w:t>
      </w:r>
      <w:r w:rsidR="00315B29">
        <w:t>the new metropolitan p</w:t>
      </w:r>
      <w:r w:rsidRPr="004D2CC1">
        <w:t xml:space="preserve">lanning </w:t>
      </w:r>
      <w:r w:rsidR="00315B29">
        <w:t>s</w:t>
      </w:r>
      <w:r w:rsidRPr="004D2CC1">
        <w:t>trategy</w:t>
      </w:r>
      <w:r w:rsidR="00315B29">
        <w:t xml:space="preserve">, </w:t>
      </w:r>
      <w:r w:rsidR="00315B29" w:rsidRPr="00315B29">
        <w:rPr>
          <w:i/>
        </w:rPr>
        <w:t xml:space="preserve">Plan </w:t>
      </w:r>
      <w:r w:rsidR="00315B29">
        <w:rPr>
          <w:i/>
        </w:rPr>
        <w:t>M</w:t>
      </w:r>
      <w:r w:rsidR="00315B29" w:rsidRPr="00315B29">
        <w:rPr>
          <w:i/>
        </w:rPr>
        <w:t>elbourne</w:t>
      </w:r>
      <w:r w:rsidRPr="004D2CC1">
        <w:t xml:space="preserve">. Significant metropolitan growth in Beveridge and Wallan may present future employment opportunities to communities in the Lower Hume </w:t>
      </w:r>
      <w:r w:rsidR="00112C95">
        <w:t>sub-region</w:t>
      </w:r>
      <w:r w:rsidRPr="004D2CC1">
        <w:t xml:space="preserve"> outside the metropolitan area. The proposed Beveridge Interstate Freight Terminal may provide further employment opportunities.</w:t>
      </w:r>
    </w:p>
    <w:p w:rsidR="004D086A" w:rsidRPr="004D2CC1" w:rsidRDefault="004D086A" w:rsidP="005A19BB">
      <w:pPr>
        <w:pStyle w:val="bt"/>
        <w:spacing w:after="200"/>
      </w:pPr>
      <w:r>
        <w:t>Plan Melbourne (Chapter 6 – State of Cities) identifies Kilmore</w:t>
      </w:r>
      <w:r w:rsidR="00E63DD4">
        <w:t>, Broadford and Seymour</w:t>
      </w:r>
      <w:r>
        <w:t xml:space="preserve"> as peri-urban towns with potential to attract housing and population growth out of Melbourne.</w:t>
      </w:r>
    </w:p>
    <w:p w:rsidR="008262C4" w:rsidRDefault="00DC6AAC" w:rsidP="005A19BB">
      <w:pPr>
        <w:pStyle w:val="bt"/>
        <w:spacing w:after="200"/>
      </w:pPr>
      <w:r w:rsidRPr="004D2CC1">
        <w:t xml:space="preserve">In light of </w:t>
      </w:r>
      <w:r w:rsidR="004D3AE4">
        <w:t xml:space="preserve">the </w:t>
      </w:r>
      <w:r w:rsidRPr="004D2CC1">
        <w:t xml:space="preserve">growth expected in the southern part of Mitchell Shire and other strategic advantages, Seymour has been identified as an urban location that has the potential to accommodate significant change and develop into a significant employment centre over the next 30 years, accompanied by an increasing resident population. Seymour is located at the junction of the Hume and Goulburn Valley transport corridors and is serviced by regular passenger train services to and from Melbourne. </w:t>
      </w:r>
    </w:p>
    <w:p w:rsidR="00DC6AAC" w:rsidRPr="004D2CC1" w:rsidRDefault="00DC6AAC" w:rsidP="005A19BB">
      <w:pPr>
        <w:pStyle w:val="bt"/>
        <w:spacing w:after="200"/>
      </w:pPr>
      <w:r w:rsidRPr="004D2CC1">
        <w:t xml:space="preserve">Seymour is </w:t>
      </w:r>
      <w:r w:rsidR="00124AC9" w:rsidRPr="004D2CC1">
        <w:t xml:space="preserve">also </w:t>
      </w:r>
      <w:r w:rsidRPr="004D2CC1">
        <w:t xml:space="preserve">located close to Mangalore Airport, which is a potential key regional transport asset for the future. The town is located within the hinterland of Melbourne and has significant community and physical infrastructure available to accommodate growth. These advantages represent opportunities for significant economic development and the potential to build a strategic employment hub in the southern part of the region. Further development opportunities will arise when the flood risk to Seymour’s central area is substantially reduced, with the construction of a levee expected to be completed by 2020. </w:t>
      </w:r>
    </w:p>
    <w:p w:rsidR="00DC6AAC" w:rsidRPr="004D2CC1" w:rsidRDefault="00DC6AAC" w:rsidP="005A19BB">
      <w:pPr>
        <w:pStyle w:val="bt"/>
        <w:spacing w:after="200"/>
      </w:pPr>
      <w:r w:rsidRPr="004D2CC1">
        <w:t xml:space="preserve">Seymour’s role as a transit gateway between Melbourne and the Hume Region will be reinforced in the future. Seymour will continue to provide higher order services to regional communities in the Lower Hume </w:t>
      </w:r>
      <w:r w:rsidR="00112C95">
        <w:t>sub-region</w:t>
      </w:r>
      <w:r w:rsidRPr="004D2CC1">
        <w:t xml:space="preserve"> but will require investment in upgraded and new physical and social infrastructure to support increased demand. As Seymour’s employment develops and attracts new residents, investment in residential development and related infrastructure and services will also be required.</w:t>
      </w:r>
    </w:p>
    <w:p w:rsidR="00DC6AAC" w:rsidRPr="005A19BB" w:rsidRDefault="00DC6AAC" w:rsidP="005A19BB">
      <w:pPr>
        <w:pStyle w:val="bt"/>
        <w:spacing w:after="200"/>
      </w:pPr>
      <w:r w:rsidRPr="004D2CC1">
        <w:t xml:space="preserve">Current </w:t>
      </w:r>
      <w:r w:rsidR="002A2D7F">
        <w:t>s</w:t>
      </w:r>
      <w:r w:rsidRPr="004D2CC1">
        <w:t xml:space="preserve">tate </w:t>
      </w:r>
      <w:r w:rsidR="002A2D7F">
        <w:t>p</w:t>
      </w:r>
      <w:r w:rsidRPr="004D2CC1">
        <w:t xml:space="preserve">lanning </w:t>
      </w:r>
      <w:r w:rsidR="002A2D7F">
        <w:t>p</w:t>
      </w:r>
      <w:r w:rsidRPr="004D2CC1">
        <w:t xml:space="preserve">olicy for settlement within Melbourne’s hinterland encourages development in </w:t>
      </w:r>
      <w:r w:rsidR="002A2D7F">
        <w:t>‘</w:t>
      </w:r>
      <w:r w:rsidRPr="004D2CC1">
        <w:t>selected discrete settlements within the hinterland of metropolitan Melbourne</w:t>
      </w:r>
      <w:r w:rsidR="002A2D7F">
        <w:t>’</w:t>
      </w:r>
      <w:r w:rsidR="004D3AE4">
        <w:t>,</w:t>
      </w:r>
      <w:r w:rsidRPr="004D2CC1">
        <w:t xml:space="preserve"> and providing for </w:t>
      </w:r>
      <w:r w:rsidRPr="005A19BB">
        <w:t>development in Seymour could be considered to be in alignment with this policy direction.</w:t>
      </w:r>
    </w:p>
    <w:p w:rsidR="00DC6AAC" w:rsidRPr="005A19BB" w:rsidRDefault="00DC6AAC" w:rsidP="005A19BB">
      <w:pPr>
        <w:pStyle w:val="bt"/>
        <w:spacing w:after="200"/>
      </w:pPr>
      <w:r w:rsidRPr="005A19BB">
        <w:lastRenderedPageBreak/>
        <w:t>Results from the 2011 Urban Development Program, draft Regional Residential Report for the Shire of Mitchell indicate that:</w:t>
      </w:r>
    </w:p>
    <w:p w:rsidR="006841B0" w:rsidRPr="00D13BBA" w:rsidRDefault="00DC6AAC" w:rsidP="00D13BBA">
      <w:pPr>
        <w:pStyle w:val="btbullet"/>
      </w:pPr>
      <w:proofErr w:type="gramStart"/>
      <w:r w:rsidRPr="00D13BBA">
        <w:t>there</w:t>
      </w:r>
      <w:proofErr w:type="gramEnd"/>
      <w:r w:rsidRPr="00D13BBA">
        <w:t xml:space="preserve"> is the potential for 9190 lots to be created from land zoned for residential use or from infill. This would satisfy </w:t>
      </w:r>
      <w:r w:rsidR="004E23AF" w:rsidRPr="00D13BBA">
        <w:t>more than</w:t>
      </w:r>
      <w:r w:rsidR="00B04FEA" w:rsidRPr="00D13BBA">
        <w:t xml:space="preserve"> </w:t>
      </w:r>
      <w:r w:rsidRPr="00D13BBA">
        <w:t xml:space="preserve">15 years of future residential demand across the Mitchell Shire </w:t>
      </w:r>
      <w:r w:rsidR="00B04FEA" w:rsidRPr="00D13BBA">
        <w:t xml:space="preserve">– </w:t>
      </w:r>
      <w:r w:rsidRPr="00D13BBA">
        <w:t xml:space="preserve">North Statistical Local Area and nine years of future residential demand across the Mitchell Shire </w:t>
      </w:r>
      <w:r w:rsidR="00B04FEA" w:rsidRPr="00D13BBA">
        <w:t xml:space="preserve">– </w:t>
      </w:r>
      <w:r w:rsidRPr="00D13BBA">
        <w:t xml:space="preserve">South </w:t>
      </w:r>
      <w:r w:rsidR="00DE4E99" w:rsidRPr="00D13BBA">
        <w:t>Statistical Local Area</w:t>
      </w:r>
      <w:r w:rsidRPr="00D13BBA">
        <w:t>. Around 85</w:t>
      </w:r>
      <w:r w:rsidR="005563FD" w:rsidRPr="00D13BBA">
        <w:t xml:space="preserve"> </w:t>
      </w:r>
      <w:r w:rsidR="002000A4" w:rsidRPr="00D13BBA">
        <w:t>per cent</w:t>
      </w:r>
      <w:r w:rsidRPr="00D13BBA">
        <w:t xml:space="preserve"> of these lots are located in Wallan, Beveridge or Kilmore</w:t>
      </w:r>
      <w:r w:rsidR="009265C5" w:rsidRPr="00D13BBA">
        <w:t>.</w:t>
      </w:r>
    </w:p>
    <w:p w:rsidR="006841B0" w:rsidRPr="00D13BBA" w:rsidRDefault="00DC6AAC" w:rsidP="00D13BBA">
      <w:pPr>
        <w:pStyle w:val="btbullet"/>
      </w:pPr>
      <w:r w:rsidRPr="00D13BBA">
        <w:t xml:space="preserve">a further 36,899 lots can be provided on land designated for future residential use, providing a sufficient supply land to satisfy </w:t>
      </w:r>
      <w:r w:rsidR="004E23AF" w:rsidRPr="00D13BBA">
        <w:t>more than</w:t>
      </w:r>
      <w:r w:rsidRPr="00D13BBA">
        <w:t xml:space="preserve"> 15 years of projected demand across the Mitchell Shire </w:t>
      </w:r>
      <w:r w:rsidR="00B04FEA" w:rsidRPr="00D13BBA">
        <w:t xml:space="preserve">– </w:t>
      </w:r>
      <w:r w:rsidRPr="00D13BBA">
        <w:t xml:space="preserve">South </w:t>
      </w:r>
      <w:r w:rsidR="00DE4E99" w:rsidRPr="00D13BBA">
        <w:t>Statistical Local Area</w:t>
      </w:r>
      <w:r w:rsidRPr="00D13BBA">
        <w:t xml:space="preserve">. There is no future identified residential stock within the Mitchell Shire </w:t>
      </w:r>
      <w:r w:rsidR="00B04FEA" w:rsidRPr="00D13BBA">
        <w:t xml:space="preserve">– </w:t>
      </w:r>
      <w:r w:rsidRPr="00D13BBA">
        <w:t xml:space="preserve">North </w:t>
      </w:r>
      <w:r w:rsidR="00DE4E99" w:rsidRPr="00D13BBA">
        <w:t>Statistical Local Area</w:t>
      </w:r>
      <w:r w:rsidRPr="00D13BBA">
        <w:t xml:space="preserve"> (including Seymour).</w:t>
      </w:r>
    </w:p>
    <w:p w:rsidR="00276723" w:rsidRDefault="00AF799A" w:rsidP="00276723">
      <w:pPr>
        <w:pStyle w:val="bt"/>
        <w:spacing w:after="200"/>
      </w:pPr>
      <w:r>
        <w:t xml:space="preserve">Map 14 </w:t>
      </w:r>
      <w:r w:rsidR="00E659CB" w:rsidRPr="004D2CC1">
        <w:t>is a conceptual urban growth framework for Seymour depicting strategic opportunities for urban growth, including commercial nodes, industrial nodes and key linkages.</w:t>
      </w:r>
      <w:bookmarkStart w:id="80" w:name="_Ref374356753"/>
      <w:bookmarkStart w:id="81" w:name="_Toc374434710"/>
      <w:bookmarkStart w:id="82" w:name="_Ref347329392"/>
      <w:bookmarkStart w:id="83" w:name="_Ref347329387"/>
    </w:p>
    <w:p w:rsidR="004152CA" w:rsidRPr="00276723" w:rsidRDefault="009D1249" w:rsidP="00276723">
      <w:pPr>
        <w:pStyle w:val="bt"/>
      </w:pPr>
      <w:r w:rsidRPr="00276723">
        <w:t xml:space="preserve">Map </w:t>
      </w:r>
      <w:bookmarkEnd w:id="80"/>
      <w:r w:rsidR="00AF799A">
        <w:t>13</w:t>
      </w:r>
      <w:r w:rsidR="00276723" w:rsidRPr="00276723">
        <w:t xml:space="preserve"> </w:t>
      </w:r>
      <w:r w:rsidR="00276723">
        <w:t>is located here in the document and it shows -</w:t>
      </w:r>
      <w:r w:rsidR="00BD7B1F" w:rsidRPr="00276723">
        <w:t xml:space="preserve"> Lower Hume – </w:t>
      </w:r>
      <w:r w:rsidR="00CF73A1">
        <w:t>F</w:t>
      </w:r>
      <w:r w:rsidR="00BD7B1F" w:rsidRPr="00276723">
        <w:t>uture urban growth</w:t>
      </w:r>
      <w:bookmarkEnd w:id="81"/>
    </w:p>
    <w:p w:rsidR="00BD7B1F" w:rsidRPr="00276723" w:rsidRDefault="009D1249" w:rsidP="00276723">
      <w:pPr>
        <w:pStyle w:val="bt"/>
      </w:pPr>
      <w:bookmarkStart w:id="84" w:name="_Ref374356782"/>
      <w:bookmarkStart w:id="85" w:name="_Toc374434711"/>
      <w:r w:rsidRPr="00276723">
        <w:t xml:space="preserve">Map </w:t>
      </w:r>
      <w:bookmarkEnd w:id="84"/>
      <w:r w:rsidR="00AF799A">
        <w:t>14</w:t>
      </w:r>
      <w:r w:rsidR="00276723">
        <w:t xml:space="preserve"> is located here in the document and it shows -</w:t>
      </w:r>
      <w:r w:rsidR="00BD7B1F" w:rsidRPr="00276723">
        <w:t xml:space="preserve"> Seymour Urban Growth Framework</w:t>
      </w:r>
      <w:bookmarkEnd w:id="85"/>
    </w:p>
    <w:bookmarkEnd w:id="82"/>
    <w:bookmarkEnd w:id="83"/>
    <w:p w:rsidR="00E659CB" w:rsidRPr="00A25511" w:rsidRDefault="00E659CB" w:rsidP="00E659CB">
      <w:pPr>
        <w:pStyle w:val="bt"/>
      </w:pPr>
      <w:r w:rsidRPr="004D2CC1">
        <w:t>Considering Seymour’s potential to accommodate significant change and the lack of land identified for future residential development, strategic land use planning will be needed for this town.</w:t>
      </w:r>
    </w:p>
    <w:p w:rsidR="009D60ED" w:rsidRPr="000405A5" w:rsidRDefault="00B85119" w:rsidP="004D2CC1">
      <w:pPr>
        <w:pStyle w:val="bt"/>
      </w:pPr>
      <w:r w:rsidRPr="00B85119">
        <w:t xml:space="preserve">Other non-metropolitan urban locations in this sub-region that are expected to support growth include </w:t>
      </w:r>
      <w:r w:rsidRPr="000405A5">
        <w:t>Broadford, Kilmore, Yea and Alexandra.</w:t>
      </w:r>
      <w:r w:rsidR="00757126" w:rsidRPr="000405A5">
        <w:t xml:space="preserve"> These places could attract growth due to their proximity and access to Melbourne and Seymour, and the availability of developable land and existing infrastructure. Some of these localities offer unique growth opportunities related to natural characteristics and in some instances growth occurs due to the lifestyle offered and despite constraints. Growth needs to be managed to protect environmental assets and values and limit exposure to natural hazards such as bushfire and flood.</w:t>
      </w:r>
    </w:p>
    <w:p w:rsidR="00A03920" w:rsidRPr="000405A5" w:rsidRDefault="00757126" w:rsidP="004D2CC1">
      <w:pPr>
        <w:pStyle w:val="bt"/>
      </w:pPr>
      <w:r w:rsidRPr="000405A5">
        <w:t>The relationship between these urban locations and Seymour will be important to provide access to employment and services. This is particularly relevant for Yea and Alexandra as Seymour will also be a public transport access point to Melbourne for these communities. Strengthening linkages between these urban locations will enhance these relationships. Yea and Alexandra are located on the Maroondah and Melba Highways, which are important transport links between Melbourne and the region.</w:t>
      </w:r>
    </w:p>
    <w:p w:rsidR="00701A04" w:rsidRPr="000405A5" w:rsidRDefault="00757126" w:rsidP="004D2CC1">
      <w:pPr>
        <w:pStyle w:val="bt"/>
      </w:pPr>
      <w:r w:rsidRPr="000405A5">
        <w:t>Yea and Alexandra have the capacity to accommodate population growth. These locations and surrounding areas are well serviced by infrastructure, including major road networks providing access to and from the region. These areas offer attractive settings in relatively close proximity to Melbourne, which draws both residents and visitors, particularly considering the transport linkages through this area connecting the main transport corridors in the western part of the sub-region with the natural assets in the east.</w:t>
      </w:r>
    </w:p>
    <w:p w:rsidR="00DD0CA2" w:rsidRPr="000405A5" w:rsidRDefault="00757126" w:rsidP="004D2CC1">
      <w:pPr>
        <w:pStyle w:val="bt"/>
      </w:pPr>
      <w:r w:rsidRPr="000405A5">
        <w:t xml:space="preserve">The extension of Melbourne’s Urban Growth Boundary to include Beveridge and Wallan in the southern part of Mitchell Shire is likely to create further growth pressures on urban and rural locations outside Melbourne’s Urban Growth Boundary, such as in and around Broadford and Kilmore. Broadford and Kilmore will support surrounding rural communities by providing services and transport nodes to enable access to services in larger urban centres. </w:t>
      </w:r>
    </w:p>
    <w:p w:rsidR="009D60ED" w:rsidRPr="004D2CC1" w:rsidRDefault="00757126" w:rsidP="004D2CC1">
      <w:pPr>
        <w:pStyle w:val="bt"/>
      </w:pPr>
      <w:r w:rsidRPr="000405A5">
        <w:t>Communities in and around Broadford, Kilmore, Yea and Alexandra will have access to higher order services in Melbourne and Seymour</w:t>
      </w:r>
      <w:r w:rsidR="00B85119" w:rsidRPr="000405A5">
        <w:t>. Growth in these locations may gain further momentum as Seymour develops into a significant regional employment centre</w:t>
      </w:r>
      <w:r w:rsidRPr="000405A5">
        <w:t>. Pressure for rural residential</w:t>
      </w:r>
      <w:r>
        <w:t xml:space="preserve"> development in non-urban areas within</w:t>
      </w:r>
      <w:r w:rsidR="00EF2B4E" w:rsidRPr="004D2CC1">
        <w:t xml:space="preserve"> commutable distance from </w:t>
      </w:r>
      <w:r w:rsidR="00FD0458" w:rsidRPr="004D2CC1">
        <w:t xml:space="preserve">metropolitan </w:t>
      </w:r>
      <w:r w:rsidR="00EF2B4E" w:rsidRPr="004D2CC1">
        <w:t>Melbourne will also need to be managed</w:t>
      </w:r>
      <w:r w:rsidR="009D60ED" w:rsidRPr="004D2CC1">
        <w:t>.</w:t>
      </w:r>
    </w:p>
    <w:p w:rsidR="009D60ED" w:rsidRPr="00CF73A1" w:rsidRDefault="009D60ED" w:rsidP="004D2CC1">
      <w:pPr>
        <w:pStyle w:val="bt"/>
        <w:rPr>
          <w:rStyle w:val="Strong"/>
        </w:rPr>
      </w:pPr>
      <w:proofErr w:type="gramStart"/>
      <w:r w:rsidRPr="00CF73A1">
        <w:rPr>
          <w:rStyle w:val="Strong"/>
        </w:rPr>
        <w:t>iv)</w:t>
      </w:r>
      <w:r w:rsidRPr="00CF73A1">
        <w:rPr>
          <w:rStyle w:val="Strong"/>
        </w:rPr>
        <w:tab/>
        <w:t>Upper</w:t>
      </w:r>
      <w:proofErr w:type="gramEnd"/>
      <w:r w:rsidRPr="00CF73A1">
        <w:rPr>
          <w:rStyle w:val="Strong"/>
        </w:rPr>
        <w:t xml:space="preserve"> Hume (refer to</w:t>
      </w:r>
      <w:r w:rsidR="00AF799A">
        <w:rPr>
          <w:rStyle w:val="Strong"/>
        </w:rPr>
        <w:t xml:space="preserve"> Map 15</w:t>
      </w:r>
      <w:r w:rsidRPr="00CF73A1">
        <w:rPr>
          <w:rStyle w:val="Strong"/>
        </w:rPr>
        <w:t>)</w:t>
      </w:r>
    </w:p>
    <w:p w:rsidR="000662A7" w:rsidRPr="004D2CC1" w:rsidRDefault="000662A7" w:rsidP="004D2CC1">
      <w:pPr>
        <w:pStyle w:val="bt"/>
      </w:pPr>
      <w:r w:rsidRPr="004D2CC1">
        <w:lastRenderedPageBreak/>
        <w:t xml:space="preserve">Major urban growth and development in the Upper Hume </w:t>
      </w:r>
      <w:r w:rsidR="00112C95">
        <w:t>sub-region</w:t>
      </w:r>
      <w:r w:rsidRPr="004D2CC1">
        <w:t xml:space="preserve"> will be focused in the major regional city of Wodonga. This recognises the existing capacity of Wodonga to accommodate future growth and the extensive local strategic land use planning already undertaken for such growth. This planning aims to ensure that while Wodonga continues to experience significant growth, it also has the capacity to accommodate this growth with significant areas of serviced land ready for residential, commercial and industrial development.</w:t>
      </w:r>
    </w:p>
    <w:p w:rsidR="000662A7" w:rsidRDefault="000662A7" w:rsidP="004D2CC1">
      <w:pPr>
        <w:pStyle w:val="bt"/>
      </w:pPr>
      <w:r w:rsidRPr="004D2CC1">
        <w:t>Population growth in Wodonga will be accommodated in seven existing growth fronts to the west and east of the city</w:t>
      </w:r>
      <w:r w:rsidR="00044E19">
        <w:t>,</w:t>
      </w:r>
      <w:r w:rsidRPr="004D2CC1">
        <w:t xml:space="preserve"> and medium</w:t>
      </w:r>
      <w:r w:rsidR="00044E19">
        <w:t>-</w:t>
      </w:r>
      <w:r w:rsidRPr="004D2CC1">
        <w:t xml:space="preserve"> to </w:t>
      </w:r>
      <w:r w:rsidR="004D2588" w:rsidRPr="004D2CC1">
        <w:t>long</w:t>
      </w:r>
      <w:r w:rsidR="004D2588">
        <w:t>-</w:t>
      </w:r>
      <w:r w:rsidRPr="004D2CC1">
        <w:t xml:space="preserve">term growth will be focused in the Leneva-Baranduda growth area, which will accommodate up to </w:t>
      </w:r>
      <w:r w:rsidR="009D775A">
        <w:t>35</w:t>
      </w:r>
      <w:r w:rsidRPr="004D2CC1">
        <w:t xml:space="preserve">,000 people over the next 20 to 50 years. Infill and urban renewal opportunities exist in Wodonga, particularly in the current </w:t>
      </w:r>
      <w:r w:rsidR="003951CC">
        <w:t>CBD</w:t>
      </w:r>
      <w:r w:rsidR="00DE4E99" w:rsidRPr="004D2CC1">
        <w:t xml:space="preserve"> </w:t>
      </w:r>
      <w:r w:rsidRPr="004D2CC1">
        <w:t xml:space="preserve">and on existing VicTrack land in and around the </w:t>
      </w:r>
      <w:r w:rsidR="00DE4E99">
        <w:t>C</w:t>
      </w:r>
      <w:r w:rsidR="00615A12">
        <w:t>BD</w:t>
      </w:r>
      <w:r w:rsidRPr="004D2CC1">
        <w:t>.</w:t>
      </w:r>
    </w:p>
    <w:p w:rsidR="000662A7" w:rsidRPr="004D2CC1" w:rsidRDefault="000662A7" w:rsidP="004D2CC1">
      <w:pPr>
        <w:pStyle w:val="bt"/>
      </w:pPr>
      <w:r w:rsidRPr="004D2CC1">
        <w:t xml:space="preserve">Results from the 2009 Urban Development Program, Regional Residential Report for the City of Wodonga </w:t>
      </w:r>
      <w:proofErr w:type="gramStart"/>
      <w:r w:rsidRPr="004D2CC1">
        <w:t>indicate</w:t>
      </w:r>
      <w:proofErr w:type="gramEnd"/>
      <w:r w:rsidRPr="004D2CC1">
        <w:t xml:space="preserve"> that:</w:t>
      </w:r>
    </w:p>
    <w:p w:rsidR="000662A7" w:rsidRPr="00A25511" w:rsidRDefault="000662A7" w:rsidP="009265C5">
      <w:pPr>
        <w:pStyle w:val="btbullet"/>
      </w:pPr>
      <w:r>
        <w:t>a</w:t>
      </w:r>
      <w:r w:rsidRPr="00A25511">
        <w:t>pproximately 7400 residential lots</w:t>
      </w:r>
      <w:r>
        <w:t xml:space="preserve"> could be provided on land zoned for residential use</w:t>
      </w:r>
    </w:p>
    <w:p w:rsidR="000662A7" w:rsidRPr="00A25511" w:rsidRDefault="000662A7" w:rsidP="009265C5">
      <w:pPr>
        <w:pStyle w:val="btbullet"/>
      </w:pPr>
      <w:r>
        <w:t xml:space="preserve">a further </w:t>
      </w:r>
      <w:r w:rsidRPr="00A25511">
        <w:t>23</w:t>
      </w:r>
      <w:r>
        <w:t>,</w:t>
      </w:r>
      <w:r w:rsidRPr="00A25511">
        <w:t xml:space="preserve">600 lots </w:t>
      </w:r>
      <w:r>
        <w:t xml:space="preserve">could be created on land </w:t>
      </w:r>
      <w:r w:rsidRPr="00A25511">
        <w:t>designated for future residential use</w:t>
      </w:r>
    </w:p>
    <w:p w:rsidR="006841B0" w:rsidRDefault="000662A7" w:rsidP="009265C5">
      <w:pPr>
        <w:pStyle w:val="btbullet"/>
      </w:pPr>
      <w:r>
        <w:t>a</w:t>
      </w:r>
      <w:r w:rsidRPr="00A25511">
        <w:t>pproximately 1200 infill lots were also available</w:t>
      </w:r>
    </w:p>
    <w:p w:rsidR="00276723" w:rsidRDefault="000662A7" w:rsidP="009D1249">
      <w:pPr>
        <w:pStyle w:val="btbullet"/>
      </w:pPr>
      <w:proofErr w:type="gramStart"/>
      <w:r>
        <w:t>t</w:t>
      </w:r>
      <w:r w:rsidRPr="008D4102">
        <w:t>here</w:t>
      </w:r>
      <w:proofErr w:type="gramEnd"/>
      <w:r w:rsidRPr="008D4102">
        <w:t xml:space="preserve"> is </w:t>
      </w:r>
      <w:r w:rsidR="00B377E5">
        <w:t>more than</w:t>
      </w:r>
      <w:r w:rsidRPr="008D4102">
        <w:t xml:space="preserve"> 15 </w:t>
      </w:r>
      <w:r w:rsidR="00044E19" w:rsidRPr="008D4102">
        <w:t>years</w:t>
      </w:r>
      <w:r w:rsidR="00044E19">
        <w:t>’</w:t>
      </w:r>
      <w:r w:rsidR="00044E19" w:rsidRPr="008D4102">
        <w:t xml:space="preserve"> </w:t>
      </w:r>
      <w:r w:rsidRPr="008D4102">
        <w:t>total supply of residential land stocks.</w:t>
      </w:r>
      <w:bookmarkStart w:id="86" w:name="_Ref374356853"/>
      <w:bookmarkStart w:id="87" w:name="_Toc374434712"/>
    </w:p>
    <w:p w:rsidR="001B3A13" w:rsidRDefault="009D1249" w:rsidP="00276723">
      <w:pPr>
        <w:pStyle w:val="bt"/>
      </w:pPr>
      <w:r>
        <w:t xml:space="preserve">Map </w:t>
      </w:r>
      <w:bookmarkEnd w:id="86"/>
      <w:r w:rsidR="00AF799A">
        <w:t>15</w:t>
      </w:r>
      <w:r w:rsidR="00276723" w:rsidRPr="00276723">
        <w:t xml:space="preserve"> </w:t>
      </w:r>
      <w:r w:rsidR="00276723">
        <w:t>is located here in the document and it shows -</w:t>
      </w:r>
      <w:r w:rsidR="00BD7B1F" w:rsidRPr="00BD7B1F">
        <w:t xml:space="preserve"> </w:t>
      </w:r>
      <w:r w:rsidR="00BD7B1F" w:rsidRPr="00276723">
        <w:t xml:space="preserve">Upper Hume – </w:t>
      </w:r>
      <w:r w:rsidR="00CF73A1">
        <w:t>F</w:t>
      </w:r>
      <w:r w:rsidR="00BD7B1F" w:rsidRPr="00276723">
        <w:t>uture urban growth</w:t>
      </w:r>
      <w:bookmarkEnd w:id="87"/>
    </w:p>
    <w:p w:rsidR="00A815AF" w:rsidRPr="004D2CC1" w:rsidRDefault="00A815AF" w:rsidP="004D2CC1">
      <w:pPr>
        <w:pStyle w:val="bt"/>
      </w:pPr>
      <w:r w:rsidRPr="004D2CC1">
        <w:t xml:space="preserve">Wodonga will continue to be an economic leader in the </w:t>
      </w:r>
      <w:r w:rsidR="00B00825" w:rsidRPr="004D2CC1">
        <w:t xml:space="preserve">Hume </w:t>
      </w:r>
      <w:r w:rsidR="00FD0458" w:rsidRPr="004D2CC1">
        <w:t>R</w:t>
      </w:r>
      <w:r w:rsidRPr="004D2CC1">
        <w:t xml:space="preserve">egion and capitalise on its strategic location at the junction of major transport routes </w:t>
      </w:r>
      <w:r w:rsidR="00B00825" w:rsidRPr="004D2CC1">
        <w:t xml:space="preserve">– </w:t>
      </w:r>
      <w:r w:rsidRPr="004D2CC1">
        <w:t>the Hume Corridor linking Melbourne and Sydney and the Murray Valley Highway linking to Adelaide. Wodonga will be the major employment centre for the Upper Hume sub</w:t>
      </w:r>
      <w:r w:rsidR="00B00825" w:rsidRPr="004D2CC1">
        <w:t>-</w:t>
      </w:r>
      <w:r w:rsidRPr="004D2CC1">
        <w:t>region</w:t>
      </w:r>
      <w:r w:rsidR="00BA0B28" w:rsidRPr="004D2CC1">
        <w:t xml:space="preserve"> and will continue to be a major economic driver within the region and beyond</w:t>
      </w:r>
      <w:r w:rsidRPr="004D2CC1">
        <w:t xml:space="preserve">. </w:t>
      </w:r>
      <w:r w:rsidR="00A2695F" w:rsidRPr="004D2CC1">
        <w:t>Existing m</w:t>
      </w:r>
      <w:r w:rsidRPr="004D2CC1">
        <w:t>ajor industrial and commercial development opportunities will be strengthened in Wodonga including:</w:t>
      </w:r>
    </w:p>
    <w:p w:rsidR="00A815AF" w:rsidRPr="00A25511" w:rsidRDefault="004218AA" w:rsidP="00EE492B">
      <w:pPr>
        <w:pStyle w:val="btbullet"/>
      </w:pPr>
      <w:r w:rsidRPr="00A25511">
        <w:t>L</w:t>
      </w:r>
      <w:r>
        <w:t>OGIC</w:t>
      </w:r>
      <w:r w:rsidR="00A815AF" w:rsidRPr="00A25511">
        <w:t>, Wodonga’s freight logistics precinct</w:t>
      </w:r>
      <w:r w:rsidR="009265C5">
        <w:t xml:space="preserve">, </w:t>
      </w:r>
      <w:r w:rsidR="004E23AF">
        <w:t>more than</w:t>
      </w:r>
      <w:r w:rsidR="00495D71">
        <w:t xml:space="preserve"> 600</w:t>
      </w:r>
      <w:r w:rsidR="00B00825">
        <w:t xml:space="preserve"> hectares </w:t>
      </w:r>
      <w:r w:rsidR="006435AB">
        <w:t>of zoned industrial and business land</w:t>
      </w:r>
      <w:r w:rsidR="00DB526E">
        <w:t xml:space="preserve"> providing 20 years of land supply for </w:t>
      </w:r>
      <w:r w:rsidR="00D31E0E">
        <w:t>large-</w:t>
      </w:r>
      <w:r w:rsidR="00DB526E">
        <w:t>scale employers</w:t>
      </w:r>
      <w:r w:rsidR="005B3520">
        <w:t>,</w:t>
      </w:r>
      <w:r w:rsidR="00A815AF" w:rsidRPr="00A25511">
        <w:t xml:space="preserve"> </w:t>
      </w:r>
      <w:r w:rsidR="00EF2B4E">
        <w:t>at the junction of</w:t>
      </w:r>
      <w:r w:rsidR="00EF2B4E" w:rsidRPr="00A25511">
        <w:t xml:space="preserve"> </w:t>
      </w:r>
      <w:r w:rsidR="00A815AF" w:rsidRPr="00A25511">
        <w:t>the Hume Corridor and Murray Valley Highway</w:t>
      </w:r>
      <w:r w:rsidR="009045DB">
        <w:t>, which has already received over $140 million of private investment</w:t>
      </w:r>
      <w:r w:rsidR="00A815AF" w:rsidRPr="00A25511">
        <w:t xml:space="preserve"> </w:t>
      </w:r>
    </w:p>
    <w:p w:rsidR="00A815AF" w:rsidRPr="00A25511" w:rsidRDefault="00EF2B4E" w:rsidP="00EE492B">
      <w:pPr>
        <w:pStyle w:val="btbullet"/>
      </w:pPr>
      <w:proofErr w:type="gramStart"/>
      <w:r>
        <w:t>r</w:t>
      </w:r>
      <w:r w:rsidR="00A815AF" w:rsidRPr="00A25511">
        <w:t>edevelopment</w:t>
      </w:r>
      <w:proofErr w:type="gramEnd"/>
      <w:r w:rsidR="00A815AF" w:rsidRPr="00A25511">
        <w:t xml:space="preserve"> of Wodonga’s CBD and new commercial developments associated with future growth areas. </w:t>
      </w:r>
    </w:p>
    <w:p w:rsidR="00F778AA" w:rsidRDefault="00F778AA" w:rsidP="004D2CC1">
      <w:pPr>
        <w:pStyle w:val="bt"/>
      </w:pPr>
      <w:r w:rsidRPr="00F778AA">
        <w:t xml:space="preserve">Two preferred station locations for the potential </w:t>
      </w:r>
      <w:r w:rsidR="00D31E0E" w:rsidRPr="00F778AA">
        <w:t>high</w:t>
      </w:r>
      <w:r w:rsidR="00D31E0E">
        <w:t>-</w:t>
      </w:r>
      <w:r w:rsidRPr="00F778AA">
        <w:t xml:space="preserve">speed rail system between Melbourne and Sydney have been identified for the Hume Region. One of these preferred station locations is at Barnawartha North </w:t>
      </w:r>
      <w:r w:rsidR="004E23AF">
        <w:t xml:space="preserve">close </w:t>
      </w:r>
      <w:r w:rsidRPr="00F778AA">
        <w:t xml:space="preserve">to the LOGIC freight activity centre. The establishment of this </w:t>
      </w:r>
      <w:r w:rsidR="00D31E0E" w:rsidRPr="00F778AA">
        <w:t>high</w:t>
      </w:r>
      <w:r w:rsidR="00D31E0E">
        <w:t>-</w:t>
      </w:r>
      <w:r w:rsidRPr="00F778AA">
        <w:t>speed rail station could significantly enhance Wodonga’s regional role and growth potential.</w:t>
      </w:r>
    </w:p>
    <w:p w:rsidR="00A815AF" w:rsidRPr="00A25511" w:rsidRDefault="00A815AF" w:rsidP="004D2CC1">
      <w:pPr>
        <w:pStyle w:val="bt"/>
      </w:pPr>
      <w:r w:rsidRPr="00A25511">
        <w:t xml:space="preserve">Investment in </w:t>
      </w:r>
      <w:r w:rsidR="00EF2B4E" w:rsidRPr="00A25511">
        <w:t xml:space="preserve">physical and social </w:t>
      </w:r>
      <w:r w:rsidRPr="00A25511">
        <w:t xml:space="preserve">infrastructure will be needed to support Wodonga’s </w:t>
      </w:r>
      <w:r w:rsidR="00A2695F">
        <w:t xml:space="preserve">critical </w:t>
      </w:r>
      <w:r w:rsidRPr="00A25511">
        <w:t xml:space="preserve">role </w:t>
      </w:r>
      <w:r w:rsidR="001706B0" w:rsidRPr="00A25511">
        <w:t xml:space="preserve">as a growing </w:t>
      </w:r>
      <w:r w:rsidR="00977553">
        <w:t xml:space="preserve">commercial, industrial and </w:t>
      </w:r>
      <w:r w:rsidR="00977553" w:rsidRPr="00A25511">
        <w:t>service</w:t>
      </w:r>
      <w:r w:rsidR="001706B0" w:rsidRPr="00A25511">
        <w:t xml:space="preserve"> hub for the </w:t>
      </w:r>
      <w:r w:rsidR="001706B0">
        <w:t xml:space="preserve">Upper Hume </w:t>
      </w:r>
      <w:r w:rsidR="00112C95">
        <w:t>sub-region</w:t>
      </w:r>
      <w:r w:rsidRPr="00A25511">
        <w:t xml:space="preserve">, particularly in education, health, </w:t>
      </w:r>
      <w:r w:rsidR="00E318E4">
        <w:t xml:space="preserve">manufacturing, defence, </w:t>
      </w:r>
      <w:r w:rsidRPr="00A25511">
        <w:t>professional services and retail. Wodonga also has the potential to be a significant hub for sporting events</w:t>
      </w:r>
      <w:r w:rsidR="00495D71">
        <w:t>, with the opportunity</w:t>
      </w:r>
      <w:r w:rsidR="00A2695F">
        <w:t xml:space="preserve"> to build on its strong arts and cultural sector</w:t>
      </w:r>
      <w:r w:rsidR="002626B8">
        <w:t xml:space="preserve"> and tourism attractions,</w:t>
      </w:r>
      <w:r w:rsidR="00A2695F">
        <w:t xml:space="preserve"> </w:t>
      </w:r>
      <w:r w:rsidR="002626B8">
        <w:t>such as the Bonegilla Migrant Centre,</w:t>
      </w:r>
      <w:r w:rsidR="00A2695F">
        <w:t xml:space="preserve"> </w:t>
      </w:r>
      <w:r w:rsidR="006C20A7">
        <w:t>Gateway Island</w:t>
      </w:r>
      <w:r w:rsidR="00A2695F">
        <w:t xml:space="preserve"> and the cultural precinct in </w:t>
      </w:r>
      <w:r w:rsidR="002626B8">
        <w:t>its</w:t>
      </w:r>
      <w:r w:rsidR="00A2695F">
        <w:t xml:space="preserve"> CBD</w:t>
      </w:r>
      <w:r w:rsidRPr="00A25511">
        <w:t xml:space="preserve">. </w:t>
      </w:r>
    </w:p>
    <w:p w:rsidR="00A815AF" w:rsidRPr="00A25511" w:rsidRDefault="00A815AF" w:rsidP="004D2CC1">
      <w:pPr>
        <w:pStyle w:val="bt"/>
      </w:pPr>
      <w:r w:rsidRPr="00A25511">
        <w:t xml:space="preserve">The relationship between Wodonga and surrounding communities will be important to provide access to employment and services. </w:t>
      </w:r>
      <w:r w:rsidR="001706B0">
        <w:t>S</w:t>
      </w:r>
      <w:r w:rsidRPr="00A25511">
        <w:t xml:space="preserve">trengthening linkages between Wodonga and </w:t>
      </w:r>
      <w:r w:rsidR="001706B0">
        <w:t>other</w:t>
      </w:r>
      <w:r w:rsidR="001706B0" w:rsidRPr="00A25511">
        <w:t xml:space="preserve"> </w:t>
      </w:r>
      <w:r w:rsidRPr="00A25511">
        <w:t>urban locations</w:t>
      </w:r>
      <w:r w:rsidR="001706B0">
        <w:t xml:space="preserve"> in this </w:t>
      </w:r>
      <w:r w:rsidR="00112C95">
        <w:t>sub-region</w:t>
      </w:r>
      <w:r w:rsidRPr="00A25511">
        <w:t xml:space="preserve"> </w:t>
      </w:r>
      <w:r w:rsidR="001706B0">
        <w:t>will</w:t>
      </w:r>
      <w:r w:rsidRPr="00A25511">
        <w:t xml:space="preserve"> </w:t>
      </w:r>
      <w:r w:rsidR="001706B0" w:rsidRPr="00A25511">
        <w:t>enhanc</w:t>
      </w:r>
      <w:r w:rsidR="001706B0">
        <w:t>e</w:t>
      </w:r>
      <w:r w:rsidR="001706B0" w:rsidRPr="00A25511">
        <w:t xml:space="preserve"> </w:t>
      </w:r>
      <w:r w:rsidRPr="00A25511">
        <w:t xml:space="preserve">this relationship. </w:t>
      </w:r>
    </w:p>
    <w:p w:rsidR="00FC0546" w:rsidRDefault="00AF799A" w:rsidP="004D2CC1">
      <w:pPr>
        <w:pStyle w:val="bt"/>
      </w:pPr>
      <w:r>
        <w:t xml:space="preserve">Map 16 </w:t>
      </w:r>
      <w:r w:rsidR="00A815AF" w:rsidRPr="00B75B26">
        <w:t>is</w:t>
      </w:r>
      <w:r w:rsidR="00A815AF" w:rsidRPr="00A25511">
        <w:t xml:space="preserve"> a</w:t>
      </w:r>
      <w:r w:rsidR="001706B0">
        <w:t xml:space="preserve"> conceptual</w:t>
      </w:r>
      <w:r w:rsidR="00A815AF" w:rsidRPr="00A25511">
        <w:t xml:space="preserve"> urban growth framework for Wodonga </w:t>
      </w:r>
      <w:r w:rsidR="00495D71">
        <w:t>s</w:t>
      </w:r>
      <w:r w:rsidR="001706B0">
        <w:t>howing</w:t>
      </w:r>
      <w:r w:rsidR="00A815AF" w:rsidRPr="00A25511">
        <w:t xml:space="preserve"> strategic urban growth opportunities including key growth fronts, commercial nodes, industrial nodes, </w:t>
      </w:r>
      <w:r w:rsidR="001706B0">
        <w:t>important</w:t>
      </w:r>
      <w:r w:rsidR="001706B0" w:rsidRPr="00A25511">
        <w:t xml:space="preserve"> </w:t>
      </w:r>
      <w:r w:rsidR="00A815AF" w:rsidRPr="00A25511">
        <w:t xml:space="preserve">linkages and </w:t>
      </w:r>
      <w:r w:rsidR="001706B0">
        <w:t xml:space="preserve">potential areas for </w:t>
      </w:r>
      <w:r w:rsidR="00A815AF" w:rsidRPr="00A25511">
        <w:t>infill and urban renewal</w:t>
      </w:r>
      <w:r w:rsidR="001706B0">
        <w:t>.</w:t>
      </w:r>
    </w:p>
    <w:p w:rsidR="0075312A" w:rsidRPr="00A25511" w:rsidRDefault="0075312A" w:rsidP="004D2CC1">
      <w:pPr>
        <w:pStyle w:val="bt"/>
      </w:pPr>
      <w:r w:rsidRPr="00A25511">
        <w:lastRenderedPageBreak/>
        <w:t xml:space="preserve">The </w:t>
      </w:r>
      <w:r>
        <w:t>combined urban area (</w:t>
      </w:r>
      <w:r w:rsidRPr="00A25511">
        <w:t>conurbation</w:t>
      </w:r>
      <w:r>
        <w:t>)</w:t>
      </w:r>
      <w:r w:rsidRPr="00A25511">
        <w:t xml:space="preserve"> of Albury-Wodonga is recognised </w:t>
      </w:r>
      <w:r>
        <w:t xml:space="preserve">by the Australian Government </w:t>
      </w:r>
      <w:r w:rsidRPr="00A25511">
        <w:t xml:space="preserve">as one of </w:t>
      </w:r>
      <w:r>
        <w:t>the country’s</w:t>
      </w:r>
      <w:r w:rsidRPr="00A25511">
        <w:t xml:space="preserve"> 18 major cities. </w:t>
      </w:r>
      <w:r>
        <w:t xml:space="preserve">This </w:t>
      </w:r>
      <w:r w:rsidR="00D36385">
        <w:t>p</w:t>
      </w:r>
      <w:r>
        <w:t>lan acknowledges t</w:t>
      </w:r>
      <w:r w:rsidRPr="00A25511">
        <w:t xml:space="preserve">he influence of Albury-Wodonga in the Upper Hume </w:t>
      </w:r>
      <w:r w:rsidR="00112C95">
        <w:t>sub-region</w:t>
      </w:r>
      <w:r w:rsidRPr="00A25511">
        <w:t xml:space="preserve">, and the </w:t>
      </w:r>
      <w:r>
        <w:t>Hume R</w:t>
      </w:r>
      <w:r w:rsidRPr="00A25511">
        <w:t xml:space="preserve">egion more broadly, </w:t>
      </w:r>
      <w:r>
        <w:t>and embraces</w:t>
      </w:r>
      <w:r w:rsidRPr="00A25511">
        <w:t xml:space="preserve"> the advantages </w:t>
      </w:r>
      <w:r>
        <w:t>that flow from it</w:t>
      </w:r>
      <w:r w:rsidRPr="00A25511">
        <w:t xml:space="preserve">. </w:t>
      </w:r>
      <w:r w:rsidR="000857A3">
        <w:t>Albury-</w:t>
      </w:r>
      <w:r w:rsidR="000857A3" w:rsidRPr="000857A3">
        <w:t xml:space="preserve">Wodonga </w:t>
      </w:r>
      <w:r w:rsidR="000857A3">
        <w:t>functions</w:t>
      </w:r>
      <w:r w:rsidR="000857A3" w:rsidRPr="000857A3">
        <w:t xml:space="preserve"> as a single economic zone, with employment, investment and services accessed across both locations</w:t>
      </w:r>
      <w:r w:rsidR="003B1245">
        <w:t>.</w:t>
      </w:r>
      <w:r w:rsidR="00345923">
        <w:t xml:space="preserve"> </w:t>
      </w:r>
      <w:r w:rsidRPr="00A25511">
        <w:t xml:space="preserve">Both Albury and Wodonga are expected to grow significantly in the future and both councils are planning for </w:t>
      </w:r>
      <w:r>
        <w:t>major expansion of their urban areas</w:t>
      </w:r>
      <w:r w:rsidRPr="00A25511">
        <w:t>. Albury-Wodonga offers a range of higher order</w:t>
      </w:r>
      <w:r w:rsidR="00345923">
        <w:t xml:space="preserve"> regional</w:t>
      </w:r>
      <w:r w:rsidRPr="00A25511">
        <w:t xml:space="preserve"> services </w:t>
      </w:r>
      <w:r w:rsidR="003B1245">
        <w:t xml:space="preserve">and facilities </w:t>
      </w:r>
      <w:r w:rsidRPr="00A25511">
        <w:t>to</w:t>
      </w:r>
      <w:r w:rsidR="00D72216">
        <w:t xml:space="preserve"> a wider catchment of some 180</w:t>
      </w:r>
      <w:r w:rsidR="00345923" w:rsidRPr="00345923">
        <w:t>,000 people.</w:t>
      </w:r>
      <w:r w:rsidR="00345923">
        <w:t xml:space="preserve"> These </w:t>
      </w:r>
      <w:r w:rsidR="00345923" w:rsidRPr="00A25511">
        <w:t xml:space="preserve">services </w:t>
      </w:r>
      <w:r w:rsidR="00345923">
        <w:t>and facilities include</w:t>
      </w:r>
      <w:r w:rsidRPr="00A25511">
        <w:t xml:space="preserve"> universities, hospitals and transport facilities, including an airport with commercial flights to Melbourne and Sydney.</w:t>
      </w:r>
      <w:r w:rsidR="003B1245">
        <w:t xml:space="preserve"> Such</w:t>
      </w:r>
      <w:r w:rsidR="003B1245" w:rsidRPr="003B1245">
        <w:t xml:space="preserve"> highe</w:t>
      </w:r>
      <w:r w:rsidR="003B1245">
        <w:t xml:space="preserve">r order services and facilities </w:t>
      </w:r>
      <w:r w:rsidR="003B1245" w:rsidRPr="003B1245">
        <w:t xml:space="preserve">in Wodonga </w:t>
      </w:r>
      <w:r w:rsidR="003B1245">
        <w:t>will</w:t>
      </w:r>
      <w:r w:rsidR="003B1245" w:rsidRPr="003B1245">
        <w:t xml:space="preserve"> support the strong level of residential growth that is already approved and planned for over the next 20</w:t>
      </w:r>
      <w:r w:rsidR="00A542E3">
        <w:t>–</w:t>
      </w:r>
      <w:r w:rsidR="003B1245" w:rsidRPr="003B1245">
        <w:t xml:space="preserve">50 years. </w:t>
      </w:r>
    </w:p>
    <w:p w:rsidR="00610FFA" w:rsidRDefault="0075312A" w:rsidP="00610FFA">
      <w:pPr>
        <w:pStyle w:val="bt"/>
      </w:pPr>
      <w:r>
        <w:t>While Wodonga provides some lifestyle opportunities in many of its neighbourhoods, such as Baranduda, Bonegilla and Leneva, s</w:t>
      </w:r>
      <w:r w:rsidRPr="00A25511">
        <w:t>ettlements in areas surrounding Wodonga</w:t>
      </w:r>
      <w:r>
        <w:t xml:space="preserve">, such as </w:t>
      </w:r>
      <w:r w:rsidRPr="00A25511">
        <w:t>Barnawartha, Beechworth, Bellbridge, Chiltern, Rutherglen, Tallangatta, Tangambalanga, Wahgunyah and Yackandandah</w:t>
      </w:r>
      <w:r>
        <w:t>,</w:t>
      </w:r>
      <w:r w:rsidRPr="00A25511">
        <w:t xml:space="preserve"> will continue to provide </w:t>
      </w:r>
      <w:r>
        <w:t xml:space="preserve">additional </w:t>
      </w:r>
      <w:r w:rsidRPr="00A25511">
        <w:t xml:space="preserve">lifestyle opportunities. </w:t>
      </w:r>
      <w:r>
        <w:t>This demand is</w:t>
      </w:r>
      <w:r w:rsidRPr="00A25511">
        <w:t xml:space="preserve"> linked to attractive settings </w:t>
      </w:r>
      <w:r>
        <w:t xml:space="preserve">in </w:t>
      </w:r>
      <w:r w:rsidRPr="00A25511">
        <w:t>rural</w:t>
      </w:r>
      <w:r>
        <w:t xml:space="preserve"> areas</w:t>
      </w:r>
      <w:r w:rsidRPr="00A25511">
        <w:t xml:space="preserve">, </w:t>
      </w:r>
      <w:r>
        <w:t xml:space="preserve">near </w:t>
      </w:r>
      <w:r w:rsidRPr="00A25511">
        <w:t xml:space="preserve">water bodies, </w:t>
      </w:r>
      <w:r>
        <w:t>in areas with scenic amenity or in</w:t>
      </w:r>
      <w:r w:rsidRPr="00A25511">
        <w:t xml:space="preserve"> heritage</w:t>
      </w:r>
      <w:r>
        <w:t xml:space="preserve"> towns, as well as to</w:t>
      </w:r>
      <w:r w:rsidRPr="00A25511">
        <w:t xml:space="preserve"> financial considerations </w:t>
      </w:r>
      <w:r>
        <w:t xml:space="preserve">such as cheaper </w:t>
      </w:r>
      <w:r w:rsidRPr="00A25511">
        <w:t>land.</w:t>
      </w:r>
      <w:r w:rsidR="00A03920" w:rsidRPr="00A03920">
        <w:t xml:space="preserve"> </w:t>
      </w:r>
      <w:r w:rsidR="00A03920">
        <w:t>T</w:t>
      </w:r>
      <w:r w:rsidR="00A03920" w:rsidRPr="00A25511">
        <w:t xml:space="preserve">hese </w:t>
      </w:r>
      <w:r w:rsidR="00A03920">
        <w:t>communities generally have good access to</w:t>
      </w:r>
      <w:r w:rsidR="00A03920" w:rsidRPr="00A25511">
        <w:t xml:space="preserve"> employment and higher order services</w:t>
      </w:r>
      <w:r w:rsidR="00A03920">
        <w:t xml:space="preserve"> in </w:t>
      </w:r>
      <w:r w:rsidR="00A03920" w:rsidRPr="00A25511">
        <w:t>Albury</w:t>
      </w:r>
      <w:r w:rsidR="00A03920">
        <w:t>-</w:t>
      </w:r>
      <w:r w:rsidR="00A03920" w:rsidRPr="00A25511">
        <w:t>Wodonga</w:t>
      </w:r>
      <w:r w:rsidR="00A03920">
        <w:t xml:space="preserve">. Corryong offers some growth opportunities as it provides a range of infrastructure and services to a relatively large catchment extending into </w:t>
      </w:r>
      <w:r w:rsidR="00A03920" w:rsidRPr="004D2CC1">
        <w:t>New South Wales</w:t>
      </w:r>
      <w:r w:rsidR="00A03920">
        <w:t>.</w:t>
      </w:r>
      <w:r w:rsidR="0071620D">
        <w:t xml:space="preserve"> </w:t>
      </w:r>
      <w:r w:rsidR="00610FFA">
        <w:t>The strong links between Albury</w:t>
      </w:r>
      <w:r w:rsidR="006F3819">
        <w:t xml:space="preserve"> (in Ne</w:t>
      </w:r>
      <w:r w:rsidR="00CA1C81">
        <w:t xml:space="preserve">w </w:t>
      </w:r>
      <w:r w:rsidR="006F3819">
        <w:t>South Wales)</w:t>
      </w:r>
      <w:r w:rsidR="00610FFA">
        <w:t xml:space="preserve"> and the Bethanga Peninsula</w:t>
      </w:r>
      <w:r w:rsidR="006F3819">
        <w:t xml:space="preserve"> (in Victoria)</w:t>
      </w:r>
      <w:r w:rsidR="00610FFA">
        <w:t xml:space="preserve"> area may influence future development in this area. </w:t>
      </w:r>
      <w:r w:rsidRPr="00A25511">
        <w:t xml:space="preserve">Growth in these locations should be managed to </w:t>
      </w:r>
      <w:r w:rsidR="00D4261F">
        <w:t>protect</w:t>
      </w:r>
      <w:r w:rsidRPr="00A25511">
        <w:t xml:space="preserve"> </w:t>
      </w:r>
      <w:r>
        <w:t>environmental</w:t>
      </w:r>
      <w:r w:rsidRPr="00A25511">
        <w:t xml:space="preserve"> </w:t>
      </w:r>
      <w:r w:rsidR="00E6463B">
        <w:t xml:space="preserve">assets and </w:t>
      </w:r>
      <w:r w:rsidR="00D4261F">
        <w:t>values</w:t>
      </w:r>
      <w:r w:rsidR="00D4261F" w:rsidRPr="00181A86">
        <w:t xml:space="preserve"> </w:t>
      </w:r>
      <w:r>
        <w:t xml:space="preserve">and </w:t>
      </w:r>
      <w:r w:rsidR="00D4261F">
        <w:t xml:space="preserve">limit </w:t>
      </w:r>
      <w:r>
        <w:t>exposure to natural hazards</w:t>
      </w:r>
      <w:r w:rsidR="00E6463B">
        <w:t xml:space="preserve">, especially </w:t>
      </w:r>
      <w:r w:rsidR="00112398">
        <w:t>bushfire</w:t>
      </w:r>
      <w:r w:rsidR="00E6463B">
        <w:t xml:space="preserve"> and </w:t>
      </w:r>
      <w:r w:rsidR="00F47DC9">
        <w:t>flood</w:t>
      </w:r>
      <w:r w:rsidRPr="00A25511">
        <w:t xml:space="preserve">. </w:t>
      </w:r>
    </w:p>
    <w:p w:rsidR="00276723" w:rsidRDefault="0075312A" w:rsidP="00276723">
      <w:pPr>
        <w:pStyle w:val="bt"/>
      </w:pPr>
      <w:r>
        <w:t xml:space="preserve">The Kiewa Valley Highway provides a strong link between </w:t>
      </w:r>
      <w:r w:rsidRPr="002054D9">
        <w:t xml:space="preserve">Albury-Wodonga </w:t>
      </w:r>
      <w:r>
        <w:t>and s</w:t>
      </w:r>
      <w:r w:rsidRPr="002054D9">
        <w:t>ettlements in the Kiewa Valley</w:t>
      </w:r>
      <w:r>
        <w:t>,</w:t>
      </w:r>
      <w:r w:rsidRPr="002054D9">
        <w:t xml:space="preserve"> including </w:t>
      </w:r>
      <w:r>
        <w:t xml:space="preserve">those settlements located in this valley but not included in the boundaries of the Upper Hume </w:t>
      </w:r>
      <w:r w:rsidR="00112C95">
        <w:t>sub-region</w:t>
      </w:r>
      <w:r>
        <w:t xml:space="preserve"> such as </w:t>
      </w:r>
      <w:r w:rsidRPr="002054D9">
        <w:t>Mount Beauty-Tawonga South</w:t>
      </w:r>
      <w:r>
        <w:t>.</w:t>
      </w:r>
      <w:bookmarkStart w:id="88" w:name="_Ref374356873"/>
      <w:bookmarkStart w:id="89" w:name="_Toc374434713"/>
    </w:p>
    <w:p w:rsidR="00BD7B1F" w:rsidRPr="00276723" w:rsidRDefault="009D1249" w:rsidP="00276723">
      <w:pPr>
        <w:pStyle w:val="bt"/>
      </w:pPr>
      <w:r w:rsidRPr="00276723">
        <w:t xml:space="preserve">Map </w:t>
      </w:r>
      <w:bookmarkEnd w:id="88"/>
      <w:r w:rsidR="00AF799A">
        <w:t>16</w:t>
      </w:r>
      <w:r w:rsidR="00276723" w:rsidRPr="00276723">
        <w:t xml:space="preserve"> </w:t>
      </w:r>
      <w:r w:rsidR="00276723">
        <w:t>is located here in the document and it shows -</w:t>
      </w:r>
      <w:r w:rsidR="00361AA2" w:rsidRPr="00276723">
        <w:t xml:space="preserve"> Wodonga Urban Growth Framework</w:t>
      </w:r>
      <w:bookmarkEnd w:id="89"/>
    </w:p>
    <w:p w:rsidR="007E3E73" w:rsidRDefault="007E3E73" w:rsidP="0016400E">
      <w:pPr>
        <w:pStyle w:val="Heading3-list"/>
      </w:pPr>
      <w:r w:rsidRPr="007E3E73">
        <w:t xml:space="preserve">Foster the sustainability of small settlements </w:t>
      </w:r>
    </w:p>
    <w:p w:rsidR="00794C74" w:rsidRPr="004D2CC1" w:rsidRDefault="00EB3CBE" w:rsidP="005A19BB">
      <w:pPr>
        <w:pStyle w:val="bt"/>
        <w:spacing w:after="200"/>
      </w:pPr>
      <w:r w:rsidRPr="004D2CC1">
        <w:t xml:space="preserve">Other </w:t>
      </w:r>
      <w:r w:rsidR="00794C74" w:rsidRPr="004D2CC1">
        <w:t xml:space="preserve">urban locations not nominated </w:t>
      </w:r>
      <w:r w:rsidR="00D267C2" w:rsidRPr="004D2CC1">
        <w:t xml:space="preserve">for </w:t>
      </w:r>
      <w:r w:rsidR="00794C74" w:rsidRPr="004D2CC1">
        <w:t xml:space="preserve">targeted growth are </w:t>
      </w:r>
      <w:r w:rsidR="00231ABE" w:rsidRPr="004D2CC1">
        <w:t xml:space="preserve">also an </w:t>
      </w:r>
      <w:r w:rsidR="00794C74" w:rsidRPr="004D2CC1">
        <w:t>important part of the Hume Region. The majority of these locations are expected to experience incremental growth</w:t>
      </w:r>
      <w:r w:rsidR="00D267C2" w:rsidRPr="004D2CC1">
        <w:t>,</w:t>
      </w:r>
      <w:r w:rsidR="00794C74" w:rsidRPr="004D2CC1">
        <w:t xml:space="preserve"> which will be managed through planning at a local level. The</w:t>
      </w:r>
      <w:r w:rsidR="00D267C2" w:rsidRPr="004D2CC1">
        <w:t>y</w:t>
      </w:r>
      <w:r w:rsidR="00794C74" w:rsidRPr="004D2CC1">
        <w:t xml:space="preserve"> will continue to play an important </w:t>
      </w:r>
      <w:r w:rsidR="00D267C2" w:rsidRPr="004D2CC1">
        <w:t xml:space="preserve">role in supporting </w:t>
      </w:r>
      <w:r w:rsidR="00794C74" w:rsidRPr="004D2CC1">
        <w:t>agricultur</w:t>
      </w:r>
      <w:r w:rsidR="00D267C2" w:rsidRPr="004D2CC1">
        <w:t>e</w:t>
      </w:r>
      <w:r w:rsidR="00E61965" w:rsidRPr="004D2CC1">
        <w:t xml:space="preserve"> and</w:t>
      </w:r>
      <w:r w:rsidR="00794C74" w:rsidRPr="004D2CC1">
        <w:t xml:space="preserve"> tourism and</w:t>
      </w:r>
      <w:r w:rsidR="00E61965" w:rsidRPr="004D2CC1">
        <w:t xml:space="preserve"> providing</w:t>
      </w:r>
      <w:r w:rsidR="00794C74" w:rsidRPr="004D2CC1">
        <w:t xml:space="preserve"> </w:t>
      </w:r>
      <w:r w:rsidR="00C111B3" w:rsidRPr="004D2CC1">
        <w:t xml:space="preserve">a diverse </w:t>
      </w:r>
      <w:r w:rsidR="00231ABE" w:rsidRPr="004D2CC1">
        <w:t xml:space="preserve">array </w:t>
      </w:r>
      <w:r w:rsidR="00C111B3" w:rsidRPr="004D2CC1">
        <w:t xml:space="preserve">of residential and </w:t>
      </w:r>
      <w:r w:rsidR="00794C74" w:rsidRPr="004D2CC1">
        <w:t>lifestyle</w:t>
      </w:r>
      <w:r w:rsidR="00D267C2" w:rsidRPr="004D2CC1">
        <w:t xml:space="preserve"> opportunities.</w:t>
      </w:r>
      <w:r w:rsidR="00794C74" w:rsidRPr="004D2CC1">
        <w:t xml:space="preserve"> </w:t>
      </w:r>
      <w:r w:rsidR="00D267C2" w:rsidRPr="004D2CC1">
        <w:t>I</w:t>
      </w:r>
      <w:r w:rsidR="00794C74" w:rsidRPr="004D2CC1">
        <w:t xml:space="preserve">ncremental growth will support the sustainability of these communities. </w:t>
      </w:r>
    </w:p>
    <w:p w:rsidR="00794C74" w:rsidRPr="004D2CC1" w:rsidRDefault="00794C74" w:rsidP="005A19BB">
      <w:pPr>
        <w:pStyle w:val="bt"/>
        <w:spacing w:after="200"/>
      </w:pPr>
      <w:r w:rsidRPr="004D2CC1">
        <w:t xml:space="preserve">Changes in agricultural production methods have resulted in </w:t>
      </w:r>
      <w:r w:rsidR="00D267C2" w:rsidRPr="004D2CC1">
        <w:t xml:space="preserve">declining </w:t>
      </w:r>
      <w:r w:rsidRPr="004D2CC1">
        <w:t>employ</w:t>
      </w:r>
      <w:r w:rsidR="00D267C2" w:rsidRPr="004D2CC1">
        <w:t>ment</w:t>
      </w:r>
      <w:r w:rsidRPr="004D2CC1">
        <w:t xml:space="preserve"> on farms and </w:t>
      </w:r>
      <w:r w:rsidR="00D267C2" w:rsidRPr="004D2CC1">
        <w:t>reducing numbers</w:t>
      </w:r>
      <w:r w:rsidRPr="004D2CC1">
        <w:t xml:space="preserve"> of farmers</w:t>
      </w:r>
      <w:r w:rsidR="00D267C2" w:rsidRPr="004D2CC1">
        <w:t>.</w:t>
      </w:r>
      <w:r w:rsidRPr="004D2CC1">
        <w:t xml:space="preserve"> </w:t>
      </w:r>
      <w:r w:rsidR="00D267C2" w:rsidRPr="004D2CC1">
        <w:t>This c</w:t>
      </w:r>
      <w:r w:rsidRPr="004D2CC1">
        <w:t>ombined with recent</w:t>
      </w:r>
      <w:r w:rsidR="00D267C2" w:rsidRPr="004D2CC1">
        <w:t xml:space="preserve"> trends</w:t>
      </w:r>
      <w:r w:rsidRPr="004D2CC1">
        <w:t xml:space="preserve"> </w:t>
      </w:r>
      <w:r w:rsidR="00D267C2" w:rsidRPr="004D2CC1">
        <w:t xml:space="preserve">towards </w:t>
      </w:r>
      <w:r w:rsidRPr="004D2CC1">
        <w:t>clustering of agricultural services</w:t>
      </w:r>
      <w:r w:rsidR="00D267C2" w:rsidRPr="004D2CC1">
        <w:t xml:space="preserve"> and</w:t>
      </w:r>
      <w:r w:rsidRPr="004D2CC1">
        <w:t xml:space="preserve"> industries</w:t>
      </w:r>
      <w:r w:rsidR="00D267C2" w:rsidRPr="004D2CC1">
        <w:t xml:space="preserve"> </w:t>
      </w:r>
      <w:r w:rsidR="008A1A52" w:rsidRPr="004D2CC1">
        <w:t xml:space="preserve">in </w:t>
      </w:r>
      <w:r w:rsidRPr="004D2CC1">
        <w:t xml:space="preserve">major regional centres have led to </w:t>
      </w:r>
      <w:r w:rsidR="00231ABE" w:rsidRPr="004D2CC1">
        <w:t xml:space="preserve">a </w:t>
      </w:r>
      <w:r w:rsidR="00D267C2" w:rsidRPr="004D2CC1">
        <w:t>loss of</w:t>
      </w:r>
      <w:r w:rsidRPr="004D2CC1">
        <w:t xml:space="preserve"> employment opportunities in small towns. </w:t>
      </w:r>
      <w:r w:rsidR="00D267C2" w:rsidRPr="004D2CC1">
        <w:t>Y</w:t>
      </w:r>
      <w:r w:rsidRPr="004D2CC1">
        <w:t xml:space="preserve">oung people </w:t>
      </w:r>
      <w:r w:rsidR="00D267C2" w:rsidRPr="004D2CC1">
        <w:t xml:space="preserve">are </w:t>
      </w:r>
      <w:r w:rsidR="008A1A52" w:rsidRPr="004D2CC1">
        <w:t xml:space="preserve">likely to continue </w:t>
      </w:r>
      <w:r w:rsidRPr="004D2CC1">
        <w:t xml:space="preserve">to migrate to regional centres and metropolitan areas, resulting in </w:t>
      </w:r>
      <w:r w:rsidR="009E02B2" w:rsidRPr="004D2CC1">
        <w:t>dec</w:t>
      </w:r>
      <w:r w:rsidR="009E02B2">
        <w:t xml:space="preserve">reasing </w:t>
      </w:r>
      <w:r w:rsidRPr="004D2CC1">
        <w:t>population</w:t>
      </w:r>
      <w:r w:rsidR="00D267C2" w:rsidRPr="004D2CC1">
        <w:t>s</w:t>
      </w:r>
      <w:r w:rsidRPr="004D2CC1">
        <w:t xml:space="preserve"> and increasing </w:t>
      </w:r>
      <w:r w:rsidR="00D267C2" w:rsidRPr="004D2CC1">
        <w:t xml:space="preserve">average </w:t>
      </w:r>
      <w:r w:rsidRPr="004D2CC1">
        <w:t xml:space="preserve">age levels </w:t>
      </w:r>
      <w:r w:rsidR="00D267C2" w:rsidRPr="004D2CC1">
        <w:t xml:space="preserve">in </w:t>
      </w:r>
      <w:r w:rsidRPr="004D2CC1">
        <w:t>small towns in rural Victoria.</w:t>
      </w:r>
      <w:r w:rsidR="00D752DB">
        <w:t xml:space="preserve"> </w:t>
      </w:r>
      <w:r w:rsidR="005D1BD1">
        <w:t>The populations of s</w:t>
      </w:r>
      <w:r w:rsidR="00D752DB">
        <w:t>ome of these small towns</w:t>
      </w:r>
      <w:r w:rsidR="005D1BD1">
        <w:t>,</w:t>
      </w:r>
      <w:r w:rsidR="00D752DB">
        <w:t xml:space="preserve"> and the rural </w:t>
      </w:r>
      <w:r w:rsidR="00D62221">
        <w:t xml:space="preserve">balance </w:t>
      </w:r>
      <w:r w:rsidR="00D752DB">
        <w:t>population</w:t>
      </w:r>
      <w:r w:rsidR="005D1BD1">
        <w:t>s</w:t>
      </w:r>
      <w:r w:rsidR="00D752DB">
        <w:t xml:space="preserve"> supporting these </w:t>
      </w:r>
      <w:r w:rsidR="005D1BD1">
        <w:t>towns,</w:t>
      </w:r>
      <w:r w:rsidR="00D752DB">
        <w:t xml:space="preserve"> are dec</w:t>
      </w:r>
      <w:r w:rsidR="009E02B2">
        <w:t>reasing</w:t>
      </w:r>
      <w:r w:rsidR="00D752DB">
        <w:t xml:space="preserve"> in some part</w:t>
      </w:r>
      <w:r w:rsidR="005D1BD1">
        <w:t>s</w:t>
      </w:r>
      <w:r w:rsidR="00D752DB">
        <w:t xml:space="preserve"> of the region.</w:t>
      </w:r>
    </w:p>
    <w:p w:rsidR="00794C74" w:rsidRPr="004D2CC1" w:rsidRDefault="00794C74" w:rsidP="005A19BB">
      <w:pPr>
        <w:pStyle w:val="bt"/>
        <w:spacing w:after="200"/>
      </w:pPr>
      <w:r w:rsidRPr="004D2CC1">
        <w:t xml:space="preserve">In some instances the sustainability of these communities will need further support, especially where populations have declined. Communities will need to be resilient </w:t>
      </w:r>
      <w:r w:rsidR="00985280" w:rsidRPr="004D2CC1">
        <w:t xml:space="preserve">to enable them to </w:t>
      </w:r>
      <w:r w:rsidRPr="004D2CC1">
        <w:t xml:space="preserve">adapt to </w:t>
      </w:r>
      <w:r w:rsidR="00985280" w:rsidRPr="004D2CC1">
        <w:t xml:space="preserve">future changes such as those in </w:t>
      </w:r>
      <w:r w:rsidRPr="004D2CC1">
        <w:t>the economy,</w:t>
      </w:r>
      <w:r w:rsidR="00985280" w:rsidRPr="004D2CC1">
        <w:t xml:space="preserve"> </w:t>
      </w:r>
      <w:r w:rsidR="00F46F2D" w:rsidRPr="004D2CC1">
        <w:t>demographics</w:t>
      </w:r>
      <w:r w:rsidR="00985280" w:rsidRPr="004D2CC1">
        <w:t xml:space="preserve"> and </w:t>
      </w:r>
      <w:r w:rsidRPr="004D2CC1">
        <w:t>climate.</w:t>
      </w:r>
    </w:p>
    <w:p w:rsidR="00794C74" w:rsidRDefault="00794C74" w:rsidP="005A19BB">
      <w:pPr>
        <w:pStyle w:val="bt"/>
        <w:spacing w:after="200"/>
      </w:pPr>
      <w:r w:rsidRPr="004D2CC1">
        <w:t>The resilience and sustainability of some small settlements could be supported by capitalising on assets such as heritage, liveability, amenity, environmental significance or the ability to provide specialised services and products</w:t>
      </w:r>
      <w:r w:rsidR="00985280" w:rsidRPr="004D2CC1">
        <w:t>.</w:t>
      </w:r>
      <w:r w:rsidRPr="004D2CC1">
        <w:t xml:space="preserve"> </w:t>
      </w:r>
      <w:r w:rsidR="00985280" w:rsidRPr="004D2CC1">
        <w:t>C</w:t>
      </w:r>
      <w:r w:rsidRPr="004D2CC1">
        <w:t>ommunity infrastructure</w:t>
      </w:r>
      <w:r w:rsidR="00985280" w:rsidRPr="004D2CC1">
        <w:t xml:space="preserve"> should be designed to</w:t>
      </w:r>
      <w:r w:rsidRPr="004D2CC1">
        <w:t xml:space="preserve"> respond to changing needs over time.</w:t>
      </w:r>
      <w:r w:rsidR="00487196" w:rsidRPr="004D2CC1">
        <w:t xml:space="preserve"> Transport connectivity with larger urban centres</w:t>
      </w:r>
      <w:r w:rsidR="00CF2FBC">
        <w:t>, reliable telecommunication services</w:t>
      </w:r>
      <w:r w:rsidR="00487196" w:rsidRPr="004D2CC1">
        <w:t xml:space="preserve"> and opportunities provided by </w:t>
      </w:r>
      <w:r w:rsidR="00487196" w:rsidRPr="004D2CC1">
        <w:lastRenderedPageBreak/>
        <w:t>technology, such as the N</w:t>
      </w:r>
      <w:r w:rsidR="00231ABE" w:rsidRPr="004D2CC1">
        <w:t>ational Broadband Network</w:t>
      </w:r>
      <w:r w:rsidR="00487196" w:rsidRPr="004D2CC1">
        <w:t>, could also support the resilience and sustainability of small settlements.</w:t>
      </w:r>
    </w:p>
    <w:p w:rsidR="007C6948" w:rsidRPr="004D2CC1" w:rsidRDefault="007C6948" w:rsidP="005A19BB">
      <w:pPr>
        <w:pStyle w:val="bt"/>
        <w:spacing w:after="200"/>
      </w:pPr>
      <w:r>
        <w:t>Some smaller settlements are experiencing demand for growth and development, but the lack of infrastructure in these locations</w:t>
      </w:r>
      <w:r w:rsidR="001B1505">
        <w:t>,</w:t>
      </w:r>
      <w:r w:rsidR="00C059D4">
        <w:t xml:space="preserve"> for example reticulated water and sewerage systems</w:t>
      </w:r>
      <w:r w:rsidR="001B1505">
        <w:t>,</w:t>
      </w:r>
      <w:r>
        <w:t xml:space="preserve"> may limit growth options. Providing infrastructure to support growth in such locations </w:t>
      </w:r>
      <w:r w:rsidR="00541217">
        <w:t>needs further consideration</w:t>
      </w:r>
      <w:r>
        <w:t xml:space="preserve">. </w:t>
      </w:r>
    </w:p>
    <w:p w:rsidR="00440E5F" w:rsidRPr="004D2CC1" w:rsidRDefault="00794C74" w:rsidP="005A19BB">
      <w:pPr>
        <w:pStyle w:val="bt"/>
        <w:spacing w:after="200"/>
      </w:pPr>
      <w:r w:rsidRPr="004D2CC1">
        <w:t xml:space="preserve">The </w:t>
      </w:r>
      <w:r w:rsidR="009B4318" w:rsidRPr="00141FA0">
        <w:t>Understanding Small Settlements in Victoria</w:t>
      </w:r>
      <w:r w:rsidRPr="004D2CC1">
        <w:t xml:space="preserve"> report</w:t>
      </w:r>
      <w:r w:rsidR="00336EF5" w:rsidRPr="000E0A69">
        <w:rPr>
          <w:rStyle w:val="FootnoteReference"/>
          <w:sz w:val="18"/>
          <w:szCs w:val="18"/>
        </w:rPr>
        <w:footnoteReference w:id="9"/>
      </w:r>
      <w:r w:rsidR="00336EF5" w:rsidRPr="004D2CC1">
        <w:t xml:space="preserve"> </w:t>
      </w:r>
      <w:r w:rsidRPr="004D2CC1">
        <w:t xml:space="preserve">focuses on land use planning responses that support </w:t>
      </w:r>
      <w:r w:rsidR="00FD0458" w:rsidRPr="004D2CC1">
        <w:t xml:space="preserve">the </w:t>
      </w:r>
      <w:r w:rsidRPr="004D2CC1">
        <w:t xml:space="preserve">adaptation and </w:t>
      </w:r>
      <w:r w:rsidR="00985280" w:rsidRPr="004D2CC1">
        <w:t xml:space="preserve">build the </w:t>
      </w:r>
      <w:r w:rsidRPr="004D2CC1">
        <w:t xml:space="preserve">resilience of smaller settlements. Strategies recommended in </w:t>
      </w:r>
      <w:r w:rsidR="00985280" w:rsidRPr="004D2CC1">
        <w:t xml:space="preserve">the </w:t>
      </w:r>
      <w:r w:rsidR="007E5F05" w:rsidRPr="004D2CC1">
        <w:t>report are</w:t>
      </w:r>
      <w:r w:rsidR="00985280" w:rsidRPr="004D2CC1">
        <w:t xml:space="preserve"> consistent with the directions of this </w:t>
      </w:r>
      <w:r w:rsidR="00D36385" w:rsidRPr="004D2CC1">
        <w:t>p</w:t>
      </w:r>
      <w:r w:rsidR="00985280" w:rsidRPr="004D2CC1">
        <w:t>lan</w:t>
      </w:r>
      <w:r w:rsidR="007E5F05" w:rsidRPr="004D2CC1">
        <w:t xml:space="preserve">. </w:t>
      </w:r>
      <w:r w:rsidRPr="004D2CC1">
        <w:t xml:space="preserve">Further </w:t>
      </w:r>
      <w:r w:rsidR="007E5F05" w:rsidRPr="004D2CC1">
        <w:t>detail</w:t>
      </w:r>
      <w:r w:rsidR="00F46F2D" w:rsidRPr="004D2CC1">
        <w:t>ed</w:t>
      </w:r>
      <w:r w:rsidR="007E5F05" w:rsidRPr="004D2CC1">
        <w:t xml:space="preserve"> </w:t>
      </w:r>
      <w:r w:rsidRPr="004D2CC1">
        <w:t>work will be needed</w:t>
      </w:r>
      <w:r w:rsidR="007E5F05" w:rsidRPr="004D2CC1">
        <w:t>, based on the recommendations of the report,</w:t>
      </w:r>
      <w:r w:rsidRPr="004D2CC1">
        <w:t xml:space="preserve"> to identify appropriate measures to </w:t>
      </w:r>
      <w:r w:rsidR="007E5F05" w:rsidRPr="004D2CC1">
        <w:t xml:space="preserve">develop and </w:t>
      </w:r>
      <w:r w:rsidRPr="004D2CC1">
        <w:t>support resilient small settlements in the Hume Region.</w:t>
      </w:r>
    </w:p>
    <w:p w:rsidR="00336EF5" w:rsidRPr="004D2CC1" w:rsidRDefault="00DE7E93" w:rsidP="004D2CC1">
      <w:pPr>
        <w:pStyle w:val="Heading2"/>
      </w:pPr>
      <w:bookmarkStart w:id="90" w:name="_Toc376945599"/>
      <w:r w:rsidRPr="004D2CC1">
        <w:t>Other settlement directions</w:t>
      </w:r>
      <w:bookmarkEnd w:id="90"/>
    </w:p>
    <w:p w:rsidR="00F96276" w:rsidRDefault="00F96276" w:rsidP="0076015E">
      <w:pPr>
        <w:pStyle w:val="Heading3-list"/>
        <w:numPr>
          <w:ilvl w:val="0"/>
          <w:numId w:val="29"/>
        </w:numPr>
        <w:ind w:left="426"/>
      </w:pPr>
      <w:r w:rsidRPr="00F96276">
        <w:t xml:space="preserve">Provide a consistent approach to strategically plan for rural residential uses </w:t>
      </w:r>
    </w:p>
    <w:p w:rsidR="006841B0" w:rsidRPr="004D2CC1" w:rsidRDefault="00336EF5" w:rsidP="005A19BB">
      <w:pPr>
        <w:pStyle w:val="bt"/>
        <w:spacing w:after="200"/>
      </w:pPr>
      <w:r w:rsidRPr="004D2CC1">
        <w:t xml:space="preserve">Parts of the </w:t>
      </w:r>
      <w:r w:rsidR="00231ABE" w:rsidRPr="004D2CC1">
        <w:t xml:space="preserve">Hume </w:t>
      </w:r>
      <w:r w:rsidR="00FD0458" w:rsidRPr="004D2CC1">
        <w:t>R</w:t>
      </w:r>
      <w:r w:rsidRPr="004D2CC1">
        <w:t xml:space="preserve">egion </w:t>
      </w:r>
      <w:r w:rsidR="00231ABE" w:rsidRPr="004D2CC1">
        <w:t xml:space="preserve">are </w:t>
      </w:r>
      <w:r w:rsidRPr="004D2CC1">
        <w:t xml:space="preserve">attractive for rural residential </w:t>
      </w:r>
      <w:r w:rsidR="00F46F2D" w:rsidRPr="004D2CC1">
        <w:t xml:space="preserve">uses </w:t>
      </w:r>
      <w:r w:rsidRPr="004D2CC1">
        <w:t>(‘rural lifestyle settlement’). Areas of higher amenity</w:t>
      </w:r>
      <w:r w:rsidR="005B3520">
        <w:t>,</w:t>
      </w:r>
      <w:r w:rsidRPr="004D2CC1">
        <w:t xml:space="preserve"> such as </w:t>
      </w:r>
      <w:r w:rsidR="009D57A8" w:rsidRPr="004D2CC1">
        <w:t xml:space="preserve">land </w:t>
      </w:r>
      <w:r w:rsidRPr="004D2CC1">
        <w:t xml:space="preserve">close to lakes and waterways, undulating countryside, </w:t>
      </w:r>
      <w:r w:rsidR="009D57A8" w:rsidRPr="004D2CC1">
        <w:t xml:space="preserve">or locations with </w:t>
      </w:r>
      <w:r w:rsidRPr="004D2CC1">
        <w:t>views</w:t>
      </w:r>
      <w:r w:rsidR="005B3520">
        <w:t>,</w:t>
      </w:r>
      <w:r w:rsidRPr="004D2CC1">
        <w:t xml:space="preserve"> </w:t>
      </w:r>
      <w:r w:rsidR="00231ABE" w:rsidRPr="004D2CC1">
        <w:t xml:space="preserve">are </w:t>
      </w:r>
      <w:r w:rsidRPr="004D2CC1">
        <w:t xml:space="preserve">particularly popular for this type of settlement. The </w:t>
      </w:r>
      <w:r w:rsidR="00231ABE" w:rsidRPr="004D2CC1">
        <w:t xml:space="preserve">Hume </w:t>
      </w:r>
      <w:r w:rsidR="00FD0458" w:rsidRPr="004D2CC1">
        <w:t>R</w:t>
      </w:r>
      <w:r w:rsidR="00231ABE" w:rsidRPr="004D2CC1">
        <w:t xml:space="preserve">egion’s </w:t>
      </w:r>
      <w:r w:rsidRPr="004D2CC1">
        <w:t>tourism product</w:t>
      </w:r>
      <w:r w:rsidR="005B3520">
        <w:t>,</w:t>
      </w:r>
      <w:r w:rsidR="009D57A8" w:rsidRPr="004D2CC1">
        <w:t xml:space="preserve"> </w:t>
      </w:r>
      <w:r w:rsidRPr="004D2CC1">
        <w:t>including ski fields, lakes, rivers, food and wine, outdoor recreation</w:t>
      </w:r>
      <w:r w:rsidR="00FC1A2D" w:rsidRPr="004D2CC1">
        <w:t>, arts and culture</w:t>
      </w:r>
      <w:r w:rsidRPr="004D2CC1">
        <w:t xml:space="preserve"> and heritage</w:t>
      </w:r>
      <w:r w:rsidR="005B3520">
        <w:t>,</w:t>
      </w:r>
      <w:r w:rsidRPr="004D2CC1">
        <w:t xml:space="preserve"> provide a strong motivation to relocate or establish a holiday home in the region.</w:t>
      </w:r>
    </w:p>
    <w:p w:rsidR="006841B0" w:rsidRPr="004D2CC1" w:rsidRDefault="00231ABE" w:rsidP="005A19BB">
      <w:pPr>
        <w:pStyle w:val="bt"/>
        <w:spacing w:after="200"/>
      </w:pPr>
      <w:r w:rsidRPr="004D2CC1">
        <w:t>M</w:t>
      </w:r>
      <w:r w:rsidR="00336EF5" w:rsidRPr="004D2CC1">
        <w:t xml:space="preserve">anagement of rural land use will become increasingly important as the regional economy diversifies and the pressure for development </w:t>
      </w:r>
      <w:r w:rsidR="009D57A8" w:rsidRPr="004D2CC1">
        <w:t>i</w:t>
      </w:r>
      <w:r w:rsidR="00336EF5" w:rsidRPr="004D2CC1">
        <w:t>n rural areas increases.</w:t>
      </w:r>
    </w:p>
    <w:p w:rsidR="006841B0" w:rsidRDefault="005B3520" w:rsidP="005B3520">
      <w:pPr>
        <w:pStyle w:val="bt"/>
        <w:spacing w:after="200"/>
      </w:pPr>
      <w:r>
        <w:t>T</w:t>
      </w:r>
      <w:r w:rsidR="00336EF5" w:rsidRPr="004D2CC1">
        <w:t xml:space="preserve">wo </w:t>
      </w:r>
      <w:r w:rsidR="009D57A8" w:rsidRPr="004D2CC1">
        <w:t>broad areas</w:t>
      </w:r>
      <w:r>
        <w:t>, the Goulburn River High Country and the north-east</w:t>
      </w:r>
      <w:r w:rsidR="00A542E3" w:rsidRPr="004D2CC1">
        <w:t xml:space="preserve"> </w:t>
      </w:r>
      <w:r w:rsidR="00336EF5" w:rsidRPr="004D2CC1">
        <w:t xml:space="preserve">have attracted a large proportion of rural settlement due to their amenity and proximity to tourism product. </w:t>
      </w:r>
    </w:p>
    <w:p w:rsidR="006841B0" w:rsidRPr="004D2CC1" w:rsidRDefault="009D57A8" w:rsidP="004D2CC1">
      <w:pPr>
        <w:pStyle w:val="bt"/>
      </w:pPr>
      <w:r w:rsidRPr="004D2CC1">
        <w:t>M</w:t>
      </w:r>
      <w:r w:rsidR="00336EF5" w:rsidRPr="004D2CC1">
        <w:t xml:space="preserve">ost of the rural residential activity in the </w:t>
      </w:r>
      <w:r w:rsidR="00E659CB">
        <w:t>r</w:t>
      </w:r>
      <w:r w:rsidR="00336EF5" w:rsidRPr="004D2CC1">
        <w:t xml:space="preserve">egion has occurred in areas </w:t>
      </w:r>
      <w:r w:rsidRPr="004D2CC1">
        <w:t xml:space="preserve">with </w:t>
      </w:r>
      <w:r w:rsidR="00336EF5" w:rsidRPr="004D2CC1">
        <w:t xml:space="preserve">high amenity but </w:t>
      </w:r>
      <w:r w:rsidRPr="004D2CC1">
        <w:t xml:space="preserve">relatively </w:t>
      </w:r>
      <w:r w:rsidR="00336EF5" w:rsidRPr="004D2CC1">
        <w:t xml:space="preserve">low quality agricultural land. </w:t>
      </w:r>
      <w:r w:rsidRPr="004D2CC1">
        <w:t>However, there are a few k</w:t>
      </w:r>
      <w:r w:rsidR="00336EF5" w:rsidRPr="004D2CC1">
        <w:t>ey areas of conflict between strategic agriculture and rural residential activity</w:t>
      </w:r>
      <w:r w:rsidRPr="004D2CC1">
        <w:t xml:space="preserve">, most notably </w:t>
      </w:r>
      <w:r w:rsidR="00F46F2D" w:rsidRPr="004D2CC1">
        <w:t xml:space="preserve">in </w:t>
      </w:r>
      <w:r w:rsidR="00336EF5" w:rsidRPr="004D2CC1">
        <w:t xml:space="preserve">the King Valley, Ovens Valley and </w:t>
      </w:r>
      <w:r w:rsidR="00F46F2D" w:rsidRPr="004D2CC1">
        <w:t xml:space="preserve">in </w:t>
      </w:r>
      <w:r w:rsidR="00336EF5" w:rsidRPr="004D2CC1">
        <w:t>Nagambie.</w:t>
      </w:r>
    </w:p>
    <w:p w:rsidR="00336EF5" w:rsidRPr="004D2CC1" w:rsidRDefault="00336EF5" w:rsidP="004D2CC1">
      <w:pPr>
        <w:pStyle w:val="bt"/>
      </w:pPr>
      <w:r w:rsidRPr="004D2CC1">
        <w:t>While demand has been consistently strong for rural lifestyle propert</w:t>
      </w:r>
      <w:r w:rsidR="00F46F2D" w:rsidRPr="004D2CC1">
        <w:t>ies</w:t>
      </w:r>
      <w:r w:rsidRPr="004D2CC1">
        <w:t xml:space="preserve"> in these areas, there </w:t>
      </w:r>
      <w:r w:rsidR="00C776EE" w:rsidRPr="004D2CC1">
        <w:t xml:space="preserve">has been </w:t>
      </w:r>
      <w:r w:rsidRPr="004D2CC1">
        <w:t>an inconsistent approach to planning for rural lifestyle settlement across the Hume Region. Some municipalities have set aside significant areas of land for rural</w:t>
      </w:r>
      <w:r w:rsidR="00C776EE" w:rsidRPr="004D2CC1">
        <w:t xml:space="preserve"> residential</w:t>
      </w:r>
      <w:r w:rsidRPr="004D2CC1">
        <w:t xml:space="preserve"> settlement and others have provided very little.</w:t>
      </w:r>
    </w:p>
    <w:p w:rsidR="00336EF5" w:rsidRPr="004D2CC1" w:rsidRDefault="00336EF5" w:rsidP="004D2CC1">
      <w:pPr>
        <w:pStyle w:val="bt"/>
      </w:pPr>
      <w:r w:rsidRPr="004D2CC1">
        <w:t>A consistent approach to planning for rural residential uses is needed to ensure the location of these uses consider</w:t>
      </w:r>
      <w:r w:rsidR="00B36FF5" w:rsidRPr="004D2CC1">
        <w:t>s</w:t>
      </w:r>
      <w:r w:rsidRPr="004D2CC1">
        <w:t xml:space="preserve"> regional assets</w:t>
      </w:r>
      <w:r w:rsidR="00D462D5" w:rsidRPr="004D2CC1">
        <w:t>,</w:t>
      </w:r>
      <w:r w:rsidRPr="004D2CC1">
        <w:t xml:space="preserve"> such as agricultural land and natural resources, sustainable settlement patterns (including the cost of providing and maintaining services and infrastructure) and </w:t>
      </w:r>
      <w:r w:rsidR="00A80E23" w:rsidRPr="004D2CC1">
        <w:t>natural hazards</w:t>
      </w:r>
      <w:r w:rsidR="00D462D5" w:rsidRPr="004D2CC1">
        <w:t>,</w:t>
      </w:r>
      <w:r w:rsidRPr="004D2CC1">
        <w:t xml:space="preserve"> such as </w:t>
      </w:r>
      <w:r w:rsidR="00112398">
        <w:t>bushfire</w:t>
      </w:r>
      <w:r w:rsidRPr="004D2CC1">
        <w:t xml:space="preserve"> and </w:t>
      </w:r>
      <w:r w:rsidR="00112398">
        <w:t>flood</w:t>
      </w:r>
      <w:r w:rsidRPr="004D2CC1">
        <w:t xml:space="preserve">. Sufficient areas of appropriately zoned land should be </w:t>
      </w:r>
      <w:r w:rsidR="00C776EE" w:rsidRPr="004D2CC1">
        <w:t xml:space="preserve">provided </w:t>
      </w:r>
      <w:r w:rsidRPr="004D2CC1">
        <w:t>in strategic locations to help reduce development pressure on agricultur</w:t>
      </w:r>
      <w:r w:rsidR="00C776EE" w:rsidRPr="004D2CC1">
        <w:t>al areas</w:t>
      </w:r>
      <w:r w:rsidRPr="004D2CC1">
        <w:t xml:space="preserve"> and accommodate a range of lot sizes.</w:t>
      </w:r>
    </w:p>
    <w:p w:rsidR="00A77123" w:rsidRDefault="00A77123" w:rsidP="0016400E">
      <w:pPr>
        <w:pStyle w:val="Heading3-list"/>
      </w:pPr>
      <w:r w:rsidRPr="00A77123">
        <w:t xml:space="preserve">Provide for a mix of housing types in appropriate locations </w:t>
      </w:r>
    </w:p>
    <w:p w:rsidR="00440E5F" w:rsidRPr="004D2CC1" w:rsidRDefault="00D00A48" w:rsidP="004D2CC1">
      <w:pPr>
        <w:pStyle w:val="bt"/>
      </w:pPr>
      <w:r w:rsidRPr="004D2CC1">
        <w:t>In the Hume Region,</w:t>
      </w:r>
      <w:r w:rsidR="00B634BA" w:rsidRPr="004D2CC1">
        <w:t xml:space="preserve"> detached dwellings are the predominant </w:t>
      </w:r>
      <w:r w:rsidR="00F46F2D" w:rsidRPr="004D2CC1">
        <w:t xml:space="preserve">housing </w:t>
      </w:r>
      <w:r w:rsidR="00B634BA" w:rsidRPr="004D2CC1">
        <w:t>stock and</w:t>
      </w:r>
      <w:r w:rsidRPr="004D2CC1">
        <w:t xml:space="preserve"> there is a lack of diversity </w:t>
      </w:r>
      <w:r w:rsidR="00B634BA" w:rsidRPr="004D2CC1">
        <w:t>to accommodate different types of households.</w:t>
      </w:r>
      <w:r w:rsidR="00B634BA" w:rsidRPr="004D2CC1" w:rsidDel="00B634BA">
        <w:t xml:space="preserve"> </w:t>
      </w:r>
      <w:r w:rsidR="00B634BA" w:rsidRPr="004D2CC1">
        <w:t>P</w:t>
      </w:r>
      <w:r w:rsidRPr="004D2CC1">
        <w:t xml:space="preserve">arts of the region are experiencing a </w:t>
      </w:r>
      <w:r w:rsidR="00B634BA" w:rsidRPr="004D2CC1">
        <w:t xml:space="preserve">shortage </w:t>
      </w:r>
      <w:r w:rsidRPr="004D2CC1">
        <w:t xml:space="preserve">of rental supply and seasonal accommodation. This is particularly relevant in </w:t>
      </w:r>
      <w:r w:rsidR="00B36FF5" w:rsidRPr="004D2CC1">
        <w:t>a</w:t>
      </w:r>
      <w:r w:rsidRPr="004D2CC1">
        <w:t>lpine areas as well as those areas requiring seasonal workers associated with agriculture and for professionals seeking both short-term and permanent accommodation. An older demographic structure means there is likely to be a greater number of households with one or two people</w:t>
      </w:r>
      <w:r w:rsidR="00B36FF5" w:rsidRPr="004D2CC1">
        <w:t>,</w:t>
      </w:r>
      <w:r w:rsidRPr="004D2CC1">
        <w:t xml:space="preserve"> and as a result more </w:t>
      </w:r>
      <w:r w:rsidR="00B634BA" w:rsidRPr="004D2CC1">
        <w:t xml:space="preserve">dwellings </w:t>
      </w:r>
      <w:r w:rsidRPr="004D2CC1">
        <w:t xml:space="preserve">are needed </w:t>
      </w:r>
      <w:r w:rsidR="00B634BA" w:rsidRPr="004D2CC1">
        <w:t xml:space="preserve">to accommodate </w:t>
      </w:r>
      <w:r w:rsidRPr="004D2CC1">
        <w:t xml:space="preserve">a given population. </w:t>
      </w:r>
    </w:p>
    <w:p w:rsidR="00440E5F" w:rsidRPr="004D2CC1" w:rsidRDefault="00D00A48" w:rsidP="004D2CC1">
      <w:pPr>
        <w:pStyle w:val="bt"/>
      </w:pPr>
      <w:r w:rsidRPr="004D2CC1">
        <w:lastRenderedPageBreak/>
        <w:t>Low income households can often be attracted to</w:t>
      </w:r>
      <w:r w:rsidR="00314D44" w:rsidRPr="004D2CC1">
        <w:t xml:space="preserve"> areas where housing is cheaper. However, some of these areas tend to have poor access to community facilities and public transport, which </w:t>
      </w:r>
      <w:r w:rsidR="00B36FF5" w:rsidRPr="004D2CC1">
        <w:t xml:space="preserve">can </w:t>
      </w:r>
      <w:r w:rsidR="00314D44" w:rsidRPr="004D2CC1">
        <w:t xml:space="preserve">mean the cost of living (apart from </w:t>
      </w:r>
      <w:proofErr w:type="gramStart"/>
      <w:r w:rsidR="00BF1746" w:rsidRPr="004D2CC1">
        <w:t>housing)</w:t>
      </w:r>
      <w:proofErr w:type="gramEnd"/>
      <w:r w:rsidR="00314D44" w:rsidRPr="004D2CC1">
        <w:t xml:space="preserve"> </w:t>
      </w:r>
      <w:r w:rsidR="00B36FF5" w:rsidRPr="004D2CC1">
        <w:t>is</w:t>
      </w:r>
      <w:r w:rsidR="00314D44" w:rsidRPr="004D2CC1">
        <w:t xml:space="preserve"> higher than in better-serviced areas. P</w:t>
      </w:r>
      <w:r w:rsidRPr="004D2CC1">
        <w:t xml:space="preserve">eople may suffer housing stress if their incomes do not keep pace with </w:t>
      </w:r>
      <w:r w:rsidR="00314D44" w:rsidRPr="004D2CC1">
        <w:t>increases in mortgages</w:t>
      </w:r>
      <w:r w:rsidR="00F46F2D" w:rsidRPr="004D2CC1">
        <w:t>,</w:t>
      </w:r>
      <w:r w:rsidR="00314D44" w:rsidRPr="004D2CC1">
        <w:t xml:space="preserve"> </w:t>
      </w:r>
      <w:r w:rsidRPr="004D2CC1">
        <w:t>house prices or rent</w:t>
      </w:r>
      <w:r w:rsidR="00314D44" w:rsidRPr="004D2CC1">
        <w:t>s and other costs</w:t>
      </w:r>
      <w:r w:rsidRPr="004D2CC1">
        <w:t xml:space="preserve">. </w:t>
      </w:r>
      <w:r w:rsidR="00FC1F21" w:rsidRPr="004D2CC1">
        <w:t xml:space="preserve">Residents in low service areas may also be at risk if their needs for services change with age or infirmity, or </w:t>
      </w:r>
      <w:r w:rsidR="00F46F2D" w:rsidRPr="004D2CC1">
        <w:t xml:space="preserve">if </w:t>
      </w:r>
      <w:r w:rsidR="00FC1F21" w:rsidRPr="004D2CC1">
        <w:t>they want to seek employment.</w:t>
      </w:r>
      <w:r w:rsidRPr="004D2CC1">
        <w:t xml:space="preserve"> In addition, low income households living in or attracted to more remote areas</w:t>
      </w:r>
      <w:r w:rsidR="00F46F2D" w:rsidRPr="004D2CC1">
        <w:t xml:space="preserve"> </w:t>
      </w:r>
      <w:r w:rsidRPr="004D2CC1">
        <w:t>may becom</w:t>
      </w:r>
      <w:r w:rsidR="00B36FF5" w:rsidRPr="004D2CC1">
        <w:t>e</w:t>
      </w:r>
      <w:r w:rsidRPr="004D2CC1">
        <w:t xml:space="preserve"> trapped in a very low value housing market.</w:t>
      </w:r>
    </w:p>
    <w:p w:rsidR="00440E5F" w:rsidRPr="004D2CC1" w:rsidRDefault="00D00A48" w:rsidP="004D2CC1">
      <w:pPr>
        <w:pStyle w:val="bt"/>
      </w:pPr>
      <w:r w:rsidRPr="004D2CC1">
        <w:t>To help address these issues, new housing</w:t>
      </w:r>
      <w:r w:rsidR="00FC1F21" w:rsidRPr="004D2CC1">
        <w:t xml:space="preserve"> developments</w:t>
      </w:r>
      <w:r w:rsidRPr="004D2CC1">
        <w:t>, particularly in the identified key settlements, must include a</w:t>
      </w:r>
      <w:r w:rsidR="00AE2205" w:rsidRPr="004D2CC1">
        <w:t xml:space="preserve"> variety of diverse and affordable housing options for all income levels. These include different</w:t>
      </w:r>
      <w:r w:rsidR="00F46F2D" w:rsidRPr="004D2CC1">
        <w:t xml:space="preserve"> dwelling types, sizes, designs and</w:t>
      </w:r>
      <w:r w:rsidR="00AE2205" w:rsidRPr="004D2CC1">
        <w:t xml:space="preserve"> densit</w:t>
      </w:r>
      <w:r w:rsidR="00F46F2D" w:rsidRPr="004D2CC1">
        <w:t>ies</w:t>
      </w:r>
      <w:r w:rsidR="00AE2205" w:rsidRPr="004D2CC1">
        <w:t xml:space="preserve"> to offer greater housing and lifestyle choice</w:t>
      </w:r>
      <w:r w:rsidR="000E4EFA" w:rsidRPr="004D2CC1">
        <w:t>s</w:t>
      </w:r>
      <w:r w:rsidR="00AE2205" w:rsidRPr="004D2CC1">
        <w:t xml:space="preserve"> </w:t>
      </w:r>
      <w:r w:rsidR="000E4EFA" w:rsidRPr="004D2CC1">
        <w:t>to</w:t>
      </w:r>
      <w:r w:rsidR="00AE2205" w:rsidRPr="004D2CC1">
        <w:t xml:space="preserve"> meet the needs of a changing demographic profile. </w:t>
      </w:r>
      <w:r w:rsidR="009818BF" w:rsidRPr="004D2CC1">
        <w:t>The provision of s</w:t>
      </w:r>
      <w:r w:rsidR="00AE2205" w:rsidRPr="004D2CC1">
        <w:t>ustainable, innovative and flexible housing</w:t>
      </w:r>
      <w:r w:rsidR="009818BF" w:rsidRPr="004D2CC1">
        <w:t xml:space="preserve"> options will be supported, </w:t>
      </w:r>
      <w:r w:rsidR="000E4EFA" w:rsidRPr="004D2CC1">
        <w:t>and</w:t>
      </w:r>
      <w:r w:rsidR="009818BF" w:rsidRPr="004D2CC1">
        <w:t xml:space="preserve"> will also</w:t>
      </w:r>
      <w:r w:rsidR="00AE2205" w:rsidRPr="004D2CC1">
        <w:t xml:space="preserve"> </w:t>
      </w:r>
      <w:r w:rsidR="009818BF" w:rsidRPr="004D2CC1">
        <w:t xml:space="preserve">allow for ‘ageing in place’. </w:t>
      </w:r>
      <w:r w:rsidRPr="004D2CC1">
        <w:t xml:space="preserve">This will necessitate a number of agencies working </w:t>
      </w:r>
      <w:r w:rsidR="00FC1F21" w:rsidRPr="004D2CC1">
        <w:t>together</w:t>
      </w:r>
      <w:r w:rsidRPr="004D2CC1">
        <w:t xml:space="preserve"> to maximise opportunities to increase the supply of appropriate and affordable housing. </w:t>
      </w:r>
    </w:p>
    <w:p w:rsidR="00304357" w:rsidRDefault="00D00A48" w:rsidP="00304357">
      <w:pPr>
        <w:pStyle w:val="bt"/>
      </w:pPr>
      <w:r w:rsidRPr="004D2CC1">
        <w:t xml:space="preserve">The </w:t>
      </w:r>
      <w:r w:rsidR="00E659CB">
        <w:t>r</w:t>
      </w:r>
      <w:r w:rsidRPr="004D2CC1">
        <w:t xml:space="preserve">egion will need </w:t>
      </w:r>
      <w:r w:rsidR="00FC1F21" w:rsidRPr="004D2CC1">
        <w:t>a</w:t>
      </w:r>
      <w:r w:rsidRPr="004D2CC1">
        <w:t xml:space="preserve"> mix of housing types that are located close to </w:t>
      </w:r>
      <w:r w:rsidR="0060628E" w:rsidRPr="004D2CC1">
        <w:t xml:space="preserve">commercial centres, employment and community, education, recreation and entertainment facilities. For larger urban settlements, mixed density development located outside </w:t>
      </w:r>
      <w:r w:rsidR="000E4EFA" w:rsidRPr="004D2CC1">
        <w:t>central areas</w:t>
      </w:r>
      <w:r w:rsidR="0060628E" w:rsidRPr="004D2CC1">
        <w:t xml:space="preserve"> should be located near </w:t>
      </w:r>
      <w:r w:rsidRPr="004D2CC1">
        <w:t>public transport</w:t>
      </w:r>
      <w:r w:rsidR="0060628E" w:rsidRPr="004D2CC1">
        <w:t xml:space="preserve"> services to provide access to these facilities. </w:t>
      </w:r>
      <w:r w:rsidRPr="004D2CC1">
        <w:t xml:space="preserve">This could </w:t>
      </w:r>
      <w:r w:rsidR="0060628E" w:rsidRPr="004D2CC1">
        <w:t xml:space="preserve">also </w:t>
      </w:r>
      <w:r w:rsidRPr="004D2CC1">
        <w:t>help accommodate an ageing population and address disadvantage.</w:t>
      </w:r>
    </w:p>
    <w:p w:rsidR="00304357" w:rsidRDefault="00304FA0" w:rsidP="00304357">
      <w:pPr>
        <w:pStyle w:val="bt"/>
      </w:pPr>
      <w:r w:rsidRPr="004D2CC1">
        <w:t>In some areas</w:t>
      </w:r>
      <w:r w:rsidR="00BC15EB" w:rsidRPr="004D2CC1">
        <w:t>,</w:t>
      </w:r>
      <w:r w:rsidRPr="004D2CC1">
        <w:t xml:space="preserve"> </w:t>
      </w:r>
      <w:r w:rsidR="00BC15EB" w:rsidRPr="004D2CC1">
        <w:t>opportunities</w:t>
      </w:r>
      <w:r w:rsidRPr="004D2CC1">
        <w:t xml:space="preserve"> should be considered </w:t>
      </w:r>
      <w:r w:rsidR="00BC15EB" w:rsidRPr="004D2CC1">
        <w:t>to establish a</w:t>
      </w:r>
      <w:r w:rsidRPr="004D2CC1">
        <w:t xml:space="preserve"> more compact urban form with a complementary mix of land uses </w:t>
      </w:r>
      <w:r w:rsidR="004D730E" w:rsidRPr="004D2CC1">
        <w:t xml:space="preserve">to </w:t>
      </w:r>
      <w:r w:rsidRPr="004D2CC1">
        <w:t>allow people to work, live and play in the same are</w:t>
      </w:r>
      <w:r w:rsidR="00BC15EB" w:rsidRPr="004D2CC1">
        <w:t>a</w:t>
      </w:r>
      <w:r w:rsidRPr="004D2CC1">
        <w:t xml:space="preserve">, minimising environmental impacts, increasing </w:t>
      </w:r>
      <w:r w:rsidR="00BC15EB" w:rsidRPr="004D2CC1">
        <w:t>use</w:t>
      </w:r>
      <w:r w:rsidRPr="004D2CC1">
        <w:t xml:space="preserve"> of infrastructure and public transport and reducing dependence on private vehicles.</w:t>
      </w:r>
    </w:p>
    <w:p w:rsidR="00A77123" w:rsidRDefault="00A77123" w:rsidP="0016400E">
      <w:pPr>
        <w:pStyle w:val="Heading3-list"/>
      </w:pPr>
      <w:r w:rsidRPr="00A77123">
        <w:t xml:space="preserve">Maintain and enhance the distinctive character of key settlements </w:t>
      </w:r>
    </w:p>
    <w:p w:rsidR="00BC15EB" w:rsidRPr="004D2CC1" w:rsidRDefault="00D00A48" w:rsidP="004D2CC1">
      <w:pPr>
        <w:pStyle w:val="bt"/>
      </w:pPr>
      <w:r w:rsidRPr="004D2CC1">
        <w:t>Urban settlements in the region generally have distinctive town character</w:t>
      </w:r>
      <w:r w:rsidR="00FC1F21" w:rsidRPr="004D2CC1">
        <w:t>s</w:t>
      </w:r>
      <w:r w:rsidRPr="004D2CC1">
        <w:t>, which contribute to the overall character</w:t>
      </w:r>
      <w:r w:rsidR="00FC1F21" w:rsidRPr="004D2CC1">
        <w:t xml:space="preserve"> and identity</w:t>
      </w:r>
      <w:r w:rsidRPr="004D2CC1">
        <w:t xml:space="preserve"> of the </w:t>
      </w:r>
      <w:r w:rsidR="006B2BFC" w:rsidRPr="004D2CC1">
        <w:t xml:space="preserve">Hume </w:t>
      </w:r>
      <w:r w:rsidR="009654D9" w:rsidRPr="004D2CC1">
        <w:t>R</w:t>
      </w:r>
      <w:r w:rsidRPr="004D2CC1">
        <w:t xml:space="preserve">egion. </w:t>
      </w:r>
      <w:r w:rsidR="00FC1F21" w:rsidRPr="004D2CC1">
        <w:t>M</w:t>
      </w:r>
      <w:r w:rsidRPr="004D2CC1">
        <w:t>aint</w:t>
      </w:r>
      <w:r w:rsidR="00FC1F21" w:rsidRPr="004D2CC1">
        <w:t>aining</w:t>
      </w:r>
      <w:r w:rsidRPr="004D2CC1">
        <w:t xml:space="preserve"> and </w:t>
      </w:r>
      <w:r w:rsidR="00FC1F21" w:rsidRPr="004D2CC1">
        <w:t xml:space="preserve">enhancing </w:t>
      </w:r>
      <w:r w:rsidRPr="004D2CC1">
        <w:t xml:space="preserve">urban character will contribute to the liveability of urban </w:t>
      </w:r>
      <w:r w:rsidR="00FC1F21" w:rsidRPr="004D2CC1">
        <w:t xml:space="preserve">centres </w:t>
      </w:r>
      <w:r w:rsidRPr="004D2CC1">
        <w:t xml:space="preserve">and the region as a whole. Opportunities for each urban location to build on and further develop its identity and complementary role in the settlement network </w:t>
      </w:r>
      <w:r w:rsidR="00FC1F21" w:rsidRPr="004D2CC1">
        <w:t xml:space="preserve">will </w:t>
      </w:r>
      <w:r w:rsidRPr="004D2CC1">
        <w:t>be identified as part of local planning processes.</w:t>
      </w:r>
    </w:p>
    <w:p w:rsidR="00A77123" w:rsidRDefault="00A77123" w:rsidP="0016400E">
      <w:pPr>
        <w:pStyle w:val="Heading3-list"/>
      </w:pPr>
      <w:r w:rsidRPr="00A77123">
        <w:t xml:space="preserve">Recognise and plan for the influence of </w:t>
      </w:r>
      <w:r w:rsidR="008B26A8" w:rsidRPr="00A77123">
        <w:t>cross</w:t>
      </w:r>
      <w:r w:rsidR="008B26A8">
        <w:t>-</w:t>
      </w:r>
      <w:r w:rsidRPr="00A77123">
        <w:t>border settlements</w:t>
      </w:r>
    </w:p>
    <w:p w:rsidR="00B25EFB" w:rsidRDefault="00D00A48" w:rsidP="004D2CC1">
      <w:pPr>
        <w:pStyle w:val="bt"/>
      </w:pPr>
      <w:r w:rsidRPr="004D2CC1">
        <w:t>Parts of the region along the Murray River (the N</w:t>
      </w:r>
      <w:r w:rsidR="00962C79" w:rsidRPr="004D2CC1">
        <w:t xml:space="preserve">ew </w:t>
      </w:r>
      <w:r w:rsidRPr="004D2CC1">
        <w:t>S</w:t>
      </w:r>
      <w:r w:rsidR="00962C79" w:rsidRPr="004D2CC1">
        <w:t xml:space="preserve">outh </w:t>
      </w:r>
      <w:r w:rsidRPr="004D2CC1">
        <w:t>W</w:t>
      </w:r>
      <w:r w:rsidR="00962C79" w:rsidRPr="004D2CC1">
        <w:t>ales</w:t>
      </w:r>
      <w:r w:rsidRPr="004D2CC1">
        <w:t xml:space="preserve"> border) are influenced by settlements on the </w:t>
      </w:r>
      <w:r w:rsidR="00F607E4">
        <w:t>New South Wales</w:t>
      </w:r>
      <w:r w:rsidRPr="004D2CC1">
        <w:t xml:space="preserve"> side of the river</w:t>
      </w:r>
      <w:r w:rsidR="008C0A80" w:rsidRPr="004D2CC1">
        <w:t>. In</w:t>
      </w:r>
      <w:r w:rsidRPr="004D2CC1">
        <w:t xml:space="preserve"> some instances these </w:t>
      </w:r>
      <w:r w:rsidR="008C0A80" w:rsidRPr="004D2CC1">
        <w:t xml:space="preserve">towns </w:t>
      </w:r>
      <w:r w:rsidRPr="004D2CC1">
        <w:t>are part of cross</w:t>
      </w:r>
      <w:r w:rsidR="008B26A8">
        <w:t>-</w:t>
      </w:r>
      <w:r w:rsidRPr="004D2CC1">
        <w:t xml:space="preserve">border settlements such as Albury-Wodonga, Cobram-Barooga, Corowa-Wahgunyah and Yarrawonga-Mulwala. These settlements </w:t>
      </w:r>
      <w:r w:rsidR="008C0A80" w:rsidRPr="004D2CC1">
        <w:t xml:space="preserve">are often interdependent </w:t>
      </w:r>
      <w:r w:rsidRPr="004D2CC1">
        <w:t>and provide services and facilities to communities on both sides of the river.</w:t>
      </w:r>
      <w:r w:rsidR="00E905A0">
        <w:t xml:space="preserve"> These cross</w:t>
      </w:r>
      <w:r w:rsidR="008B26A8">
        <w:t>-</w:t>
      </w:r>
      <w:r w:rsidR="00E905A0">
        <w:t>border relationships are also important</w:t>
      </w:r>
      <w:r w:rsidR="00B25EFB">
        <w:t xml:space="preserve"> from an economic point of view as</w:t>
      </w:r>
      <w:r w:rsidR="00B25EFB" w:rsidRPr="00B25EFB">
        <w:t xml:space="preserve"> they have larger, relatively diverse economies</w:t>
      </w:r>
      <w:r w:rsidR="00C14070">
        <w:t xml:space="preserve"> </w:t>
      </w:r>
      <w:r w:rsidR="00B25EFB" w:rsidRPr="00B25EFB">
        <w:t>when considered as combined settlements and not in isolation from each other.</w:t>
      </w:r>
    </w:p>
    <w:p w:rsidR="0046362D" w:rsidRPr="004D2CC1" w:rsidRDefault="007D6734" w:rsidP="004D2CC1">
      <w:pPr>
        <w:pStyle w:val="bt"/>
      </w:pPr>
      <w:r w:rsidRPr="004D2CC1">
        <w:t xml:space="preserve">Of these settlements, Albury provides a significant economic gateway to </w:t>
      </w:r>
      <w:r w:rsidR="00F607E4">
        <w:t>New South Wales</w:t>
      </w:r>
      <w:r w:rsidRPr="004D2CC1">
        <w:t xml:space="preserve"> and creates opportunities for Wodonga to leverage off this broader economic conurbation.</w:t>
      </w:r>
      <w:r w:rsidR="00D00A48" w:rsidRPr="004D2CC1">
        <w:t xml:space="preserve"> The draft Murray River Settlement Strategy is being prepared to address the challenges faced </w:t>
      </w:r>
      <w:r w:rsidR="006B2BFC" w:rsidRPr="004D2CC1">
        <w:t xml:space="preserve">by, </w:t>
      </w:r>
      <w:r w:rsidR="00D00A48" w:rsidRPr="004D2CC1">
        <w:t xml:space="preserve">and </w:t>
      </w:r>
      <w:r w:rsidR="006B2BFC" w:rsidRPr="004D2CC1">
        <w:t xml:space="preserve">the </w:t>
      </w:r>
      <w:r w:rsidR="00D00A48" w:rsidRPr="004D2CC1">
        <w:t xml:space="preserve">opportunities </w:t>
      </w:r>
      <w:r w:rsidR="006B2BFC" w:rsidRPr="004D2CC1">
        <w:t xml:space="preserve">available to, </w:t>
      </w:r>
      <w:r w:rsidR="00D00A48" w:rsidRPr="004D2CC1">
        <w:t xml:space="preserve">settlements along the Murray River </w:t>
      </w:r>
      <w:r w:rsidR="006B2BFC" w:rsidRPr="004D2CC1">
        <w:t>c</w:t>
      </w:r>
      <w:r w:rsidR="00D00A48" w:rsidRPr="004D2CC1">
        <w:t xml:space="preserve">orridor. </w:t>
      </w:r>
      <w:r w:rsidR="00233784" w:rsidRPr="004D2CC1">
        <w:t>Preliminary</w:t>
      </w:r>
      <w:r w:rsidR="008C0A80" w:rsidRPr="004D2CC1">
        <w:t xml:space="preserve"> </w:t>
      </w:r>
      <w:r w:rsidR="00D00A48" w:rsidRPr="004D2CC1">
        <w:t xml:space="preserve">strategic directions from this strategy have been considered in the development of </w:t>
      </w:r>
      <w:r w:rsidR="006B2BFC" w:rsidRPr="004D2CC1">
        <w:t xml:space="preserve">this </w:t>
      </w:r>
      <w:r w:rsidR="00D36385" w:rsidRPr="004D2CC1">
        <w:t>p</w:t>
      </w:r>
      <w:r w:rsidR="00D00A48" w:rsidRPr="004D2CC1">
        <w:t xml:space="preserve">lan. Consideration should be given to the implementation of these </w:t>
      </w:r>
      <w:r w:rsidR="008C0A80" w:rsidRPr="004D2CC1">
        <w:t>measures</w:t>
      </w:r>
      <w:r w:rsidR="00D00A48" w:rsidRPr="004D2CC1">
        <w:t xml:space="preserve"> as part of future strategic land use planning processes.</w:t>
      </w:r>
    </w:p>
    <w:p w:rsidR="00A77123" w:rsidRDefault="00A77123" w:rsidP="0016400E">
      <w:pPr>
        <w:pStyle w:val="Heading3-list"/>
      </w:pPr>
      <w:r w:rsidRPr="00A77123">
        <w:t xml:space="preserve">Plan for hinterland (peri-urban) areas </w:t>
      </w:r>
    </w:p>
    <w:p w:rsidR="00FB2DEC" w:rsidRPr="0034712C" w:rsidRDefault="007E4618" w:rsidP="00613B93">
      <w:pPr>
        <w:pStyle w:val="bt"/>
        <w:rPr>
          <w:i/>
        </w:rPr>
      </w:pPr>
      <w:r w:rsidRPr="007E4618">
        <w:rPr>
          <w:i/>
        </w:rPr>
        <w:t>Melbourne’s peri-urban influence</w:t>
      </w:r>
    </w:p>
    <w:p w:rsidR="00345385" w:rsidRDefault="00613B93" w:rsidP="00613B93">
      <w:pPr>
        <w:pStyle w:val="bt"/>
      </w:pPr>
      <w:r w:rsidRPr="00613B93">
        <w:lastRenderedPageBreak/>
        <w:t xml:space="preserve">Peri-urban literally means the area around a settlement. Melbourne’s </w:t>
      </w:r>
      <w:r w:rsidR="00593267" w:rsidRPr="00393841">
        <w:t>peri-urban region</w:t>
      </w:r>
      <w:r w:rsidRPr="00613B93">
        <w:t xml:space="preserve"> is diverse, containing a mix of people, places and experiences. This </w:t>
      </w:r>
      <w:r w:rsidR="005C068C" w:rsidRPr="00613B93">
        <w:t>predomin</w:t>
      </w:r>
      <w:r w:rsidR="005C068C">
        <w:t>ant</w:t>
      </w:r>
      <w:r w:rsidR="005C068C" w:rsidRPr="00613B93">
        <w:t>ly</w:t>
      </w:r>
      <w:r w:rsidRPr="00613B93">
        <w:t xml:space="preserve"> rural area includes key </w:t>
      </w:r>
      <w:r w:rsidR="00CB1020">
        <w:t>urban settlements and townships</w:t>
      </w:r>
      <w:r w:rsidRPr="00613B93">
        <w:t xml:space="preserve"> </w:t>
      </w:r>
      <w:r w:rsidR="00567B45">
        <w:t>that</w:t>
      </w:r>
      <w:r w:rsidR="00567B45" w:rsidRPr="00613B93">
        <w:t xml:space="preserve"> </w:t>
      </w:r>
      <w:r w:rsidRPr="00613B93">
        <w:t xml:space="preserve">face particular pressures for growth and change. </w:t>
      </w:r>
      <w:r w:rsidR="0046362D" w:rsidRPr="00A25511">
        <w:t xml:space="preserve">Melbourne’s peri-urban influence extends into the southern part of the </w:t>
      </w:r>
      <w:r w:rsidR="00196A15">
        <w:t xml:space="preserve">Hume </w:t>
      </w:r>
      <w:r w:rsidR="009654D9">
        <w:t>R</w:t>
      </w:r>
      <w:r w:rsidR="0046362D" w:rsidRPr="00A25511">
        <w:t>egion</w:t>
      </w:r>
      <w:r w:rsidR="00FB2DEC">
        <w:t xml:space="preserve"> to </w:t>
      </w:r>
      <w:r w:rsidR="00CE47E8">
        <w:t>include most</w:t>
      </w:r>
      <w:r w:rsidR="00FB2DEC">
        <w:t xml:space="preserve"> of the Lower Hume </w:t>
      </w:r>
      <w:r w:rsidR="00567B45">
        <w:t>sub-</w:t>
      </w:r>
      <w:r w:rsidR="00FB2DEC">
        <w:t>region</w:t>
      </w:r>
      <w:r>
        <w:t>.</w:t>
      </w:r>
      <w:r w:rsidRPr="00613B93">
        <w:t xml:space="preserve"> </w:t>
      </w:r>
    </w:p>
    <w:p w:rsidR="00613B93" w:rsidRDefault="00613B93" w:rsidP="00613B93">
      <w:pPr>
        <w:pStyle w:val="bt"/>
      </w:pPr>
      <w:r>
        <w:t>Melbourne’s</w:t>
      </w:r>
      <w:r w:rsidR="008875E0">
        <w:t xml:space="preserve"> </w:t>
      </w:r>
      <w:r>
        <w:t xml:space="preserve">peri-urban </w:t>
      </w:r>
      <w:r w:rsidR="006E3ED6">
        <w:t>region</w:t>
      </w:r>
      <w:r>
        <w:t xml:space="preserve"> includes a number of state significant land assets important to the functioning of Melbourne and Victoria as a whole</w:t>
      </w:r>
      <w:r w:rsidR="001504AB">
        <w:t xml:space="preserve">. These </w:t>
      </w:r>
      <w:r>
        <w:t>include resources, infrastructure, environmental assets and cultural heritage assets</w:t>
      </w:r>
      <w:r w:rsidR="001504AB">
        <w:t xml:space="preserve"> </w:t>
      </w:r>
      <w:r w:rsidR="001504AB" w:rsidRPr="001504AB">
        <w:t xml:space="preserve">(refer to </w:t>
      </w:r>
      <w:r w:rsidR="00CC63B5">
        <w:t>Table 3</w:t>
      </w:r>
      <w:r w:rsidR="001504AB" w:rsidRPr="001504AB">
        <w:t>)</w:t>
      </w:r>
      <w:r w:rsidR="001504AB">
        <w:t>.</w:t>
      </w:r>
      <w:r>
        <w:t xml:space="preserve"> These land assets provide some of the most basic needs</w:t>
      </w:r>
      <w:r w:rsidR="00567B45">
        <w:t>,</w:t>
      </w:r>
      <w:r>
        <w:t xml:space="preserve"> which </w:t>
      </w:r>
      <w:r w:rsidR="004E23AF">
        <w:t>more than 5</w:t>
      </w:r>
      <w:r w:rsidR="00567B45">
        <w:t xml:space="preserve"> </w:t>
      </w:r>
      <w:r>
        <w:t>million Victorians rely on every</w:t>
      </w:r>
      <w:r w:rsidR="00567B45">
        <w:t xml:space="preserve"> </w:t>
      </w:r>
      <w:r>
        <w:t>day</w:t>
      </w:r>
      <w:r w:rsidR="00567B45">
        <w:t>,</w:t>
      </w:r>
      <w:r>
        <w:t xml:space="preserve"> such as quality air and water, food, fibre, and building materials for homes and roads. The unique natural, cultural, and recreational assets of Melbourne’s </w:t>
      </w:r>
      <w:r w:rsidR="00593267" w:rsidRPr="00393841">
        <w:t>peri-urban region</w:t>
      </w:r>
      <w:r>
        <w:t xml:space="preserve">s provide great economic opportunities. This is a significant strength for the </w:t>
      </w:r>
      <w:r w:rsidR="00567B45">
        <w:t>state</w:t>
      </w:r>
      <w:r>
        <w:t xml:space="preserve">, providing opportunities to maximise </w:t>
      </w:r>
      <w:r w:rsidR="00654581">
        <w:t xml:space="preserve">the </w:t>
      </w:r>
      <w:r>
        <w:t xml:space="preserve">competitive advantage over other cities and regions within Australia and the Asia-Pacific region. The economic opportunities provided by the assets and appropriate growth will contribute to the economy, quality of life and environmental strengths. </w:t>
      </w:r>
      <w:r w:rsidR="00593267">
        <w:t>Considered land use planning</w:t>
      </w:r>
      <w:r>
        <w:t xml:space="preserve"> will </w:t>
      </w:r>
      <w:r w:rsidR="00654581">
        <w:t xml:space="preserve">help </w:t>
      </w:r>
      <w:r>
        <w:t xml:space="preserve">ensure </w:t>
      </w:r>
      <w:r w:rsidR="00654581">
        <w:t>the continued enjoyment of</w:t>
      </w:r>
      <w:r>
        <w:t xml:space="preserve"> the benefits that this area provides. </w:t>
      </w:r>
    </w:p>
    <w:p w:rsidR="00613B93" w:rsidRPr="00593267" w:rsidRDefault="00613B93" w:rsidP="00593267">
      <w:pPr>
        <w:pStyle w:val="bt"/>
      </w:pPr>
      <w:r>
        <w:t xml:space="preserve">The proximity of the </w:t>
      </w:r>
      <w:r w:rsidR="00593267" w:rsidRPr="00393841">
        <w:t>peri-urban region</w:t>
      </w:r>
      <w:r>
        <w:t xml:space="preserve"> to Melbourne and high standard </w:t>
      </w:r>
      <w:r w:rsidR="00567B45">
        <w:t xml:space="preserve">of </w:t>
      </w:r>
      <w:r>
        <w:t>road and rail infrastructure reinforces strong two</w:t>
      </w:r>
      <w:r w:rsidR="00567B45">
        <w:t>-</w:t>
      </w:r>
      <w:r>
        <w:t xml:space="preserve">way connections between these areas, providing access to jobs, markets, customers and tourists. The </w:t>
      </w:r>
      <w:r w:rsidR="00593267" w:rsidRPr="00393841">
        <w:t>peri-urban region</w:t>
      </w:r>
      <w:r>
        <w:t xml:space="preserve"> has a particularly strong relationship to the Melbourne population. Visitation, tourism and commuting patterns occur between these areas and recreation and amenity areas are frequented by hundreds of thousands of people during weekends and holiday periods. </w:t>
      </w:r>
      <w:r w:rsidRPr="00593267">
        <w:t xml:space="preserve">These interactions have had a strong influence on growth and change within the peri-urban region. These areas have had high percentage increases in population and this trend is projected to continue. </w:t>
      </w:r>
    </w:p>
    <w:p w:rsidR="00613B93" w:rsidRPr="00593267" w:rsidRDefault="00613B93" w:rsidP="00593267">
      <w:pPr>
        <w:pStyle w:val="bt"/>
      </w:pPr>
      <w:r w:rsidRPr="00593267">
        <w:t xml:space="preserve">If not managed, development pressures and sprawling growth can increase risks </w:t>
      </w:r>
      <w:r w:rsidR="00CB1020" w:rsidRPr="00593267">
        <w:t>such as those</w:t>
      </w:r>
      <w:r w:rsidR="00654581" w:rsidRPr="00593267">
        <w:t xml:space="preserve"> </w:t>
      </w:r>
      <w:r w:rsidRPr="00593267">
        <w:t xml:space="preserve">from </w:t>
      </w:r>
      <w:r w:rsidR="00112398" w:rsidRPr="00593267">
        <w:t>bushfire</w:t>
      </w:r>
      <w:r w:rsidRPr="00593267">
        <w:t xml:space="preserve"> and flood, add to infrastructure costs</w:t>
      </w:r>
      <w:r w:rsidR="00CB1020" w:rsidRPr="00593267">
        <w:t>,</w:t>
      </w:r>
      <w:r w:rsidRPr="00593267">
        <w:t xml:space="preserve"> and lead to a loss of important </w:t>
      </w:r>
      <w:r w:rsidR="00567B45" w:rsidRPr="00593267">
        <w:t>non-</w:t>
      </w:r>
      <w:r w:rsidRPr="00593267">
        <w:t>urban assets including productive farmland, water catchments, earth resources, biodiversity and natural ecosystems. Retaining the economic and community value of these assets is a key consideration in planning for this area.</w:t>
      </w:r>
    </w:p>
    <w:p w:rsidR="00FB2DEC" w:rsidRPr="00593267" w:rsidRDefault="00613B93" w:rsidP="00593267">
      <w:pPr>
        <w:pStyle w:val="bt"/>
      </w:pPr>
      <w:r w:rsidRPr="00593267">
        <w:t xml:space="preserve">Collectively, the </w:t>
      </w:r>
      <w:r w:rsidR="005B3520">
        <w:t xml:space="preserve">new </w:t>
      </w:r>
      <w:r w:rsidR="00315B29">
        <w:t>m</w:t>
      </w:r>
      <w:r w:rsidRPr="00593267">
        <w:t xml:space="preserve">etropolitan </w:t>
      </w:r>
      <w:r w:rsidR="00315B29">
        <w:t>p</w:t>
      </w:r>
      <w:r w:rsidRPr="00593267">
        <w:t xml:space="preserve">lanning </w:t>
      </w:r>
      <w:r w:rsidR="00315B29">
        <w:t>s</w:t>
      </w:r>
      <w:r w:rsidRPr="00593267">
        <w:t>trategy</w:t>
      </w:r>
      <w:r w:rsidR="00315B29">
        <w:t xml:space="preserve">, </w:t>
      </w:r>
      <w:r w:rsidR="00315B29" w:rsidRPr="00315B29">
        <w:rPr>
          <w:i/>
        </w:rPr>
        <w:t>Plan Melbourne</w:t>
      </w:r>
      <w:r w:rsidRPr="00593267">
        <w:t xml:space="preserve"> and the peri-urban </w:t>
      </w:r>
      <w:r w:rsidR="00593267" w:rsidRPr="00593267">
        <w:t>r</w:t>
      </w:r>
      <w:r w:rsidRPr="00593267">
        <w:t xml:space="preserve">egional </w:t>
      </w:r>
      <w:r w:rsidR="00593267" w:rsidRPr="00593267">
        <w:t>g</w:t>
      </w:r>
      <w:r w:rsidRPr="00593267">
        <w:t xml:space="preserve">rowth </w:t>
      </w:r>
      <w:r w:rsidR="00593267" w:rsidRPr="00593267">
        <w:t>p</w:t>
      </w:r>
      <w:r w:rsidRPr="00593267">
        <w:t>lans</w:t>
      </w:r>
      <w:r w:rsidR="00CB1020" w:rsidRPr="00593267">
        <w:t xml:space="preserve"> (G21, Central Highlands, Loddon Mallee South, Hume and Gippsland) provide</w:t>
      </w:r>
      <w:r w:rsidRPr="00593267">
        <w:t xml:space="preserve"> the vision and broad strategic direction for land use and development across </w:t>
      </w:r>
      <w:r w:rsidR="00654581" w:rsidRPr="00593267">
        <w:t xml:space="preserve">Melbourne’s </w:t>
      </w:r>
      <w:r w:rsidR="00593267" w:rsidRPr="00593267">
        <w:t>peri-urban region</w:t>
      </w:r>
      <w:r w:rsidRPr="00593267">
        <w:t xml:space="preserve">. The </w:t>
      </w:r>
      <w:r w:rsidR="00567B45" w:rsidRPr="00593267">
        <w:t xml:space="preserve">regional growth plans </w:t>
      </w:r>
      <w:r w:rsidRPr="00593267">
        <w:t xml:space="preserve">include high level </w:t>
      </w:r>
      <w:r w:rsidR="00CB1020" w:rsidRPr="00593267">
        <w:t xml:space="preserve">urban growth </w:t>
      </w:r>
      <w:r w:rsidRPr="00593267">
        <w:t>framework</w:t>
      </w:r>
      <w:r w:rsidR="00CB1020" w:rsidRPr="00593267">
        <w:t>s</w:t>
      </w:r>
      <w:r w:rsidRPr="00593267">
        <w:t xml:space="preserve"> for </w:t>
      </w:r>
      <w:r w:rsidR="00CB1020" w:rsidRPr="00593267">
        <w:t xml:space="preserve">key </w:t>
      </w:r>
      <w:r w:rsidRPr="00593267">
        <w:t>towns and cities</w:t>
      </w:r>
      <w:r w:rsidR="00654581" w:rsidRPr="00593267">
        <w:t xml:space="preserve">. </w:t>
      </w:r>
      <w:r w:rsidR="001504AB" w:rsidRPr="00593267">
        <w:t xml:space="preserve">In the Hume Region, Wallan and Beveridge are located within Melbourne’s Urban Growth Boundary and are identified for significant growth. </w:t>
      </w:r>
      <w:r w:rsidR="00B85119" w:rsidRPr="000405A5">
        <w:t>Further north, Seymour has been identified as a significant change location. Growth opportunities are identified for Kilmore, Broadford, Yea and Alexandra (see Section 13.2).</w:t>
      </w:r>
      <w:r w:rsidR="00757126" w:rsidRPr="000405A5">
        <w:t xml:space="preserve"> The government, in partnership with</w:t>
      </w:r>
      <w:r w:rsidR="00FB2DEC" w:rsidRPr="00593267">
        <w:t xml:space="preserve"> </w:t>
      </w:r>
      <w:r w:rsidR="00567B45" w:rsidRPr="00593267">
        <w:t xml:space="preserve">councils, </w:t>
      </w:r>
      <w:r w:rsidR="00FB2DEC" w:rsidRPr="00593267">
        <w:t xml:space="preserve">will work to provide specific statements about Melbourne’s </w:t>
      </w:r>
      <w:r w:rsidR="00593267" w:rsidRPr="00593267">
        <w:t>peri-urban region</w:t>
      </w:r>
      <w:r w:rsidR="00FB2DEC" w:rsidRPr="00593267">
        <w:t xml:space="preserve"> to respond to the unique pressures and opportunities </w:t>
      </w:r>
      <w:r w:rsidR="00567B45" w:rsidRPr="00593267">
        <w:t xml:space="preserve">that </w:t>
      </w:r>
      <w:r w:rsidR="00FB2DEC" w:rsidRPr="00593267">
        <w:t xml:space="preserve">are common to these locations. There is an opportunity to clearly articulate the outcomes envisaged for the complex peri-urban region at a finer grain, providing stronger and clearer guidance for making land use planning and development decisions in the </w:t>
      </w:r>
      <w:r w:rsidR="00593267" w:rsidRPr="00593267">
        <w:t>peri-urban region</w:t>
      </w:r>
      <w:r w:rsidR="00FB2DEC" w:rsidRPr="00593267">
        <w:t>, particularly where trade-offs between competing land uses are required.</w:t>
      </w:r>
    </w:p>
    <w:p w:rsidR="00654581" w:rsidRPr="00593267" w:rsidRDefault="00FB2DEC" w:rsidP="00593267">
      <w:pPr>
        <w:pStyle w:val="bt"/>
      </w:pPr>
      <w:r w:rsidRPr="00593267">
        <w:t xml:space="preserve">Understanding the role of regional cities, peri-urban towns and rural communities and their relationship to one another and to Melbourne is a critical element in planning for Melbourne’s </w:t>
      </w:r>
      <w:r w:rsidR="00593267" w:rsidRPr="00593267">
        <w:t>peri-urban region</w:t>
      </w:r>
      <w:r w:rsidRPr="00593267">
        <w:t xml:space="preserve">. Peri-urban councils have already led the preparation of detailed research of many of the issues affecting the area, and have developed policy positions in a number of locations to inform decision making at the strategic land use level. The work of </w:t>
      </w:r>
      <w:r w:rsidR="00BB4064">
        <w:t>councils</w:t>
      </w:r>
      <w:r w:rsidR="00CB1020" w:rsidRPr="00593267">
        <w:t xml:space="preserve">, together with </w:t>
      </w:r>
      <w:r w:rsidR="00315B29" w:rsidRPr="00315B29">
        <w:rPr>
          <w:i/>
        </w:rPr>
        <w:t>Plan Melbourne</w:t>
      </w:r>
      <w:r w:rsidR="00315B29">
        <w:t xml:space="preserve"> </w:t>
      </w:r>
      <w:r w:rsidRPr="00593267">
        <w:t xml:space="preserve">and the </w:t>
      </w:r>
      <w:r w:rsidR="00567B45" w:rsidRPr="00593267">
        <w:t>regional growth plans</w:t>
      </w:r>
      <w:r w:rsidRPr="00593267">
        <w:t xml:space="preserve">, provide a strong foundation for preparation of statements about Melbourne’s </w:t>
      </w:r>
      <w:r w:rsidR="00593267" w:rsidRPr="00593267">
        <w:t>peri-urban region</w:t>
      </w:r>
      <w:r w:rsidRPr="00593267">
        <w:t>.</w:t>
      </w:r>
    </w:p>
    <w:p w:rsidR="00FB2DEC" w:rsidRPr="0034712C" w:rsidRDefault="007E4618" w:rsidP="004D2CC1">
      <w:pPr>
        <w:pStyle w:val="bt"/>
        <w:rPr>
          <w:i/>
        </w:rPr>
      </w:pPr>
      <w:r w:rsidRPr="007E4618">
        <w:rPr>
          <w:i/>
        </w:rPr>
        <w:t>Other hinterland areas in the region</w:t>
      </w:r>
    </w:p>
    <w:p w:rsidR="0046362D" w:rsidRDefault="0046362D" w:rsidP="004D2CC1">
      <w:pPr>
        <w:pStyle w:val="bt"/>
      </w:pPr>
      <w:r>
        <w:t>Larger cities in the region, including Albury</w:t>
      </w:r>
      <w:r w:rsidR="00EC1094">
        <w:t>-</w:t>
      </w:r>
      <w:r>
        <w:t xml:space="preserve">Wodonga, Shepparton and </w:t>
      </w:r>
      <w:r w:rsidR="00BC15EB">
        <w:t xml:space="preserve">Wangaratta, have their own </w:t>
      </w:r>
      <w:r w:rsidR="0075312A">
        <w:t>hinterland (</w:t>
      </w:r>
      <w:r w:rsidR="00BC15EB">
        <w:t>peri-</w:t>
      </w:r>
      <w:r>
        <w:t>urban</w:t>
      </w:r>
      <w:r w:rsidR="0075312A">
        <w:t>)</w:t>
      </w:r>
      <w:r>
        <w:t xml:space="preserve"> areas. </w:t>
      </w:r>
      <w:r w:rsidRPr="00A25511">
        <w:t xml:space="preserve">There is a need to develop a clear understanding of the growth and change </w:t>
      </w:r>
      <w:r w:rsidR="005A3A21">
        <w:t xml:space="preserve">in </w:t>
      </w:r>
      <w:r w:rsidRPr="00A25511">
        <w:t xml:space="preserve">dynamics of </w:t>
      </w:r>
      <w:r w:rsidRPr="00A25511">
        <w:lastRenderedPageBreak/>
        <w:t xml:space="preserve">settlements and drivers of housing choice within </w:t>
      </w:r>
      <w:r w:rsidR="0075312A">
        <w:t xml:space="preserve">hinterland </w:t>
      </w:r>
      <w:r>
        <w:t>areas</w:t>
      </w:r>
      <w:r w:rsidRPr="00A25511">
        <w:t xml:space="preserve"> in order to establish a clear and consistent approach to managing and directing growth to appropriate places. </w:t>
      </w:r>
    </w:p>
    <w:p w:rsidR="008D6F55" w:rsidRDefault="0046362D" w:rsidP="008D6F55">
      <w:pPr>
        <w:pStyle w:val="bt"/>
      </w:pPr>
      <w:r w:rsidRPr="00A25511">
        <w:t>Particular attention will be needed to manage the demand for rural living</w:t>
      </w:r>
      <w:r>
        <w:t xml:space="preserve"> in these areas</w:t>
      </w:r>
      <w:r w:rsidRPr="00A25511">
        <w:t xml:space="preserve"> to ensure that the benefits</w:t>
      </w:r>
      <w:r>
        <w:t xml:space="preserve"> gained outweigh any disadvantages that may result.</w:t>
      </w:r>
      <w:r w:rsidRPr="00A25511">
        <w:t xml:space="preserve"> This will require greater clarity of objectives for both settlements and other rural activit</w:t>
      </w:r>
      <w:r>
        <w:t>ies</w:t>
      </w:r>
      <w:r w:rsidRPr="00A25511">
        <w:t xml:space="preserve">, which can assist local authorities in making planning decisions. </w:t>
      </w:r>
      <w:r w:rsidR="00CE47E8" w:rsidRPr="00CE47E8">
        <w:t xml:space="preserve">The principles derived from the proposed coordinated approach to planning for Melbourne’s </w:t>
      </w:r>
      <w:r w:rsidR="007E4618" w:rsidRPr="007E4618">
        <w:t>peri-urban region</w:t>
      </w:r>
      <w:r w:rsidR="00CE47E8" w:rsidRPr="00CE47E8">
        <w:t>s could be applicable to the hinterlands of major regional centres.</w:t>
      </w:r>
    </w:p>
    <w:p w:rsidR="00201DD8" w:rsidRDefault="001504AB" w:rsidP="00674FA7">
      <w:pPr>
        <w:pStyle w:val="Caption"/>
      </w:pPr>
      <w:bookmarkStart w:id="91" w:name="_Toc373414222"/>
      <w:r>
        <w:t xml:space="preserve">Table </w:t>
      </w:r>
      <w:r w:rsidR="005F523F">
        <w:fldChar w:fldCharType="begin"/>
      </w:r>
      <w:r>
        <w:instrText xml:space="preserve"> SEQ Table \* ARABIC </w:instrText>
      </w:r>
      <w:r w:rsidR="005F523F">
        <w:fldChar w:fldCharType="separate"/>
      </w:r>
      <w:r w:rsidR="006A067A">
        <w:t>3</w:t>
      </w:r>
      <w:r w:rsidR="005F523F">
        <w:fldChar w:fldCharType="end"/>
      </w:r>
      <w:r>
        <w:t xml:space="preserve">: </w:t>
      </w:r>
      <w:r w:rsidR="00201DD8" w:rsidRPr="00217B20">
        <w:rPr>
          <w:b w:val="0"/>
        </w:rPr>
        <w:t>State significant land uses present within Melbourne’s peri-urban region</w:t>
      </w:r>
      <w:bookmarkEnd w:id="91"/>
    </w:p>
    <w:p w:rsidR="002A1891" w:rsidRPr="00B92980" w:rsidRDefault="002A1891" w:rsidP="002A1891">
      <w:pPr>
        <w:pStyle w:val="Heading5"/>
      </w:pPr>
      <w:r w:rsidRPr="00B92980">
        <w:t>Resources</w:t>
      </w:r>
    </w:p>
    <w:p w:rsidR="002A1891" w:rsidRPr="00B92980" w:rsidRDefault="002A1891" w:rsidP="002A1891">
      <w:pPr>
        <w:pStyle w:val="bt"/>
        <w:rPr>
          <w:rStyle w:val="Strong"/>
        </w:rPr>
      </w:pPr>
      <w:r w:rsidRPr="00B92980">
        <w:rPr>
          <w:rStyle w:val="Strong"/>
        </w:rPr>
        <w:t>Land uses - Extractive</w:t>
      </w:r>
    </w:p>
    <w:p w:rsidR="002A1891" w:rsidRPr="00B92980" w:rsidRDefault="002A1891" w:rsidP="002A1891">
      <w:pPr>
        <w:pStyle w:val="bt"/>
        <w:rPr>
          <w:rStyle w:val="Strong"/>
        </w:rPr>
      </w:pPr>
      <w:r w:rsidRPr="00B92980">
        <w:rPr>
          <w:rStyle w:val="Strong"/>
        </w:rPr>
        <w:t>Why these land uses are considered significant to the state</w:t>
      </w:r>
    </w:p>
    <w:p w:rsidR="002A1891" w:rsidRPr="000159E1" w:rsidRDefault="002A1891" w:rsidP="002A1891">
      <w:pPr>
        <w:pStyle w:val="bt"/>
      </w:pPr>
      <w:r w:rsidRPr="000159E1">
        <w:t xml:space="preserve">The cost of transporting stone and sand products over long distances can account for a substantial proportion of product price at the construction site. Sourcing construction materials from local quarries within the peri-urban region enables cost-efficiencies and energy savings. </w:t>
      </w:r>
    </w:p>
    <w:p w:rsidR="002A1891" w:rsidRPr="00B92980" w:rsidRDefault="002A1891" w:rsidP="002A1891">
      <w:pPr>
        <w:pStyle w:val="bt"/>
        <w:rPr>
          <w:rStyle w:val="Strong"/>
        </w:rPr>
      </w:pPr>
      <w:r w:rsidRPr="00B92980">
        <w:rPr>
          <w:rStyle w:val="Strong"/>
        </w:rPr>
        <w:t>Land uses - Forestry</w:t>
      </w:r>
    </w:p>
    <w:p w:rsidR="002A1891" w:rsidRPr="00B92980" w:rsidRDefault="002A1891" w:rsidP="002A1891">
      <w:pPr>
        <w:pStyle w:val="bt"/>
        <w:rPr>
          <w:rStyle w:val="Strong"/>
        </w:rPr>
      </w:pPr>
      <w:r w:rsidRPr="00B92980">
        <w:rPr>
          <w:rStyle w:val="Strong"/>
        </w:rPr>
        <w:t>Why these land uses are considered significant to the state</w:t>
      </w:r>
    </w:p>
    <w:p w:rsidR="002A1891" w:rsidRPr="000159E1" w:rsidRDefault="002A1891" w:rsidP="002A1891">
      <w:pPr>
        <w:pStyle w:val="bt"/>
      </w:pPr>
      <w:r w:rsidRPr="000159E1">
        <w:t>A number of state forest reserves are located in the peri-urban region. They provide for a variety of uses, including providing timber for sustainable forestry, biodiversity and landscape conservation, protection of water catchments and providing opportunities for recreation.</w:t>
      </w:r>
    </w:p>
    <w:p w:rsidR="002A1891" w:rsidRPr="00B92980" w:rsidRDefault="002A1891" w:rsidP="002A1891">
      <w:pPr>
        <w:pStyle w:val="bt"/>
        <w:rPr>
          <w:rStyle w:val="Strong"/>
        </w:rPr>
      </w:pPr>
      <w:r w:rsidRPr="00B92980">
        <w:rPr>
          <w:rStyle w:val="Strong"/>
        </w:rPr>
        <w:t>Land uses - Productive agriculture</w:t>
      </w:r>
    </w:p>
    <w:p w:rsidR="002A1891" w:rsidRPr="00B92980" w:rsidRDefault="002A1891" w:rsidP="002A1891">
      <w:pPr>
        <w:pStyle w:val="bt"/>
        <w:rPr>
          <w:rStyle w:val="Strong"/>
        </w:rPr>
      </w:pPr>
      <w:r w:rsidRPr="00B92980">
        <w:rPr>
          <w:rStyle w:val="Strong"/>
        </w:rPr>
        <w:t>Why these land uses are considered significant to the state</w:t>
      </w:r>
    </w:p>
    <w:p w:rsidR="002A1891" w:rsidRPr="000159E1" w:rsidRDefault="002A1891" w:rsidP="002A1891">
      <w:pPr>
        <w:pStyle w:val="bt"/>
      </w:pPr>
      <w:r w:rsidRPr="000159E1">
        <w:t xml:space="preserve">Prime agricultural land provides food and fibre to the Victorian community and supports employment and businesses. It also supports associated rural industries, such as food processing, abattoirs, shearing, irrigation supplies and stock feed producers that contribute to Victoria’s economy. </w:t>
      </w:r>
    </w:p>
    <w:p w:rsidR="002A1891" w:rsidRPr="00B92980" w:rsidRDefault="002A1891" w:rsidP="002A1891">
      <w:pPr>
        <w:pStyle w:val="bt"/>
        <w:rPr>
          <w:rStyle w:val="Strong"/>
        </w:rPr>
      </w:pPr>
      <w:r w:rsidRPr="00B92980">
        <w:rPr>
          <w:rStyle w:val="Strong"/>
        </w:rPr>
        <w:t>Land uses - Water catchments</w:t>
      </w:r>
    </w:p>
    <w:p w:rsidR="002A1891" w:rsidRPr="00B92980" w:rsidRDefault="002A1891" w:rsidP="002A1891">
      <w:pPr>
        <w:pStyle w:val="bt"/>
        <w:rPr>
          <w:rStyle w:val="Strong"/>
        </w:rPr>
      </w:pPr>
      <w:r w:rsidRPr="00B92980">
        <w:rPr>
          <w:rStyle w:val="Strong"/>
        </w:rPr>
        <w:t>Why these land uses are considered significant to the state</w:t>
      </w:r>
    </w:p>
    <w:p w:rsidR="002A1891" w:rsidRPr="000159E1" w:rsidRDefault="002A1891" w:rsidP="002A1891">
      <w:pPr>
        <w:pStyle w:val="bt"/>
      </w:pPr>
      <w:r w:rsidRPr="000159E1">
        <w:t>The peri-urban catchments and storages remain essential to provide potable water for human and domestic animal consumption. The filtering action of the forested surrounds of our reservoirs avoids the need for expensive water treatment facilities for Melbourne and surrounding cities and towns.</w:t>
      </w:r>
    </w:p>
    <w:p w:rsidR="002A1891" w:rsidRPr="00B92980" w:rsidRDefault="002A1891" w:rsidP="002A1891">
      <w:pPr>
        <w:pStyle w:val="Heading5"/>
      </w:pPr>
      <w:r w:rsidRPr="00B92980">
        <w:t>Infrastructure</w:t>
      </w:r>
    </w:p>
    <w:p w:rsidR="002A1891" w:rsidRPr="00B92980" w:rsidRDefault="002A1891" w:rsidP="002A1891">
      <w:pPr>
        <w:pStyle w:val="bt"/>
        <w:rPr>
          <w:rStyle w:val="Strong"/>
        </w:rPr>
      </w:pPr>
      <w:r w:rsidRPr="00B92980">
        <w:rPr>
          <w:rStyle w:val="Strong"/>
        </w:rPr>
        <w:t>Land uses - Transport</w:t>
      </w:r>
    </w:p>
    <w:p w:rsidR="002A1891" w:rsidRPr="00B92980" w:rsidRDefault="002A1891" w:rsidP="002A1891">
      <w:pPr>
        <w:pStyle w:val="bt"/>
        <w:rPr>
          <w:rStyle w:val="Strong"/>
        </w:rPr>
      </w:pPr>
      <w:r w:rsidRPr="00B92980">
        <w:rPr>
          <w:rStyle w:val="Strong"/>
        </w:rPr>
        <w:t>Why these land uses are considered significant to the state</w:t>
      </w:r>
    </w:p>
    <w:p w:rsidR="002A1891" w:rsidRPr="000159E1" w:rsidRDefault="002A1891" w:rsidP="002A1891">
      <w:pPr>
        <w:pStyle w:val="bt"/>
      </w:pPr>
      <w:r w:rsidRPr="000159E1">
        <w:t>The peri-urban region is traversed by an extensive arterial road and rail transport network linking major centres of population and industry across Victoria. Progressive transport expansion and safety improvements continue to influence land use activities and are likely to further improve travel times, reducing the commuting time and improving access between peri-urban areas and with Melbourne.</w:t>
      </w:r>
    </w:p>
    <w:p w:rsidR="002A1891" w:rsidRPr="00B92980" w:rsidRDefault="002A1891" w:rsidP="002A1891">
      <w:pPr>
        <w:pStyle w:val="bt"/>
        <w:rPr>
          <w:rStyle w:val="Strong"/>
        </w:rPr>
      </w:pPr>
      <w:r w:rsidRPr="00B92980">
        <w:rPr>
          <w:rStyle w:val="Strong"/>
        </w:rPr>
        <w:lastRenderedPageBreak/>
        <w:t>Land uses</w:t>
      </w:r>
      <w:r>
        <w:rPr>
          <w:rStyle w:val="Strong"/>
        </w:rPr>
        <w:t xml:space="preserve"> - </w:t>
      </w:r>
      <w:r w:rsidRPr="00B92980">
        <w:rPr>
          <w:rStyle w:val="Strong"/>
        </w:rPr>
        <w:t>Utilities</w:t>
      </w:r>
    </w:p>
    <w:p w:rsidR="002A1891" w:rsidRPr="00B92980" w:rsidRDefault="002A1891" w:rsidP="002A1891">
      <w:pPr>
        <w:pStyle w:val="bt"/>
        <w:rPr>
          <w:rStyle w:val="Strong"/>
        </w:rPr>
      </w:pPr>
      <w:r w:rsidRPr="00B92980">
        <w:rPr>
          <w:rStyle w:val="Strong"/>
        </w:rPr>
        <w:t>Why these land uses are considered significant to the state</w:t>
      </w:r>
    </w:p>
    <w:p w:rsidR="002A1891" w:rsidRPr="000159E1" w:rsidRDefault="002A1891" w:rsidP="002A1891">
      <w:pPr>
        <w:pStyle w:val="bt"/>
      </w:pPr>
      <w:r w:rsidRPr="000159E1">
        <w:t>Water treatment plants, as well as electricity, gas and waste management facilities, pipelines and transmission corridors are located within the peri-urban region. These assets support the functioning of Victoria’s urban areas.</w:t>
      </w:r>
    </w:p>
    <w:p w:rsidR="002A1891" w:rsidRPr="000159E1" w:rsidRDefault="002A1891" w:rsidP="002A1891">
      <w:pPr>
        <w:pStyle w:val="Heading5"/>
      </w:pPr>
      <w:r w:rsidRPr="000159E1">
        <w:t>Environment</w:t>
      </w:r>
    </w:p>
    <w:p w:rsidR="002A1891" w:rsidRPr="00B92980" w:rsidRDefault="002A1891" w:rsidP="002A1891">
      <w:pPr>
        <w:pStyle w:val="bt"/>
        <w:rPr>
          <w:rStyle w:val="Strong"/>
        </w:rPr>
      </w:pPr>
      <w:r w:rsidRPr="00B92980">
        <w:rPr>
          <w:rStyle w:val="Strong"/>
        </w:rPr>
        <w:t>Land uses</w:t>
      </w:r>
      <w:r>
        <w:rPr>
          <w:rStyle w:val="Strong"/>
        </w:rPr>
        <w:t xml:space="preserve"> - </w:t>
      </w:r>
      <w:r w:rsidRPr="00B92980">
        <w:rPr>
          <w:rStyle w:val="Strong"/>
        </w:rPr>
        <w:t>Biodiversity</w:t>
      </w:r>
    </w:p>
    <w:p w:rsidR="002A1891" w:rsidRPr="00B92980" w:rsidRDefault="002A1891" w:rsidP="002A1891">
      <w:pPr>
        <w:pStyle w:val="bt"/>
        <w:rPr>
          <w:rStyle w:val="Strong"/>
        </w:rPr>
      </w:pPr>
      <w:r w:rsidRPr="00B92980">
        <w:rPr>
          <w:rStyle w:val="Strong"/>
        </w:rPr>
        <w:t>Why these land uses are considered significant to the state</w:t>
      </w:r>
    </w:p>
    <w:p w:rsidR="002A1891" w:rsidRPr="000159E1" w:rsidRDefault="002A1891" w:rsidP="002A1891">
      <w:pPr>
        <w:pStyle w:val="bt"/>
      </w:pPr>
      <w:r w:rsidRPr="000159E1">
        <w:t>Strong natural systems with a diversity of natural habitats for native plant and animals are important for the health and wellbeing of people living in urban areas. Opportunities for close connections with the natural world have high social, economic and educational value.</w:t>
      </w:r>
    </w:p>
    <w:p w:rsidR="002A1891" w:rsidRPr="00B92980" w:rsidRDefault="002A1891" w:rsidP="002A1891">
      <w:pPr>
        <w:pStyle w:val="bt"/>
        <w:rPr>
          <w:rStyle w:val="Strong"/>
        </w:rPr>
      </w:pPr>
      <w:r w:rsidRPr="00B92980">
        <w:rPr>
          <w:rStyle w:val="Strong"/>
        </w:rPr>
        <w:t>Land uses</w:t>
      </w:r>
      <w:r>
        <w:rPr>
          <w:rStyle w:val="Strong"/>
        </w:rPr>
        <w:t xml:space="preserve"> - </w:t>
      </w:r>
      <w:r w:rsidRPr="00B92980">
        <w:rPr>
          <w:rStyle w:val="Strong"/>
        </w:rPr>
        <w:t xml:space="preserve">Landscapes </w:t>
      </w:r>
    </w:p>
    <w:p w:rsidR="002A1891" w:rsidRPr="00B92980" w:rsidRDefault="002A1891" w:rsidP="002A1891">
      <w:pPr>
        <w:pStyle w:val="bt"/>
        <w:rPr>
          <w:rStyle w:val="Strong"/>
        </w:rPr>
      </w:pPr>
      <w:r w:rsidRPr="00B92980">
        <w:rPr>
          <w:rStyle w:val="Strong"/>
        </w:rPr>
        <w:t>Why these land uses are considered significant to the state</w:t>
      </w:r>
    </w:p>
    <w:p w:rsidR="002A1891" w:rsidRPr="000159E1" w:rsidRDefault="002A1891" w:rsidP="002A1891">
      <w:pPr>
        <w:pStyle w:val="bt"/>
      </w:pPr>
      <w:r w:rsidRPr="000159E1">
        <w:t xml:space="preserve">Landscapes help define the areas in which we live and work, and provide a connection with place and culture. </w:t>
      </w:r>
    </w:p>
    <w:p w:rsidR="002A1891" w:rsidRPr="00B92980" w:rsidRDefault="002A1891" w:rsidP="002A1891">
      <w:pPr>
        <w:pStyle w:val="bt"/>
        <w:rPr>
          <w:rStyle w:val="Strong"/>
        </w:rPr>
      </w:pPr>
      <w:r w:rsidRPr="00B92980">
        <w:rPr>
          <w:rStyle w:val="Strong"/>
        </w:rPr>
        <w:t>Land uses</w:t>
      </w:r>
      <w:r>
        <w:rPr>
          <w:rStyle w:val="Strong"/>
        </w:rPr>
        <w:t xml:space="preserve"> - </w:t>
      </w:r>
      <w:r w:rsidRPr="00B92980">
        <w:rPr>
          <w:rStyle w:val="Strong"/>
        </w:rPr>
        <w:t>Parks and reserves</w:t>
      </w:r>
    </w:p>
    <w:p w:rsidR="002A1891" w:rsidRPr="00B92980" w:rsidRDefault="002A1891" w:rsidP="002A1891">
      <w:pPr>
        <w:pStyle w:val="bt"/>
        <w:rPr>
          <w:rStyle w:val="Strong"/>
        </w:rPr>
      </w:pPr>
      <w:r w:rsidRPr="00B92980">
        <w:rPr>
          <w:rStyle w:val="Strong"/>
        </w:rPr>
        <w:t>Why these land uses are considered significant to the state</w:t>
      </w:r>
    </w:p>
    <w:p w:rsidR="002A1891" w:rsidRPr="000159E1" w:rsidRDefault="002A1891" w:rsidP="002A1891">
      <w:pPr>
        <w:pStyle w:val="bt"/>
      </w:pPr>
      <w:r w:rsidRPr="000159E1">
        <w:t>There are a large number of parks and reserves in the peri-urban region. These areas provide ecological, environmental and aesthetic value and the opportunity for leisure and recreation.</w:t>
      </w:r>
    </w:p>
    <w:p w:rsidR="002A1891" w:rsidRPr="00B92980" w:rsidRDefault="002A1891" w:rsidP="002A1891">
      <w:pPr>
        <w:pStyle w:val="bt"/>
        <w:rPr>
          <w:rStyle w:val="Strong"/>
        </w:rPr>
      </w:pPr>
      <w:r w:rsidRPr="00B92980">
        <w:rPr>
          <w:rStyle w:val="Strong"/>
        </w:rPr>
        <w:t>Land uses</w:t>
      </w:r>
      <w:r>
        <w:rPr>
          <w:rStyle w:val="Strong"/>
        </w:rPr>
        <w:t xml:space="preserve"> - </w:t>
      </w:r>
      <w:r w:rsidRPr="00B92980">
        <w:rPr>
          <w:rStyle w:val="Strong"/>
        </w:rPr>
        <w:t xml:space="preserve">Waterways </w:t>
      </w:r>
    </w:p>
    <w:p w:rsidR="002A1891" w:rsidRPr="00B92980" w:rsidRDefault="002A1891" w:rsidP="002A1891">
      <w:pPr>
        <w:pStyle w:val="bt"/>
        <w:rPr>
          <w:rStyle w:val="Strong"/>
        </w:rPr>
      </w:pPr>
      <w:r w:rsidRPr="00B92980">
        <w:rPr>
          <w:rStyle w:val="Strong"/>
        </w:rPr>
        <w:t>Why these land uses are considered significant to the state</w:t>
      </w:r>
    </w:p>
    <w:p w:rsidR="002A1891" w:rsidRPr="000159E1" w:rsidRDefault="002A1891" w:rsidP="002A1891">
      <w:pPr>
        <w:pStyle w:val="bt"/>
      </w:pPr>
      <w:r w:rsidRPr="000159E1">
        <w:t>There are many ecologically significant rivers traversing the peri-urban region, connecting our water catchments with bays.</w:t>
      </w:r>
    </w:p>
    <w:p w:rsidR="002A1891" w:rsidRPr="00B92980" w:rsidRDefault="002A1891" w:rsidP="002A1891">
      <w:pPr>
        <w:pStyle w:val="Heading5"/>
      </w:pPr>
      <w:r w:rsidRPr="00B92980">
        <w:t>Cultural</w:t>
      </w:r>
    </w:p>
    <w:p w:rsidR="002A1891" w:rsidRPr="00B92980" w:rsidRDefault="002A1891" w:rsidP="002A1891">
      <w:pPr>
        <w:pStyle w:val="bt"/>
        <w:rPr>
          <w:rStyle w:val="Strong"/>
        </w:rPr>
      </w:pPr>
      <w:r w:rsidRPr="00B92980">
        <w:rPr>
          <w:rStyle w:val="Strong"/>
        </w:rPr>
        <w:t>Land uses</w:t>
      </w:r>
      <w:r>
        <w:rPr>
          <w:rStyle w:val="Strong"/>
        </w:rPr>
        <w:t xml:space="preserve"> - </w:t>
      </w:r>
      <w:r w:rsidRPr="00B92980">
        <w:rPr>
          <w:rStyle w:val="Strong"/>
        </w:rPr>
        <w:t>Heritage</w:t>
      </w:r>
    </w:p>
    <w:p w:rsidR="002A1891" w:rsidRPr="00B92980" w:rsidRDefault="002A1891" w:rsidP="002A1891">
      <w:pPr>
        <w:pStyle w:val="bt"/>
        <w:rPr>
          <w:rStyle w:val="Strong"/>
        </w:rPr>
      </w:pPr>
      <w:r w:rsidRPr="00B92980">
        <w:rPr>
          <w:rStyle w:val="Strong"/>
        </w:rPr>
        <w:t>Why these land uses are considered significant to the state</w:t>
      </w:r>
    </w:p>
    <w:p w:rsidR="002A1891" w:rsidRPr="000159E1" w:rsidRDefault="002A1891" w:rsidP="002A1891">
      <w:pPr>
        <w:pStyle w:val="bt"/>
      </w:pPr>
      <w:r w:rsidRPr="000159E1">
        <w:t xml:space="preserve">There are various places, sites, structures, relics and flora of heritage significance in the peri-urban region. Heritage assets generate social benefits, such as a sense of identity, direct user benefits through tourism and the benefits stemming from the intrinsic value of preserving these assets for future generations to appreciate and enjoy. </w:t>
      </w:r>
    </w:p>
    <w:p w:rsidR="002A1891" w:rsidRPr="00B92980" w:rsidRDefault="002A1891" w:rsidP="002A1891">
      <w:pPr>
        <w:pStyle w:val="bt"/>
        <w:rPr>
          <w:rStyle w:val="Strong"/>
        </w:rPr>
      </w:pPr>
      <w:r w:rsidRPr="00B92980">
        <w:rPr>
          <w:rStyle w:val="Strong"/>
        </w:rPr>
        <w:t>Land uses</w:t>
      </w:r>
      <w:r>
        <w:rPr>
          <w:rStyle w:val="Strong"/>
        </w:rPr>
        <w:t xml:space="preserve"> - </w:t>
      </w:r>
      <w:r w:rsidRPr="00B92980">
        <w:rPr>
          <w:rStyle w:val="Strong"/>
        </w:rPr>
        <w:t>Tourism</w:t>
      </w:r>
    </w:p>
    <w:p w:rsidR="002A1891" w:rsidRPr="00B92980" w:rsidRDefault="002A1891" w:rsidP="002A1891">
      <w:pPr>
        <w:pStyle w:val="bt"/>
        <w:rPr>
          <w:rStyle w:val="Strong"/>
        </w:rPr>
      </w:pPr>
      <w:r w:rsidRPr="00B92980">
        <w:rPr>
          <w:rStyle w:val="Strong"/>
        </w:rPr>
        <w:t>Why these land uses are considered significant to the state</w:t>
      </w:r>
    </w:p>
    <w:p w:rsidR="002A1891" w:rsidRDefault="002A1891" w:rsidP="002A1891">
      <w:pPr>
        <w:pStyle w:val="bt"/>
      </w:pPr>
      <w:r w:rsidRPr="000159E1">
        <w:lastRenderedPageBreak/>
        <w:t>The peri-urban region provides key day trip destinations for residents and visitors from interstate and overseas. Attracting visitors to the peri-urban region also results in indirect employment and additional spend in ‘downstream’ industries such as retail suppliers, food production and construction.</w:t>
      </w:r>
    </w:p>
    <w:p w:rsidR="000131CD" w:rsidRPr="004D2CC1" w:rsidRDefault="004C47F5" w:rsidP="004D2CC1">
      <w:pPr>
        <w:pStyle w:val="Heading11"/>
      </w:pPr>
      <w:bookmarkStart w:id="92" w:name="_Toc336871231"/>
      <w:bookmarkStart w:id="93" w:name="_Toc376945600"/>
      <w:r w:rsidRPr="004D2CC1">
        <w:t xml:space="preserve">Regional </w:t>
      </w:r>
      <w:r w:rsidR="00EB3CBE" w:rsidRPr="004D2CC1">
        <w:t>i</w:t>
      </w:r>
      <w:r w:rsidRPr="004D2CC1">
        <w:t>nfrastructure</w:t>
      </w:r>
      <w:bookmarkEnd w:id="92"/>
      <w:bookmarkEnd w:id="93"/>
    </w:p>
    <w:p w:rsidR="004D2CC1" w:rsidRPr="004D2CC1" w:rsidRDefault="004D2CC1" w:rsidP="00B06C2C">
      <w:pPr>
        <w:pStyle w:val="bt"/>
        <w:shd w:val="clear" w:color="auto" w:fill="FFFFFF" w:themeFill="background1"/>
        <w:rPr>
          <w:rStyle w:val="Strong"/>
          <w:i/>
        </w:rPr>
      </w:pPr>
      <w:r w:rsidRPr="004D2CC1">
        <w:rPr>
          <w:rStyle w:val="Strong"/>
          <w:i/>
        </w:rPr>
        <w:t xml:space="preserve">The Hume Strategy aims for an integrated network of efficient and high functioning transport systems to provide for a mobile region. It also aims for access to services, facilities and other opportunities to support </w:t>
      </w:r>
      <w:proofErr w:type="gramStart"/>
      <w:r w:rsidRPr="004D2CC1">
        <w:rPr>
          <w:rStyle w:val="Strong"/>
          <w:i/>
        </w:rPr>
        <w:t>more healthy</w:t>
      </w:r>
      <w:proofErr w:type="gramEnd"/>
      <w:r w:rsidRPr="004D2CC1">
        <w:rPr>
          <w:rStyle w:val="Strong"/>
          <w:i/>
        </w:rPr>
        <w:t>, vibrant and resilient communities.</w:t>
      </w:r>
    </w:p>
    <w:p w:rsidR="007A28AE" w:rsidRDefault="00D507A6" w:rsidP="004D2CC1">
      <w:pPr>
        <w:pStyle w:val="bt"/>
      </w:pPr>
      <w:r w:rsidRPr="00A25511">
        <w:t xml:space="preserve">Transport and other forms of infrastructure will be critical </w:t>
      </w:r>
      <w:r w:rsidR="006B7171">
        <w:t xml:space="preserve">to </w:t>
      </w:r>
      <w:r w:rsidRPr="00A25511">
        <w:t>cater for projected future growth</w:t>
      </w:r>
      <w:r w:rsidR="006B7171">
        <w:t xml:space="preserve"> in the Hume </w:t>
      </w:r>
      <w:r w:rsidR="0081326C">
        <w:t>R</w:t>
      </w:r>
      <w:r w:rsidR="006B7171">
        <w:t>egion</w:t>
      </w:r>
      <w:r w:rsidRPr="00A25511">
        <w:t xml:space="preserve">. </w:t>
      </w:r>
      <w:r w:rsidR="00107D00">
        <w:t xml:space="preserve">Infrastructure will be required to support growth in both </w:t>
      </w:r>
      <w:r w:rsidRPr="00A25511">
        <w:t>settlement</w:t>
      </w:r>
      <w:r w:rsidR="00107D00">
        <w:t>s</w:t>
      </w:r>
      <w:r w:rsidRPr="00A25511">
        <w:t xml:space="preserve"> and </w:t>
      </w:r>
      <w:r w:rsidR="00107D00">
        <w:t xml:space="preserve">the </w:t>
      </w:r>
      <w:r w:rsidRPr="00A25511">
        <w:t xml:space="preserve">economy. Investment in </w:t>
      </w:r>
      <w:r w:rsidR="00107D00" w:rsidRPr="00A25511">
        <w:t xml:space="preserve">physical and social </w:t>
      </w:r>
      <w:r w:rsidRPr="00A25511">
        <w:t>infrastructure need</w:t>
      </w:r>
      <w:r w:rsidR="00107D00">
        <w:t>s</w:t>
      </w:r>
      <w:r w:rsidRPr="00A25511">
        <w:t xml:space="preserve"> to be strategically planned and coordinated, particularly in key growth locations identified in this </w:t>
      </w:r>
      <w:r w:rsidR="00D36385">
        <w:t>p</w:t>
      </w:r>
      <w:r w:rsidRPr="00A25511">
        <w:t>lan</w:t>
      </w:r>
      <w:r w:rsidR="00AF6040">
        <w:t xml:space="preserve"> and existing development areas</w:t>
      </w:r>
      <w:r w:rsidRPr="00A25511">
        <w:t>.</w:t>
      </w:r>
    </w:p>
    <w:p w:rsidR="00225963" w:rsidRPr="00225963" w:rsidRDefault="00D507A6" w:rsidP="00225963">
      <w:pPr>
        <w:pStyle w:val="bt"/>
      </w:pPr>
      <w:r w:rsidRPr="00225963">
        <w:rPr>
          <w:color w:val="000000"/>
        </w:rPr>
        <w:t xml:space="preserve">The timely provision of infrastructure and services </w:t>
      </w:r>
      <w:r w:rsidR="00BC15EB" w:rsidRPr="00225963">
        <w:rPr>
          <w:color w:val="000000"/>
        </w:rPr>
        <w:t xml:space="preserve">is </w:t>
      </w:r>
      <w:r w:rsidRPr="00225963">
        <w:rPr>
          <w:color w:val="000000"/>
        </w:rPr>
        <w:t xml:space="preserve">required to support future growth and change of the </w:t>
      </w:r>
      <w:r w:rsidR="00457236" w:rsidRPr="00225963">
        <w:rPr>
          <w:color w:val="000000"/>
        </w:rPr>
        <w:t>r</w:t>
      </w:r>
      <w:r w:rsidRPr="00225963">
        <w:rPr>
          <w:color w:val="000000"/>
        </w:rPr>
        <w:t>egion. The delivery of an appropriate settlement pattern where population fluctuations are both predicted and sequenced is necessary to achieve growth in a sustainable manner. In some instances</w:t>
      </w:r>
      <w:r w:rsidR="006B7171" w:rsidRPr="00225963">
        <w:rPr>
          <w:color w:val="000000"/>
        </w:rPr>
        <w:t>,</w:t>
      </w:r>
      <w:r w:rsidRPr="00225963">
        <w:rPr>
          <w:color w:val="000000"/>
        </w:rPr>
        <w:t xml:space="preserve"> existing services and assets may have to be augmented or replicated to accommodate new levels of demand.</w:t>
      </w:r>
    </w:p>
    <w:p w:rsidR="000F14E8" w:rsidRDefault="000F14E8" w:rsidP="000F14E8">
      <w:pPr>
        <w:pStyle w:val="Heading3"/>
      </w:pPr>
      <w:r>
        <w:t>Overall approach</w:t>
      </w:r>
    </w:p>
    <w:p w:rsidR="007A28AE" w:rsidRDefault="00D507A6" w:rsidP="004D2CC1">
      <w:pPr>
        <w:pStyle w:val="bt"/>
      </w:pPr>
      <w:r w:rsidRPr="00A25511">
        <w:t xml:space="preserve">Considering the vision and principles established in </w:t>
      </w:r>
      <w:r w:rsidR="0075312A">
        <w:t>P</w:t>
      </w:r>
      <w:r w:rsidRPr="00A25511">
        <w:t xml:space="preserve">art B of this </w:t>
      </w:r>
      <w:r w:rsidR="00D36385">
        <w:t>p</w:t>
      </w:r>
      <w:r w:rsidRPr="00A25511">
        <w:t xml:space="preserve">lan, the Hume Strategy and other regional factors the overall approach is to </w:t>
      </w:r>
      <w:r w:rsidRPr="00141FA0">
        <w:rPr>
          <w:rStyle w:val="Strong"/>
        </w:rPr>
        <w:t>support the improvement of people and freight movement and plan strategically for future infrastructure needs</w:t>
      </w:r>
      <w:r w:rsidRPr="00A25511">
        <w:t xml:space="preserve">. </w:t>
      </w:r>
      <w:r w:rsidR="006B7171">
        <w:t>F</w:t>
      </w:r>
      <w:r w:rsidRPr="00A25511">
        <w:t>uture directions to achieve this are discussed below.</w:t>
      </w:r>
    </w:p>
    <w:p w:rsidR="00D507A6" w:rsidRPr="004D2CC1" w:rsidRDefault="00D507A6" w:rsidP="004D2CC1">
      <w:pPr>
        <w:pStyle w:val="Heading2"/>
      </w:pPr>
      <w:bookmarkStart w:id="94" w:name="_Toc376945601"/>
      <w:r w:rsidRPr="004D2CC1">
        <w:t xml:space="preserve">Transport </w:t>
      </w:r>
      <w:r w:rsidR="00EB3CBE" w:rsidRPr="004D2CC1">
        <w:t>n</w:t>
      </w:r>
      <w:r w:rsidRPr="004D2CC1">
        <w:t>etworks</w:t>
      </w:r>
      <w:bookmarkEnd w:id="94"/>
    </w:p>
    <w:p w:rsidR="005B7623" w:rsidRDefault="005B7623" w:rsidP="005B7623">
      <w:pPr>
        <w:pStyle w:val="Heading3"/>
      </w:pPr>
      <w:r>
        <w:t>Statewide context</w:t>
      </w:r>
    </w:p>
    <w:p w:rsidR="007A28AE" w:rsidRPr="004D2CC1" w:rsidRDefault="00D507A6" w:rsidP="004D2CC1">
      <w:pPr>
        <w:pStyle w:val="bt"/>
      </w:pPr>
      <w:r w:rsidRPr="004D2CC1">
        <w:t xml:space="preserve">The transport system is a facilitator of economic and social activities. Local transport and internal town and city activities are addressed in municipal and local plans. Urban design and place-based integration with land use is the role of local government. Region-wide and inter-regional transport systems and infrastructure are considered as part of this </w:t>
      </w:r>
      <w:r w:rsidR="00D36385" w:rsidRPr="004D2CC1">
        <w:t>p</w:t>
      </w:r>
      <w:r w:rsidRPr="004D2CC1">
        <w:t>lan.</w:t>
      </w:r>
    </w:p>
    <w:p w:rsidR="007A28AE" w:rsidRPr="004D2CC1" w:rsidRDefault="006B7171" w:rsidP="004D2CC1">
      <w:pPr>
        <w:pStyle w:val="bt"/>
      </w:pPr>
      <w:r w:rsidRPr="004D2CC1">
        <w:t>T</w:t>
      </w:r>
      <w:r w:rsidR="00D507A6" w:rsidRPr="004D2CC1">
        <w:t>he regional economy rel</w:t>
      </w:r>
      <w:r w:rsidRPr="004D2CC1">
        <w:t>ies</w:t>
      </w:r>
      <w:r w:rsidR="00D507A6" w:rsidRPr="004D2CC1">
        <w:t xml:space="preserve"> on an effective freight system including connectivity to the </w:t>
      </w:r>
      <w:r w:rsidRPr="004D2CC1">
        <w:t xml:space="preserve">national </w:t>
      </w:r>
      <w:r w:rsidR="00D507A6" w:rsidRPr="004D2CC1">
        <w:t xml:space="preserve">system. Regional connections to port facilities in Melbourne and other hubs such as Portland, Geelong and Hastings are essential. Airport facilities include those at </w:t>
      </w:r>
      <w:r w:rsidR="009045DB" w:rsidRPr="004D2CC1">
        <w:t>Melbourne</w:t>
      </w:r>
      <w:r w:rsidR="00D507A6" w:rsidRPr="004D2CC1">
        <w:t xml:space="preserve"> Airport, Avalon Airport and regional airports. </w:t>
      </w:r>
    </w:p>
    <w:p w:rsidR="007A28AE" w:rsidRPr="004D2CC1" w:rsidRDefault="00D507A6" w:rsidP="004D2CC1">
      <w:pPr>
        <w:pStyle w:val="bt"/>
      </w:pPr>
      <w:r w:rsidRPr="004D2CC1">
        <w:t>The integration of major logistics and freight precincts in the region</w:t>
      </w:r>
      <w:r w:rsidR="006B7171" w:rsidRPr="004D2CC1">
        <w:t>,</w:t>
      </w:r>
      <w:r w:rsidRPr="004D2CC1">
        <w:t xml:space="preserve"> in conjunction with the transport network</w:t>
      </w:r>
      <w:r w:rsidR="006B7171" w:rsidRPr="004D2CC1">
        <w:t>,</w:t>
      </w:r>
      <w:r w:rsidRPr="004D2CC1">
        <w:t xml:space="preserve"> </w:t>
      </w:r>
      <w:r w:rsidR="00BF1746" w:rsidRPr="004D2CC1">
        <w:t>has</w:t>
      </w:r>
      <w:r w:rsidRPr="004D2CC1">
        <w:t xml:space="preserve"> been considered with a view to the long-term freight demand of the </w:t>
      </w:r>
      <w:r w:rsidR="006B7171" w:rsidRPr="004D2CC1">
        <w:t xml:space="preserve">Hume </w:t>
      </w:r>
      <w:r w:rsidR="0081326C" w:rsidRPr="004D2CC1">
        <w:t>R</w:t>
      </w:r>
      <w:r w:rsidRPr="004D2CC1">
        <w:t xml:space="preserve">egion. This </w:t>
      </w:r>
      <w:r w:rsidR="00D36385" w:rsidRPr="004D2CC1">
        <w:t>p</w:t>
      </w:r>
      <w:r w:rsidRPr="004D2CC1">
        <w:t>lan seeks to optimise freight-related activities and support efficient and effective operations. It seeks to achieve efficiencies and apply sustainable practices while achieving economic and social benefits. The use of airports now and for the next 30 years has also been considered, along with appropriate land use and buffers around these critical facilities.</w:t>
      </w:r>
    </w:p>
    <w:p w:rsidR="00D0199B" w:rsidRPr="004D2CC1" w:rsidRDefault="00D507A6" w:rsidP="004D2CC1">
      <w:pPr>
        <w:pStyle w:val="bt"/>
      </w:pPr>
      <w:r w:rsidRPr="004D2CC1">
        <w:t>People living in</w:t>
      </w:r>
      <w:r w:rsidR="00BD511B" w:rsidRPr="004D2CC1">
        <w:t xml:space="preserve"> and visiting</w:t>
      </w:r>
      <w:r w:rsidRPr="004D2CC1">
        <w:t xml:space="preserve"> the </w:t>
      </w:r>
      <w:r w:rsidR="00457236">
        <w:t>r</w:t>
      </w:r>
      <w:r w:rsidRPr="004D2CC1">
        <w:t xml:space="preserve">egion undertake a variety of activities locally and within other parts of Victoria. The </w:t>
      </w:r>
      <w:r w:rsidR="00D36385" w:rsidRPr="004D2CC1">
        <w:t>p</w:t>
      </w:r>
      <w:r w:rsidRPr="004D2CC1">
        <w:t xml:space="preserve">lan seeks to ensure residents have access and connectivity in their region for work, services, </w:t>
      </w:r>
      <w:r w:rsidR="00BD511B" w:rsidRPr="004D2CC1">
        <w:t>education</w:t>
      </w:r>
      <w:r w:rsidRPr="004D2CC1">
        <w:t xml:space="preserve"> or leisure. Long-term access patterns are matched to population, current planned infrastructure, anticipated service demands and identified employment locations. The </w:t>
      </w:r>
      <w:r w:rsidR="00D36385" w:rsidRPr="004D2CC1">
        <w:t>p</w:t>
      </w:r>
      <w:r w:rsidRPr="004D2CC1">
        <w:t>lan provides directions for meeting these long-term needs in response to growth and change.</w:t>
      </w:r>
    </w:p>
    <w:p w:rsidR="00AF1A24" w:rsidRDefault="00D507A6" w:rsidP="004D2CC1">
      <w:pPr>
        <w:pStyle w:val="bt"/>
      </w:pPr>
      <w:r w:rsidRPr="004D2CC1">
        <w:lastRenderedPageBreak/>
        <w:t xml:space="preserve">The transport network is a critical facilitator supporting regional growth. Strategic decisions regarding growth will need to be aware of transport constraints and opportunities. </w:t>
      </w:r>
      <w:r w:rsidR="00BD511B" w:rsidRPr="004D2CC1">
        <w:t xml:space="preserve">The </w:t>
      </w:r>
      <w:r w:rsidR="00D36385" w:rsidRPr="004D2CC1">
        <w:t>p</w:t>
      </w:r>
      <w:r w:rsidR="00BD511B" w:rsidRPr="004D2CC1">
        <w:t>lan recognises the importance of maximising the availability of sustainable transport options to support social and environmental objectives.</w:t>
      </w:r>
    </w:p>
    <w:p w:rsidR="005B7623" w:rsidRDefault="005B7623" w:rsidP="005B7623">
      <w:pPr>
        <w:pStyle w:val="Heading3"/>
      </w:pPr>
      <w:r>
        <w:t>Regional context</w:t>
      </w:r>
    </w:p>
    <w:p w:rsidR="007A28AE" w:rsidRPr="004D2CC1" w:rsidRDefault="007A5E6E" w:rsidP="004D2CC1">
      <w:pPr>
        <w:pStyle w:val="bt"/>
      </w:pPr>
      <w:r w:rsidRPr="004D2CC1">
        <w:t xml:space="preserve">The interstate links of </w:t>
      </w:r>
      <w:r w:rsidR="00D507A6" w:rsidRPr="004D2CC1">
        <w:t>the Hume corridor and the Goulburn Valley corridor</w:t>
      </w:r>
      <w:r w:rsidRPr="004D2CC1">
        <w:t xml:space="preserve"> provide the backbone of the transport network in the Hume Region</w:t>
      </w:r>
      <w:r w:rsidR="00D507A6" w:rsidRPr="004D2CC1">
        <w:t xml:space="preserve">. These corridors have major highways and railway lines that run in parallel and provide for </w:t>
      </w:r>
      <w:r w:rsidR="006B350F" w:rsidRPr="004D2CC1">
        <w:t xml:space="preserve">people </w:t>
      </w:r>
      <w:r w:rsidR="00D507A6" w:rsidRPr="004D2CC1">
        <w:t xml:space="preserve">and freight movement. </w:t>
      </w:r>
      <w:r w:rsidR="006B350F" w:rsidRPr="004D2CC1">
        <w:t xml:space="preserve">Future investment opportunities should be focused around existing and proposed development that can take advantage of these strategic networks. </w:t>
      </w:r>
      <w:r w:rsidR="00D507A6" w:rsidRPr="004D2CC1">
        <w:t>The two most populous settlements in the region</w:t>
      </w:r>
      <w:r w:rsidRPr="004D2CC1">
        <w:t>,</w:t>
      </w:r>
      <w:r w:rsidR="00D507A6" w:rsidRPr="004D2CC1">
        <w:t xml:space="preserve"> Shepparton and Wodonga</w:t>
      </w:r>
      <w:r w:rsidRPr="004D2CC1">
        <w:t>,</w:t>
      </w:r>
      <w:r w:rsidR="00D507A6" w:rsidRPr="004D2CC1">
        <w:t xml:space="preserve"> are located adjacent to the Goulburn Valley corridor and the Hume corridor</w:t>
      </w:r>
      <w:r w:rsidR="00B04219">
        <w:t>,</w:t>
      </w:r>
      <w:r w:rsidRPr="004D2CC1">
        <w:t xml:space="preserve"> respectively</w:t>
      </w:r>
      <w:r w:rsidR="00D507A6" w:rsidRPr="004D2CC1">
        <w:t xml:space="preserve">. Other large settlements such as Wangaratta and Benalla are also located adjacent to the Hume corridor. </w:t>
      </w:r>
      <w:r w:rsidRPr="004D2CC1">
        <w:t>The</w:t>
      </w:r>
      <w:r w:rsidR="00D507A6" w:rsidRPr="004D2CC1">
        <w:t xml:space="preserve"> corridors converge at Seymour</w:t>
      </w:r>
      <w:r w:rsidRPr="004D2CC1">
        <w:t>, providing</w:t>
      </w:r>
      <w:r w:rsidR="00D507A6" w:rsidRPr="004D2CC1">
        <w:t xml:space="preserve"> a strategic advantage for </w:t>
      </w:r>
      <w:r w:rsidRPr="004D2CC1">
        <w:t xml:space="preserve">the town, and then become </w:t>
      </w:r>
      <w:r w:rsidR="00D507A6" w:rsidRPr="004D2CC1">
        <w:t>one route into Me</w:t>
      </w:r>
      <w:r w:rsidR="00F271A1">
        <w:t>lbourne for both road and rail.</w:t>
      </w:r>
      <w:r w:rsidR="00D507A6" w:rsidRPr="004D2CC1">
        <w:t xml:space="preserve"> </w:t>
      </w:r>
    </w:p>
    <w:p w:rsidR="007A28AE" w:rsidRPr="004D2CC1" w:rsidRDefault="00D507A6" w:rsidP="004D2CC1">
      <w:pPr>
        <w:pStyle w:val="bt"/>
      </w:pPr>
      <w:r w:rsidRPr="004D2CC1">
        <w:t>While the Hume and Goulburn Valley transport corridors have a north-south alignment</w:t>
      </w:r>
      <w:r w:rsidR="007A5E6E" w:rsidRPr="004D2CC1">
        <w:t>,</w:t>
      </w:r>
      <w:r w:rsidRPr="004D2CC1">
        <w:t xml:space="preserve"> key east-west </w:t>
      </w:r>
      <w:r w:rsidR="000C7C2D" w:rsidRPr="004D2CC1">
        <w:t xml:space="preserve">road linkages </w:t>
      </w:r>
      <w:r w:rsidRPr="004D2CC1">
        <w:t>such as the Maroondah Highway, Midland Highway</w:t>
      </w:r>
      <w:r w:rsidR="00A049F0" w:rsidRPr="004D2CC1">
        <w:t>,</w:t>
      </w:r>
      <w:r w:rsidRPr="004D2CC1">
        <w:t xml:space="preserve"> Murray Valley Highway</w:t>
      </w:r>
      <w:r w:rsidR="00A049F0" w:rsidRPr="004D2CC1">
        <w:t xml:space="preserve">, </w:t>
      </w:r>
      <w:r w:rsidR="0038165B" w:rsidRPr="004D2CC1">
        <w:t xml:space="preserve">Great Alpine Road </w:t>
      </w:r>
      <w:r w:rsidR="00A049F0" w:rsidRPr="004D2CC1">
        <w:t>and the Omeo Highway to Gippsland,</w:t>
      </w:r>
      <w:r w:rsidRPr="004D2CC1">
        <w:t xml:space="preserve"> </w:t>
      </w:r>
      <w:r w:rsidR="007A5E6E" w:rsidRPr="004D2CC1">
        <w:t xml:space="preserve">serve </w:t>
      </w:r>
      <w:r w:rsidRPr="004D2CC1">
        <w:t xml:space="preserve">an important regional function. The Murray Valley Highway also links the region to </w:t>
      </w:r>
      <w:r w:rsidR="00AD54B0" w:rsidRPr="004D2CC1">
        <w:t xml:space="preserve">South Australia </w:t>
      </w:r>
      <w:r w:rsidR="00A81CE4" w:rsidRPr="004D2CC1">
        <w:t>and</w:t>
      </w:r>
      <w:r w:rsidR="00A81CE4">
        <w:t xml:space="preserve"> New</w:t>
      </w:r>
      <w:r w:rsidR="005C2928">
        <w:t xml:space="preserve"> South Wales</w:t>
      </w:r>
      <w:r w:rsidRPr="004D2CC1">
        <w:t xml:space="preserve">. </w:t>
      </w:r>
    </w:p>
    <w:p w:rsidR="007A28AE" w:rsidRPr="004D2CC1" w:rsidRDefault="00B41BAF" w:rsidP="004D2CC1">
      <w:pPr>
        <w:pStyle w:val="bt"/>
      </w:pPr>
      <w:r w:rsidRPr="004D2CC1">
        <w:t xml:space="preserve">The </w:t>
      </w:r>
      <w:r w:rsidR="00B753E4" w:rsidRPr="004D2CC1">
        <w:t>Australian</w:t>
      </w:r>
      <w:r w:rsidR="00C27AAD">
        <w:t xml:space="preserve"> </w:t>
      </w:r>
      <w:r w:rsidRPr="004D2CC1">
        <w:t xml:space="preserve">Government is undertaking a strategic study </w:t>
      </w:r>
      <w:r w:rsidR="0081326C" w:rsidRPr="004D2CC1">
        <w:t xml:space="preserve">regarding </w:t>
      </w:r>
      <w:r w:rsidRPr="004D2CC1">
        <w:t xml:space="preserve">the implementation of </w:t>
      </w:r>
      <w:r w:rsidR="00352719" w:rsidRPr="004D2CC1">
        <w:t>high</w:t>
      </w:r>
      <w:r w:rsidR="00352719">
        <w:t>-</w:t>
      </w:r>
      <w:r w:rsidRPr="004D2CC1">
        <w:t xml:space="preserve">speed rail on the east coast of Australia. </w:t>
      </w:r>
      <w:r w:rsidR="004D5FC7" w:rsidRPr="004D5FC7">
        <w:t xml:space="preserve">Phase 2 of the study depicts a preferred alignment for the </w:t>
      </w:r>
      <w:r w:rsidR="00352719">
        <w:t>high-</w:t>
      </w:r>
      <w:r w:rsidR="004D5FC7">
        <w:t>speed rail</w:t>
      </w:r>
      <w:r w:rsidR="004D5FC7" w:rsidRPr="004D5FC7">
        <w:t xml:space="preserve"> system between Melbourne, Canberra, Sydney </w:t>
      </w:r>
      <w:r w:rsidR="00F872C0">
        <w:t>and Brisbane through the region.</w:t>
      </w:r>
      <w:r w:rsidR="004D5FC7">
        <w:t xml:space="preserve"> The study also recommends two station locations within the Hume R</w:t>
      </w:r>
      <w:r w:rsidR="004D5FC7" w:rsidRPr="004D5FC7">
        <w:t>egion</w:t>
      </w:r>
      <w:r w:rsidR="00F872C0">
        <w:t>,</w:t>
      </w:r>
      <w:r w:rsidR="004D5FC7" w:rsidRPr="004D5FC7">
        <w:t xml:space="preserve"> </w:t>
      </w:r>
      <w:r w:rsidR="004D5FC7">
        <w:t>one</w:t>
      </w:r>
      <w:r w:rsidR="004D5FC7" w:rsidRPr="004D5FC7">
        <w:t xml:space="preserve"> west of Albury-Wodonga (north of the Hume Freeway/Murray Valley Highway interchange), and </w:t>
      </w:r>
      <w:r w:rsidR="004D5FC7">
        <w:t xml:space="preserve">one </w:t>
      </w:r>
      <w:r w:rsidR="004D5FC7" w:rsidRPr="004D5FC7">
        <w:t xml:space="preserve">east of Shepparton (along the Midland Highway). </w:t>
      </w:r>
      <w:r w:rsidR="00172147" w:rsidRPr="004D2CC1">
        <w:t xml:space="preserve">Key stakeholders in the region, such as the </w:t>
      </w:r>
      <w:r w:rsidRPr="004D2CC1">
        <w:t>Hume Regional Development Australia Committee</w:t>
      </w:r>
      <w:r w:rsidR="00440E5F" w:rsidRPr="004D2CC1">
        <w:t xml:space="preserve"> and the Hume Regional Management Forum,</w:t>
      </w:r>
      <w:r w:rsidRPr="004D2CC1">
        <w:t xml:space="preserve"> support a route alignment through the Hume Region</w:t>
      </w:r>
      <w:r w:rsidR="00440E5F" w:rsidRPr="004D2CC1">
        <w:t xml:space="preserve"> and associated stations</w:t>
      </w:r>
      <w:r w:rsidRPr="004D2CC1">
        <w:t>.</w:t>
      </w:r>
      <w:r w:rsidR="00897989">
        <w:t xml:space="preserve"> The progress of this potential project should be considered as part of future reviews of this plan.</w:t>
      </w:r>
    </w:p>
    <w:p w:rsidR="007A28AE" w:rsidRPr="004D2CC1" w:rsidRDefault="001F6187" w:rsidP="004D2CC1">
      <w:pPr>
        <w:pStyle w:val="bt"/>
      </w:pPr>
      <w:r w:rsidRPr="004D2CC1">
        <w:t xml:space="preserve">The Hume Region has a number of regionally significant airports. Land use around these </w:t>
      </w:r>
      <w:r w:rsidR="000C7C2D" w:rsidRPr="004D2CC1">
        <w:t>and other transport assets</w:t>
      </w:r>
      <w:r w:rsidR="00D462D5" w:rsidRPr="004D2CC1">
        <w:t xml:space="preserve">, </w:t>
      </w:r>
      <w:r w:rsidR="000C7C2D" w:rsidRPr="004D2CC1">
        <w:t>such as road and rail routes and freight and logistics precincts</w:t>
      </w:r>
      <w:r w:rsidR="00D462D5" w:rsidRPr="004D2CC1">
        <w:t>,</w:t>
      </w:r>
      <w:r w:rsidR="000C7C2D" w:rsidRPr="004D2CC1">
        <w:t xml:space="preserve"> </w:t>
      </w:r>
      <w:r w:rsidRPr="004D2CC1">
        <w:t>will need to be managed to protect their future operations.</w:t>
      </w:r>
    </w:p>
    <w:p w:rsidR="007A28AE" w:rsidRPr="004D2CC1" w:rsidRDefault="007A5E6E" w:rsidP="004D2CC1">
      <w:pPr>
        <w:pStyle w:val="bt"/>
      </w:pPr>
      <w:r w:rsidRPr="004D2CC1">
        <w:t>F</w:t>
      </w:r>
      <w:r w:rsidR="00D507A6" w:rsidRPr="004D2CC1">
        <w:t>reight and people movements</w:t>
      </w:r>
      <w:r w:rsidRPr="004D2CC1">
        <w:t xml:space="preserve"> have differing needs, requiring</w:t>
      </w:r>
      <w:r w:rsidR="00D507A6" w:rsidRPr="004D2CC1">
        <w:t xml:space="preserve"> differing solutions</w:t>
      </w:r>
      <w:r w:rsidRPr="004D2CC1">
        <w:t>. The</w:t>
      </w:r>
      <w:r w:rsidR="00D507A6" w:rsidRPr="004D2CC1">
        <w:t xml:space="preserve"> future directions of the transport network </w:t>
      </w:r>
      <w:r w:rsidRPr="004D2CC1">
        <w:t xml:space="preserve">have </w:t>
      </w:r>
      <w:r w:rsidR="00D507A6" w:rsidRPr="004D2CC1">
        <w:t xml:space="preserve">to be considered </w:t>
      </w:r>
      <w:r w:rsidR="005B5483" w:rsidRPr="004D2CC1">
        <w:t>with this in mind</w:t>
      </w:r>
      <w:r w:rsidR="00D507A6" w:rsidRPr="004D2CC1">
        <w:t>. It will be important to enhance and build on existing infrastructure to ensure access and connectivity. Current policy, local and regional strategies and projects being investigated, planned and implemented will all contribute to and support future growth.</w:t>
      </w:r>
    </w:p>
    <w:p w:rsidR="003F3EBC" w:rsidRDefault="003F3EBC" w:rsidP="0076015E">
      <w:pPr>
        <w:pStyle w:val="Heading3-list"/>
        <w:numPr>
          <w:ilvl w:val="0"/>
          <w:numId w:val="30"/>
        </w:numPr>
        <w:ind w:left="426"/>
      </w:pPr>
      <w:r w:rsidRPr="003F3EBC">
        <w:t xml:space="preserve">Improve transport network capacity </w:t>
      </w:r>
    </w:p>
    <w:p w:rsidR="007A28AE" w:rsidRPr="004D2CC1" w:rsidRDefault="00695439" w:rsidP="004D2CC1">
      <w:pPr>
        <w:pStyle w:val="bt"/>
      </w:pPr>
      <w:r w:rsidRPr="004D2CC1">
        <w:t xml:space="preserve">Existing transport infrastructure in the Hume and Goulburn Valley corridors can be harnessed and enhanced to support a strong and diverse regional economy. The capacity of specific road and rail links will need to be upgraded in the future to meet growing demands for local, regional and interstate freight movements. Freight and logistics precincts, including the existing facility at Wodonga (LOGIC) and a new facility at Shepparton (GV Link), may </w:t>
      </w:r>
      <w:r w:rsidR="005B5483" w:rsidRPr="004D2CC1">
        <w:t xml:space="preserve">help </w:t>
      </w:r>
      <w:r w:rsidRPr="004D2CC1">
        <w:t>improv</w:t>
      </w:r>
      <w:r w:rsidR="005B5483" w:rsidRPr="004D2CC1">
        <w:t>e</w:t>
      </w:r>
      <w:r w:rsidRPr="004D2CC1">
        <w:t xml:space="preserve"> network capacity for freight movement in the region and beyond. </w:t>
      </w:r>
    </w:p>
    <w:p w:rsidR="007A28AE" w:rsidRPr="004D2CC1" w:rsidRDefault="000C0CE8" w:rsidP="004D2CC1">
      <w:pPr>
        <w:pStyle w:val="bt"/>
      </w:pPr>
      <w:r w:rsidRPr="004D2CC1">
        <w:t>In addition, a</w:t>
      </w:r>
      <w:r w:rsidR="00695439" w:rsidRPr="004D2CC1">
        <w:t>s key locations in the Hume Region grow, there may be a requirement to mitigate traffic issues associated with growth such as heavy freight congestion in major urban centres. This will require investment in key infrastructure to support efficient movement of passenger and freight transport.</w:t>
      </w:r>
    </w:p>
    <w:p w:rsidR="007A28AE" w:rsidRPr="004D2CC1" w:rsidRDefault="00695439" w:rsidP="004D2CC1">
      <w:pPr>
        <w:pStyle w:val="bt"/>
      </w:pPr>
      <w:r w:rsidRPr="004D2CC1">
        <w:t>Opportunities for improving network capacity include:</w:t>
      </w:r>
    </w:p>
    <w:p w:rsidR="004D5FC7" w:rsidRDefault="004D5FC7" w:rsidP="00411B44">
      <w:pPr>
        <w:pStyle w:val="btbullet"/>
      </w:pPr>
      <w:r w:rsidRPr="004D5FC7">
        <w:t xml:space="preserve">the east coast </w:t>
      </w:r>
      <w:r>
        <w:t>high</w:t>
      </w:r>
      <w:r w:rsidR="00145DF0">
        <w:t>-</w:t>
      </w:r>
      <w:r>
        <w:t>speed rail</w:t>
      </w:r>
      <w:r w:rsidRPr="004D5FC7">
        <w:t xml:space="preserve"> system</w:t>
      </w:r>
    </w:p>
    <w:p w:rsidR="007A28AE" w:rsidRDefault="00695439" w:rsidP="00411B44">
      <w:pPr>
        <w:pStyle w:val="btbullet"/>
      </w:pPr>
      <w:r>
        <w:t xml:space="preserve">maximising </w:t>
      </w:r>
      <w:r w:rsidR="005B5483">
        <w:t xml:space="preserve">the </w:t>
      </w:r>
      <w:r>
        <w:t>use of existing infrastructure</w:t>
      </w:r>
    </w:p>
    <w:p w:rsidR="007A28AE" w:rsidRDefault="00695439" w:rsidP="00411B44">
      <w:pPr>
        <w:pStyle w:val="btbullet"/>
      </w:pPr>
      <w:r>
        <w:lastRenderedPageBreak/>
        <w:t>new roads, bypasses of towns and inner town centres and associated link roads</w:t>
      </w:r>
      <w:r w:rsidR="00411B44">
        <w:t xml:space="preserve">, </w:t>
      </w:r>
      <w:r>
        <w:t>Shep</w:t>
      </w:r>
      <w:r w:rsidR="004E23AF">
        <w:t>parton Bypass, the Kilmore-</w:t>
      </w:r>
      <w:r>
        <w:t>Wallan Bypass and Strathmerton Deviation are specific examples</w:t>
      </w:r>
    </w:p>
    <w:p w:rsidR="007A28AE" w:rsidRDefault="00695439" w:rsidP="00411B44">
      <w:pPr>
        <w:pStyle w:val="btbullet"/>
      </w:pPr>
      <w:r>
        <w:t>expansion of road space such as widening, sealed shoulders, duplication and clearways</w:t>
      </w:r>
    </w:p>
    <w:p w:rsidR="007A28AE" w:rsidRDefault="00695439" w:rsidP="00411B44">
      <w:pPr>
        <w:pStyle w:val="btbullet"/>
      </w:pPr>
      <w:r>
        <w:t>improved walking and cycling links</w:t>
      </w:r>
    </w:p>
    <w:p w:rsidR="007A28AE" w:rsidRDefault="00695439" w:rsidP="00411B44">
      <w:pPr>
        <w:pStyle w:val="btbullet"/>
      </w:pPr>
      <w:r>
        <w:t>improved public transport and associated facilities</w:t>
      </w:r>
      <w:r w:rsidR="00050C41">
        <w:t xml:space="preserve"> </w:t>
      </w:r>
      <w:r w:rsidR="004E23AF">
        <w:t>to meet demand</w:t>
      </w:r>
    </w:p>
    <w:p w:rsidR="007A28AE" w:rsidRDefault="00050C41" w:rsidP="00411B44">
      <w:pPr>
        <w:pStyle w:val="btbullet"/>
      </w:pPr>
      <w:proofErr w:type="gramStart"/>
      <w:r w:rsidRPr="00050C41">
        <w:t>enhance</w:t>
      </w:r>
      <w:r w:rsidR="00457236">
        <w:t>ments</w:t>
      </w:r>
      <w:proofErr w:type="gramEnd"/>
      <w:r w:rsidR="00457236">
        <w:t xml:space="preserve"> to</w:t>
      </w:r>
      <w:r w:rsidRPr="00050C41">
        <w:t xml:space="preserve"> rail </w:t>
      </w:r>
      <w:r w:rsidR="00457236">
        <w:t xml:space="preserve">services, which potentially could include </w:t>
      </w:r>
      <w:r w:rsidR="00E12EE5">
        <w:t>additional passing loops</w:t>
      </w:r>
      <w:r w:rsidRPr="00050C41">
        <w:t>.</w:t>
      </w:r>
    </w:p>
    <w:p w:rsidR="00321FB6" w:rsidRDefault="00321FB6" w:rsidP="0016400E">
      <w:pPr>
        <w:pStyle w:val="Heading3-list"/>
      </w:pPr>
      <w:r w:rsidRPr="00321FB6">
        <w:t xml:space="preserve">Ensure access and connectivity </w:t>
      </w:r>
    </w:p>
    <w:p w:rsidR="00BA3591" w:rsidRDefault="00E12EE5" w:rsidP="004D2CC1">
      <w:pPr>
        <w:pStyle w:val="bt"/>
      </w:pPr>
      <w:r w:rsidRPr="004D2CC1">
        <w:t>A</w:t>
      </w:r>
      <w:r w:rsidR="00714875" w:rsidRPr="004D2CC1">
        <w:t>ccess</w:t>
      </w:r>
      <w:r w:rsidRPr="004D2CC1">
        <w:t xml:space="preserve"> and connectivity</w:t>
      </w:r>
      <w:r w:rsidR="00714875" w:rsidRPr="004D2CC1">
        <w:t xml:space="preserve"> for both people and freight will be crucial for the </w:t>
      </w:r>
      <w:r w:rsidR="00BA3591">
        <w:t>future of the regional economy.</w:t>
      </w:r>
    </w:p>
    <w:p w:rsidR="00A92ED9" w:rsidRPr="004D2CC1" w:rsidRDefault="00714875" w:rsidP="004D2CC1">
      <w:pPr>
        <w:pStyle w:val="bt"/>
      </w:pPr>
      <w:r w:rsidRPr="004D2CC1">
        <w:t>For example</w:t>
      </w:r>
      <w:r w:rsidR="000C0CE8" w:rsidRPr="004D2CC1">
        <w:t>,</w:t>
      </w:r>
      <w:r w:rsidRPr="004D2CC1">
        <w:t xml:space="preserve"> </w:t>
      </w:r>
      <w:r w:rsidR="00E12EE5" w:rsidRPr="004D2CC1">
        <w:t xml:space="preserve">improving and modifying the network of public transport services to better meet market </w:t>
      </w:r>
      <w:r w:rsidR="00941AEC" w:rsidRPr="004D2CC1">
        <w:t>needs</w:t>
      </w:r>
      <w:r w:rsidR="0033311D">
        <w:t>,</w:t>
      </w:r>
      <w:r w:rsidR="00941AEC" w:rsidRPr="004D2CC1">
        <w:t xml:space="preserve"> such</w:t>
      </w:r>
      <w:r w:rsidR="00092D02" w:rsidRPr="004D2CC1">
        <w:t xml:space="preserve"> as </w:t>
      </w:r>
      <w:r w:rsidRPr="004D2CC1">
        <w:t xml:space="preserve">improving the frequency of passenger rail to Melbourne from Shepparton </w:t>
      </w:r>
      <w:r w:rsidR="00E90840">
        <w:t>that</w:t>
      </w:r>
      <w:r w:rsidR="00E90840" w:rsidRPr="004D2CC1">
        <w:t xml:space="preserve"> </w:t>
      </w:r>
      <w:r w:rsidRPr="004D2CC1">
        <w:t>could significantly contribute to regional growth, investment attractiveness and liveability. Moreover</w:t>
      </w:r>
      <w:r w:rsidR="005B5483" w:rsidRPr="004D2CC1">
        <w:t>,</w:t>
      </w:r>
      <w:r w:rsidRPr="004D2CC1">
        <w:t xml:space="preserve"> infrastructure provision such as the Shepparton </w:t>
      </w:r>
      <w:r w:rsidR="005B5483" w:rsidRPr="004D2CC1">
        <w:t>B</w:t>
      </w:r>
      <w:r w:rsidRPr="004D2CC1">
        <w:t xml:space="preserve">ypass, the Strathmerton </w:t>
      </w:r>
      <w:r w:rsidR="005B5483" w:rsidRPr="004D2CC1">
        <w:t>D</w:t>
      </w:r>
      <w:r w:rsidRPr="004D2CC1">
        <w:t>eviation and a Kilmore</w:t>
      </w:r>
      <w:r w:rsidR="00393841">
        <w:t>-</w:t>
      </w:r>
      <w:r w:rsidRPr="004D2CC1">
        <w:t xml:space="preserve">Wallan </w:t>
      </w:r>
      <w:r w:rsidR="005B5483" w:rsidRPr="004D2CC1">
        <w:t>B</w:t>
      </w:r>
      <w:r w:rsidRPr="004D2CC1">
        <w:t xml:space="preserve">ypass could </w:t>
      </w:r>
      <w:r w:rsidR="005B5483" w:rsidRPr="004D2CC1">
        <w:t xml:space="preserve">help </w:t>
      </w:r>
      <w:r w:rsidRPr="004D2CC1">
        <w:t>alleviat</w:t>
      </w:r>
      <w:r w:rsidR="005B5483" w:rsidRPr="004D2CC1">
        <w:t>e</w:t>
      </w:r>
      <w:r w:rsidRPr="004D2CC1">
        <w:t xml:space="preserve"> congestion within urban environments. This would allow for </w:t>
      </w:r>
      <w:r w:rsidR="005B5483" w:rsidRPr="004D2CC1">
        <w:t xml:space="preserve">greater use </w:t>
      </w:r>
      <w:r w:rsidRPr="004D2CC1">
        <w:t>of high productivity freight vehicles and contribute to improv</w:t>
      </w:r>
      <w:r w:rsidR="005B5483" w:rsidRPr="004D2CC1">
        <w:t>ed</w:t>
      </w:r>
      <w:r w:rsidRPr="004D2CC1">
        <w:t xml:space="preserve"> liveability </w:t>
      </w:r>
      <w:r w:rsidR="005B5483" w:rsidRPr="004D2CC1">
        <w:t xml:space="preserve">in </w:t>
      </w:r>
      <w:r w:rsidRPr="004D2CC1">
        <w:t xml:space="preserve">existing and new urban areas such as </w:t>
      </w:r>
      <w:r w:rsidR="005B5483" w:rsidRPr="004D2CC1">
        <w:t>the CBD</w:t>
      </w:r>
      <w:r w:rsidR="00086470">
        <w:t>s</w:t>
      </w:r>
      <w:r w:rsidR="005B5483" w:rsidRPr="004D2CC1">
        <w:t xml:space="preserve"> of </w:t>
      </w:r>
      <w:r w:rsidRPr="004D2CC1">
        <w:t xml:space="preserve">Shepparton, Kilmore and Wallan. Enhancements to the region’s major transport routes, particularly east-west links, will be important to ensure continued access and connectivity to towns and markets for freight commodities </w:t>
      </w:r>
      <w:r w:rsidR="005B5483" w:rsidRPr="004D2CC1">
        <w:t>with</w:t>
      </w:r>
      <w:r w:rsidRPr="004D2CC1">
        <w:t>in and outside the region.</w:t>
      </w:r>
    </w:p>
    <w:p w:rsidR="007A28AE" w:rsidRPr="004D2CC1" w:rsidRDefault="00695439" w:rsidP="004D2CC1">
      <w:pPr>
        <w:pStyle w:val="bt"/>
      </w:pPr>
      <w:r w:rsidRPr="004D2CC1">
        <w:t xml:space="preserve">Improved access could further realise higher growth potential as the </w:t>
      </w:r>
      <w:r w:rsidR="005B5483" w:rsidRPr="004D2CC1">
        <w:t xml:space="preserve">Hume </w:t>
      </w:r>
      <w:r w:rsidR="0081326C" w:rsidRPr="004D2CC1">
        <w:t>R</w:t>
      </w:r>
      <w:r w:rsidRPr="004D2CC1">
        <w:t xml:space="preserve">egion becomes more attractive for people wishing to relocate to the region. </w:t>
      </w:r>
      <w:r w:rsidR="00714875" w:rsidRPr="004D2CC1">
        <w:t>However,</w:t>
      </w:r>
      <w:r w:rsidRPr="004D2CC1">
        <w:t xml:space="preserve"> </w:t>
      </w:r>
      <w:r w:rsidR="00472510" w:rsidRPr="004D2CC1">
        <w:t>not</w:t>
      </w:r>
      <w:r w:rsidRPr="004D2CC1">
        <w:t xml:space="preserve"> all areas will grow. Ensuring smaller communities have access to resources will be critical as the demography of the region changes over time. </w:t>
      </w:r>
      <w:r w:rsidR="00092D02" w:rsidRPr="004D2CC1">
        <w:t>T</w:t>
      </w:r>
      <w:r w:rsidRPr="004D2CC1">
        <w:t xml:space="preserve">ransport, such as expanded community transport, between these communities and larger urban settlements and outreach services taking resources to people may help to achieve this aim. </w:t>
      </w:r>
    </w:p>
    <w:p w:rsidR="00FB3DFD" w:rsidRPr="004D2CC1" w:rsidRDefault="00695439" w:rsidP="004D2CC1">
      <w:pPr>
        <w:pStyle w:val="bt"/>
      </w:pPr>
      <w:r w:rsidRPr="004D2CC1">
        <w:t xml:space="preserve">Opportunities for enhancing access and </w:t>
      </w:r>
      <w:r w:rsidR="00941AEC" w:rsidRPr="004D2CC1">
        <w:t>connectivity over</w:t>
      </w:r>
      <w:r w:rsidR="00092D02" w:rsidRPr="004D2CC1">
        <w:t xml:space="preserve"> the short, medium and long term </w:t>
      </w:r>
      <w:r w:rsidRPr="004D2CC1">
        <w:t>include:</w:t>
      </w:r>
    </w:p>
    <w:p w:rsidR="00A92ED9" w:rsidRPr="00050C41" w:rsidRDefault="00714875" w:rsidP="00411B44">
      <w:pPr>
        <w:pStyle w:val="btbullet"/>
      </w:pPr>
      <w:r w:rsidRPr="00714875">
        <w:t>constructing bypasses</w:t>
      </w:r>
      <w:r w:rsidR="00D462D5">
        <w:t>,</w:t>
      </w:r>
      <w:r w:rsidR="004E23AF">
        <w:t xml:space="preserve"> such as the Kilmore-</w:t>
      </w:r>
      <w:r w:rsidRPr="00714875">
        <w:t>Wallan and Shepparton bypasses</w:t>
      </w:r>
      <w:r w:rsidR="00411B44">
        <w:t xml:space="preserve">, </w:t>
      </w:r>
      <w:r w:rsidRPr="00714875">
        <w:t xml:space="preserve">and associated Strathmerton </w:t>
      </w:r>
      <w:r w:rsidR="005B5483">
        <w:t>D</w:t>
      </w:r>
      <w:r w:rsidRPr="00714875">
        <w:t>eviation</w:t>
      </w:r>
    </w:p>
    <w:p w:rsidR="00695439" w:rsidRPr="00695439" w:rsidRDefault="00BC4BB8" w:rsidP="00411B44">
      <w:pPr>
        <w:pStyle w:val="btbullet"/>
      </w:pPr>
      <w:r>
        <w:t xml:space="preserve">improving </w:t>
      </w:r>
      <w:r w:rsidR="00695439">
        <w:t>cross-border connections</w:t>
      </w:r>
      <w:r w:rsidR="00D462D5">
        <w:t>,</w:t>
      </w:r>
      <w:r w:rsidR="00695439">
        <w:t xml:space="preserve"> such as </w:t>
      </w:r>
      <w:r w:rsidR="00714875" w:rsidRPr="00714875">
        <w:t>improving river crossings and providing new river crossings</w:t>
      </w:r>
      <w:r w:rsidR="00411B44">
        <w:t xml:space="preserve">, </w:t>
      </w:r>
      <w:r w:rsidR="00714875" w:rsidRPr="00714875">
        <w:t>for example a new bridge at Yarrawonga</w:t>
      </w:r>
    </w:p>
    <w:p w:rsidR="00A92ED9" w:rsidRPr="00050C41" w:rsidRDefault="00BC4BB8" w:rsidP="00411B44">
      <w:pPr>
        <w:pStyle w:val="btbullet"/>
      </w:pPr>
      <w:r>
        <w:t xml:space="preserve">improving </w:t>
      </w:r>
      <w:r w:rsidR="00714875" w:rsidRPr="00714875">
        <w:t>links from the region to international gateways, interstate gateways and hubs</w:t>
      </w:r>
    </w:p>
    <w:p w:rsidR="00A92ED9" w:rsidRPr="00050C41" w:rsidRDefault="00BC4BB8" w:rsidP="00411B44">
      <w:pPr>
        <w:pStyle w:val="btbullet"/>
      </w:pPr>
      <w:r>
        <w:t xml:space="preserve">improving </w:t>
      </w:r>
      <w:r w:rsidR="00714875" w:rsidRPr="00714875">
        <w:t xml:space="preserve">links within the region and to cities outside </w:t>
      </w:r>
      <w:r w:rsidR="00135D9A">
        <w:t xml:space="preserve">the </w:t>
      </w:r>
      <w:r w:rsidR="00714875" w:rsidRPr="00714875">
        <w:t xml:space="preserve">region such as Melbourne, other Victorian regions, interstate capitals and regional cities </w:t>
      </w:r>
    </w:p>
    <w:p w:rsidR="00395F4D" w:rsidRPr="00050C41" w:rsidRDefault="00714875" w:rsidP="00411B44">
      <w:pPr>
        <w:pStyle w:val="btbullet"/>
      </w:pPr>
      <w:r w:rsidRPr="00714875">
        <w:t>strategically improving local road access to the national freight network</w:t>
      </w:r>
    </w:p>
    <w:p w:rsidR="00395F4D" w:rsidRDefault="00714875" w:rsidP="00411B44">
      <w:pPr>
        <w:pStyle w:val="btbullet"/>
      </w:pPr>
      <w:r w:rsidRPr="00714875">
        <w:t>addressing rail network constraints such as multiple gauges and curfews</w:t>
      </w:r>
    </w:p>
    <w:p w:rsidR="004D5FC7" w:rsidRPr="00050C41" w:rsidRDefault="004D5FC7" w:rsidP="00411B44">
      <w:pPr>
        <w:pStyle w:val="btbullet"/>
      </w:pPr>
      <w:r>
        <w:t xml:space="preserve">the east coast </w:t>
      </w:r>
      <w:r w:rsidR="00E90840">
        <w:t>high-</w:t>
      </w:r>
      <w:r>
        <w:t>speed rail system</w:t>
      </w:r>
    </w:p>
    <w:p w:rsidR="00395F4D" w:rsidRPr="00050C41" w:rsidRDefault="00BC4BB8" w:rsidP="00411B44">
      <w:pPr>
        <w:pStyle w:val="btbullet"/>
      </w:pPr>
      <w:r>
        <w:t>i</w:t>
      </w:r>
      <w:r w:rsidRPr="00BC4BB8">
        <w:t>mproving and modifying the network of public transport services to better meet market needs</w:t>
      </w:r>
      <w:r w:rsidR="00D462D5">
        <w:t>,</w:t>
      </w:r>
      <w:r w:rsidRPr="00BC4BB8">
        <w:t xml:space="preserve"> such as passenger rail services between Shepparton and Melbourne </w:t>
      </w:r>
    </w:p>
    <w:p w:rsidR="00AF1A24" w:rsidRDefault="00BC4BB8" w:rsidP="00411B44">
      <w:pPr>
        <w:pStyle w:val="btbullet"/>
      </w:pPr>
      <w:proofErr w:type="gramStart"/>
      <w:r>
        <w:t>improving</w:t>
      </w:r>
      <w:proofErr w:type="gramEnd"/>
      <w:r>
        <w:t xml:space="preserve"> </w:t>
      </w:r>
      <w:r w:rsidR="00695439">
        <w:t>accessibility</w:t>
      </w:r>
      <w:r w:rsidR="00D462D5">
        <w:t>,</w:t>
      </w:r>
      <w:r w:rsidR="00695439">
        <w:t xml:space="preserve"> such as cycle access and </w:t>
      </w:r>
      <w:r w:rsidR="000667D7" w:rsidRPr="000667D7">
        <w:rPr>
          <w:i/>
        </w:rPr>
        <w:t>Disability Discrimination Act</w:t>
      </w:r>
      <w:r w:rsidR="00A11AF2">
        <w:rPr>
          <w:i/>
        </w:rPr>
        <w:t xml:space="preserve"> 1992</w:t>
      </w:r>
      <w:r w:rsidR="00695439">
        <w:t xml:space="preserve"> compliance on public transport.</w:t>
      </w:r>
    </w:p>
    <w:p w:rsidR="00321FB6" w:rsidRDefault="00321FB6" w:rsidP="0016400E">
      <w:pPr>
        <w:pStyle w:val="Heading3-list"/>
      </w:pPr>
      <w:r w:rsidRPr="00321FB6">
        <w:t xml:space="preserve">Provide a safe, reliable and resilient network </w:t>
      </w:r>
    </w:p>
    <w:p w:rsidR="007A28AE" w:rsidRPr="004D2CC1" w:rsidRDefault="00695439" w:rsidP="004D2CC1">
      <w:pPr>
        <w:pStyle w:val="bt"/>
      </w:pPr>
      <w:r w:rsidRPr="004D2CC1">
        <w:t>Parts of the Hume Region are in close proximity to N</w:t>
      </w:r>
      <w:r w:rsidR="00B753E4" w:rsidRPr="004D2CC1">
        <w:t xml:space="preserve">ew </w:t>
      </w:r>
      <w:r w:rsidRPr="004D2CC1">
        <w:t>S</w:t>
      </w:r>
      <w:r w:rsidR="00B753E4" w:rsidRPr="004D2CC1">
        <w:t xml:space="preserve">outh </w:t>
      </w:r>
      <w:r w:rsidRPr="004D2CC1">
        <w:t>W</w:t>
      </w:r>
      <w:r w:rsidR="00B753E4" w:rsidRPr="004D2CC1">
        <w:t>ales</w:t>
      </w:r>
      <w:r w:rsidRPr="004D2CC1">
        <w:t xml:space="preserve">, Melbourne </w:t>
      </w:r>
      <w:r w:rsidR="00B753E4" w:rsidRPr="004D2CC1">
        <w:t>and</w:t>
      </w:r>
      <w:r w:rsidRPr="004D2CC1">
        <w:t xml:space="preserve"> other </w:t>
      </w:r>
      <w:r w:rsidR="00A11AF2" w:rsidRPr="004D2CC1">
        <w:t xml:space="preserve">Victorian </w:t>
      </w:r>
      <w:r w:rsidRPr="004D2CC1">
        <w:t>regions, providing opportunities to access different, and in some cases high</w:t>
      </w:r>
      <w:r w:rsidR="00135D9A">
        <w:t>er</w:t>
      </w:r>
      <w:r w:rsidRPr="004D2CC1">
        <w:t xml:space="preserve"> order, services and facilities. For example</w:t>
      </w:r>
      <w:r w:rsidR="000C0CE8" w:rsidRPr="004D2CC1">
        <w:t>,</w:t>
      </w:r>
      <w:r w:rsidRPr="004D2CC1">
        <w:t xml:space="preserve"> many people travel to Melbourn</w:t>
      </w:r>
      <w:r w:rsidR="0030610D" w:rsidRPr="004D2CC1">
        <w:t>e for healthcare and in Albury-</w:t>
      </w:r>
      <w:r w:rsidRPr="004D2CC1">
        <w:t xml:space="preserve">Wodonga there is a reciprocal agreement that provides a single public health service, available to residents of either </w:t>
      </w:r>
      <w:r w:rsidR="00A11AF2" w:rsidRPr="004D2CC1">
        <w:t>s</w:t>
      </w:r>
      <w:r w:rsidRPr="004D2CC1">
        <w:t>tate. Hospital facilities in Shepparton</w:t>
      </w:r>
      <w:r w:rsidR="00EC1094" w:rsidRPr="004D2CC1">
        <w:t>,</w:t>
      </w:r>
      <w:r w:rsidRPr="004D2CC1">
        <w:t xml:space="preserve"> Albury</w:t>
      </w:r>
      <w:r w:rsidR="00EC1094" w:rsidRPr="004D2CC1">
        <w:t>-</w:t>
      </w:r>
      <w:r w:rsidRPr="004D2CC1">
        <w:t>Wodonga</w:t>
      </w:r>
      <w:r w:rsidR="00EC1094" w:rsidRPr="004D2CC1">
        <w:t xml:space="preserve"> and Wangaratta</w:t>
      </w:r>
      <w:r w:rsidRPr="004D2CC1">
        <w:t xml:space="preserve"> provide higher order services to the wider region</w:t>
      </w:r>
      <w:r w:rsidR="002A7AC2">
        <w:t>,</w:t>
      </w:r>
      <w:r w:rsidRPr="004D2CC1">
        <w:t xml:space="preserve"> including </w:t>
      </w:r>
      <w:r w:rsidRPr="004D2CC1">
        <w:lastRenderedPageBreak/>
        <w:t xml:space="preserve">southern </w:t>
      </w:r>
      <w:r w:rsidR="00B753E4" w:rsidRPr="004D2CC1">
        <w:t>New South Wales</w:t>
      </w:r>
      <w:r w:rsidR="00EC1094" w:rsidRPr="004D2CC1">
        <w:t xml:space="preserve"> in some cases</w:t>
      </w:r>
      <w:r w:rsidR="002A7AC2">
        <w:t>,</w:t>
      </w:r>
      <w:r w:rsidRPr="004D2CC1">
        <w:t xml:space="preserve"> and therefore need to be accessible. Travel to these centres for healthcare services depends on appropriate transport links. </w:t>
      </w:r>
    </w:p>
    <w:p w:rsidR="007A28AE" w:rsidRPr="004D2CC1" w:rsidRDefault="00695439" w:rsidP="004D2CC1">
      <w:pPr>
        <w:pStyle w:val="bt"/>
      </w:pPr>
      <w:r w:rsidRPr="004D2CC1">
        <w:t xml:space="preserve">The current rail line in the Hume corridor between Wodonga and Seymour has recently been upgraded to standard gauge. </w:t>
      </w:r>
      <w:r w:rsidR="000C0CE8" w:rsidRPr="004D2CC1">
        <w:t>However, f</w:t>
      </w:r>
      <w:r w:rsidRPr="004D2CC1">
        <w:t>urther work is required to improve</w:t>
      </w:r>
      <w:r w:rsidR="00EC1094" w:rsidRPr="004D2CC1">
        <w:t xml:space="preserve"> passenger rail services on this line, including</w:t>
      </w:r>
      <w:r w:rsidRPr="004D2CC1">
        <w:t xml:space="preserve"> </w:t>
      </w:r>
      <w:r w:rsidR="00EC1094" w:rsidRPr="004D2CC1">
        <w:t xml:space="preserve">improved </w:t>
      </w:r>
      <w:r w:rsidRPr="004D2CC1">
        <w:t>reliability of services</w:t>
      </w:r>
      <w:r w:rsidR="00EC1094" w:rsidRPr="004D2CC1">
        <w:t>,</w:t>
      </w:r>
      <w:r w:rsidRPr="004D2CC1">
        <w:t xml:space="preserve"> and to ensure that the network, providing critical linkages, is safe, reliable and resilient into the future. </w:t>
      </w:r>
    </w:p>
    <w:p w:rsidR="007A28AE" w:rsidRPr="004D2CC1" w:rsidRDefault="000C0CE8" w:rsidP="004D2CC1">
      <w:pPr>
        <w:pStyle w:val="bt"/>
      </w:pPr>
      <w:r w:rsidRPr="004D2CC1">
        <w:t>Freight operations are likely to change</w:t>
      </w:r>
      <w:r w:rsidR="00A11AF2" w:rsidRPr="004D2CC1">
        <w:t xml:space="preserve"> in the future</w:t>
      </w:r>
      <w:r w:rsidRPr="004D2CC1">
        <w:t>.</w:t>
      </w:r>
      <w:r w:rsidR="00714875" w:rsidRPr="004D2CC1">
        <w:t xml:space="preserve"> </w:t>
      </w:r>
      <w:r w:rsidRPr="004D2CC1">
        <w:t>V</w:t>
      </w:r>
      <w:r w:rsidR="00714875" w:rsidRPr="004D2CC1">
        <w:t>ehicle and fleet characteristics</w:t>
      </w:r>
      <w:r w:rsidR="00A11AF2" w:rsidRPr="004D2CC1">
        <w:t>,</w:t>
      </w:r>
      <w:r w:rsidR="00714875" w:rsidRPr="004D2CC1">
        <w:t xml:space="preserve"> such as the trend towards higher-volume freight vehicles</w:t>
      </w:r>
      <w:r w:rsidR="00A11AF2" w:rsidRPr="004D2CC1">
        <w:t>,</w:t>
      </w:r>
      <w:r w:rsidR="00714875" w:rsidRPr="004D2CC1">
        <w:t xml:space="preserve"> may mean that small local roads cannot cope with the traffic required to take products to processing or export locations. Maintenance funding and weight restrictions may need to be reviewed into the future</w:t>
      </w:r>
      <w:r w:rsidRPr="004D2CC1">
        <w:t xml:space="preserve"> to accommodate these types of changes</w:t>
      </w:r>
      <w:r w:rsidR="00714875" w:rsidRPr="004D2CC1">
        <w:t xml:space="preserve">. </w:t>
      </w:r>
    </w:p>
    <w:p w:rsidR="007A28AE" w:rsidRPr="004D2CC1" w:rsidRDefault="00695439" w:rsidP="004D2CC1">
      <w:pPr>
        <w:pStyle w:val="bt"/>
      </w:pPr>
      <w:r w:rsidRPr="004D2CC1">
        <w:t xml:space="preserve">A network that is safe and able to stand up to major disruption will help ensure ongoing connectivity with other parts of the </w:t>
      </w:r>
      <w:r w:rsidR="00A11AF2" w:rsidRPr="004D2CC1">
        <w:t>s</w:t>
      </w:r>
      <w:r w:rsidRPr="004D2CC1">
        <w:t>tate and Australia.</w:t>
      </w:r>
    </w:p>
    <w:p w:rsidR="00695439" w:rsidRPr="004D2CC1" w:rsidRDefault="00695439" w:rsidP="004D2CC1">
      <w:pPr>
        <w:pStyle w:val="bt"/>
      </w:pPr>
      <w:r w:rsidRPr="004D2CC1">
        <w:t>Opportunities for providing a safe, reliable and resilient transport network include:</w:t>
      </w:r>
    </w:p>
    <w:p w:rsidR="00395F4D" w:rsidRPr="00EE492B" w:rsidRDefault="00695439" w:rsidP="00EE492B">
      <w:pPr>
        <w:pStyle w:val="btbullet"/>
      </w:pPr>
      <w:r w:rsidRPr="00EE492B">
        <w:t>contingency plans for major disruption</w:t>
      </w:r>
      <w:r w:rsidR="00D462D5" w:rsidRPr="00EE492B">
        <w:t>,</w:t>
      </w:r>
      <w:r w:rsidRPr="00EE492B">
        <w:t xml:space="preserve"> such as </w:t>
      </w:r>
      <w:r w:rsidR="00112398" w:rsidRPr="00EE492B">
        <w:t>flood</w:t>
      </w:r>
      <w:r w:rsidRPr="00EE492B">
        <w:t xml:space="preserve"> and </w:t>
      </w:r>
      <w:r w:rsidR="00112398" w:rsidRPr="00EE492B">
        <w:t>bushfire</w:t>
      </w:r>
    </w:p>
    <w:p w:rsidR="00395F4D" w:rsidRPr="00EE492B" w:rsidRDefault="00695439" w:rsidP="00EE492B">
      <w:pPr>
        <w:pStyle w:val="btbullet"/>
      </w:pPr>
      <w:r w:rsidRPr="00EE492B">
        <w:t xml:space="preserve">maintenance </w:t>
      </w:r>
      <w:r w:rsidR="00B82842" w:rsidRPr="00EE492B">
        <w:t xml:space="preserve">and improvement </w:t>
      </w:r>
      <w:r w:rsidRPr="00EE492B">
        <w:t>of rail and road networks to appropriate standards</w:t>
      </w:r>
      <w:r w:rsidR="00B82842" w:rsidRPr="00EE492B">
        <w:t xml:space="preserve">, incorporating the </w:t>
      </w:r>
      <w:r w:rsidR="00EF0CFF" w:rsidRPr="00EE492B">
        <w:t>need to minimise the impacts of</w:t>
      </w:r>
      <w:r w:rsidR="00B82842" w:rsidRPr="00EE492B">
        <w:t xml:space="preserve"> nat</w:t>
      </w:r>
      <w:r w:rsidR="000A5129" w:rsidRPr="00EE492B">
        <w:t xml:space="preserve">ural hazards and risks such as </w:t>
      </w:r>
      <w:r w:rsidR="00112398" w:rsidRPr="00EE492B">
        <w:t>bushfire</w:t>
      </w:r>
      <w:r w:rsidR="000A5129" w:rsidRPr="00EE492B">
        <w:t xml:space="preserve"> and </w:t>
      </w:r>
      <w:r w:rsidR="00112398" w:rsidRPr="00EE492B">
        <w:t>flood</w:t>
      </w:r>
    </w:p>
    <w:p w:rsidR="00395F4D" w:rsidRPr="00EE492B" w:rsidRDefault="00695439" w:rsidP="00EE492B">
      <w:pPr>
        <w:pStyle w:val="btbullet"/>
      </w:pPr>
      <w:r w:rsidRPr="00EE492B">
        <w:t>recognising that changing vehicle/fleet characteristics and numbers of vehicles will impact on roads</w:t>
      </w:r>
      <w:r w:rsidR="00A767D7" w:rsidRPr="00EE492B">
        <w:t>,</w:t>
      </w:r>
      <w:r w:rsidRPr="00EE492B">
        <w:t xml:space="preserve"> including local roads</w:t>
      </w:r>
      <w:r w:rsidR="00A767D7" w:rsidRPr="00EE492B">
        <w:t>,</w:t>
      </w:r>
      <w:r w:rsidRPr="00EE492B">
        <w:t xml:space="preserve"> which may not be fit for purpose for increasingly larger vehicles serving regional industries</w:t>
      </w:r>
    </w:p>
    <w:p w:rsidR="00395F4D" w:rsidRPr="00EE492B" w:rsidRDefault="00695439" w:rsidP="00EE492B">
      <w:pPr>
        <w:pStyle w:val="btbullet"/>
      </w:pPr>
      <w:r w:rsidRPr="00EE492B">
        <w:t>removing network constraints, such as weight and size restrictions</w:t>
      </w:r>
    </w:p>
    <w:p w:rsidR="00356B34" w:rsidRPr="00EE492B" w:rsidRDefault="00356B34" w:rsidP="00EE492B">
      <w:pPr>
        <w:pStyle w:val="btbullet"/>
      </w:pPr>
      <w:r w:rsidRPr="00EE492B">
        <w:t>safeguarding transport and tourism routes for continued future</w:t>
      </w:r>
      <w:r w:rsidR="0081326C" w:rsidRPr="00EE492B">
        <w:t xml:space="preserve"> use</w:t>
      </w:r>
    </w:p>
    <w:p w:rsidR="00395F4D" w:rsidRPr="00EE492B" w:rsidRDefault="00695439" w:rsidP="00EE492B">
      <w:pPr>
        <w:pStyle w:val="btbullet"/>
      </w:pPr>
      <w:r w:rsidRPr="00EE492B">
        <w:t>improving the network of rest areas</w:t>
      </w:r>
    </w:p>
    <w:p w:rsidR="00EC1094" w:rsidRPr="00EE492B" w:rsidRDefault="00EC1094" w:rsidP="00EE492B">
      <w:pPr>
        <w:pStyle w:val="btbullet"/>
      </w:pPr>
      <w:r w:rsidRPr="00EE492B">
        <w:t>improving the reliability of passenger rail services between Wodonga and Seymour</w:t>
      </w:r>
    </w:p>
    <w:p w:rsidR="007A28AE" w:rsidRPr="00EE492B" w:rsidRDefault="00695439" w:rsidP="00EE492B">
      <w:pPr>
        <w:pStyle w:val="btbullet"/>
      </w:pPr>
      <w:proofErr w:type="gramStart"/>
      <w:r w:rsidRPr="00EE492B">
        <w:t>providing</w:t>
      </w:r>
      <w:proofErr w:type="gramEnd"/>
      <w:r w:rsidRPr="00EE492B">
        <w:t xml:space="preserve"> alternative routes to regional cities.</w:t>
      </w:r>
    </w:p>
    <w:p w:rsidR="00566497" w:rsidRDefault="00566497" w:rsidP="0016400E">
      <w:pPr>
        <w:pStyle w:val="Heading3-list"/>
      </w:pPr>
      <w:r w:rsidRPr="00566497">
        <w:t xml:space="preserve">Develop freight and logistics precincts </w:t>
      </w:r>
    </w:p>
    <w:p w:rsidR="00B4480F" w:rsidRDefault="00695439" w:rsidP="004D2CC1">
      <w:pPr>
        <w:pStyle w:val="bt"/>
      </w:pPr>
      <w:r w:rsidRPr="004D2CC1">
        <w:t>The development of a potential freight</w:t>
      </w:r>
      <w:r w:rsidR="00092D02" w:rsidRPr="004D2CC1">
        <w:t xml:space="preserve"> and logistics</w:t>
      </w:r>
      <w:r w:rsidRPr="004D2CC1">
        <w:t xml:space="preserve"> precinct in the vicinity of Seymour/Mangalore </w:t>
      </w:r>
      <w:r w:rsidR="00A11AF2" w:rsidRPr="004D2CC1">
        <w:t>A</w:t>
      </w:r>
      <w:r w:rsidRPr="004D2CC1">
        <w:t xml:space="preserve">irport should be investigated. Mangalore </w:t>
      </w:r>
      <w:r w:rsidR="00A11AF2" w:rsidRPr="004D2CC1">
        <w:t>A</w:t>
      </w:r>
      <w:r w:rsidRPr="004D2CC1">
        <w:t>irport has the capacity to become a fu</w:t>
      </w:r>
      <w:r w:rsidR="00B4480F">
        <w:t>ture air freight logistics hub.</w:t>
      </w:r>
    </w:p>
    <w:p w:rsidR="0058573F" w:rsidRPr="004D2CC1" w:rsidRDefault="00695439" w:rsidP="004D2CC1">
      <w:pPr>
        <w:pStyle w:val="bt"/>
      </w:pPr>
      <w:r w:rsidRPr="004D2CC1">
        <w:t>Freight could be distributed to the major ports of Melbourne and Geelong and other locations from this site. Mangalore’s position in close proximity to the junction of the Hume and Goulburn Valley road and rail corridors</w:t>
      </w:r>
      <w:r w:rsidR="00A11AF2" w:rsidRPr="004D2CC1">
        <w:t>,</w:t>
      </w:r>
      <w:r w:rsidRPr="004D2CC1">
        <w:t xml:space="preserve"> and its significant and underutilised airport facilities</w:t>
      </w:r>
      <w:r w:rsidR="00A11AF2" w:rsidRPr="004D2CC1">
        <w:t>,</w:t>
      </w:r>
      <w:r w:rsidRPr="004D2CC1">
        <w:t xml:space="preserve"> make it an ideal site.</w:t>
      </w:r>
    </w:p>
    <w:p w:rsidR="0058573F" w:rsidRPr="004D2CC1" w:rsidRDefault="00695439" w:rsidP="004D2CC1">
      <w:pPr>
        <w:pStyle w:val="bt"/>
      </w:pPr>
      <w:r w:rsidRPr="004D2CC1">
        <w:t>There are also opportunities to continue to develop the existing freight and logistics precinct at Wodonga (LOGIC) and create new freight and logistics precincts at Beveridge (Beveridge Interstate Freight Terminal) and Shepparton (GV Link, which is ready for construction).</w:t>
      </w:r>
    </w:p>
    <w:p w:rsidR="00A04366" w:rsidRPr="004D2CC1" w:rsidRDefault="00695439" w:rsidP="004D2CC1">
      <w:pPr>
        <w:pStyle w:val="bt"/>
      </w:pPr>
      <w:r w:rsidRPr="004D2CC1">
        <w:t xml:space="preserve">Freight and logistics precincts in the </w:t>
      </w:r>
      <w:r w:rsidR="00A11AF2" w:rsidRPr="004D2CC1">
        <w:t xml:space="preserve">Hume </w:t>
      </w:r>
      <w:r w:rsidR="0081326C" w:rsidRPr="004D2CC1">
        <w:t>R</w:t>
      </w:r>
      <w:r w:rsidRPr="004D2CC1">
        <w:t xml:space="preserve">egion form part of a national network including existing precincts in </w:t>
      </w:r>
      <w:r w:rsidR="00D239C4">
        <w:t xml:space="preserve">southern </w:t>
      </w:r>
      <w:r w:rsidR="00B753E4" w:rsidRPr="004D2CC1">
        <w:t>New South Wales</w:t>
      </w:r>
      <w:r w:rsidR="00B87BF6">
        <w:t>,</w:t>
      </w:r>
      <w:r w:rsidRPr="004D2CC1">
        <w:t xml:space="preserve"> which also serve the region.</w:t>
      </w:r>
    </w:p>
    <w:p w:rsidR="0058573F" w:rsidRPr="004D2CC1" w:rsidRDefault="00695439" w:rsidP="004D2CC1">
      <w:pPr>
        <w:pStyle w:val="bt"/>
      </w:pPr>
      <w:r w:rsidRPr="004D2CC1">
        <w:t>Opportunities for developing freight and logistics precincts could include:</w:t>
      </w:r>
    </w:p>
    <w:p w:rsidR="006841B0" w:rsidRDefault="00695439" w:rsidP="00411B44">
      <w:pPr>
        <w:pStyle w:val="btbullet"/>
      </w:pPr>
      <w:r>
        <w:t>international, interstate, regional airports</w:t>
      </w:r>
    </w:p>
    <w:p w:rsidR="00E4647D" w:rsidRDefault="00092D02" w:rsidP="00411B44">
      <w:pPr>
        <w:pStyle w:val="btbullet"/>
      </w:pPr>
      <w:r>
        <w:t xml:space="preserve">potential intermodal freight and logistics precincts, considering industry needs </w:t>
      </w:r>
    </w:p>
    <w:p w:rsidR="0058573F" w:rsidRPr="00050C41" w:rsidRDefault="00695439" w:rsidP="00411B44">
      <w:pPr>
        <w:pStyle w:val="btbullet"/>
      </w:pPr>
      <w:r>
        <w:t xml:space="preserve">freight terminals </w:t>
      </w:r>
      <w:r w:rsidR="00092D02">
        <w:t xml:space="preserve">including </w:t>
      </w:r>
      <w:r>
        <w:t>inland ports such as LOGIC, GV Link and the Beveridge Interstate Freight Terminal</w:t>
      </w:r>
    </w:p>
    <w:p w:rsidR="00A04366" w:rsidRPr="00A04366" w:rsidRDefault="00695439" w:rsidP="00411B44">
      <w:pPr>
        <w:pStyle w:val="btbullet"/>
        <w:rPr>
          <w:b/>
        </w:rPr>
      </w:pPr>
      <w:proofErr w:type="gramStart"/>
      <w:r>
        <w:lastRenderedPageBreak/>
        <w:t>activity-specific</w:t>
      </w:r>
      <w:proofErr w:type="gramEnd"/>
      <w:r>
        <w:t xml:space="preserve"> centres</w:t>
      </w:r>
      <w:r w:rsidR="00D462D5">
        <w:t>,</w:t>
      </w:r>
      <w:r>
        <w:t xml:space="preserve"> such as distribution warehouses and processing plants.</w:t>
      </w:r>
    </w:p>
    <w:p w:rsidR="00A04366" w:rsidRPr="00A04366" w:rsidRDefault="00A04366" w:rsidP="00A04366">
      <w:pPr>
        <w:pStyle w:val="ListBullet"/>
        <w:numPr>
          <w:ilvl w:val="0"/>
          <w:numId w:val="0"/>
        </w:numPr>
      </w:pPr>
      <w:r>
        <w:t>O</w:t>
      </w:r>
      <w:r w:rsidRPr="00624E4D">
        <w:t>pportunities for</w:t>
      </w:r>
      <w:r>
        <w:t xml:space="preserve"> </w:t>
      </w:r>
      <w:r w:rsidR="002B456D">
        <w:t>developing</w:t>
      </w:r>
      <w:r w:rsidRPr="00624E4D">
        <w:t xml:space="preserve"> </w:t>
      </w:r>
      <w:r>
        <w:t xml:space="preserve">locally significant, </w:t>
      </w:r>
      <w:r w:rsidRPr="00624E4D">
        <w:t xml:space="preserve">smaller scale freight </w:t>
      </w:r>
      <w:r>
        <w:t>facilities</w:t>
      </w:r>
      <w:r w:rsidRPr="00624E4D">
        <w:t xml:space="preserve"> </w:t>
      </w:r>
      <w:r>
        <w:t>will be identified and planned for at a local level.</w:t>
      </w:r>
    </w:p>
    <w:p w:rsidR="00566497" w:rsidRDefault="00566497" w:rsidP="0016400E">
      <w:pPr>
        <w:pStyle w:val="Heading3-list"/>
      </w:pPr>
      <w:r w:rsidRPr="00566497">
        <w:t xml:space="preserve">Consider technological advancements in the transport provision mix </w:t>
      </w:r>
    </w:p>
    <w:p w:rsidR="0058573F" w:rsidRPr="004D2CC1" w:rsidRDefault="0058573F" w:rsidP="004D2CC1">
      <w:pPr>
        <w:pStyle w:val="bt"/>
      </w:pPr>
      <w:r w:rsidRPr="004D2CC1">
        <w:t>Technological advancements such as the rollout of the National Broadband Network may</w:t>
      </w:r>
      <w:r w:rsidR="00A11AF2" w:rsidRPr="004D2CC1">
        <w:t>,</w:t>
      </w:r>
      <w:r w:rsidRPr="004D2CC1">
        <w:t xml:space="preserve"> in some cases</w:t>
      </w:r>
      <w:r w:rsidR="00A11AF2" w:rsidRPr="004D2CC1">
        <w:t>,</w:t>
      </w:r>
      <w:r w:rsidRPr="004D2CC1">
        <w:t xml:space="preserve"> replace the need for travel, as the use of technology increases through more people working at home or accessing </w:t>
      </w:r>
      <w:proofErr w:type="spellStart"/>
      <w:r w:rsidRPr="004D2CC1">
        <w:t>teleservices</w:t>
      </w:r>
      <w:proofErr w:type="spellEnd"/>
      <w:r w:rsidRPr="004D2CC1">
        <w:t xml:space="preserve"> </w:t>
      </w:r>
      <w:r w:rsidR="00B753E4" w:rsidRPr="004D2CC1">
        <w:t>i</w:t>
      </w:r>
      <w:r w:rsidRPr="004D2CC1">
        <w:t>n the health and education sectors</w:t>
      </w:r>
      <w:r w:rsidR="00B753E4" w:rsidRPr="004D2CC1">
        <w:t>.</w:t>
      </w:r>
      <w:r w:rsidRPr="004D2CC1">
        <w:t xml:space="preserve"> </w:t>
      </w:r>
      <w:r w:rsidR="00B753E4" w:rsidRPr="004D2CC1">
        <w:t>A</w:t>
      </w:r>
      <w:r w:rsidRPr="004D2CC1">
        <w:t>n increasing number of services are being provided online.</w:t>
      </w:r>
    </w:p>
    <w:p w:rsidR="0058573F" w:rsidRPr="004D2CC1" w:rsidRDefault="0058573F" w:rsidP="004D2CC1">
      <w:pPr>
        <w:pStyle w:val="bt"/>
      </w:pPr>
      <w:r w:rsidRPr="004D2CC1">
        <w:t>Opportunities for technological advancements that could be relevant to transport include:</w:t>
      </w:r>
    </w:p>
    <w:p w:rsidR="0058573F" w:rsidRDefault="0058573F" w:rsidP="00411B44">
      <w:pPr>
        <w:pStyle w:val="btbullet"/>
      </w:pPr>
      <w:r>
        <w:t xml:space="preserve">the </w:t>
      </w:r>
      <w:r w:rsidRPr="00A25511">
        <w:t>N</w:t>
      </w:r>
      <w:r w:rsidR="00A11AF2">
        <w:t xml:space="preserve">ational </w:t>
      </w:r>
      <w:r w:rsidRPr="00A25511">
        <w:t>B</w:t>
      </w:r>
      <w:r w:rsidR="00A11AF2">
        <w:t xml:space="preserve">roadband </w:t>
      </w:r>
      <w:r w:rsidRPr="00A25511">
        <w:t>N</w:t>
      </w:r>
      <w:r w:rsidR="00A11AF2">
        <w:t>etwork</w:t>
      </w:r>
    </w:p>
    <w:p w:rsidR="0058573F" w:rsidRDefault="0058573F" w:rsidP="00411B44">
      <w:pPr>
        <w:pStyle w:val="btbullet"/>
      </w:pPr>
      <w:r>
        <w:t xml:space="preserve">use of </w:t>
      </w:r>
      <w:r w:rsidRPr="00A25511">
        <w:t>electronic devices</w:t>
      </w:r>
      <w:r w:rsidR="00D462D5">
        <w:t>,</w:t>
      </w:r>
      <w:r w:rsidRPr="00A25511">
        <w:t xml:space="preserve"> such as tablets, </w:t>
      </w:r>
      <w:r w:rsidR="006B52F3" w:rsidRPr="00A25511">
        <w:t>smart phones</w:t>
      </w:r>
      <w:r>
        <w:t xml:space="preserve"> or</w:t>
      </w:r>
      <w:r w:rsidRPr="00A25511">
        <w:t xml:space="preserve"> portable computers</w:t>
      </w:r>
      <w:r>
        <w:t xml:space="preserve"> to provide updates on traffic conditions or blockages in the transport system</w:t>
      </w:r>
    </w:p>
    <w:p w:rsidR="0058573F" w:rsidRDefault="0058573F" w:rsidP="00411B44">
      <w:pPr>
        <w:pStyle w:val="btbullet"/>
      </w:pPr>
      <w:r w:rsidRPr="00A25511">
        <w:t>vehicles</w:t>
      </w:r>
      <w:r>
        <w:t xml:space="preserve"> using alternative fuels</w:t>
      </w:r>
      <w:r w:rsidR="00D462D5">
        <w:t>,</w:t>
      </w:r>
      <w:r>
        <w:t xml:space="preserve"> </w:t>
      </w:r>
      <w:r w:rsidR="0081326C">
        <w:t>such as</w:t>
      </w:r>
      <w:r w:rsidR="00A11AF2">
        <w:t xml:space="preserve"> </w:t>
      </w:r>
      <w:r>
        <w:t>electric, hydrogen</w:t>
      </w:r>
      <w:r w:rsidR="002B473D">
        <w:t xml:space="preserve"> or </w:t>
      </w:r>
      <w:r>
        <w:t>biofuels</w:t>
      </w:r>
    </w:p>
    <w:p w:rsidR="0058573F" w:rsidRDefault="0058573F" w:rsidP="00411B44">
      <w:pPr>
        <w:pStyle w:val="btbullet"/>
      </w:pPr>
      <w:r>
        <w:t>transport network</w:t>
      </w:r>
      <w:r w:rsidR="00393841">
        <w:t xml:space="preserve"> and </w:t>
      </w:r>
      <w:r>
        <w:t>service information</w:t>
      </w:r>
    </w:p>
    <w:p w:rsidR="007A28AE" w:rsidRDefault="0058573F" w:rsidP="00411B44">
      <w:pPr>
        <w:pStyle w:val="btbullet"/>
      </w:pPr>
      <w:proofErr w:type="gramStart"/>
      <w:r w:rsidRPr="00A25511">
        <w:t>new</w:t>
      </w:r>
      <w:proofErr w:type="gramEnd"/>
      <w:r w:rsidRPr="00A25511">
        <w:t xml:space="preserve"> vehicle designs.</w:t>
      </w:r>
    </w:p>
    <w:p w:rsidR="00566497" w:rsidRDefault="00566497" w:rsidP="0016400E">
      <w:pPr>
        <w:pStyle w:val="Heading3-list"/>
      </w:pPr>
      <w:r w:rsidRPr="00566497">
        <w:t xml:space="preserve">Ensure amenity and useability </w:t>
      </w:r>
    </w:p>
    <w:p w:rsidR="007A28AE" w:rsidRPr="004D2CC1" w:rsidRDefault="004F05B3" w:rsidP="004D2CC1">
      <w:pPr>
        <w:pStyle w:val="bt"/>
      </w:pPr>
      <w:r w:rsidRPr="004D2CC1">
        <w:t>P</w:t>
      </w:r>
      <w:r w:rsidR="00A67AC3" w:rsidRPr="004D2CC1">
        <w:t xml:space="preserve">eople </w:t>
      </w:r>
      <w:r w:rsidRPr="004D2CC1">
        <w:t xml:space="preserve">use the Hume transport network </w:t>
      </w:r>
      <w:r w:rsidR="00A67AC3" w:rsidRPr="004D2CC1">
        <w:t xml:space="preserve">for both business and pleasure. Ensuring the network is maintained in a </w:t>
      </w:r>
      <w:r w:rsidRPr="004D2CC1">
        <w:t xml:space="preserve">safe and </w:t>
      </w:r>
      <w:r w:rsidR="00A67AC3" w:rsidRPr="004D2CC1">
        <w:t xml:space="preserve">useable condition will be important in the future to support a more diverse economy and make </w:t>
      </w:r>
      <w:r w:rsidR="00A11AF2" w:rsidRPr="004D2CC1">
        <w:t xml:space="preserve">the </w:t>
      </w:r>
      <w:r w:rsidR="00A67AC3" w:rsidRPr="004D2CC1">
        <w:t xml:space="preserve">best use of </w:t>
      </w:r>
      <w:r w:rsidR="001A63D4" w:rsidRPr="004D2CC1">
        <w:t xml:space="preserve">regional </w:t>
      </w:r>
      <w:r w:rsidR="00A67AC3" w:rsidRPr="004D2CC1">
        <w:t xml:space="preserve">products and opportunities. </w:t>
      </w:r>
      <w:r w:rsidRPr="004D2CC1">
        <w:t>This applies to recreation</w:t>
      </w:r>
      <w:r w:rsidR="00A11AF2" w:rsidRPr="004D2CC1">
        <w:t>al</w:t>
      </w:r>
      <w:r w:rsidRPr="004D2CC1">
        <w:t xml:space="preserve"> networks as well as the road and rail system. For example,</w:t>
      </w:r>
      <w:r w:rsidR="00A67AC3" w:rsidRPr="004D2CC1">
        <w:t xml:space="preserve"> the use and expansion of </w:t>
      </w:r>
      <w:r w:rsidR="00096EA1" w:rsidRPr="004D2CC1">
        <w:t>tracks and trails</w:t>
      </w:r>
      <w:r w:rsidR="00D462D5" w:rsidRPr="004D2CC1">
        <w:t>,</w:t>
      </w:r>
      <w:r w:rsidR="00096EA1" w:rsidRPr="004D2CC1">
        <w:t xml:space="preserve"> such as </w:t>
      </w:r>
      <w:r w:rsidR="00A67AC3" w:rsidRPr="004D2CC1">
        <w:t>rail trails</w:t>
      </w:r>
      <w:r w:rsidR="00D462D5" w:rsidRPr="004D2CC1">
        <w:t>,</w:t>
      </w:r>
      <w:r w:rsidR="00A67AC3" w:rsidRPr="004D2CC1">
        <w:t xml:space="preserve"> </w:t>
      </w:r>
      <w:r w:rsidRPr="004D2CC1">
        <w:t xml:space="preserve">can be supported </w:t>
      </w:r>
      <w:r w:rsidR="00A67AC3" w:rsidRPr="004D2CC1">
        <w:t xml:space="preserve">by improving </w:t>
      </w:r>
      <w:r w:rsidRPr="004D2CC1">
        <w:t xml:space="preserve">access and </w:t>
      </w:r>
      <w:r w:rsidR="00A67AC3" w:rsidRPr="004D2CC1">
        <w:t xml:space="preserve">connections between </w:t>
      </w:r>
      <w:r w:rsidRPr="004D2CC1">
        <w:t>them</w:t>
      </w:r>
      <w:r w:rsidR="00A67AC3" w:rsidRPr="004D2CC1">
        <w:t>.</w:t>
      </w:r>
    </w:p>
    <w:p w:rsidR="00A67AC3" w:rsidRPr="004D2CC1" w:rsidRDefault="00B544E7" w:rsidP="004D2CC1">
      <w:pPr>
        <w:pStyle w:val="bt"/>
      </w:pPr>
      <w:r w:rsidRPr="004D2CC1">
        <w:t>O</w:t>
      </w:r>
      <w:r w:rsidR="00A67AC3" w:rsidRPr="004D2CC1">
        <w:t>pportunities for ensuring amenity and useability</w:t>
      </w:r>
      <w:r w:rsidRPr="004D2CC1">
        <w:t xml:space="preserve"> of transport networks include</w:t>
      </w:r>
      <w:r w:rsidR="00A67AC3" w:rsidRPr="004D2CC1">
        <w:t>:</w:t>
      </w:r>
    </w:p>
    <w:p w:rsidR="007A28AE" w:rsidRDefault="00B544E7" w:rsidP="00411B44">
      <w:pPr>
        <w:pStyle w:val="btbullet"/>
      </w:pPr>
      <w:r>
        <w:t xml:space="preserve">developing </w:t>
      </w:r>
      <w:r w:rsidR="00A67AC3" w:rsidRPr="00A25511">
        <w:t>tourist routes for all users, including cyclists</w:t>
      </w:r>
    </w:p>
    <w:p w:rsidR="007A28AE" w:rsidRDefault="002D418D" w:rsidP="00411B44">
      <w:pPr>
        <w:pStyle w:val="btbullet"/>
      </w:pPr>
      <w:r>
        <w:t>enhancing accessibility to cycling and pedestrian networks</w:t>
      </w:r>
    </w:p>
    <w:p w:rsidR="007A28AE" w:rsidRDefault="00B544E7" w:rsidP="00411B44">
      <w:pPr>
        <w:pStyle w:val="btbullet"/>
      </w:pPr>
      <w:r>
        <w:t xml:space="preserve">improving </w:t>
      </w:r>
      <w:r w:rsidR="00A67AC3" w:rsidRPr="00A25511">
        <w:t>facilities</w:t>
      </w:r>
      <w:r w:rsidR="00D462D5">
        <w:t>,</w:t>
      </w:r>
      <w:r w:rsidR="00A67AC3" w:rsidRPr="00A25511">
        <w:t xml:space="preserve"> such as </w:t>
      </w:r>
      <w:r w:rsidR="009E6CB1">
        <w:t>freeway service centres</w:t>
      </w:r>
      <w:r w:rsidR="001A63D4">
        <w:t>, trailer exchange areas</w:t>
      </w:r>
      <w:r w:rsidR="009E6CB1">
        <w:t xml:space="preserve"> and </w:t>
      </w:r>
      <w:r w:rsidR="00A67AC3" w:rsidRPr="00A25511">
        <w:t>wayside rest areas, signage and information hubs</w:t>
      </w:r>
    </w:p>
    <w:p w:rsidR="007A28AE" w:rsidRDefault="00B544E7" w:rsidP="00411B44">
      <w:pPr>
        <w:pStyle w:val="btbullet"/>
        <w:rPr>
          <w:b/>
          <w:u w:val="single"/>
        </w:rPr>
      </w:pPr>
      <w:proofErr w:type="gramStart"/>
      <w:r>
        <w:t>developing</w:t>
      </w:r>
      <w:proofErr w:type="gramEnd"/>
      <w:r>
        <w:t xml:space="preserve"> and </w:t>
      </w:r>
      <w:r w:rsidR="00A67AC3" w:rsidRPr="00A25511">
        <w:t xml:space="preserve">marketing </w:t>
      </w:r>
      <w:r>
        <w:t xml:space="preserve">new products </w:t>
      </w:r>
      <w:r w:rsidR="00A67AC3" w:rsidRPr="00A25511">
        <w:t>such as package tours for day</w:t>
      </w:r>
      <w:r w:rsidR="001404CC">
        <w:t xml:space="preserve"> </w:t>
      </w:r>
      <w:r w:rsidR="00A67AC3" w:rsidRPr="00A25511">
        <w:t>trips.</w:t>
      </w:r>
    </w:p>
    <w:p w:rsidR="00566497" w:rsidRDefault="00566497" w:rsidP="0016400E">
      <w:pPr>
        <w:pStyle w:val="Heading3-list"/>
      </w:pPr>
      <w:r w:rsidRPr="00566497">
        <w:t xml:space="preserve">Understand and support efficient supply chains </w:t>
      </w:r>
    </w:p>
    <w:p w:rsidR="007A28AE" w:rsidRPr="004D2CC1" w:rsidRDefault="008B0C51" w:rsidP="004D2CC1">
      <w:pPr>
        <w:pStyle w:val="bt"/>
      </w:pPr>
      <w:r w:rsidRPr="004D2CC1">
        <w:t xml:space="preserve">As the </w:t>
      </w:r>
      <w:r w:rsidR="00A11AF2" w:rsidRPr="004D2CC1">
        <w:t xml:space="preserve">Hume </w:t>
      </w:r>
      <w:r w:rsidR="0081326C" w:rsidRPr="004D2CC1">
        <w:t>R</w:t>
      </w:r>
      <w:r w:rsidRPr="004D2CC1">
        <w:t xml:space="preserve">egion’s economy diversifies, there may be changes in the </w:t>
      </w:r>
      <w:r w:rsidR="00A11AF2" w:rsidRPr="004D2CC1">
        <w:t xml:space="preserve">mix of </w:t>
      </w:r>
      <w:r w:rsidRPr="004D2CC1">
        <w:t>commodities being</w:t>
      </w:r>
      <w:r w:rsidR="00A11AF2" w:rsidRPr="004D2CC1">
        <w:t xml:space="preserve"> transported</w:t>
      </w:r>
      <w:r w:rsidRPr="004D2CC1">
        <w:t>. It will be important to u</w:t>
      </w:r>
      <w:r w:rsidR="00E50D3C" w:rsidRPr="004D2CC1">
        <w:t>nderstand</w:t>
      </w:r>
      <w:r w:rsidRPr="004D2CC1">
        <w:t xml:space="preserve"> the impact of such changes </w:t>
      </w:r>
      <w:r w:rsidR="00050C41" w:rsidRPr="004D2CC1">
        <w:t>on freight</w:t>
      </w:r>
      <w:r w:rsidR="00E50D3C" w:rsidRPr="004D2CC1">
        <w:t xml:space="preserve"> movements and relationships. </w:t>
      </w:r>
      <w:r w:rsidRPr="004D2CC1">
        <w:t>K</w:t>
      </w:r>
      <w:r w:rsidR="00E50D3C" w:rsidRPr="004D2CC1">
        <w:t xml:space="preserve">ey transport spines and associated infrastructure such as freight facilities will require good connections not only </w:t>
      </w:r>
      <w:r w:rsidR="008A36D8" w:rsidRPr="004D2CC1">
        <w:t xml:space="preserve">to </w:t>
      </w:r>
      <w:r w:rsidR="00E50D3C" w:rsidRPr="004D2CC1">
        <w:t>Melbourne</w:t>
      </w:r>
      <w:r w:rsidR="001404CC">
        <w:t>,</w:t>
      </w:r>
      <w:r w:rsidR="00E50D3C" w:rsidRPr="004D2CC1">
        <w:t xml:space="preserve"> but </w:t>
      </w:r>
      <w:r w:rsidR="008A36D8" w:rsidRPr="004D2CC1">
        <w:t xml:space="preserve">to </w:t>
      </w:r>
      <w:r w:rsidR="00E50D3C" w:rsidRPr="004D2CC1">
        <w:t xml:space="preserve">other parts of the </w:t>
      </w:r>
      <w:r w:rsidR="008A36D8" w:rsidRPr="004D2CC1">
        <w:t>s</w:t>
      </w:r>
      <w:r w:rsidR="00E50D3C" w:rsidRPr="004D2CC1">
        <w:t>tate and interstate in order to provide efficient and effective freight movements to ports, airports and markets.</w:t>
      </w:r>
    </w:p>
    <w:p w:rsidR="006806F8" w:rsidRPr="004D2CC1" w:rsidRDefault="006806F8" w:rsidP="004D2CC1">
      <w:pPr>
        <w:pStyle w:val="bt"/>
      </w:pPr>
      <w:r w:rsidRPr="004D2CC1">
        <w:t>Internal freight movements are also critical in the supply chain and logistics network, particularly considering:</w:t>
      </w:r>
    </w:p>
    <w:p w:rsidR="007A28AE" w:rsidRDefault="006806F8" w:rsidP="00411B44">
      <w:pPr>
        <w:pStyle w:val="btbullet"/>
      </w:pPr>
      <w:r>
        <w:t xml:space="preserve">the number of transport operators and logistics and warehousing providers in parts of the </w:t>
      </w:r>
      <w:r w:rsidR="008A36D8">
        <w:t xml:space="preserve">Hume </w:t>
      </w:r>
      <w:r w:rsidR="0081326C">
        <w:t>R</w:t>
      </w:r>
      <w:r>
        <w:t xml:space="preserve">egion, particularly the Goulburn Valley and Upper Hume </w:t>
      </w:r>
      <w:r w:rsidR="00112C95">
        <w:t>sub-region</w:t>
      </w:r>
      <w:r>
        <w:t>s</w:t>
      </w:r>
    </w:p>
    <w:p w:rsidR="007A28AE" w:rsidRDefault="006806F8" w:rsidP="00411B44">
      <w:pPr>
        <w:pStyle w:val="btbullet"/>
      </w:pPr>
      <w:r>
        <w:t>major points for freight agglomeration in the region, such as Greater Shepparton and Albury-Wodonga, exporting nationally significant products</w:t>
      </w:r>
    </w:p>
    <w:p w:rsidR="007A28AE" w:rsidRDefault="006806F8" w:rsidP="00411B44">
      <w:pPr>
        <w:pStyle w:val="btbullet"/>
      </w:pPr>
      <w:r>
        <w:t xml:space="preserve">Shepparton is a catchment area for </w:t>
      </w:r>
      <w:r w:rsidR="000B25DA">
        <w:t xml:space="preserve">freight from </w:t>
      </w:r>
      <w:r w:rsidR="009D3AB4">
        <w:t xml:space="preserve">the national </w:t>
      </w:r>
      <w:r w:rsidR="001404CC">
        <w:t>food bowl</w:t>
      </w:r>
    </w:p>
    <w:p w:rsidR="00276723" w:rsidRDefault="006806F8" w:rsidP="009D1249">
      <w:pPr>
        <w:pStyle w:val="btbullet"/>
      </w:pPr>
      <w:proofErr w:type="gramStart"/>
      <w:r>
        <w:lastRenderedPageBreak/>
        <w:t>manufacturing</w:t>
      </w:r>
      <w:proofErr w:type="gramEnd"/>
      <w:r>
        <w:t xml:space="preserve"> and production sites are scattered across the region particularly in the Goulburn Valley (including Campaspe) generating two</w:t>
      </w:r>
      <w:r w:rsidR="008A36D8">
        <w:t>-</w:t>
      </w:r>
      <w:r>
        <w:t>way freight movements on local roads.</w:t>
      </w:r>
      <w:bookmarkStart w:id="95" w:name="_Ref374356903"/>
      <w:bookmarkStart w:id="96" w:name="_Ref341185176"/>
      <w:bookmarkStart w:id="97" w:name="_Toc374434714"/>
    </w:p>
    <w:p w:rsidR="007E75BB" w:rsidRPr="00276723" w:rsidRDefault="009D1249" w:rsidP="00276723">
      <w:pPr>
        <w:pStyle w:val="bt"/>
      </w:pPr>
      <w:r w:rsidRPr="00276723">
        <w:t xml:space="preserve">Map </w:t>
      </w:r>
      <w:bookmarkEnd w:id="95"/>
      <w:r w:rsidR="00AF799A">
        <w:t>17</w:t>
      </w:r>
      <w:r w:rsidR="00276723" w:rsidRPr="00276723">
        <w:t xml:space="preserve"> </w:t>
      </w:r>
      <w:r w:rsidR="00276723">
        <w:t>is located here in the document and it shows -</w:t>
      </w:r>
      <w:r w:rsidR="00BD7B1F" w:rsidRPr="00276723">
        <w:t xml:space="preserve"> Future directions for transport</w:t>
      </w:r>
      <w:bookmarkEnd w:id="96"/>
      <w:bookmarkEnd w:id="97"/>
    </w:p>
    <w:p w:rsidR="00A86311" w:rsidRPr="004D2CC1" w:rsidRDefault="00A86311" w:rsidP="004D2CC1">
      <w:pPr>
        <w:pStyle w:val="bt"/>
      </w:pPr>
      <w:r w:rsidRPr="004D2CC1">
        <w:t>The contribution of local roads to the success of broader supply chains, and the impact of freight movements on these roads, will need further consideration, particularly in areas such as the Goulburn Valley where transport activities are established in an ad hoc manner using existing on-farm packing sheds and cool stores.</w:t>
      </w:r>
    </w:p>
    <w:p w:rsidR="00A86311" w:rsidRPr="004D2CC1" w:rsidRDefault="00A86311" w:rsidP="004D2CC1">
      <w:pPr>
        <w:pStyle w:val="bt"/>
      </w:pPr>
      <w:r w:rsidRPr="004D2CC1">
        <w:t>Opportunities for developing efficient supply chains include:</w:t>
      </w:r>
    </w:p>
    <w:p w:rsidR="00A86311" w:rsidRPr="00EE492B" w:rsidRDefault="00A86311" w:rsidP="00EE492B">
      <w:pPr>
        <w:pStyle w:val="btbullet"/>
      </w:pPr>
      <w:r w:rsidRPr="00EE492B">
        <w:t xml:space="preserve">understanding relationships, movements and modes </w:t>
      </w:r>
      <w:r w:rsidR="007C4B8F" w:rsidRPr="00EE492B">
        <w:t>between the production location</w:t>
      </w:r>
      <w:r w:rsidR="008328FB" w:rsidRPr="00EE492B">
        <w:t>,</w:t>
      </w:r>
      <w:r w:rsidR="007C4B8F" w:rsidRPr="00EE492B">
        <w:t xml:space="preserve"> </w:t>
      </w:r>
      <w:r w:rsidRPr="00EE492B">
        <w:t>markets, distribution centres and gateways</w:t>
      </w:r>
      <w:r w:rsidR="007C4B8F" w:rsidRPr="00EE492B">
        <w:t xml:space="preserve"> for various commodities such as extractive industries and agricultural products</w:t>
      </w:r>
    </w:p>
    <w:p w:rsidR="00A86311" w:rsidRPr="00EE492B" w:rsidRDefault="00A86311" w:rsidP="00EE492B">
      <w:pPr>
        <w:pStyle w:val="btbullet"/>
      </w:pPr>
      <w:proofErr w:type="gramStart"/>
      <w:r w:rsidRPr="00EE492B">
        <w:t>technological</w:t>
      </w:r>
      <w:proofErr w:type="gramEnd"/>
      <w:r w:rsidRPr="00EE492B">
        <w:t xml:space="preserve"> advancements.</w:t>
      </w:r>
    </w:p>
    <w:p w:rsidR="00A86311" w:rsidRDefault="00AF799A" w:rsidP="004D2CC1">
      <w:pPr>
        <w:pStyle w:val="bt"/>
        <w:rPr>
          <w:b/>
        </w:rPr>
      </w:pPr>
      <w:r>
        <w:t xml:space="preserve">Map 17 </w:t>
      </w:r>
      <w:r w:rsidR="00A86311" w:rsidRPr="00F32A1B">
        <w:t>shows relevant</w:t>
      </w:r>
      <w:r w:rsidR="00A86311" w:rsidRPr="00440E5F">
        <w:t xml:space="preserve"> future direct</w:t>
      </w:r>
      <w:r w:rsidR="00F271A1">
        <w:t>ions in a spatial context.</w:t>
      </w:r>
    </w:p>
    <w:p w:rsidR="00720B41" w:rsidRPr="004D2CC1" w:rsidRDefault="00720B41" w:rsidP="004D2CC1">
      <w:pPr>
        <w:pStyle w:val="Heading2"/>
      </w:pPr>
      <w:bookmarkStart w:id="98" w:name="_Toc376945602"/>
      <w:r w:rsidRPr="004D2CC1">
        <w:t xml:space="preserve">Social </w:t>
      </w:r>
      <w:r w:rsidR="006B6B57" w:rsidRPr="004D2CC1">
        <w:t>i</w:t>
      </w:r>
      <w:r w:rsidRPr="004D2CC1">
        <w:t>nfrastructure</w:t>
      </w:r>
      <w:bookmarkEnd w:id="98"/>
    </w:p>
    <w:p w:rsidR="00F02950" w:rsidRDefault="00F02950" w:rsidP="00F02950">
      <w:pPr>
        <w:pStyle w:val="Heading3"/>
      </w:pPr>
      <w:r>
        <w:t>Statewide context</w:t>
      </w:r>
    </w:p>
    <w:p w:rsidR="00F02950" w:rsidRDefault="00F02950" w:rsidP="00F02950">
      <w:pPr>
        <w:pStyle w:val="bt"/>
      </w:pPr>
      <w:r>
        <w:t>Social infrastructure</w:t>
      </w:r>
      <w:r w:rsidRPr="00FE781E">
        <w:t xml:space="preserve"> includes community facilities, services and networks that help communities meet their social needs and maximise their potential wellbeing, such as sports and recreation facilities, schools and hospitals.</w:t>
      </w:r>
    </w:p>
    <w:p w:rsidR="00F02950" w:rsidRPr="004D2CC1" w:rsidRDefault="00F02950" w:rsidP="00F02950">
      <w:pPr>
        <w:pStyle w:val="bt"/>
      </w:pPr>
      <w:r w:rsidRPr="004D2CC1">
        <w:t xml:space="preserve">Social services </w:t>
      </w:r>
      <w:r w:rsidR="00534F94">
        <w:t>that</w:t>
      </w:r>
      <w:r w:rsidR="00534F94" w:rsidRPr="004D2CC1">
        <w:t xml:space="preserve"> </w:t>
      </w:r>
      <w:r w:rsidRPr="004D2CC1">
        <w:t>support regional and rural communities should be provided in an equitable way so that communities have access to the servic</w:t>
      </w:r>
      <w:r>
        <w:t xml:space="preserve">es </w:t>
      </w:r>
      <w:r w:rsidR="00EB6469">
        <w:t xml:space="preserve">and infrastructure </w:t>
      </w:r>
      <w:r>
        <w:t>they need</w:t>
      </w:r>
      <w:r w:rsidR="00EB6469">
        <w:t>, thereby supporting healthy communities</w:t>
      </w:r>
      <w:r w:rsidRPr="004D2CC1">
        <w:t xml:space="preserve">. The delivery of services </w:t>
      </w:r>
      <w:r w:rsidR="00225963">
        <w:t>should aim to match</w:t>
      </w:r>
      <w:r w:rsidRPr="004D2CC1">
        <w:t xml:space="preserve"> both the location and time sequence of development and population growth. The broad settlement pattern should also provide for community recreation and leisure activities that support protection of valued landscapes and recreation assets at the regional scale.</w:t>
      </w:r>
    </w:p>
    <w:p w:rsidR="00F02950" w:rsidRDefault="00F02950" w:rsidP="00F02950">
      <w:pPr>
        <w:pStyle w:val="bt"/>
      </w:pPr>
      <w:r>
        <w:t>To support</w:t>
      </w:r>
      <w:r w:rsidRPr="004D2CC1">
        <w:t xml:space="preserve"> expected future growth</w:t>
      </w:r>
      <w:r>
        <w:t>,</w:t>
      </w:r>
      <w:r w:rsidRPr="004D2CC1">
        <w:t xml:space="preserve"> </w:t>
      </w:r>
      <w:r>
        <w:t>t</w:t>
      </w:r>
      <w:r w:rsidRPr="004D2CC1">
        <w:t>here is a need to</w:t>
      </w:r>
      <w:r w:rsidRPr="00FE781E">
        <w:t xml:space="preserve"> </w:t>
      </w:r>
      <w:r>
        <w:t>maximise the use of existing infrastructure,</w:t>
      </w:r>
      <w:r w:rsidRPr="004D2CC1">
        <w:t xml:space="preserve"> plan the delivery of </w:t>
      </w:r>
      <w:r>
        <w:t>new social infrastructure and</w:t>
      </w:r>
      <w:r w:rsidRPr="004D2CC1">
        <w:t xml:space="preserve"> consider existing capacity issues.</w:t>
      </w:r>
    </w:p>
    <w:p w:rsidR="00F02950" w:rsidRDefault="00F02950" w:rsidP="00F02950">
      <w:pPr>
        <w:pStyle w:val="Heading3"/>
      </w:pPr>
      <w:r>
        <w:t>Regional context</w:t>
      </w:r>
    </w:p>
    <w:p w:rsidR="00F02950" w:rsidRDefault="00225963" w:rsidP="00F02950">
      <w:pPr>
        <w:pStyle w:val="bt"/>
      </w:pPr>
      <w:r w:rsidRPr="00225963">
        <w:t xml:space="preserve">Social infrastructure is broadly available across the region with higher order facilities and services </w:t>
      </w:r>
      <w:r w:rsidR="00F02950">
        <w:t>concentrated in regional cities and centres</w:t>
      </w:r>
      <w:r w:rsidR="00BA5971">
        <w:t xml:space="preserve"> and</w:t>
      </w:r>
      <w:r w:rsidR="00F02950">
        <w:t xml:space="preserve"> some higher order services provided in Melbourne. The region is well supplied with health services, including two designated regional health services at Albury-Wodonga and Shepparton</w:t>
      </w:r>
      <w:r w:rsidR="00BE3C71">
        <w:t xml:space="preserve"> and a </w:t>
      </w:r>
      <w:r w:rsidR="00534F94">
        <w:t>sub-</w:t>
      </w:r>
      <w:r w:rsidR="00BE3C71">
        <w:t>regional service at Wangaratta</w:t>
      </w:r>
      <w:r w:rsidR="00F02950">
        <w:t xml:space="preserve">. </w:t>
      </w:r>
      <w:r w:rsidR="002B456D">
        <w:t>The a</w:t>
      </w:r>
      <w:r w:rsidR="00F02950">
        <w:t xml:space="preserve">ccessibility of health services may </w:t>
      </w:r>
      <w:r w:rsidR="002B456D">
        <w:t>need further c</w:t>
      </w:r>
      <w:r w:rsidR="004D2A02">
        <w:t>o</w:t>
      </w:r>
      <w:r w:rsidR="002B456D">
        <w:t>nsideration</w:t>
      </w:r>
      <w:r w:rsidR="00F02950">
        <w:t>. A full range of educational facilities is available in the region including public and private schools, TAFEs and university campuses in Shepparton and Wodonga.</w:t>
      </w:r>
    </w:p>
    <w:p w:rsidR="00F02950" w:rsidRDefault="00F02950" w:rsidP="00F02950">
      <w:pPr>
        <w:pStyle w:val="bt"/>
      </w:pPr>
      <w:r>
        <w:t xml:space="preserve">Other facilities are available in the region, particularly in larger townships such as Shepparton, Wodonga, Wangaratta and Benalla. These facilities include regional </w:t>
      </w:r>
      <w:r w:rsidRPr="00670602">
        <w:t>justice, sport and recreation facilities</w:t>
      </w:r>
      <w:r>
        <w:t xml:space="preserve"> and performance venues.</w:t>
      </w:r>
    </w:p>
    <w:p w:rsidR="00F02950" w:rsidRDefault="00F02950" w:rsidP="00F02950">
      <w:pPr>
        <w:pStyle w:val="bt"/>
      </w:pPr>
      <w:r>
        <w:t xml:space="preserve">To </w:t>
      </w:r>
      <w:r w:rsidRPr="00670602">
        <w:t>support the needs of regional communities</w:t>
      </w:r>
      <w:r>
        <w:t>,</w:t>
      </w:r>
      <w:r w:rsidRPr="00670602">
        <w:t xml:space="preserve"> </w:t>
      </w:r>
      <w:r>
        <w:t>f</w:t>
      </w:r>
      <w:r w:rsidRPr="00670602">
        <w:t>urther planning is needed for new and upgraded social infrastructure</w:t>
      </w:r>
      <w:r>
        <w:t>.</w:t>
      </w:r>
    </w:p>
    <w:p w:rsidR="00141DCA" w:rsidRDefault="00141DCA" w:rsidP="008E2381">
      <w:pPr>
        <w:pStyle w:val="Heading3-list"/>
        <w:numPr>
          <w:ilvl w:val="0"/>
          <w:numId w:val="31"/>
        </w:numPr>
        <w:ind w:left="426"/>
      </w:pPr>
      <w:r w:rsidRPr="00141DCA">
        <w:t>Provide equitable, integrated and accessible social infrastructure</w:t>
      </w:r>
    </w:p>
    <w:p w:rsidR="00720B41" w:rsidRDefault="00720B41" w:rsidP="004D2CC1">
      <w:pPr>
        <w:pStyle w:val="bt"/>
      </w:pPr>
      <w:r w:rsidRPr="004D2CC1">
        <w:lastRenderedPageBreak/>
        <w:t>Future challenges for the provision of social infrastructure include:</w:t>
      </w:r>
    </w:p>
    <w:p w:rsidR="00A313A8" w:rsidRPr="00966F98" w:rsidRDefault="00A313A8" w:rsidP="00A313A8">
      <w:pPr>
        <w:pStyle w:val="bt"/>
        <w:ind w:firstLine="349"/>
        <w:rPr>
          <w:rStyle w:val="Strong"/>
        </w:rPr>
      </w:pPr>
      <w:r w:rsidRPr="00966F98">
        <w:rPr>
          <w:rStyle w:val="Strong"/>
        </w:rPr>
        <w:t>Social services and facilities</w:t>
      </w:r>
    </w:p>
    <w:p w:rsidR="009A1D70" w:rsidRDefault="009A1D70" w:rsidP="00411B44">
      <w:pPr>
        <w:pStyle w:val="btbullet"/>
      </w:pPr>
      <w:r>
        <w:t>providing social services and facilities that are comparable to other regions, particularly in regional cit</w:t>
      </w:r>
      <w:r w:rsidR="009D3AB4">
        <w:t>i</w:t>
      </w:r>
      <w:r>
        <w:t>es</w:t>
      </w:r>
    </w:p>
    <w:p w:rsidR="00720B41" w:rsidRDefault="00720B41" w:rsidP="00411B44">
      <w:pPr>
        <w:pStyle w:val="btbullet"/>
      </w:pPr>
      <w:r w:rsidRPr="00A25511">
        <w:t xml:space="preserve">demand for facilities and services </w:t>
      </w:r>
      <w:r w:rsidR="00E2753A">
        <w:t>considering inequalities in health status and behaviours in the Hume Region, such as a significant older population, low education attainment levels, poor access to public transport, high unemployment rates and high levels of obesity and alcohol consumption</w:t>
      </w:r>
    </w:p>
    <w:p w:rsidR="00A313A8" w:rsidRPr="007563A9" w:rsidRDefault="00A313A8" w:rsidP="00411B44">
      <w:pPr>
        <w:pStyle w:val="btbullet"/>
      </w:pPr>
      <w:r>
        <w:t xml:space="preserve">the need to create efficiencies in social infrastructure provision and capitalise on synergies between </w:t>
      </w:r>
      <w:r w:rsidRPr="007563A9">
        <w:t xml:space="preserve">services at a regional and </w:t>
      </w:r>
      <w:r>
        <w:t>sub-region</w:t>
      </w:r>
      <w:r w:rsidRPr="007563A9">
        <w:t>al scale</w:t>
      </w:r>
    </w:p>
    <w:p w:rsidR="00A313A8" w:rsidRDefault="00A313A8" w:rsidP="00411B44">
      <w:pPr>
        <w:pStyle w:val="btbullet"/>
      </w:pPr>
      <w:r w:rsidRPr="007563A9">
        <w:t>the need to improve responsiveness in the location (including co-location), design and scope of facilities and services</w:t>
      </w:r>
    </w:p>
    <w:p w:rsidR="00A313A8" w:rsidRPr="00411B44" w:rsidRDefault="00A313A8" w:rsidP="00A313A8">
      <w:pPr>
        <w:pStyle w:val="ListBullet"/>
        <w:numPr>
          <w:ilvl w:val="0"/>
          <w:numId w:val="0"/>
        </w:numPr>
        <w:ind w:left="349"/>
        <w:rPr>
          <w:rStyle w:val="Strong"/>
        </w:rPr>
      </w:pPr>
      <w:r w:rsidRPr="00411B44">
        <w:rPr>
          <w:rStyle w:val="Strong"/>
        </w:rPr>
        <w:t>Housing</w:t>
      </w:r>
    </w:p>
    <w:p w:rsidR="00E2753A" w:rsidRDefault="00A034AB" w:rsidP="00411B44">
      <w:pPr>
        <w:pStyle w:val="btbullet"/>
      </w:pPr>
      <w:r>
        <w:t>providing</w:t>
      </w:r>
      <w:r w:rsidR="00720B41" w:rsidRPr="00A25511">
        <w:t xml:space="preserve"> </w:t>
      </w:r>
      <w:r w:rsidR="00E2753A">
        <w:t>a more diverse</w:t>
      </w:r>
      <w:r w:rsidR="00720B41" w:rsidRPr="00A25511">
        <w:t xml:space="preserve"> mix of housing types</w:t>
      </w:r>
      <w:r w:rsidR="00E2753A">
        <w:t xml:space="preserve"> throughout the region</w:t>
      </w:r>
      <w:r w:rsidR="00A313A8">
        <w:t>, including social and affordable housing</w:t>
      </w:r>
    </w:p>
    <w:p w:rsidR="00720B41" w:rsidRDefault="00E2753A" w:rsidP="00411B44">
      <w:pPr>
        <w:pStyle w:val="btbullet"/>
      </w:pPr>
      <w:r>
        <w:t>mixed density housing not located near community and commercial centres or near public transport routes</w:t>
      </w:r>
    </w:p>
    <w:p w:rsidR="00CB3E41" w:rsidRPr="00411B44" w:rsidRDefault="00CB3E41" w:rsidP="00CB3E41">
      <w:pPr>
        <w:pStyle w:val="ListBullet"/>
        <w:numPr>
          <w:ilvl w:val="0"/>
          <w:numId w:val="0"/>
        </w:numPr>
        <w:ind w:left="349"/>
        <w:rPr>
          <w:rStyle w:val="Strong"/>
        </w:rPr>
      </w:pPr>
      <w:r w:rsidRPr="00411B44">
        <w:rPr>
          <w:rStyle w:val="Strong"/>
        </w:rPr>
        <w:t>Built environment</w:t>
      </w:r>
    </w:p>
    <w:p w:rsidR="00CB3E41" w:rsidRDefault="002B456D" w:rsidP="007764A3">
      <w:pPr>
        <w:pStyle w:val="btbullet"/>
      </w:pPr>
      <w:r>
        <w:t>providing</w:t>
      </w:r>
      <w:r w:rsidR="00CB3E41">
        <w:t xml:space="preserve"> land for future service provision</w:t>
      </w:r>
    </w:p>
    <w:p w:rsidR="00CB3E41" w:rsidRPr="00A25511" w:rsidRDefault="00CB3E41" w:rsidP="007764A3">
      <w:pPr>
        <w:pStyle w:val="btbullet"/>
      </w:pPr>
      <w:proofErr w:type="gramStart"/>
      <w:r>
        <w:t>the</w:t>
      </w:r>
      <w:proofErr w:type="gramEnd"/>
      <w:r>
        <w:t xml:space="preserve"> need to ensure that the built environment is planned to encourage greater health outcomes such as increased opportunities for physical activity</w:t>
      </w:r>
      <w:r w:rsidR="007764A3">
        <w:t>.</w:t>
      </w:r>
    </w:p>
    <w:p w:rsidR="007A28AE" w:rsidRPr="004D2CC1" w:rsidRDefault="00714875" w:rsidP="004D2CC1">
      <w:pPr>
        <w:pStyle w:val="bt"/>
      </w:pPr>
      <w:r w:rsidRPr="004D2CC1">
        <w:t>Opportunities for providing equitable, integrated and accessible social infrastructure include:</w:t>
      </w:r>
    </w:p>
    <w:p w:rsidR="007A28AE" w:rsidRPr="007563A9" w:rsidRDefault="00714875" w:rsidP="007764A3">
      <w:pPr>
        <w:pStyle w:val="btbullet"/>
      </w:pPr>
      <w:r w:rsidRPr="007563A9">
        <w:t xml:space="preserve">encouraging service providers to coordinate the provision of facilities and services that deliver efficiencies and synergies at a regional and </w:t>
      </w:r>
      <w:r w:rsidR="00112C95">
        <w:t>sub-region</w:t>
      </w:r>
      <w:r w:rsidRPr="007563A9">
        <w:t>al scale</w:t>
      </w:r>
    </w:p>
    <w:p w:rsidR="007A28AE" w:rsidRPr="007563A9" w:rsidRDefault="00714875" w:rsidP="007764A3">
      <w:pPr>
        <w:pStyle w:val="btbullet"/>
      </w:pPr>
      <w:r w:rsidRPr="007563A9">
        <w:t>improving access to services by ensuring social infrastructure is prioritised and provided in an equitable and integrated fashion, and provided in readily accessible locations</w:t>
      </w:r>
    </w:p>
    <w:p w:rsidR="007A28AE" w:rsidRDefault="00714875" w:rsidP="007764A3">
      <w:pPr>
        <w:pStyle w:val="btbullet"/>
      </w:pPr>
      <w:r w:rsidRPr="007563A9">
        <w:t xml:space="preserve">providing community facilities that are designed to meet local needs and are inclusive, accessible and culturally appropriate to build community connections </w:t>
      </w:r>
    </w:p>
    <w:p w:rsidR="00CB3E41" w:rsidRPr="007563A9" w:rsidRDefault="00CB3E41" w:rsidP="007764A3">
      <w:pPr>
        <w:pStyle w:val="btbullet"/>
      </w:pPr>
      <w:r>
        <w:t xml:space="preserve">ongoing review </w:t>
      </w:r>
      <w:r w:rsidR="00BA5971">
        <w:t>considering</w:t>
      </w:r>
      <w:r w:rsidR="00F77D77">
        <w:t xml:space="preserve"> the </w:t>
      </w:r>
      <w:r>
        <w:t xml:space="preserve">social determinants </w:t>
      </w:r>
      <w:r w:rsidR="00F77D77">
        <w:t xml:space="preserve">of health </w:t>
      </w:r>
      <w:r>
        <w:t>to help ensure the provision of social infrastructure and services</w:t>
      </w:r>
      <w:r w:rsidR="00A82085">
        <w:t xml:space="preserve"> meet the changing demands of communities</w:t>
      </w:r>
    </w:p>
    <w:p w:rsidR="00E229BE" w:rsidRDefault="00714875" w:rsidP="007764A3">
      <w:pPr>
        <w:pStyle w:val="btbullet"/>
      </w:pPr>
      <w:proofErr w:type="gramStart"/>
      <w:r w:rsidRPr="007563A9">
        <w:t>embracing</w:t>
      </w:r>
      <w:proofErr w:type="gramEnd"/>
      <w:r w:rsidRPr="007563A9">
        <w:t xml:space="preserve"> improvements in technology </w:t>
      </w:r>
      <w:r w:rsidR="00DD6A69">
        <w:t xml:space="preserve">to </w:t>
      </w:r>
      <w:r w:rsidRPr="007563A9">
        <w:t xml:space="preserve">help improve access to services and allow people to age </w:t>
      </w:r>
      <w:r w:rsidR="00441A99">
        <w:t>where they reside</w:t>
      </w:r>
      <w:r w:rsidRPr="007563A9">
        <w:t xml:space="preserve">. </w:t>
      </w:r>
    </w:p>
    <w:p w:rsidR="00B310B1" w:rsidRPr="004D2CC1" w:rsidRDefault="00D55A91" w:rsidP="004D2CC1">
      <w:pPr>
        <w:pStyle w:val="bt"/>
      </w:pPr>
      <w:r w:rsidRPr="004D2CC1">
        <w:t xml:space="preserve">Areas of priority for health services </w:t>
      </w:r>
      <w:r w:rsidR="00AA31ED" w:rsidRPr="004D2CC1">
        <w:t xml:space="preserve">in the region </w:t>
      </w:r>
      <w:r w:rsidRPr="004D2CC1">
        <w:t>include</w:t>
      </w:r>
      <w:r w:rsidR="00AA31ED" w:rsidRPr="004D2CC1">
        <w:t>:</w:t>
      </w:r>
    </w:p>
    <w:p w:rsidR="00B310B1" w:rsidRDefault="00D55A91" w:rsidP="007764A3">
      <w:pPr>
        <w:pStyle w:val="btbullet"/>
      </w:pPr>
      <w:r w:rsidRPr="007563A9">
        <w:t xml:space="preserve">infrastructure to support growth in Mitchell Shire </w:t>
      </w:r>
    </w:p>
    <w:p w:rsidR="00B310B1" w:rsidRDefault="00D55A91" w:rsidP="007764A3">
      <w:pPr>
        <w:pStyle w:val="btbullet"/>
      </w:pPr>
      <w:r w:rsidRPr="007563A9">
        <w:t>supporting the role</w:t>
      </w:r>
      <w:r w:rsidR="00AA31ED">
        <w:t xml:space="preserve"> of </w:t>
      </w:r>
      <w:r w:rsidRPr="007563A9">
        <w:t>Goulburn Valley</w:t>
      </w:r>
      <w:r w:rsidR="00AA31ED">
        <w:t xml:space="preserve"> Health</w:t>
      </w:r>
      <w:r w:rsidR="00BE3C71">
        <w:t xml:space="preserve"> and</w:t>
      </w:r>
      <w:r w:rsidRPr="007563A9">
        <w:t xml:space="preserve"> Albury Wodonga</w:t>
      </w:r>
      <w:r w:rsidR="00AA31ED">
        <w:t xml:space="preserve"> Health</w:t>
      </w:r>
      <w:r w:rsidR="00BE3C71">
        <w:t xml:space="preserve"> as regional health services and the role of</w:t>
      </w:r>
      <w:r w:rsidR="00AA31ED" w:rsidRPr="00AA31ED">
        <w:t xml:space="preserve"> North East Health Wangaratta</w:t>
      </w:r>
      <w:r w:rsidRPr="007563A9">
        <w:t xml:space="preserve"> </w:t>
      </w:r>
      <w:r w:rsidR="00AA31ED">
        <w:t xml:space="preserve">as </w:t>
      </w:r>
      <w:r w:rsidR="00BE3C71">
        <w:t xml:space="preserve">a </w:t>
      </w:r>
      <w:r w:rsidR="00E846F9">
        <w:t>sub-</w:t>
      </w:r>
      <w:r w:rsidR="00BE3C71">
        <w:t>regional health service</w:t>
      </w:r>
    </w:p>
    <w:p w:rsidR="00AF1A24" w:rsidRDefault="00D55A91" w:rsidP="007764A3">
      <w:pPr>
        <w:pStyle w:val="btbullet"/>
      </w:pPr>
      <w:proofErr w:type="gramStart"/>
      <w:r w:rsidRPr="007563A9">
        <w:t>responding</w:t>
      </w:r>
      <w:proofErr w:type="gramEnd"/>
      <w:r w:rsidRPr="007563A9">
        <w:t xml:space="preserve"> to the needs of an ageing population by providing appropriate aged care facilities.</w:t>
      </w:r>
    </w:p>
    <w:p w:rsidR="00141DCA" w:rsidRPr="0027751F" w:rsidRDefault="00141DCA" w:rsidP="0027751F">
      <w:pPr>
        <w:pStyle w:val="Heading3-list"/>
        <w:ind w:left="426"/>
      </w:pPr>
      <w:r w:rsidRPr="0027751F">
        <w:t xml:space="preserve">Support improved access to a range of education opportunities </w:t>
      </w:r>
    </w:p>
    <w:p w:rsidR="00720B41" w:rsidRPr="004D2CC1" w:rsidRDefault="00720B41" w:rsidP="004D2CC1">
      <w:pPr>
        <w:pStyle w:val="bt"/>
      </w:pPr>
      <w:r w:rsidRPr="004D2CC1">
        <w:t>Almost all personal, social and economic benefits such as income, employment, longevity and health correlate strongly with education attainment levels. Lifelong learning, education</w:t>
      </w:r>
      <w:r w:rsidR="00D050B9" w:rsidRPr="004D2CC1">
        <w:t xml:space="preserve"> (including tertiary education)</w:t>
      </w:r>
      <w:r w:rsidRPr="004D2CC1">
        <w:t xml:space="preserve"> and skills development </w:t>
      </w:r>
      <w:r w:rsidR="004E23AF">
        <w:t>are</w:t>
      </w:r>
      <w:r w:rsidRPr="004D2CC1">
        <w:t xml:space="preserve"> important at all ages </w:t>
      </w:r>
      <w:r w:rsidR="00135D9A">
        <w:t>and</w:t>
      </w:r>
      <w:r w:rsidR="00441A99" w:rsidRPr="004D2CC1">
        <w:t xml:space="preserve"> </w:t>
      </w:r>
      <w:r w:rsidRPr="004D2CC1">
        <w:t>build a diverse and resilient community and economy.</w:t>
      </w:r>
      <w:r w:rsidR="009D3AB4" w:rsidRPr="004D2CC1">
        <w:t xml:space="preserve"> </w:t>
      </w:r>
      <w:r w:rsidR="00A034AB" w:rsidRPr="004D2CC1">
        <w:t xml:space="preserve">Increasing </w:t>
      </w:r>
      <w:r w:rsidR="009D3AB4" w:rsidRPr="004D2CC1">
        <w:t xml:space="preserve">the </w:t>
      </w:r>
      <w:r w:rsidRPr="004D2CC1">
        <w:t xml:space="preserve">provision </w:t>
      </w:r>
      <w:proofErr w:type="gramStart"/>
      <w:r w:rsidRPr="004D2CC1">
        <w:t>of</w:t>
      </w:r>
      <w:r w:rsidR="00DD6A69" w:rsidRPr="004D2CC1">
        <w:t>,</w:t>
      </w:r>
      <w:proofErr w:type="gramEnd"/>
      <w:r w:rsidRPr="004D2CC1">
        <w:t xml:space="preserve"> and improv</w:t>
      </w:r>
      <w:r w:rsidR="00A034AB" w:rsidRPr="004D2CC1">
        <w:t xml:space="preserve">ing </w:t>
      </w:r>
      <w:r w:rsidRPr="004D2CC1">
        <w:t>access to</w:t>
      </w:r>
      <w:r w:rsidR="00DD6A69" w:rsidRPr="004D2CC1">
        <w:t>,</w:t>
      </w:r>
      <w:r w:rsidRPr="004D2CC1">
        <w:t xml:space="preserve"> a range of educational opportunities </w:t>
      </w:r>
      <w:r w:rsidR="00A034AB" w:rsidRPr="004D2CC1">
        <w:t xml:space="preserve">will </w:t>
      </w:r>
      <w:r w:rsidRPr="004D2CC1">
        <w:t xml:space="preserve">enhance the region’s </w:t>
      </w:r>
      <w:r w:rsidRPr="004D2CC1">
        <w:lastRenderedPageBreak/>
        <w:t>education outcomes and contribute to retain</w:t>
      </w:r>
      <w:r w:rsidR="00A034AB" w:rsidRPr="004D2CC1">
        <w:t>ing</w:t>
      </w:r>
      <w:r w:rsidRPr="004D2CC1">
        <w:t xml:space="preserve"> and attract</w:t>
      </w:r>
      <w:r w:rsidR="00A034AB" w:rsidRPr="004D2CC1">
        <w:t>ing</w:t>
      </w:r>
      <w:r w:rsidRPr="004D2CC1">
        <w:t xml:space="preserve"> </w:t>
      </w:r>
      <w:r w:rsidR="00A034AB" w:rsidRPr="004D2CC1">
        <w:t>young people</w:t>
      </w:r>
      <w:r w:rsidRPr="004D2CC1">
        <w:t xml:space="preserve">. </w:t>
      </w:r>
      <w:r w:rsidR="00BE0B77">
        <w:t>Partnerships to help e</w:t>
      </w:r>
      <w:r w:rsidR="00126B13">
        <w:t>nsure</w:t>
      </w:r>
      <w:r w:rsidR="00A82085">
        <w:t xml:space="preserve"> courses offered contribute toward</w:t>
      </w:r>
      <w:r w:rsidR="00E846F9">
        <w:t>s</w:t>
      </w:r>
      <w:r w:rsidR="00A82085">
        <w:t xml:space="preserve"> meeting </w:t>
      </w:r>
      <w:r w:rsidR="00BE0B77">
        <w:t xml:space="preserve">regional </w:t>
      </w:r>
      <w:r w:rsidR="00A82085">
        <w:t xml:space="preserve">employment demands </w:t>
      </w:r>
      <w:r w:rsidR="00BE0B77">
        <w:t>will</w:t>
      </w:r>
      <w:r w:rsidR="00A82085">
        <w:t xml:space="preserve"> support the ongoing sustainability of </w:t>
      </w:r>
      <w:r w:rsidR="00BE0B77">
        <w:t xml:space="preserve">key </w:t>
      </w:r>
      <w:r w:rsidR="00A82085">
        <w:t>education providers</w:t>
      </w:r>
      <w:r w:rsidR="00C14070">
        <w:t>,</w:t>
      </w:r>
      <w:r w:rsidR="00BE0B77">
        <w:t xml:space="preserve"> such as universities</w:t>
      </w:r>
      <w:r w:rsidR="00C14070">
        <w:t>,</w:t>
      </w:r>
      <w:r w:rsidR="00A82085">
        <w:t xml:space="preserve"> in the</w:t>
      </w:r>
      <w:r w:rsidR="00BE0B77">
        <w:t xml:space="preserve"> </w:t>
      </w:r>
      <w:r w:rsidR="00A82085">
        <w:t>region</w:t>
      </w:r>
      <w:r w:rsidR="00BE0B77">
        <w:t>.</w:t>
      </w:r>
    </w:p>
    <w:p w:rsidR="00B63545" w:rsidRPr="004D2CC1" w:rsidRDefault="00714875" w:rsidP="004D2CC1">
      <w:pPr>
        <w:pStyle w:val="bt"/>
      </w:pPr>
      <w:r w:rsidRPr="004D2CC1">
        <w:t xml:space="preserve">Opportunities </w:t>
      </w:r>
      <w:r w:rsidR="00DD6A69" w:rsidRPr="004D2CC1">
        <w:t xml:space="preserve">to </w:t>
      </w:r>
      <w:r w:rsidRPr="004D2CC1">
        <w:t>support improved access to a range of education and employment opportunities include:</w:t>
      </w:r>
    </w:p>
    <w:p w:rsidR="00B63545" w:rsidRPr="007563A9" w:rsidRDefault="00714875" w:rsidP="007764A3">
      <w:pPr>
        <w:pStyle w:val="btbullet"/>
      </w:pPr>
      <w:r w:rsidRPr="007563A9">
        <w:t>providing education facilities that accommodate regional needs and are located to be accessible</w:t>
      </w:r>
    </w:p>
    <w:p w:rsidR="00B310B1" w:rsidRDefault="00714875" w:rsidP="007764A3">
      <w:pPr>
        <w:pStyle w:val="btbullet"/>
      </w:pPr>
      <w:proofErr w:type="gramStart"/>
      <w:r w:rsidRPr="007563A9">
        <w:t>linking</w:t>
      </w:r>
      <w:proofErr w:type="gramEnd"/>
      <w:r w:rsidRPr="007563A9">
        <w:t xml:space="preserve"> education opportunities with regional employment needs.</w:t>
      </w:r>
    </w:p>
    <w:p w:rsidR="00141DCA" w:rsidRDefault="00141DCA" w:rsidP="0027751F">
      <w:pPr>
        <w:pStyle w:val="Heading3-list"/>
        <w:ind w:left="426"/>
      </w:pPr>
      <w:r w:rsidRPr="00141DCA">
        <w:t xml:space="preserve">Provide regional open space networks and opportunities to engage in physical activity </w:t>
      </w:r>
    </w:p>
    <w:p w:rsidR="009F2D51" w:rsidRDefault="00F34BE4" w:rsidP="004D2CC1">
      <w:pPr>
        <w:pStyle w:val="bt"/>
      </w:pPr>
      <w:r w:rsidRPr="004D2CC1">
        <w:t xml:space="preserve">It is mandatory for councils to have health and wellbeing plans. Some </w:t>
      </w:r>
      <w:proofErr w:type="gramStart"/>
      <w:r w:rsidRPr="004D2CC1">
        <w:t>councils</w:t>
      </w:r>
      <w:proofErr w:type="gramEnd"/>
      <w:r w:rsidRPr="004D2CC1">
        <w:t xml:space="preserve"> also have open space or recreation strategies </w:t>
      </w:r>
      <w:r w:rsidR="0066797E" w:rsidRPr="004D2CC1">
        <w:t xml:space="preserve">that </w:t>
      </w:r>
      <w:r w:rsidRPr="004D2CC1">
        <w:t xml:space="preserve">highlight future requirements, prioritise required future investment and support community participation in sport and recreation activities. However, there is no integrated regional or </w:t>
      </w:r>
      <w:r w:rsidR="00112C95">
        <w:t>sub-region</w:t>
      </w:r>
      <w:r w:rsidRPr="004D2CC1">
        <w:t>al approach to such planning.</w:t>
      </w:r>
      <w:r w:rsidR="00A1152E" w:rsidRPr="004D2CC1">
        <w:t xml:space="preserve"> </w:t>
      </w:r>
      <w:r w:rsidR="00720B41" w:rsidRPr="004D2CC1">
        <w:t xml:space="preserve">The built environment </w:t>
      </w:r>
      <w:r w:rsidR="00A034AB" w:rsidRPr="004D2CC1">
        <w:t xml:space="preserve">helps </w:t>
      </w:r>
      <w:r w:rsidR="0066797E" w:rsidRPr="004D2CC1">
        <w:t xml:space="preserve">to </w:t>
      </w:r>
      <w:r w:rsidR="00A034AB" w:rsidRPr="004D2CC1">
        <w:t>determine</w:t>
      </w:r>
      <w:r w:rsidR="00720B41" w:rsidRPr="004D2CC1">
        <w:t xml:space="preserve"> </w:t>
      </w:r>
      <w:r w:rsidR="0066797E" w:rsidRPr="004D2CC1">
        <w:t xml:space="preserve">the </w:t>
      </w:r>
      <w:r w:rsidR="00720B41" w:rsidRPr="004D2CC1">
        <w:t xml:space="preserve">opportunities </w:t>
      </w:r>
      <w:r w:rsidR="00A034AB" w:rsidRPr="004D2CC1">
        <w:t xml:space="preserve">residents </w:t>
      </w:r>
      <w:r w:rsidR="0066797E" w:rsidRPr="004D2CC1">
        <w:t xml:space="preserve">have </w:t>
      </w:r>
      <w:r w:rsidR="00720B41" w:rsidRPr="004D2CC1">
        <w:t>to engage in physical activity and</w:t>
      </w:r>
      <w:r w:rsidR="00A034AB" w:rsidRPr="004D2CC1">
        <w:t xml:space="preserve"> shape</w:t>
      </w:r>
      <w:r w:rsidR="0066797E" w:rsidRPr="004D2CC1">
        <w:t>s</w:t>
      </w:r>
      <w:r w:rsidR="00720B41" w:rsidRPr="004D2CC1">
        <w:t xml:space="preserve"> the way in which people can participate in community life. </w:t>
      </w:r>
    </w:p>
    <w:p w:rsidR="00720B41" w:rsidRPr="004D2CC1" w:rsidRDefault="00720B41" w:rsidP="004D2CC1">
      <w:pPr>
        <w:pStyle w:val="bt"/>
      </w:pPr>
      <w:r w:rsidRPr="004D2CC1">
        <w:t>Well</w:t>
      </w:r>
      <w:r w:rsidR="00E846F9">
        <w:t xml:space="preserve"> </w:t>
      </w:r>
      <w:r w:rsidRPr="004D2CC1">
        <w:t xml:space="preserve">planned, designed and </w:t>
      </w:r>
      <w:r w:rsidR="00A034AB" w:rsidRPr="004D2CC1">
        <w:t xml:space="preserve">managed </w:t>
      </w:r>
      <w:r w:rsidRPr="004D2CC1">
        <w:t>urban places and spaces</w:t>
      </w:r>
      <w:r w:rsidR="001414C5" w:rsidRPr="004D2CC1">
        <w:t xml:space="preserve"> </w:t>
      </w:r>
      <w:r w:rsidR="0066797E" w:rsidRPr="004D2CC1">
        <w:t>(</w:t>
      </w:r>
      <w:r w:rsidR="001414C5" w:rsidRPr="004D2CC1">
        <w:t>as well as tracks and trails</w:t>
      </w:r>
      <w:r w:rsidR="0066797E" w:rsidRPr="004D2CC1">
        <w:t>)</w:t>
      </w:r>
      <w:r w:rsidRPr="004D2CC1">
        <w:t xml:space="preserve"> can deliver personal, social and environmental </w:t>
      </w:r>
      <w:r w:rsidR="008178AB" w:rsidRPr="004D2CC1">
        <w:t xml:space="preserve">benefits </w:t>
      </w:r>
      <w:r w:rsidRPr="004D2CC1">
        <w:t xml:space="preserve">to the community. Opportunities for physical activity can improve community </w:t>
      </w:r>
      <w:r w:rsidR="008178AB" w:rsidRPr="004D2CC1">
        <w:t xml:space="preserve">cohesion </w:t>
      </w:r>
      <w:r w:rsidRPr="004D2CC1">
        <w:t xml:space="preserve">and provide significant economic benefits </w:t>
      </w:r>
      <w:r w:rsidR="008178AB" w:rsidRPr="004D2CC1">
        <w:t xml:space="preserve">from </w:t>
      </w:r>
      <w:r w:rsidRPr="004D2CC1">
        <w:t xml:space="preserve">events, recreation activities and tourism. Community health and wellbeing needs to be considered in the early stages of planning for urban </w:t>
      </w:r>
      <w:r w:rsidR="005B4AE6" w:rsidRPr="004D2CC1">
        <w:t xml:space="preserve">growth. </w:t>
      </w:r>
    </w:p>
    <w:p w:rsidR="007A28AE" w:rsidRPr="004D2CC1" w:rsidRDefault="00714875" w:rsidP="004D2CC1">
      <w:pPr>
        <w:pStyle w:val="bt"/>
      </w:pPr>
      <w:r w:rsidRPr="004D2CC1">
        <w:t>Opportunities for supporting physical activity include:</w:t>
      </w:r>
    </w:p>
    <w:p w:rsidR="007A28AE" w:rsidRPr="007563A9" w:rsidRDefault="00190036" w:rsidP="007764A3">
      <w:pPr>
        <w:pStyle w:val="btbullet"/>
      </w:pPr>
      <w:r w:rsidRPr="007563A9">
        <w:t xml:space="preserve">linking existing publicly accessible open space networks and tracks and trails in the region to provide enhanced regional and </w:t>
      </w:r>
      <w:r w:rsidR="00112C95">
        <w:t>sub-region</w:t>
      </w:r>
      <w:r w:rsidRPr="007563A9">
        <w:t>al vegetation corridors and improved links between settlements</w:t>
      </w:r>
    </w:p>
    <w:p w:rsidR="00E229BE" w:rsidRDefault="00BD5968" w:rsidP="007764A3">
      <w:pPr>
        <w:pStyle w:val="btbullet"/>
      </w:pPr>
      <w:proofErr w:type="gramStart"/>
      <w:r w:rsidRPr="007563A9">
        <w:t>investing</w:t>
      </w:r>
      <w:proofErr w:type="gramEnd"/>
      <w:r w:rsidRPr="007563A9">
        <w:t xml:space="preserve"> in sporting infrastructure in key urban growth locations, such as Shepparton, Wodonga and Wangaratta, to help meet existing and future demand for sporting activity in the region.</w:t>
      </w:r>
    </w:p>
    <w:p w:rsidR="00720B41" w:rsidRPr="004D2CC1" w:rsidRDefault="00720B41" w:rsidP="004D2CC1">
      <w:pPr>
        <w:pStyle w:val="Heading2"/>
      </w:pPr>
      <w:bookmarkStart w:id="99" w:name="_Toc376945603"/>
      <w:r w:rsidRPr="004D2CC1">
        <w:t>Energy, communications, water and waste</w:t>
      </w:r>
      <w:bookmarkEnd w:id="99"/>
    </w:p>
    <w:p w:rsidR="00720B41" w:rsidRPr="004D2CC1" w:rsidRDefault="0066797E" w:rsidP="004D2CC1">
      <w:pPr>
        <w:pStyle w:val="bt"/>
      </w:pPr>
      <w:r w:rsidRPr="004D2CC1">
        <w:t>G</w:t>
      </w:r>
      <w:r w:rsidR="00720B41" w:rsidRPr="004D2CC1">
        <w:t xml:space="preserve">rowth in </w:t>
      </w:r>
      <w:r w:rsidRPr="004D2CC1">
        <w:t xml:space="preserve">the </w:t>
      </w:r>
      <w:r w:rsidR="00720B41" w:rsidRPr="004D2CC1">
        <w:t xml:space="preserve">towns and cities </w:t>
      </w:r>
      <w:r w:rsidRPr="004D2CC1">
        <w:t xml:space="preserve">of the Hume </w:t>
      </w:r>
      <w:r w:rsidR="00250DD5" w:rsidRPr="004D2CC1">
        <w:t>R</w:t>
      </w:r>
      <w:r w:rsidRPr="004D2CC1">
        <w:t xml:space="preserve">egion </w:t>
      </w:r>
      <w:r w:rsidR="00720B41" w:rsidRPr="004D2CC1">
        <w:t>will result in demand for additional water, energy</w:t>
      </w:r>
      <w:r w:rsidR="003E795E">
        <w:t xml:space="preserve"> </w:t>
      </w:r>
      <w:r w:rsidR="00720B41" w:rsidRPr="004D2CC1">
        <w:t xml:space="preserve">and utility infrastructure. Efficient use of existing systems and preservation and identification of utility infrastructure corridors and urban location have been considered as part of </w:t>
      </w:r>
      <w:r w:rsidRPr="004D2CC1">
        <w:t xml:space="preserve">this </w:t>
      </w:r>
      <w:r w:rsidR="00D36385" w:rsidRPr="004D2CC1">
        <w:t>p</w:t>
      </w:r>
      <w:r w:rsidR="00720B41" w:rsidRPr="004D2CC1">
        <w:t>lan. The projected population and settlement pattern</w:t>
      </w:r>
      <w:r w:rsidR="00C22EB0" w:rsidRPr="004D2CC1">
        <w:t>s</w:t>
      </w:r>
      <w:r w:rsidR="00720B41" w:rsidRPr="004D2CC1">
        <w:t xml:space="preserve"> take into account high level planning for currently planned and anticipated service utilitie</w:t>
      </w:r>
      <w:r w:rsidR="00440E5F" w:rsidRPr="004D2CC1">
        <w:t>s.</w:t>
      </w:r>
    </w:p>
    <w:p w:rsidR="00306AC9" w:rsidRPr="0027751F" w:rsidRDefault="00306AC9" w:rsidP="0027751F">
      <w:pPr>
        <w:pStyle w:val="Heading3-list"/>
        <w:numPr>
          <w:ilvl w:val="0"/>
          <w:numId w:val="37"/>
        </w:numPr>
        <w:ind w:left="426"/>
      </w:pPr>
      <w:r w:rsidRPr="0027751F">
        <w:t xml:space="preserve">Support infrastructure provision to facilitate urban growth, environmental enhancements and key economic development initiatives </w:t>
      </w:r>
    </w:p>
    <w:p w:rsidR="00720B41" w:rsidRDefault="00720B41" w:rsidP="002618D5">
      <w:pPr>
        <w:pStyle w:val="bt"/>
      </w:pPr>
      <w:r w:rsidRPr="00A25511">
        <w:t xml:space="preserve">Infrastructure provision should be planned to keep pace with growth. This includes </w:t>
      </w:r>
      <w:r w:rsidR="005760A8">
        <w:t xml:space="preserve">energy, </w:t>
      </w:r>
      <w:r w:rsidRPr="00A25511">
        <w:t xml:space="preserve">particularly natural gas, </w:t>
      </w:r>
      <w:r w:rsidR="005760A8">
        <w:t>information and communications technology</w:t>
      </w:r>
      <w:r w:rsidRPr="00A25511">
        <w:t>, reticulated wat</w:t>
      </w:r>
      <w:r w:rsidR="002618D5">
        <w:t xml:space="preserve">er and sewerage and solid waste </w:t>
      </w:r>
      <w:r w:rsidRPr="00A25511">
        <w:t>management. Infrastructure upgrades that facilitate urban growth, env</w:t>
      </w:r>
      <w:r w:rsidR="002618D5">
        <w:t xml:space="preserve">ironmental enhancements and key </w:t>
      </w:r>
      <w:r w:rsidRPr="007563A9">
        <w:t xml:space="preserve">economic development initiatives </w:t>
      </w:r>
      <w:r w:rsidR="005760A8" w:rsidRPr="007563A9">
        <w:t xml:space="preserve">will </w:t>
      </w:r>
      <w:r w:rsidRPr="007563A9">
        <w:t>be encouraged and supported.</w:t>
      </w:r>
    </w:p>
    <w:p w:rsidR="007A28AE" w:rsidRPr="007563A9" w:rsidRDefault="000F6850">
      <w:pPr>
        <w:pStyle w:val="bt"/>
        <w:spacing w:after="0"/>
        <w:jc w:val="both"/>
      </w:pPr>
      <w:r w:rsidRPr="007563A9">
        <w:t>Opportunities for supporting efficient infrastructure provision include:</w:t>
      </w:r>
    </w:p>
    <w:p w:rsidR="00306AC9" w:rsidRPr="00966F98" w:rsidRDefault="00306AC9" w:rsidP="00306AC9">
      <w:pPr>
        <w:pStyle w:val="Heading3"/>
        <w:rPr>
          <w:rStyle w:val="Strong"/>
          <w:b/>
        </w:rPr>
      </w:pPr>
      <w:r w:rsidRPr="00966F98">
        <w:rPr>
          <w:rStyle w:val="Strong"/>
          <w:b/>
        </w:rPr>
        <w:t>Energy</w:t>
      </w:r>
    </w:p>
    <w:p w:rsidR="008604C2" w:rsidRPr="001E7C00" w:rsidRDefault="00720B41" w:rsidP="001E7C00">
      <w:pPr>
        <w:pStyle w:val="bt"/>
      </w:pPr>
      <w:r w:rsidRPr="001E7C00">
        <w:t>All towns within the Hume Region have access to electricity</w:t>
      </w:r>
      <w:r w:rsidR="006D1B45" w:rsidRPr="001E7C00">
        <w:t xml:space="preserve"> and</w:t>
      </w:r>
      <w:r w:rsidR="00F82F76" w:rsidRPr="001E7C00">
        <w:t xml:space="preserve"> this network will need to be </w:t>
      </w:r>
      <w:r w:rsidR="002B60E4" w:rsidRPr="001E7C00">
        <w:t xml:space="preserve">augmented </w:t>
      </w:r>
      <w:r w:rsidR="00F82F76" w:rsidRPr="001E7C00">
        <w:t>to accommodate future growth</w:t>
      </w:r>
      <w:r w:rsidR="006557E6" w:rsidRPr="001E7C00">
        <w:t>. Electricity options such as renewable generation and decentralised syst</w:t>
      </w:r>
      <w:r w:rsidR="00A80B07" w:rsidRPr="001E7C00">
        <w:t>ems sh</w:t>
      </w:r>
      <w:r w:rsidR="006557E6" w:rsidRPr="001E7C00">
        <w:t xml:space="preserve">ould </w:t>
      </w:r>
      <w:r w:rsidR="00A80B07" w:rsidRPr="001E7C00">
        <w:t xml:space="preserve">continue to </w:t>
      </w:r>
      <w:r w:rsidR="006557E6" w:rsidRPr="001E7C00">
        <w:t xml:space="preserve">be </w:t>
      </w:r>
      <w:r w:rsidR="00DE1C10" w:rsidRPr="001E7C00">
        <w:t xml:space="preserve">developed </w:t>
      </w:r>
      <w:r w:rsidR="006557E6" w:rsidRPr="001E7C00">
        <w:t>as part of this network</w:t>
      </w:r>
      <w:r w:rsidRPr="001E7C00">
        <w:t xml:space="preserve">. </w:t>
      </w:r>
      <w:r w:rsidR="00F82F76" w:rsidRPr="001E7C00">
        <w:t xml:space="preserve">Many </w:t>
      </w:r>
      <w:r w:rsidRPr="001E7C00">
        <w:t xml:space="preserve">parts of the region do not have access to </w:t>
      </w:r>
      <w:r w:rsidR="00520267" w:rsidRPr="001E7C00">
        <w:t xml:space="preserve">reticulated </w:t>
      </w:r>
      <w:r w:rsidRPr="001E7C00">
        <w:t xml:space="preserve">natural gas. </w:t>
      </w:r>
      <w:r w:rsidR="00A14564" w:rsidRPr="001E7C00">
        <w:t>A</w:t>
      </w:r>
      <w:r w:rsidRPr="001E7C00">
        <w:t xml:space="preserve">ccess to natural gas will be important </w:t>
      </w:r>
      <w:r w:rsidR="00A14564" w:rsidRPr="001E7C00">
        <w:t xml:space="preserve">in </w:t>
      </w:r>
      <w:r w:rsidR="0066797E" w:rsidRPr="001E7C00">
        <w:t xml:space="preserve">the </w:t>
      </w:r>
      <w:r w:rsidR="00A14564" w:rsidRPr="001E7C00">
        <w:t xml:space="preserve">future </w:t>
      </w:r>
      <w:r w:rsidRPr="001E7C00">
        <w:t xml:space="preserve">and will help to make areas </w:t>
      </w:r>
      <w:r w:rsidRPr="001E7C00">
        <w:lastRenderedPageBreak/>
        <w:t>attractive for settlement and investment.</w:t>
      </w:r>
      <w:r w:rsidR="00D737FF" w:rsidRPr="001E7C00">
        <w:t xml:space="preserve"> An example of how the provision of natural gas could support growth and investment is the potential fo</w:t>
      </w:r>
      <w:r w:rsidR="002121B0" w:rsidRPr="001E7C00">
        <w:t>r</w:t>
      </w:r>
      <w:r w:rsidR="00D737FF" w:rsidRPr="001E7C00">
        <w:t xml:space="preserve"> a ga</w:t>
      </w:r>
      <w:r w:rsidR="002121B0" w:rsidRPr="001E7C00">
        <w:t>s-</w:t>
      </w:r>
      <w:r w:rsidR="00D737FF" w:rsidRPr="001E7C00">
        <w:t xml:space="preserve">gate at the LOGIC freight activity centre, which could </w:t>
      </w:r>
      <w:r w:rsidR="002121B0" w:rsidRPr="001E7C00">
        <w:t xml:space="preserve">help </w:t>
      </w:r>
      <w:r w:rsidR="00D737FF" w:rsidRPr="001E7C00">
        <w:t>attract manufacturers to the location.</w:t>
      </w:r>
      <w:r w:rsidR="00F82F76" w:rsidRPr="001E7C00">
        <w:t xml:space="preserve"> The extension of the natural gas network to those areas currently not serviced </w:t>
      </w:r>
      <w:r w:rsidR="000B1CE7">
        <w:t xml:space="preserve">and alternative delivery systems </w:t>
      </w:r>
      <w:r w:rsidR="00F82F76" w:rsidRPr="001E7C00">
        <w:t>should be further considered.</w:t>
      </w:r>
      <w:r w:rsidR="00D737FF" w:rsidRPr="001E7C00">
        <w:t xml:space="preserve"> </w:t>
      </w:r>
    </w:p>
    <w:p w:rsidR="00306AC9" w:rsidRPr="00966F98" w:rsidRDefault="00306AC9" w:rsidP="00306AC9">
      <w:pPr>
        <w:pStyle w:val="Heading3"/>
        <w:rPr>
          <w:rStyle w:val="Strong"/>
          <w:b/>
        </w:rPr>
      </w:pPr>
      <w:r w:rsidRPr="00966F98">
        <w:rPr>
          <w:rStyle w:val="Strong"/>
          <w:b/>
        </w:rPr>
        <w:t>Telecommunications</w:t>
      </w:r>
    </w:p>
    <w:p w:rsidR="00C14070" w:rsidRDefault="00720B41" w:rsidP="001E7C00">
      <w:pPr>
        <w:pStyle w:val="bt"/>
      </w:pPr>
      <w:r w:rsidRPr="001E7C00">
        <w:t xml:space="preserve">High quality </w:t>
      </w:r>
      <w:r w:rsidR="005760A8" w:rsidRPr="001E7C00">
        <w:t>information and communications technology</w:t>
      </w:r>
      <w:r w:rsidRPr="001E7C00">
        <w:t xml:space="preserve"> in the </w:t>
      </w:r>
      <w:r w:rsidR="0066797E" w:rsidRPr="001E7C00">
        <w:t xml:space="preserve">Hume </w:t>
      </w:r>
      <w:r w:rsidR="00250DD5" w:rsidRPr="001E7C00">
        <w:t>R</w:t>
      </w:r>
      <w:r w:rsidRPr="001E7C00">
        <w:t>egion will help drive economic competitiveness. It is unclear exactly what</w:t>
      </w:r>
      <w:r w:rsidR="00135D9A">
        <w:t xml:space="preserve"> the</w:t>
      </w:r>
      <w:r w:rsidRPr="001E7C00">
        <w:t xml:space="preserve"> </w:t>
      </w:r>
      <w:r w:rsidR="00A14564" w:rsidRPr="001E7C00">
        <w:t xml:space="preserve">effects of the </w:t>
      </w:r>
      <w:r w:rsidRPr="001E7C00">
        <w:t>N</w:t>
      </w:r>
      <w:r w:rsidR="0066797E" w:rsidRPr="001E7C00">
        <w:t xml:space="preserve">ational Broadband Network </w:t>
      </w:r>
      <w:r w:rsidRPr="001E7C00">
        <w:t xml:space="preserve">will be on regional growth. </w:t>
      </w:r>
      <w:r w:rsidR="0066797E" w:rsidRPr="001E7C00">
        <w:t>E</w:t>
      </w:r>
      <w:r w:rsidR="00A80B07" w:rsidRPr="001E7C00">
        <w:t xml:space="preserve">ducation </w:t>
      </w:r>
      <w:r w:rsidRPr="001E7C00">
        <w:t xml:space="preserve">and </w:t>
      </w:r>
      <w:r w:rsidR="00A80B07" w:rsidRPr="001E7C00">
        <w:t>health</w:t>
      </w:r>
      <w:r w:rsidR="00A80B07" w:rsidRPr="001E7C00" w:rsidDel="00A80B07">
        <w:t xml:space="preserve"> </w:t>
      </w:r>
      <w:r w:rsidRPr="001E7C00">
        <w:t xml:space="preserve">providers are already using technology to provide remote </w:t>
      </w:r>
      <w:r w:rsidR="00A80B07" w:rsidRPr="001E7C00">
        <w:t xml:space="preserve">education courses and </w:t>
      </w:r>
      <w:r w:rsidRPr="001E7C00">
        <w:t>patient care. This is likely to expand in</w:t>
      </w:r>
      <w:r w:rsidR="00A14564" w:rsidRPr="001E7C00">
        <w:t xml:space="preserve"> </w:t>
      </w:r>
      <w:r w:rsidR="0066797E" w:rsidRPr="001E7C00">
        <w:t xml:space="preserve">the </w:t>
      </w:r>
      <w:r w:rsidRPr="001E7C00">
        <w:t xml:space="preserve">future </w:t>
      </w:r>
      <w:r w:rsidR="00A14564" w:rsidRPr="001E7C00">
        <w:t xml:space="preserve">with </w:t>
      </w:r>
      <w:r w:rsidR="0066797E" w:rsidRPr="001E7C00">
        <w:t xml:space="preserve">an </w:t>
      </w:r>
      <w:r w:rsidR="00A14564" w:rsidRPr="001E7C00">
        <w:t xml:space="preserve">ageing </w:t>
      </w:r>
      <w:r w:rsidRPr="001E7C00">
        <w:t>population</w:t>
      </w:r>
      <w:r w:rsidR="00A14564" w:rsidRPr="001E7C00">
        <w:t>, including generations accustomed</w:t>
      </w:r>
      <w:r w:rsidRPr="001E7C00">
        <w:t xml:space="preserve"> to using technology. Improvement</w:t>
      </w:r>
      <w:r w:rsidR="00A14564" w:rsidRPr="001E7C00">
        <w:t>s to</w:t>
      </w:r>
      <w:r w:rsidRPr="001E7C00">
        <w:t xml:space="preserve"> technology and access to </w:t>
      </w:r>
      <w:r w:rsidR="00A14564" w:rsidRPr="001E7C00">
        <w:t xml:space="preserve">it </w:t>
      </w:r>
      <w:r w:rsidRPr="001E7C00">
        <w:t>will</w:t>
      </w:r>
      <w:r w:rsidR="00A14564" w:rsidRPr="001E7C00">
        <w:t xml:space="preserve"> </w:t>
      </w:r>
      <w:r w:rsidRPr="001E7C00">
        <w:t>provide further opportunities to improve and broaden service delivery.</w:t>
      </w:r>
      <w:r w:rsidR="00926011">
        <w:t xml:space="preserve"> </w:t>
      </w:r>
    </w:p>
    <w:p w:rsidR="00720B41" w:rsidRPr="001E7C00" w:rsidRDefault="00926011" w:rsidP="001E7C00">
      <w:pPr>
        <w:pStyle w:val="bt"/>
      </w:pPr>
      <w:r>
        <w:t xml:space="preserve">The potential uneven distribution of </w:t>
      </w:r>
      <w:r w:rsidR="00FF68DD">
        <w:t xml:space="preserve">quality </w:t>
      </w:r>
      <w:r>
        <w:t xml:space="preserve">access to the internet may be a challenge for </w:t>
      </w:r>
      <w:r w:rsidR="00FF68DD">
        <w:t xml:space="preserve">regional growth </w:t>
      </w:r>
      <w:r>
        <w:t>an</w:t>
      </w:r>
      <w:r w:rsidR="00FF68DD">
        <w:t>d</w:t>
      </w:r>
      <w:r>
        <w:t xml:space="preserve"> ongoing review of such </w:t>
      </w:r>
      <w:r w:rsidR="00FF68DD">
        <w:t>access</w:t>
      </w:r>
      <w:r w:rsidR="00C14070">
        <w:t>,</w:t>
      </w:r>
      <w:r w:rsidR="00FF68DD">
        <w:t xml:space="preserve"> through the rollout of the </w:t>
      </w:r>
      <w:r w:rsidR="00FF68DD" w:rsidRPr="001E7C00">
        <w:t>National Broadband Network</w:t>
      </w:r>
      <w:r w:rsidR="00C14070">
        <w:t>,</w:t>
      </w:r>
      <w:r w:rsidR="00FF68DD">
        <w:t xml:space="preserve"> </w:t>
      </w:r>
      <w:r>
        <w:t xml:space="preserve">will help support </w:t>
      </w:r>
      <w:r w:rsidR="00FF68DD">
        <w:t xml:space="preserve">regional </w:t>
      </w:r>
      <w:r>
        <w:t>service delivery.</w:t>
      </w:r>
    </w:p>
    <w:p w:rsidR="002D2D4D" w:rsidRDefault="00720B41" w:rsidP="001E7C00">
      <w:pPr>
        <w:pStyle w:val="bt"/>
      </w:pPr>
      <w:r w:rsidRPr="001E7C00">
        <w:t xml:space="preserve">Mobile phone coverage in </w:t>
      </w:r>
      <w:r w:rsidR="00A14564" w:rsidRPr="001E7C00">
        <w:t xml:space="preserve">major urban settlements in the </w:t>
      </w:r>
      <w:r w:rsidR="0066797E" w:rsidRPr="001E7C00">
        <w:t xml:space="preserve">Hume </w:t>
      </w:r>
      <w:r w:rsidR="00250DD5" w:rsidRPr="001E7C00">
        <w:t>R</w:t>
      </w:r>
      <w:r w:rsidR="00A14564" w:rsidRPr="001E7C00">
        <w:t>egion</w:t>
      </w:r>
      <w:r w:rsidRPr="001E7C00">
        <w:t xml:space="preserve"> tends to be good. However, in smaller communities coverage can be unreliable and improve</w:t>
      </w:r>
      <w:r w:rsidR="00A14564" w:rsidRPr="001E7C00">
        <w:t>ments are needed to</w:t>
      </w:r>
      <w:r w:rsidRPr="001E7C00">
        <w:t xml:space="preserve"> </w:t>
      </w:r>
      <w:r w:rsidR="00A80B07" w:rsidRPr="001E7C00">
        <w:t xml:space="preserve">enhance </w:t>
      </w:r>
      <w:r w:rsidRPr="001E7C00">
        <w:t>connectivity and access</w:t>
      </w:r>
      <w:r w:rsidR="00A14564" w:rsidRPr="001E7C00">
        <w:t>.</w:t>
      </w:r>
      <w:r w:rsidRPr="001E7C00">
        <w:t xml:space="preserve"> </w:t>
      </w:r>
      <w:r w:rsidR="0066797E" w:rsidRPr="001E7C00">
        <w:t>T</w:t>
      </w:r>
      <w:r w:rsidR="00A14564" w:rsidRPr="001E7C00">
        <w:t>echnological advance</w:t>
      </w:r>
      <w:r w:rsidR="00A80B07" w:rsidRPr="001E7C00">
        <w:t>s</w:t>
      </w:r>
      <w:r w:rsidR="00A14564" w:rsidRPr="001E7C00">
        <w:t xml:space="preserve"> associated with </w:t>
      </w:r>
      <w:r w:rsidRPr="001E7C00">
        <w:t>the N</w:t>
      </w:r>
      <w:r w:rsidR="0066797E" w:rsidRPr="001E7C00">
        <w:t xml:space="preserve">ational Broadband Network </w:t>
      </w:r>
      <w:r w:rsidR="00A14564" w:rsidRPr="001E7C00">
        <w:t>will contribute to upgrading these services.</w:t>
      </w:r>
    </w:p>
    <w:p w:rsidR="003372E8" w:rsidRPr="001E7C00" w:rsidRDefault="00915470" w:rsidP="001E7C00">
      <w:pPr>
        <w:pStyle w:val="bt"/>
      </w:pPr>
      <w:r>
        <w:t>Reliable telecommunication services are</w:t>
      </w:r>
      <w:r w:rsidR="003372E8">
        <w:t xml:space="preserve"> </w:t>
      </w:r>
      <w:r w:rsidR="00A0007F">
        <w:t xml:space="preserve">vital </w:t>
      </w:r>
      <w:r w:rsidR="003372E8">
        <w:t>during emergency events</w:t>
      </w:r>
      <w:r w:rsidR="00A0007F">
        <w:t>.</w:t>
      </w:r>
      <w:r>
        <w:t xml:space="preserve"> </w:t>
      </w:r>
      <w:r w:rsidR="00A0007F">
        <w:t>This is especially important in small</w:t>
      </w:r>
      <w:r>
        <w:t xml:space="preserve">, isolated communities exposed to natural hazards such as </w:t>
      </w:r>
      <w:r w:rsidR="00112398">
        <w:t>bushfire</w:t>
      </w:r>
      <w:r>
        <w:t xml:space="preserve"> and </w:t>
      </w:r>
      <w:r w:rsidR="00112398">
        <w:t>flood</w:t>
      </w:r>
      <w:r w:rsidR="00CF2FBC">
        <w:t>.</w:t>
      </w:r>
    </w:p>
    <w:p w:rsidR="00306AC9" w:rsidRPr="00966F98" w:rsidRDefault="00306AC9" w:rsidP="00306AC9">
      <w:pPr>
        <w:pStyle w:val="Heading3"/>
        <w:rPr>
          <w:rStyle w:val="Strong"/>
          <w:b/>
        </w:rPr>
      </w:pPr>
      <w:r w:rsidRPr="00966F98">
        <w:rPr>
          <w:rStyle w:val="Strong"/>
          <w:b/>
        </w:rPr>
        <w:t>Reticulated water and sewerage</w:t>
      </w:r>
    </w:p>
    <w:p w:rsidR="007A28AE" w:rsidRPr="001E7C00" w:rsidRDefault="00720B41" w:rsidP="001E7C00">
      <w:pPr>
        <w:pStyle w:val="bt"/>
      </w:pPr>
      <w:r w:rsidRPr="001E7C00">
        <w:t>The key urban locations earmarked for growth are all serviced by reticulated water and sewerage systems</w:t>
      </w:r>
      <w:r w:rsidR="00E60D87" w:rsidRPr="001E7C00">
        <w:t>, as are m</w:t>
      </w:r>
      <w:r w:rsidRPr="001E7C00">
        <w:t>any smaller urban locations</w:t>
      </w:r>
      <w:r w:rsidR="00E60D87" w:rsidRPr="001E7C00">
        <w:t>.</w:t>
      </w:r>
      <w:r w:rsidRPr="001E7C00">
        <w:t xml:space="preserve"> </w:t>
      </w:r>
      <w:r w:rsidR="00E60D87" w:rsidRPr="001E7C00">
        <w:t>R</w:t>
      </w:r>
      <w:r w:rsidRPr="001E7C00">
        <w:t xml:space="preserve">eticulated water and sewerage </w:t>
      </w:r>
      <w:r w:rsidR="00E60D87" w:rsidRPr="001E7C00">
        <w:t>is</w:t>
      </w:r>
      <w:r w:rsidRPr="001E7C00">
        <w:t xml:space="preserve"> being </w:t>
      </w:r>
      <w:r w:rsidR="00E60D87" w:rsidRPr="001E7C00">
        <w:t>installed in other areas,</w:t>
      </w:r>
      <w:r w:rsidRPr="001E7C00">
        <w:t xml:space="preserve"> such as </w:t>
      </w:r>
      <w:r w:rsidR="00F82F76" w:rsidRPr="001E7C00">
        <w:t xml:space="preserve">Milawa, </w:t>
      </w:r>
      <w:r w:rsidRPr="001E7C00">
        <w:t>Oxley</w:t>
      </w:r>
      <w:r w:rsidR="00F82F76" w:rsidRPr="001E7C00">
        <w:t xml:space="preserve"> and Tungamah</w:t>
      </w:r>
      <w:r w:rsidRPr="001E7C00">
        <w:t xml:space="preserve">. Distribution </w:t>
      </w:r>
      <w:r w:rsidR="0066797E" w:rsidRPr="001E7C00">
        <w:t>m</w:t>
      </w:r>
      <w:r w:rsidRPr="001E7C00">
        <w:t xml:space="preserve">aster </w:t>
      </w:r>
      <w:r w:rsidR="0066797E" w:rsidRPr="001E7C00">
        <w:t>p</w:t>
      </w:r>
      <w:r w:rsidRPr="001E7C00">
        <w:t xml:space="preserve">lans </w:t>
      </w:r>
      <w:r w:rsidR="00E60D87" w:rsidRPr="001E7C00">
        <w:t>have been developed, with</w:t>
      </w:r>
      <w:r w:rsidRPr="001E7C00">
        <w:t xml:space="preserve"> 20</w:t>
      </w:r>
      <w:r w:rsidR="00E60D87" w:rsidRPr="001E7C00">
        <w:t>-</w:t>
      </w:r>
      <w:r w:rsidRPr="001E7C00">
        <w:t>year infrastructure program</w:t>
      </w:r>
      <w:r w:rsidR="00E60D87" w:rsidRPr="001E7C00">
        <w:t>s</w:t>
      </w:r>
      <w:r w:rsidRPr="001E7C00">
        <w:t xml:space="preserve"> to provide for </w:t>
      </w:r>
      <w:r w:rsidR="00E60D87" w:rsidRPr="001E7C00">
        <w:t xml:space="preserve">residential and commercial </w:t>
      </w:r>
      <w:r w:rsidRPr="001E7C00">
        <w:t xml:space="preserve">growth and expansion. </w:t>
      </w:r>
      <w:r w:rsidR="006C6FCC" w:rsidRPr="001E7C00">
        <w:t>It</w:t>
      </w:r>
      <w:r w:rsidRPr="001E7C00">
        <w:t xml:space="preserve"> will be important to understand </w:t>
      </w:r>
      <w:r w:rsidR="006C6FCC" w:rsidRPr="001E7C00">
        <w:t xml:space="preserve">the likely distribution and timing of </w:t>
      </w:r>
      <w:r w:rsidRPr="001E7C00">
        <w:t xml:space="preserve">growth </w:t>
      </w:r>
      <w:r w:rsidR="006C6FCC" w:rsidRPr="001E7C00">
        <w:t xml:space="preserve">to ensure </w:t>
      </w:r>
      <w:r w:rsidRPr="001E7C00">
        <w:t>infrastructure keep</w:t>
      </w:r>
      <w:r w:rsidR="006C6FCC" w:rsidRPr="001E7C00">
        <w:t>s</w:t>
      </w:r>
      <w:r w:rsidRPr="001E7C00">
        <w:t xml:space="preserve"> pace with </w:t>
      </w:r>
      <w:r w:rsidR="006C6FCC" w:rsidRPr="001E7C00">
        <w:t>demand</w:t>
      </w:r>
      <w:r w:rsidRPr="001E7C00">
        <w:t xml:space="preserve">. </w:t>
      </w:r>
      <w:r w:rsidR="00541217">
        <w:t xml:space="preserve">Consideration should be given to installing such systems in locations where there is demand for growth, but the lack of such infrastructure may be limiting development options. </w:t>
      </w:r>
      <w:r w:rsidR="00541217" w:rsidRPr="00435772">
        <w:t xml:space="preserve">Reticulated </w:t>
      </w:r>
      <w:r w:rsidR="00541217">
        <w:t xml:space="preserve">water and </w:t>
      </w:r>
      <w:r w:rsidR="00541217" w:rsidRPr="00435772">
        <w:t>sewerage systems do not only support growth in towns, but can also deliver environmental benefits</w:t>
      </w:r>
      <w:r w:rsidR="00541217">
        <w:t>,</w:t>
      </w:r>
      <w:r w:rsidR="00541217" w:rsidRPr="00435772">
        <w:t xml:space="preserve"> such as within </w:t>
      </w:r>
      <w:r w:rsidR="00541217">
        <w:t>d</w:t>
      </w:r>
      <w:r w:rsidR="00541217" w:rsidRPr="00435772">
        <w:t xml:space="preserve">eclared </w:t>
      </w:r>
      <w:r w:rsidR="00541217">
        <w:t>w</w:t>
      </w:r>
      <w:r w:rsidR="00541217" w:rsidRPr="00435772">
        <w:t xml:space="preserve">ater </w:t>
      </w:r>
      <w:r w:rsidR="00541217">
        <w:t>s</w:t>
      </w:r>
      <w:r w:rsidR="00541217" w:rsidRPr="00435772">
        <w:t xml:space="preserve">upply </w:t>
      </w:r>
      <w:r w:rsidR="00541217">
        <w:t>c</w:t>
      </w:r>
      <w:r w:rsidR="00541217" w:rsidRPr="00435772">
        <w:t>atchments.</w:t>
      </w:r>
      <w:r w:rsidR="00541217">
        <w:t xml:space="preserve"> </w:t>
      </w:r>
      <w:r w:rsidR="00737744" w:rsidRPr="001E7C00">
        <w:t>Planning should provide and maintain a</w:t>
      </w:r>
      <w:r w:rsidRPr="001E7C00">
        <w:t xml:space="preserve">ppropriate buffers </w:t>
      </w:r>
      <w:r w:rsidR="006C6FCC" w:rsidRPr="001E7C00">
        <w:t xml:space="preserve">between </w:t>
      </w:r>
      <w:r w:rsidRPr="001E7C00">
        <w:t xml:space="preserve">sewerage treatment </w:t>
      </w:r>
      <w:r w:rsidR="006C6FCC" w:rsidRPr="001E7C00">
        <w:t xml:space="preserve">facilities and settlement </w:t>
      </w:r>
      <w:r w:rsidRPr="001E7C00">
        <w:t>areas.</w:t>
      </w:r>
      <w:r w:rsidR="00435772">
        <w:t xml:space="preserve"> </w:t>
      </w:r>
    </w:p>
    <w:p w:rsidR="007A28AE" w:rsidRPr="001E7C00" w:rsidRDefault="00C85214" w:rsidP="001E7C00">
      <w:pPr>
        <w:pStyle w:val="bt"/>
      </w:pPr>
      <w:r w:rsidRPr="001E7C00">
        <w:t>North East Water and Goulburn Valley Water have</w:t>
      </w:r>
      <w:r w:rsidR="002E6211" w:rsidRPr="001E7C00">
        <w:t xml:space="preserve"> developed </w:t>
      </w:r>
      <w:r w:rsidR="00457236">
        <w:t>w</w:t>
      </w:r>
      <w:r w:rsidR="00A1152E" w:rsidRPr="001E7C00">
        <w:t xml:space="preserve">ater </w:t>
      </w:r>
      <w:r w:rsidR="00457236">
        <w:t>s</w:t>
      </w:r>
      <w:r w:rsidR="00A1152E" w:rsidRPr="001E7C00">
        <w:t xml:space="preserve">upply and </w:t>
      </w:r>
      <w:r w:rsidR="00457236">
        <w:t>d</w:t>
      </w:r>
      <w:r w:rsidR="00A1152E" w:rsidRPr="001E7C00">
        <w:t xml:space="preserve">emand </w:t>
      </w:r>
      <w:r w:rsidR="00457236">
        <w:t>s</w:t>
      </w:r>
      <w:r w:rsidR="002E6211" w:rsidRPr="001E7C00">
        <w:t>trategies</w:t>
      </w:r>
      <w:r w:rsidRPr="001E7C00">
        <w:t xml:space="preserve"> </w:t>
      </w:r>
      <w:r w:rsidR="002E6211" w:rsidRPr="001E7C00">
        <w:t>to plan for the provision of</w:t>
      </w:r>
      <w:r w:rsidRPr="001E7C00">
        <w:t xml:space="preserve"> adequate water to their respective areas for the next 50 years, allowing for a significant increase in demand, necessary improvement works and applying water restrictions in response to climatic conditions. North East Water has identified augmentation options for settlements where reliability of supply</w:t>
      </w:r>
      <w:r w:rsidR="003E795E">
        <w:t xml:space="preserve"> </w:t>
      </w:r>
      <w:r w:rsidRPr="001E7C00">
        <w:t>is lower. Goulburn Valley Water has identified actions necessary to improve the balance between demand and supp</w:t>
      </w:r>
      <w:r w:rsidR="00F271A1">
        <w:t>ly in specific supply systems.</w:t>
      </w:r>
    </w:p>
    <w:p w:rsidR="008604C2" w:rsidRPr="001E7C00" w:rsidRDefault="00C85214" w:rsidP="001E7C00">
      <w:pPr>
        <w:pStyle w:val="bt"/>
      </w:pPr>
      <w:r w:rsidRPr="001E7C00">
        <w:t xml:space="preserve">When </w:t>
      </w:r>
      <w:r w:rsidR="00457236">
        <w:t>i</w:t>
      </w:r>
      <w:r w:rsidRPr="001E7C00">
        <w:t xml:space="preserve">ntegrated </w:t>
      </w:r>
      <w:r w:rsidR="00457236">
        <w:t>w</w:t>
      </w:r>
      <w:r w:rsidRPr="001E7C00">
        <w:t xml:space="preserve">ater </w:t>
      </w:r>
      <w:r w:rsidR="00457236">
        <w:t>c</w:t>
      </w:r>
      <w:r w:rsidRPr="001E7C00">
        <w:t xml:space="preserve">ycle </w:t>
      </w:r>
      <w:r w:rsidR="00457236">
        <w:t>s</w:t>
      </w:r>
      <w:r w:rsidRPr="001E7C00">
        <w:t>trategies</w:t>
      </w:r>
      <w:r w:rsidRPr="002618D5">
        <w:rPr>
          <w:rStyle w:val="FootnoteReference"/>
          <w:sz w:val="18"/>
          <w:szCs w:val="18"/>
        </w:rPr>
        <w:footnoteReference w:id="10"/>
      </w:r>
      <w:r w:rsidRPr="001E7C00">
        <w:t xml:space="preserve"> are developed by these organisations, the growth proposed in the </w:t>
      </w:r>
      <w:r w:rsidR="00457236">
        <w:t>r</w:t>
      </w:r>
      <w:r w:rsidRPr="001E7C00">
        <w:t xml:space="preserve">egional </w:t>
      </w:r>
      <w:r w:rsidR="00457236">
        <w:t>g</w:t>
      </w:r>
      <w:r w:rsidRPr="001E7C00">
        <w:t xml:space="preserve">rowth </w:t>
      </w:r>
      <w:r w:rsidR="00457236">
        <w:t>p</w:t>
      </w:r>
      <w:r w:rsidRPr="001E7C00">
        <w:t>lans will need to be taken into account to identify any potential capacity and infrastructure planning needs. Further consideration will need to be given to the link between the urban and rural water cycle and the implications of reduced water availability when planning for new growth and development.</w:t>
      </w:r>
    </w:p>
    <w:p w:rsidR="00856ADA" w:rsidRPr="00966F98" w:rsidRDefault="00856ADA" w:rsidP="00856ADA">
      <w:pPr>
        <w:pStyle w:val="Heading3"/>
        <w:rPr>
          <w:rStyle w:val="Strong"/>
          <w:b/>
        </w:rPr>
      </w:pPr>
      <w:r w:rsidRPr="00966F98">
        <w:rPr>
          <w:rStyle w:val="Strong"/>
          <w:b/>
        </w:rPr>
        <w:lastRenderedPageBreak/>
        <w:t>Irrigation infrastructure</w:t>
      </w:r>
    </w:p>
    <w:p w:rsidR="007A28AE" w:rsidRPr="001E7C00" w:rsidRDefault="00C10CD1" w:rsidP="001E7C00">
      <w:pPr>
        <w:pStyle w:val="bt"/>
      </w:pPr>
      <w:r w:rsidRPr="001E7C00">
        <w:t xml:space="preserve">Irrigation infrastructure </w:t>
      </w:r>
      <w:r w:rsidR="00A1152E" w:rsidRPr="001E7C00">
        <w:t xml:space="preserve">underpins the success of many agricultural activities in the </w:t>
      </w:r>
      <w:r w:rsidR="00CB4F88" w:rsidRPr="001E7C00">
        <w:t xml:space="preserve">Hume </w:t>
      </w:r>
      <w:r w:rsidR="00250DD5" w:rsidRPr="001E7C00">
        <w:t>R</w:t>
      </w:r>
      <w:r w:rsidR="00A1152E" w:rsidRPr="001E7C00">
        <w:t xml:space="preserve">egion, including dairy and horticultural activities. The region’s irrigation infrastructure </w:t>
      </w:r>
      <w:r w:rsidRPr="001E7C00">
        <w:t>is undergoing significant modernisation to improve water delivery and efficiency</w:t>
      </w:r>
      <w:r w:rsidR="00CB4F88" w:rsidRPr="001E7C00">
        <w:t>,</w:t>
      </w:r>
      <w:r w:rsidRPr="001E7C00">
        <w:t xml:space="preserve"> and ultimately save water by reducing significant loss through t</w:t>
      </w:r>
      <w:r w:rsidR="00D225C6" w:rsidRPr="001E7C00">
        <w:t>he ageing system.</w:t>
      </w:r>
      <w:r w:rsidR="00A1152E" w:rsidRPr="001E7C00">
        <w:t xml:space="preserve"> This involves</w:t>
      </w:r>
      <w:r w:rsidR="00E11665" w:rsidRPr="001E7C00">
        <w:t xml:space="preserve"> upgrades to both public and private (on-farm) infrastructure.</w:t>
      </w:r>
      <w:r w:rsidR="00D225C6" w:rsidRPr="001E7C00">
        <w:t xml:space="preserve"> </w:t>
      </w:r>
      <w:r w:rsidRPr="001E7C00">
        <w:t>These upgrades help provide surety for future economic development within the irrigation district</w:t>
      </w:r>
      <w:r w:rsidR="00E11665" w:rsidRPr="001E7C00">
        <w:t>. They also</w:t>
      </w:r>
      <w:r w:rsidRPr="001E7C00">
        <w:t xml:space="preserve"> provide environmental benefits and improve urban water supplies.</w:t>
      </w:r>
      <w:r w:rsidR="00E11665" w:rsidRPr="001E7C00">
        <w:t xml:space="preserve"> Irrigation infrastructure</w:t>
      </w:r>
      <w:r w:rsidR="00D462D5" w:rsidRPr="001E7C00">
        <w:t>,</w:t>
      </w:r>
      <w:r w:rsidR="008E211D" w:rsidRPr="001E7C00">
        <w:t xml:space="preserve"> supported by associated drainage works</w:t>
      </w:r>
      <w:r w:rsidR="00D462D5" w:rsidRPr="001E7C00">
        <w:t>,</w:t>
      </w:r>
      <w:r w:rsidR="00E11665" w:rsidRPr="001E7C00">
        <w:t xml:space="preserve"> is essential for the continued success of the region’s economy.</w:t>
      </w:r>
    </w:p>
    <w:p w:rsidR="00856ADA" w:rsidRPr="00966F98" w:rsidRDefault="00856ADA" w:rsidP="00856ADA">
      <w:pPr>
        <w:pStyle w:val="Heading3"/>
        <w:rPr>
          <w:rStyle w:val="Strong"/>
          <w:b/>
        </w:rPr>
      </w:pPr>
      <w:r w:rsidRPr="00966F98">
        <w:rPr>
          <w:rStyle w:val="Strong"/>
          <w:b/>
        </w:rPr>
        <w:t>Waste</w:t>
      </w:r>
    </w:p>
    <w:p w:rsidR="007A28AE" w:rsidRPr="005A19BB" w:rsidRDefault="005D318C" w:rsidP="001E7C00">
      <w:pPr>
        <w:pStyle w:val="bt"/>
      </w:pPr>
      <w:r w:rsidRPr="001E7C00">
        <w:t xml:space="preserve">The current capacity of existing landfills in the region is 10 to 25 years. Much of the solid waste generated in the northern parts of the </w:t>
      </w:r>
      <w:r w:rsidR="00CB4F88" w:rsidRPr="001E7C00">
        <w:t xml:space="preserve">Hume </w:t>
      </w:r>
      <w:r w:rsidR="00250DD5" w:rsidRPr="001E7C00">
        <w:t>R</w:t>
      </w:r>
      <w:r w:rsidRPr="001E7C00">
        <w:t xml:space="preserve">egion is exported to landfills in </w:t>
      </w:r>
      <w:r w:rsidR="00B753E4" w:rsidRPr="001E7C00">
        <w:t>N</w:t>
      </w:r>
      <w:r w:rsidR="00441A99" w:rsidRPr="001E7C00">
        <w:t>ew</w:t>
      </w:r>
      <w:r w:rsidR="00B753E4" w:rsidRPr="001E7C00">
        <w:t xml:space="preserve"> S</w:t>
      </w:r>
      <w:r w:rsidR="00441A99" w:rsidRPr="001E7C00">
        <w:t>outh</w:t>
      </w:r>
      <w:r w:rsidR="00B753E4" w:rsidRPr="001E7C00">
        <w:t xml:space="preserve"> W</w:t>
      </w:r>
      <w:r w:rsidR="00441A99" w:rsidRPr="001E7C00">
        <w:t>ales</w:t>
      </w:r>
      <w:r w:rsidRPr="001E7C00">
        <w:t xml:space="preserve">. The future viability and environmental sustainability of this arrangement needs to be reviewed to ensure there are adequate waste </w:t>
      </w:r>
      <w:r w:rsidRPr="005A19BB">
        <w:t>facilities to manage the region’s solid waste.</w:t>
      </w:r>
    </w:p>
    <w:p w:rsidR="007A28AE" w:rsidRPr="005A19BB" w:rsidRDefault="004A6558" w:rsidP="001E7C00">
      <w:pPr>
        <w:pStyle w:val="bt"/>
      </w:pPr>
      <w:r w:rsidRPr="005A19BB">
        <w:t xml:space="preserve">The </w:t>
      </w:r>
      <w:r w:rsidR="00CB4F88" w:rsidRPr="005A19BB">
        <w:t xml:space="preserve">Hume </w:t>
      </w:r>
      <w:r w:rsidR="00250DD5" w:rsidRPr="005A19BB">
        <w:t>R</w:t>
      </w:r>
      <w:r w:rsidRPr="005A19BB">
        <w:t xml:space="preserve">egion </w:t>
      </w:r>
      <w:r w:rsidR="005D318C" w:rsidRPr="005A19BB">
        <w:t xml:space="preserve">also </w:t>
      </w:r>
      <w:r w:rsidRPr="005A19BB">
        <w:t xml:space="preserve">contains </w:t>
      </w:r>
      <w:r w:rsidR="00720B41" w:rsidRPr="005A19BB">
        <w:t xml:space="preserve">a number of inactive landfills that may require rehabilitation in the future. </w:t>
      </w:r>
      <w:r w:rsidR="005D318C" w:rsidRPr="005A19BB">
        <w:t>Opportunities present</w:t>
      </w:r>
      <w:r w:rsidR="00CB4F88" w:rsidRPr="005A19BB">
        <w:t>ed</w:t>
      </w:r>
      <w:r w:rsidR="005D318C" w:rsidRPr="005A19BB">
        <w:t xml:space="preserve"> by these sites, such as energy generation, will need further consideration.</w:t>
      </w:r>
    </w:p>
    <w:p w:rsidR="007A28AE" w:rsidRPr="005A19BB" w:rsidRDefault="005D318C" w:rsidP="001E7C00">
      <w:pPr>
        <w:pStyle w:val="bt"/>
      </w:pPr>
      <w:r w:rsidRPr="005A19BB">
        <w:t>As the region’s population and industry grows, there will be an increased demand for waste and resource recovery management within the region. This creates a challenge for securing land for future waste management facilities, including for sorting and processing, recycling and reprocessing, export, reuse and disposal of waste. Any opportunities to establish new industries in this field and to generate energy from waste (including inactive landfills) should be explored and supported.</w:t>
      </w:r>
    </w:p>
    <w:p w:rsidR="008604C2" w:rsidRPr="001E7C00" w:rsidRDefault="005D318C" w:rsidP="001E7C00">
      <w:pPr>
        <w:pStyle w:val="bt"/>
      </w:pPr>
      <w:r w:rsidRPr="005A19BB">
        <w:t>There is a risk that expanding towns could</w:t>
      </w:r>
      <w:r w:rsidR="004D127C" w:rsidRPr="005A19BB">
        <w:t xml:space="preserve"> encroach on </w:t>
      </w:r>
      <w:r w:rsidR="00B30913" w:rsidRPr="005A19BB">
        <w:t>solid waste management and resource recovery</w:t>
      </w:r>
      <w:r w:rsidR="002B456D">
        <w:t xml:space="preserve"> facilities and associated buffers</w:t>
      </w:r>
      <w:r w:rsidR="00CB4F88" w:rsidRPr="005A19BB">
        <w:t xml:space="preserve">, resulting </w:t>
      </w:r>
      <w:r w:rsidR="004D127C" w:rsidRPr="005A19BB">
        <w:t>in c</w:t>
      </w:r>
      <w:r w:rsidRPr="005A19BB">
        <w:t xml:space="preserve">onflicts between </w:t>
      </w:r>
      <w:r w:rsidR="00B30913" w:rsidRPr="005A19BB">
        <w:t xml:space="preserve">these land uses </w:t>
      </w:r>
      <w:r w:rsidRPr="005A19BB">
        <w:t>and incompatible neighbouring land use</w:t>
      </w:r>
      <w:r w:rsidR="004D127C" w:rsidRPr="005A19BB">
        <w:t>s</w:t>
      </w:r>
      <w:r w:rsidRPr="005A19BB">
        <w:t xml:space="preserve"> such as residential development</w:t>
      </w:r>
      <w:r w:rsidR="004D127C" w:rsidRPr="005A19BB">
        <w:t xml:space="preserve">. </w:t>
      </w:r>
      <w:r w:rsidR="00A80B07" w:rsidRPr="005A19BB">
        <w:t xml:space="preserve">To manage </w:t>
      </w:r>
      <w:r w:rsidR="00CB4F88" w:rsidRPr="005A19BB">
        <w:t xml:space="preserve">these </w:t>
      </w:r>
      <w:r w:rsidR="00A80B07" w:rsidRPr="005A19BB">
        <w:t>potential conflicts, w</w:t>
      </w:r>
      <w:r w:rsidR="004D127C" w:rsidRPr="005A19BB">
        <w:t>aste management facilities</w:t>
      </w:r>
      <w:r w:rsidR="00A80B07" w:rsidRPr="005A19BB">
        <w:t xml:space="preserve"> must be considered when planning for growth, including providing and maintaining buffers around these facilities.</w:t>
      </w:r>
    </w:p>
    <w:p w:rsidR="008604C2" w:rsidRDefault="008604C2">
      <w:pPr>
        <w:pStyle w:val="bt"/>
        <w:spacing w:after="200"/>
        <w:jc w:val="both"/>
      </w:pPr>
    </w:p>
    <w:p w:rsidR="005D318C" w:rsidRPr="00A25511" w:rsidRDefault="005D318C" w:rsidP="005D318C">
      <w:pPr>
        <w:pStyle w:val="bt"/>
        <w:jc w:val="both"/>
        <w:sectPr w:rsidR="005D318C" w:rsidRPr="00A25511" w:rsidSect="00AF1A24">
          <w:headerReference w:type="default" r:id="rId30"/>
          <w:pgSz w:w="11906" w:h="16838"/>
          <w:pgMar w:top="1440" w:right="1440" w:bottom="993" w:left="1440" w:header="708" w:footer="708" w:gutter="0"/>
          <w:pgBorders w:offsetFrom="page">
            <w:top w:val="single" w:sz="4" w:space="24" w:color="FFFFFF"/>
            <w:bottom w:val="single" w:sz="4" w:space="24" w:color="FFFFFF"/>
          </w:pgBorders>
          <w:cols w:space="708"/>
          <w:docGrid w:linePitch="360"/>
        </w:sectPr>
      </w:pPr>
    </w:p>
    <w:p w:rsidR="004C47F5" w:rsidRPr="001E7C00" w:rsidRDefault="00CB54A1" w:rsidP="00CB54A1">
      <w:pPr>
        <w:pStyle w:val="Heading1"/>
      </w:pPr>
      <w:bookmarkStart w:id="100" w:name="_Toc336871235"/>
      <w:bookmarkStart w:id="101" w:name="_Toc376945604"/>
      <w:r>
        <w:lastRenderedPageBreak/>
        <w:t>PART D:</w:t>
      </w:r>
      <w:r w:rsidR="004C47F5" w:rsidRPr="001E7C00">
        <w:tab/>
        <w:t>R</w:t>
      </w:r>
      <w:r w:rsidR="009B6188" w:rsidRPr="001E7C00">
        <w:t>EGIONAL</w:t>
      </w:r>
      <w:r w:rsidR="004C47F5" w:rsidRPr="001E7C00">
        <w:t xml:space="preserve"> G</w:t>
      </w:r>
      <w:r w:rsidR="009B6188" w:rsidRPr="001E7C00">
        <w:t>ROWTH</w:t>
      </w:r>
      <w:r w:rsidR="004C47F5" w:rsidRPr="001E7C00">
        <w:t xml:space="preserve"> P</w:t>
      </w:r>
      <w:bookmarkEnd w:id="100"/>
      <w:r w:rsidR="009B6188" w:rsidRPr="001E7C00">
        <w:t>LAN</w:t>
      </w:r>
      <w:bookmarkEnd w:id="101"/>
    </w:p>
    <w:p w:rsidR="004C47F5" w:rsidRPr="001E7C00" w:rsidRDefault="00BB3299" w:rsidP="001E7C00">
      <w:pPr>
        <w:pStyle w:val="bt"/>
      </w:pPr>
      <w:r w:rsidRPr="001E7C00">
        <w:t xml:space="preserve">This part of the </w:t>
      </w:r>
      <w:r w:rsidR="009B4318" w:rsidRPr="00141FA0">
        <w:t>Hume Regional Growth Pl</w:t>
      </w:r>
      <w:r w:rsidRPr="001E7C00">
        <w:t>an brings together all the elements of the regional land use framework (economy, environment and heritage, settlement and regional infrastructure) to identify the plan for growth and change over the next 30 years. It provides direction on where future growth should occur and has been informed by advice, analysis, investigation and stakeholder and community feedback.</w:t>
      </w:r>
    </w:p>
    <w:p w:rsidR="004C47F5" w:rsidRPr="001E7C00" w:rsidRDefault="004C47F5" w:rsidP="001E7C00">
      <w:pPr>
        <w:pStyle w:val="Heading11"/>
      </w:pPr>
      <w:bookmarkStart w:id="102" w:name="_Toc336871236"/>
      <w:bookmarkStart w:id="103" w:name="_Toc376945605"/>
      <w:r w:rsidRPr="001E7C00">
        <w:t xml:space="preserve">Future </w:t>
      </w:r>
      <w:r w:rsidR="00544995" w:rsidRPr="001E7C00">
        <w:t>d</w:t>
      </w:r>
      <w:r w:rsidRPr="001E7C00">
        <w:t xml:space="preserve">irections for </w:t>
      </w:r>
      <w:r w:rsidR="00544995" w:rsidRPr="001E7C00">
        <w:t>r</w:t>
      </w:r>
      <w:r w:rsidRPr="001E7C00">
        <w:t xml:space="preserve">egional </w:t>
      </w:r>
      <w:r w:rsidR="00544995" w:rsidRPr="001E7C00">
        <w:t>g</w:t>
      </w:r>
      <w:r w:rsidRPr="001E7C00">
        <w:t>rowth</w:t>
      </w:r>
      <w:bookmarkEnd w:id="102"/>
      <w:bookmarkEnd w:id="103"/>
    </w:p>
    <w:p w:rsidR="00440E5F" w:rsidRPr="00D454E6" w:rsidRDefault="00BB3299" w:rsidP="00D454E6">
      <w:pPr>
        <w:pStyle w:val="bt"/>
        <w:rPr>
          <w:szCs w:val="20"/>
        </w:rPr>
      </w:pPr>
      <w:r w:rsidRPr="00D454E6">
        <w:t xml:space="preserve">The overarching objective of this </w:t>
      </w:r>
      <w:r w:rsidR="00D36385" w:rsidRPr="00D454E6">
        <w:t>p</w:t>
      </w:r>
      <w:r w:rsidRPr="00D454E6">
        <w:t xml:space="preserve">lan is to ensure growth and change is managed to capitalise on the </w:t>
      </w:r>
      <w:r w:rsidR="000B6C62" w:rsidRPr="00D454E6">
        <w:t xml:space="preserve">Hume </w:t>
      </w:r>
      <w:r w:rsidR="00644C0D" w:rsidRPr="00D454E6">
        <w:t>R</w:t>
      </w:r>
      <w:r w:rsidRPr="00D454E6">
        <w:t xml:space="preserve">egion’s </w:t>
      </w:r>
      <w:r w:rsidR="00235221" w:rsidRPr="00D454E6">
        <w:rPr>
          <w:szCs w:val="20"/>
        </w:rPr>
        <w:t>competitive advantages, opportunities and strengths by:</w:t>
      </w:r>
    </w:p>
    <w:p w:rsidR="00440E5F" w:rsidRPr="001E7C00" w:rsidRDefault="000B6C62" w:rsidP="007764A3">
      <w:pPr>
        <w:pStyle w:val="btbullet"/>
      </w:pPr>
      <w:r w:rsidRPr="001E7C00">
        <w:t>s</w:t>
      </w:r>
      <w:r w:rsidR="00806881" w:rsidRPr="001E7C00">
        <w:t>upporting the</w:t>
      </w:r>
      <w:r w:rsidR="00440E5F" w:rsidRPr="001E7C00">
        <w:t xml:space="preserve"> development of a more diverse regional economy while managing and enhanci</w:t>
      </w:r>
      <w:r w:rsidR="00604BB0" w:rsidRPr="001E7C00">
        <w:t>ng key regional economic assets</w:t>
      </w:r>
    </w:p>
    <w:p w:rsidR="00440E5F" w:rsidRPr="001E7C00" w:rsidRDefault="000B6C62" w:rsidP="007764A3">
      <w:pPr>
        <w:pStyle w:val="btbullet"/>
      </w:pPr>
      <w:r w:rsidRPr="001E7C00">
        <w:t>p</w:t>
      </w:r>
      <w:r w:rsidR="002E6D30" w:rsidRPr="001E7C00">
        <w:t>rotect</w:t>
      </w:r>
      <w:r w:rsidR="00604BB0" w:rsidRPr="001E7C00">
        <w:t>ing</w:t>
      </w:r>
      <w:r w:rsidR="002E6D30" w:rsidRPr="001E7C00">
        <w:t xml:space="preserve"> environmental </w:t>
      </w:r>
      <w:r w:rsidR="00D003CE" w:rsidRPr="001E7C00">
        <w:t xml:space="preserve">and heritage </w:t>
      </w:r>
      <w:r w:rsidR="002E6D30" w:rsidRPr="001E7C00">
        <w:t>assets and maximis</w:t>
      </w:r>
      <w:r w:rsidR="00604BB0" w:rsidRPr="001E7C00">
        <w:t>ing</w:t>
      </w:r>
      <w:r w:rsidR="002E6D30" w:rsidRPr="001E7C00">
        <w:t xml:space="preserve"> the regional benefit from them, </w:t>
      </w:r>
      <w:r w:rsidR="00523B5D" w:rsidRPr="001E7C00">
        <w:t>whil</w:t>
      </w:r>
      <w:r w:rsidR="00523B5D">
        <w:t>e</w:t>
      </w:r>
      <w:r w:rsidR="00523B5D" w:rsidRPr="001E7C00">
        <w:t xml:space="preserve"> </w:t>
      </w:r>
      <w:r w:rsidR="000925D8" w:rsidRPr="001E7C00">
        <w:t xml:space="preserve">managing exposure to </w:t>
      </w:r>
      <w:r w:rsidR="002E6D30" w:rsidRPr="001E7C00">
        <w:t xml:space="preserve">natural hazards and </w:t>
      </w:r>
      <w:r w:rsidR="000925D8" w:rsidRPr="001E7C00">
        <w:t>planning for the</w:t>
      </w:r>
      <w:r w:rsidR="002E6D30" w:rsidRPr="001E7C00">
        <w:t xml:space="preserve"> poten</w:t>
      </w:r>
      <w:r w:rsidR="00604BB0" w:rsidRPr="001E7C00">
        <w:t>tial impacts of climate change</w:t>
      </w:r>
    </w:p>
    <w:p w:rsidR="00440E5F" w:rsidRPr="001E7C00" w:rsidRDefault="000B6C62" w:rsidP="007764A3">
      <w:pPr>
        <w:pStyle w:val="btbullet"/>
      </w:pPr>
      <w:r w:rsidRPr="001E7C00">
        <w:t>f</w:t>
      </w:r>
      <w:r w:rsidR="00440E5F" w:rsidRPr="001E7C00">
        <w:t>ocusing growth and development to maximise the strengths of existing settlements</w:t>
      </w:r>
    </w:p>
    <w:p w:rsidR="00440E5F" w:rsidRPr="001E7C00" w:rsidRDefault="000B6C62" w:rsidP="007764A3">
      <w:pPr>
        <w:pStyle w:val="btbullet"/>
      </w:pPr>
      <w:proofErr w:type="gramStart"/>
      <w:r w:rsidRPr="001E7C00">
        <w:t>s</w:t>
      </w:r>
      <w:r w:rsidR="00440E5F" w:rsidRPr="001E7C00">
        <w:t>upporting</w:t>
      </w:r>
      <w:proofErr w:type="gramEnd"/>
      <w:r w:rsidR="00440E5F" w:rsidRPr="001E7C00">
        <w:t xml:space="preserve"> the improvement of people and freight movement and planning strategically for future infrastructure needs.</w:t>
      </w:r>
    </w:p>
    <w:p w:rsidR="00440E5F" w:rsidRPr="001E7C00" w:rsidRDefault="000B6C62" w:rsidP="001E7C00">
      <w:pPr>
        <w:pStyle w:val="bt"/>
      </w:pPr>
      <w:r w:rsidRPr="001E7C00">
        <w:t xml:space="preserve">The following overarching principles will </w:t>
      </w:r>
      <w:r w:rsidR="00F04E51" w:rsidRPr="001E7C00">
        <w:t xml:space="preserve">help </w:t>
      </w:r>
      <w:r w:rsidR="00083093" w:rsidRPr="001E7C00">
        <w:t xml:space="preserve">achieve the vision for the </w:t>
      </w:r>
      <w:r w:rsidRPr="001E7C00">
        <w:t xml:space="preserve">Hume </w:t>
      </w:r>
      <w:r w:rsidR="00644C0D" w:rsidRPr="001E7C00">
        <w:t>R</w:t>
      </w:r>
      <w:r w:rsidR="00083093" w:rsidRPr="001E7C00">
        <w:t xml:space="preserve">egion (as identified in </w:t>
      </w:r>
      <w:r w:rsidR="001E3654">
        <w:t>Section</w:t>
      </w:r>
      <w:r w:rsidR="00083093" w:rsidRPr="001E7C00">
        <w:t xml:space="preserve"> </w:t>
      </w:r>
      <w:r w:rsidR="00983401">
        <w:t>10</w:t>
      </w:r>
      <w:r w:rsidR="00083093" w:rsidRPr="001E7C00">
        <w:t>)</w:t>
      </w:r>
      <w:r w:rsidR="00BB3299" w:rsidRPr="001E7C00">
        <w:t>:</w:t>
      </w:r>
    </w:p>
    <w:p w:rsidR="00440E5F" w:rsidRPr="001E7C00" w:rsidRDefault="000B6C62" w:rsidP="007764A3">
      <w:pPr>
        <w:pStyle w:val="btbullet"/>
      </w:pPr>
      <w:r w:rsidRPr="001E7C00">
        <w:t>e</w:t>
      </w:r>
      <w:r w:rsidR="00BB3299" w:rsidRPr="001E7C00">
        <w:t>fficient and sustainable settlements</w:t>
      </w:r>
    </w:p>
    <w:p w:rsidR="00440E5F" w:rsidRPr="001E7C00" w:rsidRDefault="000B6C62" w:rsidP="007764A3">
      <w:pPr>
        <w:pStyle w:val="btbullet"/>
      </w:pPr>
      <w:r w:rsidRPr="001E7C00">
        <w:t>h</w:t>
      </w:r>
      <w:r w:rsidR="00A716B7" w:rsidRPr="001E7C00">
        <w:t>ealthy, vibrant, resilient communities</w:t>
      </w:r>
    </w:p>
    <w:p w:rsidR="00440E5F" w:rsidRPr="001E7C00" w:rsidRDefault="000B6C62" w:rsidP="007764A3">
      <w:pPr>
        <w:pStyle w:val="btbullet"/>
      </w:pPr>
      <w:r w:rsidRPr="001E7C00">
        <w:t>a</w:t>
      </w:r>
      <w:r w:rsidR="00A716B7" w:rsidRPr="001E7C00">
        <w:t xml:space="preserve"> mobile and connected region</w:t>
      </w:r>
    </w:p>
    <w:p w:rsidR="00440E5F" w:rsidRPr="001E7C00" w:rsidRDefault="000B6C62" w:rsidP="007764A3">
      <w:pPr>
        <w:pStyle w:val="btbullet"/>
      </w:pPr>
      <w:r w:rsidRPr="001E7C00">
        <w:t>a</w:t>
      </w:r>
      <w:r w:rsidR="00A716B7" w:rsidRPr="001E7C00">
        <w:t xml:space="preserve"> thriving and dynamic economy</w:t>
      </w:r>
    </w:p>
    <w:p w:rsidR="00440E5F" w:rsidRPr="001E7C00" w:rsidRDefault="000B6C62" w:rsidP="007764A3">
      <w:pPr>
        <w:pStyle w:val="btbullet"/>
      </w:pPr>
      <w:r w:rsidRPr="001E7C00">
        <w:t>s</w:t>
      </w:r>
      <w:r w:rsidR="00BB3299" w:rsidRPr="001E7C00">
        <w:t xml:space="preserve">ustainable rural </w:t>
      </w:r>
      <w:r w:rsidR="00A716B7" w:rsidRPr="001E7C00">
        <w:t>areas</w:t>
      </w:r>
    </w:p>
    <w:p w:rsidR="00440E5F" w:rsidRPr="001E7C00" w:rsidRDefault="000B6C62" w:rsidP="007764A3">
      <w:pPr>
        <w:pStyle w:val="btbullet"/>
      </w:pPr>
      <w:proofErr w:type="gramStart"/>
      <w:r w:rsidRPr="001E7C00">
        <w:t>a</w:t>
      </w:r>
      <w:proofErr w:type="gramEnd"/>
      <w:r w:rsidR="00BB3299" w:rsidRPr="001E7C00">
        <w:t xml:space="preserve"> healthy environment</w:t>
      </w:r>
      <w:r w:rsidR="00A716B7" w:rsidRPr="001E7C00">
        <w:t xml:space="preserve"> and a celebrated heritage</w:t>
      </w:r>
      <w:r w:rsidR="00604BB0" w:rsidRPr="001E7C00">
        <w:t>.</w:t>
      </w:r>
    </w:p>
    <w:p w:rsidR="007563A9" w:rsidRPr="001E7C00" w:rsidRDefault="00083093" w:rsidP="001E7C00">
      <w:pPr>
        <w:pStyle w:val="bt"/>
      </w:pPr>
      <w:r w:rsidRPr="001E7C00">
        <w:t xml:space="preserve">These principles underpin the strategies identified in </w:t>
      </w:r>
      <w:r w:rsidR="00983401">
        <w:t xml:space="preserve">Table </w:t>
      </w:r>
      <w:r w:rsidR="00CC63B5">
        <w:t>4</w:t>
      </w:r>
      <w:r w:rsidRPr="001E7C00">
        <w:t>.</w:t>
      </w:r>
      <w:r w:rsidR="00BB3299" w:rsidRPr="001E7C00">
        <w:t xml:space="preserve"> </w:t>
      </w:r>
      <w:r w:rsidRPr="001E7C00">
        <w:t>These</w:t>
      </w:r>
      <w:r w:rsidR="00BB3299" w:rsidRPr="001E7C00">
        <w:t xml:space="preserve"> strategies </w:t>
      </w:r>
      <w:r w:rsidRPr="001E7C00">
        <w:t xml:space="preserve">have been </w:t>
      </w:r>
      <w:r w:rsidR="00BB3299" w:rsidRPr="001E7C00">
        <w:t xml:space="preserve">developed to achieve </w:t>
      </w:r>
      <w:r w:rsidR="00297950" w:rsidRPr="001E7C00">
        <w:t xml:space="preserve">the </w:t>
      </w:r>
      <w:r w:rsidR="00BB3299" w:rsidRPr="001E7C00">
        <w:t>objective</w:t>
      </w:r>
      <w:r w:rsidRPr="001E7C00">
        <w:t xml:space="preserve"> above</w:t>
      </w:r>
      <w:r w:rsidR="00BB3299" w:rsidRPr="001E7C00">
        <w:t xml:space="preserve"> through the future directions described in </w:t>
      </w:r>
      <w:r w:rsidRPr="001E7C00">
        <w:t>Part C</w:t>
      </w:r>
      <w:r w:rsidR="00BB3299" w:rsidRPr="001E7C00">
        <w:t xml:space="preserve"> of this </w:t>
      </w:r>
      <w:r w:rsidR="00D36385" w:rsidRPr="001E7C00">
        <w:t>p</w:t>
      </w:r>
      <w:r w:rsidR="00D462D5" w:rsidRPr="001E7C00">
        <w:t xml:space="preserve">lan </w:t>
      </w:r>
      <w:r w:rsidRPr="001E7C00">
        <w:t xml:space="preserve">(and referenced in </w:t>
      </w:r>
      <w:r w:rsidR="00983401">
        <w:t xml:space="preserve">Table </w:t>
      </w:r>
      <w:r w:rsidR="00CC63B5">
        <w:t>4</w:t>
      </w:r>
      <w:r w:rsidRPr="001E7C00">
        <w:t>)</w:t>
      </w:r>
      <w:r w:rsidR="00BB3299" w:rsidRPr="001E7C00">
        <w:t>.</w:t>
      </w:r>
      <w:r w:rsidR="00044C8A" w:rsidRPr="001E7C00">
        <w:t xml:space="preserve"> The strategies apply specifically to the Hume Region and should be considered in conjunction with broader strategies included in the State Planning Policy Framework</w:t>
      </w:r>
      <w:r w:rsidR="00523B5D">
        <w:t>,</w:t>
      </w:r>
      <w:r w:rsidR="00044C8A" w:rsidRPr="001E7C00">
        <w:t xml:space="preserve"> </w:t>
      </w:r>
      <w:r w:rsidR="0049281C" w:rsidRPr="001E7C00">
        <w:t xml:space="preserve">which </w:t>
      </w:r>
      <w:r w:rsidR="00523B5D">
        <w:t>applies</w:t>
      </w:r>
      <w:r w:rsidR="00523B5D" w:rsidRPr="001E7C00">
        <w:t xml:space="preserve"> </w:t>
      </w:r>
      <w:r w:rsidR="00044C8A" w:rsidRPr="001E7C00">
        <w:t xml:space="preserve">to the entire </w:t>
      </w:r>
      <w:r w:rsidR="000B6C62" w:rsidRPr="001E7C00">
        <w:t>s</w:t>
      </w:r>
      <w:r w:rsidR="0049281C" w:rsidRPr="001E7C00">
        <w:t>tate</w:t>
      </w:r>
      <w:r w:rsidR="00044C8A" w:rsidRPr="001E7C00">
        <w:t>.</w:t>
      </w:r>
    </w:p>
    <w:p w:rsidR="008604C2" w:rsidRPr="001E7C00" w:rsidRDefault="00AF799A" w:rsidP="001E7C00">
      <w:pPr>
        <w:pStyle w:val="bt"/>
      </w:pPr>
      <w:r>
        <w:t>Map 18 p</w:t>
      </w:r>
      <w:r w:rsidR="008604C2" w:rsidRPr="001E7C00">
        <w:t>rovides a broad spatial representation of key future directions for growth in the Hume Region with a brief description of key elements</w:t>
      </w:r>
      <w:r w:rsidR="001E7C00">
        <w:t>.</w:t>
      </w:r>
    </w:p>
    <w:p w:rsidR="00BD7B1F" w:rsidRPr="00BD7B1F" w:rsidRDefault="00BD7B1F" w:rsidP="00674FA7">
      <w:pPr>
        <w:pStyle w:val="Caption"/>
      </w:pPr>
      <w:bookmarkStart w:id="104" w:name="_Ref347328911"/>
      <w:bookmarkStart w:id="105" w:name="_Toc373414223"/>
      <w:r w:rsidRPr="00BD7B1F">
        <w:t xml:space="preserve">Table </w:t>
      </w:r>
      <w:r w:rsidR="005F523F">
        <w:fldChar w:fldCharType="begin"/>
      </w:r>
      <w:r w:rsidR="008E0CEC">
        <w:instrText xml:space="preserve"> SEQ Table \* ARABIC </w:instrText>
      </w:r>
      <w:r w:rsidR="005F523F">
        <w:fldChar w:fldCharType="separate"/>
      </w:r>
      <w:r w:rsidR="006A067A">
        <w:t>4</w:t>
      </w:r>
      <w:r w:rsidR="005F523F">
        <w:fldChar w:fldCharType="end"/>
      </w:r>
      <w:bookmarkEnd w:id="104"/>
      <w:r w:rsidRPr="00BD7B1F">
        <w:t xml:space="preserve">: </w:t>
      </w:r>
      <w:r w:rsidRPr="00217B20">
        <w:rPr>
          <w:b w:val="0"/>
        </w:rPr>
        <w:t>Strategies</w:t>
      </w:r>
      <w:bookmarkEnd w:id="105"/>
    </w:p>
    <w:p w:rsidR="008E2381" w:rsidRPr="0076015E" w:rsidRDefault="008E2381" w:rsidP="0076015E">
      <w:pPr>
        <w:pStyle w:val="Heading5"/>
        <w:rPr>
          <w:rStyle w:val="Strong"/>
          <w:rFonts w:ascii="Calibri" w:eastAsiaTheme="majorEastAsia" w:hAnsi="Calibri" w:cstheme="majorBidi"/>
          <w:b/>
          <w:bCs w:val="0"/>
          <w:sz w:val="22"/>
        </w:rPr>
      </w:pPr>
      <w:bookmarkStart w:id="106" w:name="_Ref347488002"/>
      <w:r w:rsidRPr="0076015E">
        <w:rPr>
          <w:rStyle w:val="Strong"/>
          <w:rFonts w:ascii="Calibri" w:eastAsiaTheme="majorEastAsia" w:hAnsi="Calibri" w:cstheme="majorBidi"/>
          <w:b/>
          <w:bCs w:val="0"/>
          <w:sz w:val="22"/>
        </w:rPr>
        <w:t>Regional economy – Supporting the development of a more diverse regional economy while managing and enhancing key regional economic assets</w:t>
      </w:r>
    </w:p>
    <w:p w:rsidR="008E2381" w:rsidRDefault="008E2381" w:rsidP="0076015E">
      <w:pPr>
        <w:pStyle w:val="bt"/>
      </w:pPr>
      <w:r w:rsidRPr="00685440">
        <w:t>Plan for a more diverse and sustainable regional economy by supporting existing economic activity and encouraging appropriate new and developing forms of industry, agriculture, tourism and alternative energy production</w:t>
      </w:r>
    </w:p>
    <w:p w:rsidR="008E2381" w:rsidRPr="008E2381" w:rsidRDefault="008E2381" w:rsidP="008E2381">
      <w:pPr>
        <w:pStyle w:val="bt"/>
        <w:rPr>
          <w:rStyle w:val="Strong"/>
        </w:rPr>
      </w:pPr>
      <w:r w:rsidRPr="008E2381">
        <w:rPr>
          <w:rStyle w:val="Strong"/>
        </w:rPr>
        <w:t>Reference to future directions (Part C): 11.1–11.3</w:t>
      </w:r>
    </w:p>
    <w:p w:rsidR="008E2381" w:rsidRDefault="008E2381" w:rsidP="008E2381">
      <w:pPr>
        <w:pStyle w:val="bt"/>
        <w:rPr>
          <w:rStyle w:val="Emphasis"/>
          <w:rFonts w:ascii="Arial Narrow" w:hAnsi="Arial Narrow"/>
          <w:i w:val="0"/>
          <w:iCs w:val="0"/>
        </w:rPr>
      </w:pPr>
      <w:r w:rsidRPr="00685440">
        <w:t>Contribute to the attraction of new investment and increased economic development by providing an adequate supply of land, water, physical and social infrastructure, technology, transport, a skilled workforce, quality education and affordable housing</w:t>
      </w:r>
    </w:p>
    <w:p w:rsidR="008E2381" w:rsidRPr="008E2381" w:rsidRDefault="008E2381" w:rsidP="008E2381">
      <w:pPr>
        <w:pStyle w:val="bt"/>
        <w:rPr>
          <w:rStyle w:val="Strong"/>
        </w:rPr>
      </w:pPr>
      <w:r w:rsidRPr="008E2381">
        <w:rPr>
          <w:rStyle w:val="Strong"/>
        </w:rPr>
        <w:lastRenderedPageBreak/>
        <w:t>Reference to future directions (Part C): 11.1 (a</w:t>
      </w:r>
      <w:r w:rsidR="00611995" w:rsidRPr="008E2381">
        <w:rPr>
          <w:rStyle w:val="Strong"/>
        </w:rPr>
        <w:t>) (</w:t>
      </w:r>
      <w:r w:rsidRPr="008E2381">
        <w:rPr>
          <w:rStyle w:val="Strong"/>
        </w:rPr>
        <w:t>b</w:t>
      </w:r>
      <w:r w:rsidR="00611995" w:rsidRPr="008E2381">
        <w:rPr>
          <w:rStyle w:val="Strong"/>
        </w:rPr>
        <w:t>) (</w:t>
      </w:r>
      <w:r w:rsidRPr="008E2381">
        <w:rPr>
          <w:rStyle w:val="Strong"/>
        </w:rPr>
        <w:t>d)</w:t>
      </w:r>
    </w:p>
    <w:p w:rsidR="008E2381" w:rsidRDefault="008E2381" w:rsidP="008E2381">
      <w:pPr>
        <w:pStyle w:val="bt"/>
      </w:pPr>
      <w:r w:rsidRPr="005D796E">
        <w:t xml:space="preserve">Support tourism activities (including nature-based tourism) that take advantage of environmental </w:t>
      </w:r>
      <w:r>
        <w:t xml:space="preserve">and cultural heritage </w:t>
      </w:r>
      <w:r w:rsidRPr="005D796E">
        <w:t>assets and the rural environment without compromising the future of these assets</w:t>
      </w:r>
      <w:r>
        <w:t xml:space="preserve"> </w:t>
      </w:r>
    </w:p>
    <w:p w:rsidR="008E2381" w:rsidRPr="008E2381" w:rsidRDefault="008E2381" w:rsidP="008E2381">
      <w:pPr>
        <w:pStyle w:val="bt"/>
        <w:rPr>
          <w:rStyle w:val="Strong"/>
        </w:rPr>
      </w:pPr>
      <w:r w:rsidRPr="008E2381">
        <w:rPr>
          <w:rStyle w:val="Strong"/>
        </w:rPr>
        <w:t>Reference to future directions (Part C): 11.1 (e), 12.2</w:t>
      </w:r>
    </w:p>
    <w:p w:rsidR="008E2381" w:rsidRDefault="008E2381" w:rsidP="008E2381">
      <w:pPr>
        <w:pStyle w:val="bt"/>
      </w:pPr>
      <w:r w:rsidRPr="00873181">
        <w:t>Support opportunities for nature-based tourism throughout the region, including those arising from the restoration of the Winton Wetlands and other wetlands of national and regional value such as the Barmah Forest and the lower Ovens River</w:t>
      </w:r>
    </w:p>
    <w:p w:rsidR="008E2381" w:rsidRPr="008E2381" w:rsidRDefault="008E2381" w:rsidP="008E2381">
      <w:pPr>
        <w:pStyle w:val="bt"/>
        <w:rPr>
          <w:rStyle w:val="Strong"/>
        </w:rPr>
      </w:pPr>
      <w:r w:rsidRPr="008E2381">
        <w:rPr>
          <w:rStyle w:val="Strong"/>
        </w:rPr>
        <w:t>Reference to future directions (Part C): 11.1 (e), 12.1 (c)</w:t>
      </w:r>
    </w:p>
    <w:p w:rsidR="008E2381" w:rsidRDefault="008E2381" w:rsidP="008E2381">
      <w:pPr>
        <w:pStyle w:val="bt"/>
      </w:pPr>
      <w:r w:rsidRPr="005D796E">
        <w:t>Direct large commercial tourism uses to urban locations or to rural areas of lower agricultural value and away from areas identified as strategic agricultural land (</w:t>
      </w:r>
      <w:r>
        <w:t>n</w:t>
      </w:r>
      <w:r w:rsidRPr="005D796E">
        <w:t>ational/</w:t>
      </w:r>
      <w:r>
        <w:t>s</w:t>
      </w:r>
      <w:r w:rsidRPr="005D796E">
        <w:t xml:space="preserve">tate, regional and </w:t>
      </w:r>
      <w:r>
        <w:t>sub-region</w:t>
      </w:r>
      <w:r w:rsidRPr="005D796E">
        <w:t>al</w:t>
      </w:r>
      <w:r>
        <w:t xml:space="preserve">) </w:t>
      </w:r>
    </w:p>
    <w:p w:rsidR="008E2381" w:rsidRPr="008E2381" w:rsidRDefault="008E2381" w:rsidP="008E2381">
      <w:pPr>
        <w:pStyle w:val="bt"/>
        <w:rPr>
          <w:rStyle w:val="Strong"/>
        </w:rPr>
      </w:pPr>
      <w:r>
        <w:rPr>
          <w:rStyle w:val="Strong"/>
        </w:rPr>
        <w:t>Reference to future directions (Part C):</w:t>
      </w:r>
      <w:r w:rsidRPr="008E2381">
        <w:rPr>
          <w:rStyle w:val="Strong"/>
        </w:rPr>
        <w:t xml:space="preserve"> 11.2 (a)</w:t>
      </w:r>
    </w:p>
    <w:p w:rsidR="008E2381" w:rsidRDefault="008E2381" w:rsidP="008E2381">
      <w:pPr>
        <w:pStyle w:val="bt"/>
      </w:pPr>
      <w:r w:rsidRPr="005D796E">
        <w:t xml:space="preserve">Consider the directions in the </w:t>
      </w:r>
      <w:r w:rsidRPr="000667D7">
        <w:t>Hume Regional Rural Land Use Study</w:t>
      </w:r>
      <w:r w:rsidRPr="000B6C62">
        <w:t xml:space="preserve"> (2012</w:t>
      </w:r>
      <w:r w:rsidRPr="005D796E">
        <w:t>) when planning for land use in rural areas</w:t>
      </w:r>
      <w:r>
        <w:t xml:space="preserve"> </w:t>
      </w:r>
    </w:p>
    <w:p w:rsidR="008E2381" w:rsidRPr="008E2381" w:rsidRDefault="008E2381" w:rsidP="008E2381">
      <w:pPr>
        <w:pStyle w:val="bt"/>
        <w:rPr>
          <w:rStyle w:val="Strong"/>
        </w:rPr>
      </w:pPr>
      <w:r w:rsidRPr="008E2381">
        <w:rPr>
          <w:rStyle w:val="Strong"/>
        </w:rPr>
        <w:t>Reference to future directions (Part C): 11.1 (e), 11.2 (a), 13.3 (a)</w:t>
      </w:r>
    </w:p>
    <w:p w:rsidR="008E2381" w:rsidRPr="006F407A" w:rsidRDefault="008E2381" w:rsidP="008E2381">
      <w:pPr>
        <w:pStyle w:val="bt"/>
      </w:pPr>
      <w:r w:rsidRPr="005D796E">
        <w:t>In areas identified as strategic agricultural land (</w:t>
      </w:r>
      <w:r>
        <w:t>n</w:t>
      </w:r>
      <w:r w:rsidRPr="005D796E">
        <w:t>ational/</w:t>
      </w:r>
      <w:r>
        <w:t>s</w:t>
      </w:r>
      <w:r w:rsidRPr="005D796E">
        <w:t xml:space="preserve">tate, regional </w:t>
      </w:r>
      <w:r>
        <w:t>or</w:t>
      </w:r>
      <w:r w:rsidRPr="005D796E">
        <w:t xml:space="preserve"> </w:t>
      </w:r>
      <w:r>
        <w:t>sub-region</w:t>
      </w:r>
      <w:r w:rsidRPr="005D796E">
        <w:t>al):</w:t>
      </w:r>
    </w:p>
    <w:p w:rsidR="008E2381" w:rsidRDefault="008E2381" w:rsidP="008E2381">
      <w:pPr>
        <w:pStyle w:val="btbullet"/>
      </w:pPr>
      <w:r w:rsidRPr="005D796E">
        <w:t>avoid encroachment from rural residential settlement and other land uses that are non-complementary to agriculture</w:t>
      </w:r>
    </w:p>
    <w:p w:rsidR="008E2381" w:rsidRDefault="008E2381" w:rsidP="008E2381">
      <w:pPr>
        <w:pStyle w:val="btbullet"/>
      </w:pPr>
      <w:r w:rsidRPr="005D796E">
        <w:t>direct proposals for settlement in these areas to existing centres and townships</w:t>
      </w:r>
      <w:r>
        <w:t xml:space="preserve"> </w:t>
      </w:r>
    </w:p>
    <w:p w:rsidR="008E2381" w:rsidRPr="008E2381" w:rsidRDefault="008E2381" w:rsidP="008E2381">
      <w:pPr>
        <w:pStyle w:val="bt"/>
        <w:rPr>
          <w:rStyle w:val="Strong"/>
        </w:rPr>
      </w:pPr>
      <w:r>
        <w:rPr>
          <w:rStyle w:val="Strong"/>
        </w:rPr>
        <w:t>Reference to future directions (Part C):</w:t>
      </w:r>
      <w:r w:rsidRPr="008E2381">
        <w:rPr>
          <w:rStyle w:val="Strong"/>
        </w:rPr>
        <w:t xml:space="preserve"> 11.2 (a)</w:t>
      </w:r>
    </w:p>
    <w:p w:rsidR="008E2381" w:rsidRDefault="008E2381" w:rsidP="008E2381">
      <w:pPr>
        <w:pStyle w:val="bt"/>
        <w:rPr>
          <w:b/>
          <w:bCs/>
        </w:rPr>
      </w:pPr>
      <w:r w:rsidRPr="005D796E">
        <w:t>Support agricultural production through the protection and enhancement of infrastructure and strategic resources such as water and agricultural land</w:t>
      </w:r>
      <w:r>
        <w:t xml:space="preserve">, </w:t>
      </w:r>
      <w:r w:rsidRPr="005D796E">
        <w:t xml:space="preserve">including areas of strategic agricultural significance identified in this </w:t>
      </w:r>
      <w:r>
        <w:t>p</w:t>
      </w:r>
      <w:r w:rsidRPr="005D796E">
        <w:t>lan</w:t>
      </w:r>
    </w:p>
    <w:p w:rsidR="008E2381" w:rsidRPr="008E2381" w:rsidRDefault="008E2381" w:rsidP="008E2381">
      <w:pPr>
        <w:pStyle w:val="bt"/>
        <w:rPr>
          <w:rStyle w:val="Strong"/>
        </w:rPr>
      </w:pPr>
      <w:r w:rsidRPr="008E2381">
        <w:rPr>
          <w:rStyle w:val="Strong"/>
        </w:rPr>
        <w:t>Reference to future directions (Part C): 11.2 (a</w:t>
      </w:r>
      <w:r w:rsidR="00611995" w:rsidRPr="008E2381">
        <w:rPr>
          <w:rStyle w:val="Strong"/>
        </w:rPr>
        <w:t>) (</w:t>
      </w:r>
      <w:r w:rsidRPr="008E2381">
        <w:rPr>
          <w:rStyle w:val="Strong"/>
        </w:rPr>
        <w:t>e</w:t>
      </w:r>
      <w:r w:rsidR="00611995" w:rsidRPr="008E2381">
        <w:rPr>
          <w:rStyle w:val="Strong"/>
        </w:rPr>
        <w:t>) (</w:t>
      </w:r>
      <w:r w:rsidRPr="008E2381">
        <w:rPr>
          <w:rStyle w:val="Strong"/>
        </w:rPr>
        <w:t>f</w:t>
      </w:r>
      <w:r w:rsidR="00611995" w:rsidRPr="008E2381">
        <w:rPr>
          <w:rStyle w:val="Strong"/>
        </w:rPr>
        <w:t>) (</w:t>
      </w:r>
      <w:r w:rsidRPr="008E2381">
        <w:rPr>
          <w:rStyle w:val="Strong"/>
        </w:rPr>
        <w:t>h), 12.1 (c), 14.3 (a)</w:t>
      </w:r>
    </w:p>
    <w:p w:rsidR="008E2381" w:rsidRPr="006F407A" w:rsidRDefault="008E2381" w:rsidP="00001B25">
      <w:pPr>
        <w:pStyle w:val="bt"/>
      </w:pPr>
      <w:r w:rsidRPr="005D796E">
        <w:t>Support industrial uses and intensive agricultural processing by:</w:t>
      </w:r>
    </w:p>
    <w:p w:rsidR="008E2381" w:rsidRDefault="008E2381" w:rsidP="008E2381">
      <w:pPr>
        <w:pStyle w:val="btbullet"/>
      </w:pPr>
      <w:r w:rsidRPr="005D796E">
        <w:t>strategically planning for new uses including considering how to manage potential environmental impacts</w:t>
      </w:r>
    </w:p>
    <w:p w:rsidR="008E2381" w:rsidRDefault="008E2381" w:rsidP="008E2381">
      <w:pPr>
        <w:pStyle w:val="btbullet"/>
      </w:pPr>
      <w:r w:rsidRPr="005D796E">
        <w:t>preventing encroachment of incompatible uses on existing activities</w:t>
      </w:r>
    </w:p>
    <w:p w:rsidR="008E2381" w:rsidRPr="008E2381" w:rsidRDefault="008E2381" w:rsidP="008E2381">
      <w:pPr>
        <w:pStyle w:val="bt"/>
        <w:rPr>
          <w:rStyle w:val="Strong"/>
        </w:rPr>
      </w:pPr>
      <w:r w:rsidRPr="008E2381">
        <w:rPr>
          <w:rStyle w:val="Strong"/>
        </w:rPr>
        <w:t>Reference to future directions (Part C): 11.1 (b), 11.2 (b)</w:t>
      </w:r>
    </w:p>
    <w:p w:rsidR="008E2381" w:rsidRDefault="008E2381" w:rsidP="008E2381">
      <w:pPr>
        <w:pStyle w:val="bt"/>
      </w:pPr>
      <w:r w:rsidRPr="00BF336B">
        <w:t>Encourage clustering of intensive rural industries, including agricultural production, to take advantage of locational opportunities including access to key infrastructure such as transport, power, water, information and communications technology, and separa</w:t>
      </w:r>
      <w:r>
        <w:t>tion from sensitive land uses</w:t>
      </w:r>
    </w:p>
    <w:p w:rsidR="008E2381" w:rsidRPr="008E2381" w:rsidRDefault="008E2381" w:rsidP="008E2381">
      <w:pPr>
        <w:pStyle w:val="bt"/>
        <w:rPr>
          <w:rStyle w:val="Strong"/>
        </w:rPr>
      </w:pPr>
      <w:r>
        <w:rPr>
          <w:rStyle w:val="Strong"/>
        </w:rPr>
        <w:t>Reference to future directions (Part C):</w:t>
      </w:r>
      <w:r w:rsidRPr="008E2381">
        <w:rPr>
          <w:rStyle w:val="Strong"/>
        </w:rPr>
        <w:t xml:space="preserve"> 11.2 (b)</w:t>
      </w:r>
    </w:p>
    <w:p w:rsidR="008E2381" w:rsidRDefault="008E2381" w:rsidP="008E2381">
      <w:pPr>
        <w:pStyle w:val="bt"/>
      </w:pPr>
      <w:r w:rsidRPr="005D796E">
        <w:t>Consider the potential impact on the long</w:t>
      </w:r>
      <w:r>
        <w:t>-</w:t>
      </w:r>
      <w:r w:rsidRPr="005D796E">
        <w:t xml:space="preserve">term agricultural productivity of the </w:t>
      </w:r>
      <w:r>
        <w:t>Hume R</w:t>
      </w:r>
      <w:r w:rsidRPr="005D796E">
        <w:t>egion when planning for the establishment of extractive industries</w:t>
      </w:r>
    </w:p>
    <w:p w:rsidR="008E2381" w:rsidRPr="008E2381" w:rsidRDefault="008E2381" w:rsidP="008E2381">
      <w:pPr>
        <w:pStyle w:val="bt"/>
        <w:rPr>
          <w:rStyle w:val="Strong"/>
        </w:rPr>
      </w:pPr>
      <w:r w:rsidRPr="008E2381">
        <w:rPr>
          <w:rStyle w:val="Strong"/>
        </w:rPr>
        <w:t>Refer to future direction Section 11.3 (b)</w:t>
      </w:r>
    </w:p>
    <w:p w:rsidR="008E2381" w:rsidRDefault="008E2381" w:rsidP="008E2381">
      <w:pPr>
        <w:pStyle w:val="bt"/>
      </w:pPr>
      <w:r w:rsidRPr="005D796E">
        <w:lastRenderedPageBreak/>
        <w:t>Facilitate rural tourism activities that support agricultural enterprises such as cellar door and farm gate sales and accommodation in appropriate regional locations</w:t>
      </w:r>
      <w:r>
        <w:t xml:space="preserve"> </w:t>
      </w:r>
    </w:p>
    <w:p w:rsidR="008E2381" w:rsidRPr="008E2381" w:rsidRDefault="008E2381" w:rsidP="008E2381">
      <w:pPr>
        <w:pStyle w:val="bt"/>
        <w:rPr>
          <w:rStyle w:val="Strong"/>
        </w:rPr>
      </w:pPr>
      <w:r w:rsidRPr="008E2381">
        <w:rPr>
          <w:rStyle w:val="Strong"/>
        </w:rPr>
        <w:t>Refer to future direction Section 11.1 (e)</w:t>
      </w:r>
    </w:p>
    <w:p w:rsidR="008E2381" w:rsidRDefault="008E2381" w:rsidP="008E2381">
      <w:pPr>
        <w:pStyle w:val="bt"/>
      </w:pPr>
      <w:r w:rsidRPr="005D796E">
        <w:t>Promote the establishment of renewable energy hubs to co-locate industries to maximise resource use efficiency and minimise waste generation. Key potential locations for such hubs include Shepparton, Wodonga, Wangaratta, Benalla and Seymour</w:t>
      </w:r>
    </w:p>
    <w:p w:rsidR="008E2381" w:rsidRPr="008E2381" w:rsidRDefault="008E2381" w:rsidP="008E2381">
      <w:pPr>
        <w:pStyle w:val="bt"/>
        <w:rPr>
          <w:rStyle w:val="Strong"/>
        </w:rPr>
      </w:pPr>
      <w:r w:rsidRPr="008E2381">
        <w:rPr>
          <w:rStyle w:val="Strong"/>
        </w:rPr>
        <w:t>Reference to future directions (Part C): 11.1 (d), 11.3 (a), 14.3</w:t>
      </w:r>
    </w:p>
    <w:p w:rsidR="008E2381" w:rsidRDefault="008E2381" w:rsidP="008E2381">
      <w:pPr>
        <w:pStyle w:val="bt"/>
      </w:pPr>
      <w:r w:rsidRPr="005D796E">
        <w:t>Consider the location of earth resources, the potential for their future extraction and how to minimise impacts on sensitive uses and the environment as part of strategic land use planning for rural areas</w:t>
      </w:r>
    </w:p>
    <w:p w:rsidR="008E2381" w:rsidRPr="008E2381" w:rsidRDefault="008E2381" w:rsidP="008E2381">
      <w:pPr>
        <w:pStyle w:val="bt"/>
        <w:rPr>
          <w:rStyle w:val="Strong"/>
        </w:rPr>
      </w:pPr>
      <w:r>
        <w:rPr>
          <w:rStyle w:val="Strong"/>
        </w:rPr>
        <w:t>Reference to future directions (Part C):</w:t>
      </w:r>
      <w:r w:rsidRPr="008E2381">
        <w:rPr>
          <w:rStyle w:val="Strong"/>
        </w:rPr>
        <w:t xml:space="preserve"> 11.3 (b)</w:t>
      </w:r>
    </w:p>
    <w:p w:rsidR="008E2381" w:rsidRDefault="008E2381" w:rsidP="008E2381">
      <w:pPr>
        <w:pStyle w:val="bt"/>
      </w:pPr>
      <w:r>
        <w:t>Support the availability of construction materials locally and consider measures to facilitate and manage their extraction</w:t>
      </w:r>
    </w:p>
    <w:p w:rsidR="008E2381" w:rsidRPr="008E2381" w:rsidRDefault="008E2381" w:rsidP="008E2381">
      <w:pPr>
        <w:pStyle w:val="bt"/>
        <w:rPr>
          <w:rStyle w:val="Strong"/>
        </w:rPr>
      </w:pPr>
      <w:r>
        <w:rPr>
          <w:rStyle w:val="Strong"/>
        </w:rPr>
        <w:t>Reference to future directions (Part C):</w:t>
      </w:r>
      <w:r w:rsidRPr="008E2381">
        <w:rPr>
          <w:rStyle w:val="Strong"/>
        </w:rPr>
        <w:t xml:space="preserve"> 11.3 (b)</w:t>
      </w:r>
    </w:p>
    <w:p w:rsidR="008E2381" w:rsidRDefault="008E2381" w:rsidP="008E2381">
      <w:pPr>
        <w:pStyle w:val="bt"/>
      </w:pPr>
      <w:r>
        <w:t>Maintain and develop buffers around mining and quarrying activities to manage potential land use conflicts</w:t>
      </w:r>
    </w:p>
    <w:p w:rsidR="008E2381" w:rsidRDefault="008E2381" w:rsidP="008E2381">
      <w:pPr>
        <w:pStyle w:val="bt"/>
        <w:rPr>
          <w:rStyle w:val="Strong"/>
        </w:rPr>
      </w:pPr>
      <w:r>
        <w:rPr>
          <w:rStyle w:val="Strong"/>
        </w:rPr>
        <w:t>Reference to future directions (Part C):</w:t>
      </w:r>
      <w:r w:rsidRPr="008E2381">
        <w:rPr>
          <w:rStyle w:val="Strong"/>
        </w:rPr>
        <w:t xml:space="preserve"> 11.3 (b)</w:t>
      </w:r>
    </w:p>
    <w:p w:rsidR="00BE0750" w:rsidRPr="0076015E" w:rsidRDefault="00BE0750" w:rsidP="0076015E">
      <w:pPr>
        <w:pStyle w:val="Heading5"/>
        <w:rPr>
          <w:rStyle w:val="Strong"/>
          <w:rFonts w:ascii="Calibri" w:eastAsiaTheme="majorEastAsia" w:hAnsi="Calibri" w:cstheme="majorBidi"/>
          <w:b/>
          <w:bCs w:val="0"/>
          <w:sz w:val="22"/>
        </w:rPr>
      </w:pPr>
      <w:bookmarkStart w:id="107" w:name="_Ref349026902"/>
      <w:r w:rsidRPr="0076015E">
        <w:rPr>
          <w:rStyle w:val="Strong"/>
          <w:rFonts w:ascii="Calibri" w:eastAsiaTheme="majorEastAsia" w:hAnsi="Calibri" w:cstheme="majorBidi"/>
          <w:b/>
          <w:bCs w:val="0"/>
          <w:sz w:val="22"/>
        </w:rPr>
        <w:t>Environment and heritage – Protecting environmental and heritage assets and maximising the regional benefit from them while managing exposure to natural hazards and planning for the potential impacts of climate change</w:t>
      </w:r>
    </w:p>
    <w:p w:rsidR="00BE0750" w:rsidRPr="00E25525" w:rsidRDefault="00BE0750" w:rsidP="00BE0750">
      <w:pPr>
        <w:pStyle w:val="bt"/>
        <w:rPr>
          <w:rStyle w:val="Emphasis"/>
          <w:i w:val="0"/>
        </w:rPr>
      </w:pPr>
      <w:r w:rsidRPr="005D796E">
        <w:t>Plan for the potential impacts of and opportunities arising from climate change</w:t>
      </w:r>
    </w:p>
    <w:p w:rsidR="00BE0750" w:rsidRPr="00BE0750" w:rsidRDefault="00BE0750" w:rsidP="00BE0750">
      <w:pPr>
        <w:pStyle w:val="bt"/>
        <w:rPr>
          <w:rStyle w:val="Strong"/>
        </w:rPr>
      </w:pPr>
      <w:r w:rsidRPr="00BE0750">
        <w:rPr>
          <w:rStyle w:val="Strong"/>
        </w:rPr>
        <w:t>Reference to future directions (Part C): 11.1 (e), 11.2 (d), 12.1 (c), 12.3 (a)</w:t>
      </w:r>
    </w:p>
    <w:p w:rsidR="00BE0750" w:rsidRPr="00E25525" w:rsidRDefault="00BE0750" w:rsidP="00BE0750">
      <w:pPr>
        <w:pStyle w:val="bt"/>
        <w:rPr>
          <w:rStyle w:val="Emphasis"/>
          <w:i w:val="0"/>
        </w:rPr>
      </w:pPr>
      <w:bookmarkStart w:id="108" w:name="_Toc354041721"/>
      <w:r w:rsidRPr="005D796E">
        <w:t xml:space="preserve">Identify, protect and maintain the </w:t>
      </w:r>
      <w:r>
        <w:t>Hume R</w:t>
      </w:r>
      <w:r w:rsidRPr="005D796E">
        <w:t xml:space="preserve">egion’s </w:t>
      </w:r>
      <w:r>
        <w:t>cultural</w:t>
      </w:r>
      <w:r w:rsidRPr="005D796E">
        <w:t xml:space="preserve"> landscapes</w:t>
      </w:r>
      <w:r>
        <w:t xml:space="preserve">, </w:t>
      </w:r>
      <w:r w:rsidRPr="005D796E">
        <w:t xml:space="preserve">including potential areas of scenic landscape amenity identified in the </w:t>
      </w:r>
      <w:r>
        <w:t>b</w:t>
      </w:r>
      <w:r w:rsidRPr="005D796E">
        <w:t xml:space="preserve">ackground </w:t>
      </w:r>
      <w:r>
        <w:t>p</w:t>
      </w:r>
      <w:r w:rsidRPr="005D796E">
        <w:t>aper</w:t>
      </w:r>
      <w:bookmarkEnd w:id="108"/>
    </w:p>
    <w:p w:rsidR="00BE0750" w:rsidRPr="00BE0750" w:rsidRDefault="00BE0750" w:rsidP="00BE0750">
      <w:pPr>
        <w:pStyle w:val="bt"/>
        <w:rPr>
          <w:rStyle w:val="Strong"/>
        </w:rPr>
      </w:pPr>
      <w:r w:rsidRPr="00BE0750">
        <w:rPr>
          <w:rStyle w:val="Strong"/>
        </w:rPr>
        <w:t>Reference to future directions (Part C): 12.1 (a)</w:t>
      </w:r>
    </w:p>
    <w:p w:rsidR="00BE0750" w:rsidRPr="00E25525" w:rsidRDefault="00BE0750" w:rsidP="00BE0750">
      <w:pPr>
        <w:pStyle w:val="bt"/>
        <w:rPr>
          <w:rStyle w:val="Emphasis"/>
          <w:i w:val="0"/>
        </w:rPr>
      </w:pPr>
      <w:r>
        <w:t>Identify, protect and (where appropriate) take advantage of the region’s rich and diverse cultural heritage</w:t>
      </w:r>
    </w:p>
    <w:p w:rsidR="00BE0750" w:rsidRPr="00BE0750" w:rsidRDefault="00BE0750" w:rsidP="00BE0750">
      <w:pPr>
        <w:pStyle w:val="bt"/>
        <w:rPr>
          <w:rStyle w:val="Strong"/>
        </w:rPr>
      </w:pPr>
      <w:r w:rsidRPr="00BE0750">
        <w:rPr>
          <w:rStyle w:val="Strong"/>
        </w:rPr>
        <w:t>Reference to future directions (Part C): 12.2</w:t>
      </w:r>
    </w:p>
    <w:p w:rsidR="00BE0750" w:rsidRPr="006F407A" w:rsidRDefault="00BE0750" w:rsidP="00BE0750">
      <w:pPr>
        <w:pStyle w:val="bt"/>
      </w:pPr>
      <w:r w:rsidRPr="005D796E">
        <w:t>Protect and enhance significant terrestrial habitat and biodiversity by:</w:t>
      </w:r>
    </w:p>
    <w:p w:rsidR="00BE0750" w:rsidRDefault="00BE0750" w:rsidP="00BE0750">
      <w:pPr>
        <w:pStyle w:val="btbullet"/>
      </w:pPr>
      <w:r w:rsidRPr="005D796E">
        <w:t xml:space="preserve">avoiding development in areas with regionally significant terrestrial habitat </w:t>
      </w:r>
    </w:p>
    <w:p w:rsidR="00BE0750" w:rsidRDefault="00BE0750" w:rsidP="00BE0750">
      <w:pPr>
        <w:pStyle w:val="btbullet"/>
      </w:pPr>
      <w:r w:rsidRPr="005D796E">
        <w:t>protecting significant vegetation assets through strategic planning exercises</w:t>
      </w:r>
    </w:p>
    <w:p w:rsidR="00BE0750" w:rsidRDefault="00BE0750" w:rsidP="00BE0750">
      <w:pPr>
        <w:pStyle w:val="btbullet"/>
        <w:rPr>
          <w:rStyle w:val="Emphasis"/>
          <w:i w:val="0"/>
        </w:rPr>
      </w:pPr>
      <w:r w:rsidRPr="005D796E">
        <w:t>enhancing vegetation corridors between existing native vegetation</w:t>
      </w:r>
    </w:p>
    <w:p w:rsidR="00BE0750" w:rsidRPr="00BE0750" w:rsidRDefault="00BE0750" w:rsidP="00BE0750">
      <w:pPr>
        <w:pStyle w:val="bt"/>
        <w:rPr>
          <w:rStyle w:val="Strong"/>
        </w:rPr>
      </w:pPr>
      <w:r w:rsidRPr="00BE0750">
        <w:rPr>
          <w:rStyle w:val="Strong"/>
        </w:rPr>
        <w:t>Reference to future directions (Part C): 12.1 (b)</w:t>
      </w:r>
    </w:p>
    <w:p w:rsidR="00BE0750" w:rsidRPr="00E25525" w:rsidRDefault="00BE0750" w:rsidP="00BE0750">
      <w:pPr>
        <w:pStyle w:val="bt"/>
        <w:rPr>
          <w:rStyle w:val="Emphasis"/>
          <w:i w:val="0"/>
        </w:rPr>
      </w:pPr>
      <w:r w:rsidRPr="005D796E">
        <w:t>Encourage planning processes that provide strategic direction for vegetation and clearing and enable permanent protection of native vegetation in new public reserves</w:t>
      </w:r>
    </w:p>
    <w:p w:rsidR="00BE0750" w:rsidRPr="00BE0750" w:rsidRDefault="00BE0750" w:rsidP="00BE0750">
      <w:pPr>
        <w:pStyle w:val="bt"/>
        <w:rPr>
          <w:rStyle w:val="Strong"/>
        </w:rPr>
      </w:pPr>
      <w:r w:rsidRPr="00BE0750">
        <w:rPr>
          <w:rStyle w:val="Strong"/>
        </w:rPr>
        <w:t>Reference to future directions (Part C): 12.1 (b)</w:t>
      </w:r>
    </w:p>
    <w:p w:rsidR="00BE0750" w:rsidRPr="00E25525" w:rsidRDefault="00BE0750" w:rsidP="00BE0750">
      <w:pPr>
        <w:pStyle w:val="bt"/>
        <w:rPr>
          <w:rStyle w:val="Emphasis"/>
          <w:i w:val="0"/>
        </w:rPr>
      </w:pPr>
      <w:r w:rsidRPr="005D796E">
        <w:lastRenderedPageBreak/>
        <w:t>Manage water as a key environmental, social and economic asset</w:t>
      </w:r>
      <w:r>
        <w:t xml:space="preserve">, </w:t>
      </w:r>
      <w:r w:rsidRPr="005D796E">
        <w:t xml:space="preserve">considering the number and extent of vital waterways and storages located in the </w:t>
      </w:r>
      <w:r>
        <w:t>Hume R</w:t>
      </w:r>
      <w:r w:rsidRPr="005D796E">
        <w:t>egion</w:t>
      </w:r>
    </w:p>
    <w:p w:rsidR="00BE0750" w:rsidRPr="00BE0750" w:rsidRDefault="00BE0750" w:rsidP="00BE0750">
      <w:pPr>
        <w:pStyle w:val="bt"/>
        <w:rPr>
          <w:rStyle w:val="Strong"/>
        </w:rPr>
      </w:pPr>
      <w:r w:rsidRPr="00BE0750">
        <w:rPr>
          <w:rStyle w:val="Strong"/>
        </w:rPr>
        <w:t>Reference to future directions (Part C): 12.1 (c)</w:t>
      </w:r>
    </w:p>
    <w:p w:rsidR="00BE0750" w:rsidRDefault="00BE0750" w:rsidP="00BE0750">
      <w:pPr>
        <w:pStyle w:val="bt"/>
      </w:pPr>
      <w:r w:rsidRPr="005D796E">
        <w:t>Recognise the value of ecosystem services provided by land and soil</w:t>
      </w:r>
    </w:p>
    <w:p w:rsidR="00BE0750" w:rsidRPr="00BE0750" w:rsidRDefault="00BE0750" w:rsidP="00BE0750">
      <w:pPr>
        <w:pStyle w:val="bt"/>
        <w:rPr>
          <w:rStyle w:val="Strong"/>
        </w:rPr>
      </w:pPr>
      <w:r w:rsidRPr="00BE0750">
        <w:rPr>
          <w:rStyle w:val="Strong"/>
        </w:rPr>
        <w:t>Reference to future directions (Part C): 12.1 (e</w:t>
      </w:r>
      <w:r w:rsidR="00611995" w:rsidRPr="00BE0750">
        <w:rPr>
          <w:rStyle w:val="Strong"/>
        </w:rPr>
        <w:t>) (</w:t>
      </w:r>
      <w:r w:rsidRPr="00BE0750">
        <w:rPr>
          <w:rStyle w:val="Strong"/>
        </w:rPr>
        <w:t>d)</w:t>
      </w:r>
    </w:p>
    <w:p w:rsidR="00BE0750" w:rsidRDefault="00BE0750" w:rsidP="00BE0750">
      <w:pPr>
        <w:pStyle w:val="bt"/>
      </w:pPr>
      <w:r w:rsidRPr="005D796E">
        <w:t>Recognise public land as a substantial environmental and economic asset</w:t>
      </w:r>
      <w:r w:rsidR="00611995">
        <w:t xml:space="preserve">; </w:t>
      </w:r>
      <w:r w:rsidR="00611995" w:rsidRPr="005D796E">
        <w:t>land</w:t>
      </w:r>
      <w:r w:rsidRPr="005D796E">
        <w:t xml:space="preserve"> use planning decisions relating to areas in or adjacent to public land should recognise the environment and economic value of public land and seek to minimise risks to this regional asset</w:t>
      </w:r>
    </w:p>
    <w:p w:rsidR="00BE0750" w:rsidRPr="00BE0750" w:rsidRDefault="00BE0750" w:rsidP="00BE0750">
      <w:pPr>
        <w:pStyle w:val="bt"/>
        <w:rPr>
          <w:rStyle w:val="Strong"/>
        </w:rPr>
      </w:pPr>
      <w:r w:rsidRPr="00BE0750">
        <w:rPr>
          <w:rStyle w:val="Strong"/>
        </w:rPr>
        <w:t>Reference to future directions (Part C): 12.1 (e)</w:t>
      </w:r>
    </w:p>
    <w:p w:rsidR="00BE0750" w:rsidRPr="00E25525" w:rsidRDefault="00BE0750" w:rsidP="00BE0750">
      <w:pPr>
        <w:pStyle w:val="bt"/>
        <w:rPr>
          <w:rStyle w:val="Emphasis"/>
          <w:i w:val="0"/>
        </w:rPr>
      </w:pPr>
      <w:r w:rsidRPr="005D796E">
        <w:t>Utilise waterways as focal points to enhance urban liveability, provide connection to the natural environment and provide nature-based recreation opportunities</w:t>
      </w:r>
    </w:p>
    <w:p w:rsidR="00BE0750" w:rsidRPr="00BE0750" w:rsidRDefault="00BE0750" w:rsidP="00BE0750">
      <w:pPr>
        <w:pStyle w:val="bt"/>
        <w:rPr>
          <w:rStyle w:val="Strong"/>
        </w:rPr>
      </w:pPr>
      <w:r w:rsidRPr="00BE0750">
        <w:rPr>
          <w:rStyle w:val="Strong"/>
        </w:rPr>
        <w:t>Reference to future directions (Part C): 12.1 (c), 14.2 (c)</w:t>
      </w:r>
    </w:p>
    <w:p w:rsidR="00001B25" w:rsidRDefault="00BE0750" w:rsidP="00BE0750">
      <w:pPr>
        <w:pStyle w:val="bt"/>
      </w:pPr>
      <w:r w:rsidRPr="00AA5B82">
        <w:t>In land use planning decisions, primarily those related to dwellings, consider the risks related to wastewater and the individual and cumulative implications of development, such as from unsewered developments on gro</w:t>
      </w:r>
      <w:r w:rsidR="00001B25">
        <w:t>undwater and surface water uses</w:t>
      </w:r>
    </w:p>
    <w:p w:rsidR="00BE0750" w:rsidRPr="00001B25" w:rsidRDefault="00BE0750" w:rsidP="00BE0750">
      <w:pPr>
        <w:pStyle w:val="bt"/>
        <w:rPr>
          <w:rStyle w:val="Strong"/>
        </w:rPr>
      </w:pPr>
      <w:r w:rsidRPr="00001B25">
        <w:rPr>
          <w:rStyle w:val="Strong"/>
        </w:rPr>
        <w:t>Reference to future directions (Part C): 12.1 (c)</w:t>
      </w:r>
    </w:p>
    <w:p w:rsidR="00BE0750" w:rsidRPr="0076015E" w:rsidRDefault="00BE0750" w:rsidP="0076015E">
      <w:pPr>
        <w:pStyle w:val="Heading5"/>
        <w:rPr>
          <w:rStyle w:val="Strong"/>
          <w:rFonts w:ascii="Calibri" w:eastAsiaTheme="majorEastAsia" w:hAnsi="Calibri" w:cstheme="majorBidi"/>
          <w:b/>
          <w:bCs w:val="0"/>
          <w:sz w:val="22"/>
        </w:rPr>
      </w:pPr>
      <w:r w:rsidRPr="0076015E">
        <w:rPr>
          <w:rStyle w:val="Strong"/>
          <w:rFonts w:ascii="Calibri" w:eastAsiaTheme="majorEastAsia" w:hAnsi="Calibri" w:cstheme="majorBidi"/>
          <w:b/>
          <w:bCs w:val="0"/>
          <w:sz w:val="22"/>
        </w:rPr>
        <w:t xml:space="preserve">Living in the region – Focusing growth and development to maximise the strengths of existing settlements </w:t>
      </w:r>
    </w:p>
    <w:p w:rsidR="00BE0750" w:rsidRDefault="00BE0750" w:rsidP="00BE0750">
      <w:pPr>
        <w:pStyle w:val="bt"/>
        <w:rPr>
          <w:rStyle w:val="Emphasis"/>
          <w:i w:val="0"/>
        </w:rPr>
      </w:pPr>
      <w:r w:rsidRPr="006F407A">
        <w:t>Focus growth and development specifically in the regional cities of Shepparton, Wangaratta and Wodonga, and in Benalla</w:t>
      </w:r>
    </w:p>
    <w:p w:rsidR="00BE0750" w:rsidRPr="00BE0750" w:rsidRDefault="00BE0750" w:rsidP="00BE0750">
      <w:pPr>
        <w:pStyle w:val="bt"/>
        <w:rPr>
          <w:rStyle w:val="Strong"/>
        </w:rPr>
      </w:pPr>
      <w:r w:rsidRPr="00BE0750">
        <w:rPr>
          <w:rStyle w:val="Strong"/>
        </w:rPr>
        <w:t>Reference to future directions (Part C): 13.2 (a)</w:t>
      </w:r>
    </w:p>
    <w:p w:rsidR="00BE0750" w:rsidRDefault="00BE0750" w:rsidP="00BE0750">
      <w:pPr>
        <w:pStyle w:val="bt"/>
        <w:rPr>
          <w:rStyle w:val="Emphasis"/>
          <w:i w:val="0"/>
        </w:rPr>
      </w:pPr>
      <w:r w:rsidRPr="006F407A">
        <w:t>Strengthen the economic role of Seymour, whilst supporting population growth</w:t>
      </w:r>
    </w:p>
    <w:p w:rsidR="00BE0750" w:rsidRPr="00BE0750" w:rsidRDefault="00BE0750" w:rsidP="00BE0750">
      <w:pPr>
        <w:pStyle w:val="bt"/>
        <w:rPr>
          <w:rStyle w:val="Strong"/>
        </w:rPr>
      </w:pPr>
      <w:r w:rsidRPr="00BE0750">
        <w:rPr>
          <w:rStyle w:val="Strong"/>
        </w:rPr>
        <w:t>Reference to future directions (Part C): 13.2 (a)</w:t>
      </w:r>
    </w:p>
    <w:p w:rsidR="00BE0750" w:rsidRDefault="00B85119" w:rsidP="00BE0750">
      <w:pPr>
        <w:pStyle w:val="bt"/>
      </w:pPr>
      <w:r w:rsidRPr="00B85119">
        <w:t>Support growth and development in other existing urban settlements and foster the sustainability of small rural settlements</w:t>
      </w:r>
    </w:p>
    <w:p w:rsidR="00BE0750" w:rsidRPr="00BE0750" w:rsidRDefault="00BE0750" w:rsidP="00BE0750">
      <w:pPr>
        <w:pStyle w:val="bt"/>
        <w:rPr>
          <w:rStyle w:val="Strong"/>
        </w:rPr>
      </w:pPr>
      <w:r w:rsidRPr="00BE0750">
        <w:rPr>
          <w:rStyle w:val="Strong"/>
        </w:rPr>
        <w:t>Reference to future directions (Part C): 13.2 (a</w:t>
      </w:r>
      <w:r w:rsidR="00611995" w:rsidRPr="00BE0750">
        <w:rPr>
          <w:rStyle w:val="Strong"/>
        </w:rPr>
        <w:t>) (</w:t>
      </w:r>
      <w:r w:rsidRPr="00BE0750">
        <w:rPr>
          <w:rStyle w:val="Strong"/>
        </w:rPr>
        <w:t>b)</w:t>
      </w:r>
    </w:p>
    <w:p w:rsidR="00BE0750" w:rsidRPr="00E25525" w:rsidRDefault="00BE0750" w:rsidP="00BE0750">
      <w:pPr>
        <w:pStyle w:val="bt"/>
        <w:rPr>
          <w:rStyle w:val="Emphasis"/>
          <w:i w:val="0"/>
        </w:rPr>
      </w:pPr>
      <w:r w:rsidRPr="006F407A">
        <w:t>Planning for growth should consider the impacts of the Murray</w:t>
      </w:r>
      <w:r>
        <w:t>-</w:t>
      </w:r>
      <w:r w:rsidRPr="006F407A">
        <w:t>Darling Basin Plan and irrigation modernisation, the influence of larger settlements outside the region such as Melbourne and Albury, as well as directions included in the draft Murray River Settlement Strategy</w:t>
      </w:r>
      <w:r w:rsidRPr="00E25525">
        <w:rPr>
          <w:rStyle w:val="Emphasis"/>
          <w:i w:val="0"/>
        </w:rPr>
        <w:t xml:space="preserve"> </w:t>
      </w:r>
    </w:p>
    <w:p w:rsidR="00BE0750" w:rsidRPr="00BE0750" w:rsidRDefault="00BE0750" w:rsidP="00BE0750">
      <w:pPr>
        <w:pStyle w:val="bt"/>
        <w:rPr>
          <w:rStyle w:val="Strong"/>
        </w:rPr>
      </w:pPr>
      <w:r w:rsidRPr="00BE0750">
        <w:rPr>
          <w:rStyle w:val="Strong"/>
        </w:rPr>
        <w:t>Reference to future directions (Part C): 11.1 (d), 11.2 (e), 13.3 (d), 13.3 (e), 14.3 (a)</w:t>
      </w:r>
    </w:p>
    <w:p w:rsidR="00BE0750" w:rsidRPr="006F407A" w:rsidRDefault="00BE0750" w:rsidP="00BE0750">
      <w:pPr>
        <w:pStyle w:val="bt"/>
      </w:pPr>
      <w:r w:rsidRPr="006F407A">
        <w:t>Direct settlement growth and development:</w:t>
      </w:r>
    </w:p>
    <w:p w:rsidR="00BE0750" w:rsidRDefault="00BE0750" w:rsidP="00BE0750">
      <w:pPr>
        <w:pStyle w:val="btbullet"/>
      </w:pPr>
      <w:r>
        <w:t>to prioritise human life and respond to the following principles with regard to bushfire risk management:</w:t>
      </w:r>
    </w:p>
    <w:p w:rsidR="00BE0750" w:rsidRDefault="00BE0750" w:rsidP="00BE0750">
      <w:pPr>
        <w:pStyle w:val="btbullet"/>
        <w:numPr>
          <w:ilvl w:val="1"/>
          <w:numId w:val="4"/>
        </w:numPr>
      </w:pPr>
      <w:r>
        <w:t>d</w:t>
      </w:r>
      <w:r w:rsidRPr="00C61CB1">
        <w:t>irect development to locations of lower bushfir</w:t>
      </w:r>
      <w:r>
        <w:t>e risk and carefully consider</w:t>
      </w:r>
      <w:r w:rsidRPr="00C61CB1">
        <w:t xml:space="preserve"> development in locations where significant bushfire </w:t>
      </w:r>
      <w:r>
        <w:t>risk</w:t>
      </w:r>
      <w:r w:rsidRPr="00C61CB1">
        <w:t xml:space="preserve"> cannot be avoided</w:t>
      </w:r>
    </w:p>
    <w:p w:rsidR="00BE0750" w:rsidRDefault="00BE0750" w:rsidP="00BE0750">
      <w:pPr>
        <w:pStyle w:val="btbullet"/>
        <w:numPr>
          <w:ilvl w:val="1"/>
          <w:numId w:val="4"/>
        </w:numPr>
      </w:pPr>
      <w:r w:rsidRPr="00C61CB1">
        <w:lastRenderedPageBreak/>
        <w:t>avoid development in locations of extreme bushfire risk</w:t>
      </w:r>
    </w:p>
    <w:p w:rsidR="00BE0750" w:rsidRDefault="00BE0750" w:rsidP="00BE0750">
      <w:pPr>
        <w:pStyle w:val="btbullet"/>
        <w:numPr>
          <w:ilvl w:val="1"/>
          <w:numId w:val="4"/>
        </w:numPr>
      </w:pPr>
      <w:r w:rsidRPr="00C61CB1">
        <w:t>avoid development in areas where planned bushfire protection measures may be incompatible with other environmental objectives</w:t>
      </w:r>
    </w:p>
    <w:p w:rsidR="00BE0750" w:rsidRDefault="00BE0750" w:rsidP="00BE0750">
      <w:pPr>
        <w:pStyle w:val="btbullet"/>
      </w:pPr>
      <w:proofErr w:type="gramStart"/>
      <w:r w:rsidRPr="00AA5B82">
        <w:t>to</w:t>
      </w:r>
      <w:proofErr w:type="gramEnd"/>
      <w:r w:rsidRPr="00AA5B82">
        <w:t xml:space="preserve"> avoid areas of extreme risk from flood. A precautionary approach will be adopted</w:t>
      </w:r>
      <w:r>
        <w:t xml:space="preserve"> </w:t>
      </w:r>
      <w:r w:rsidRPr="002B7682">
        <w:t>directing growth and development to areas of low flood hazard. Where development in flood hazard areas is unavoidable, suitable building and infrastructure controls will be implemented to protect life and property, while considering environmental assets</w:t>
      </w:r>
    </w:p>
    <w:p w:rsidR="00BE0750" w:rsidRDefault="00BE0750" w:rsidP="00BE0750">
      <w:pPr>
        <w:pStyle w:val="btbullet"/>
      </w:pPr>
      <w:proofErr w:type="gramStart"/>
      <w:r w:rsidRPr="00AA5B82">
        <w:t>to</w:t>
      </w:r>
      <w:proofErr w:type="gramEnd"/>
      <w:r w:rsidRPr="00AA5B82">
        <w:t xml:space="preserve"> areas where it will avoid impacting on high value environmental assets. If impacts are unavoidable, every effort will be made to minimise them</w:t>
      </w:r>
    </w:p>
    <w:p w:rsidR="00BE0750" w:rsidRDefault="00BE0750" w:rsidP="00BE0750">
      <w:pPr>
        <w:pStyle w:val="btbullet"/>
      </w:pPr>
      <w:r w:rsidRPr="00AA5B82">
        <w:t>to minimise urban growth impacts on areas of strategic agricultural land, key environmental assets</w:t>
      </w:r>
      <w:r>
        <w:t xml:space="preserve">, strategic earth resources </w:t>
      </w:r>
      <w:r w:rsidRPr="00AA5B82">
        <w:t>and identified scenic and heritage landscapes</w:t>
      </w:r>
    </w:p>
    <w:p w:rsidR="00BE0750" w:rsidRDefault="00BE0750" w:rsidP="00BE0750">
      <w:pPr>
        <w:pStyle w:val="btbullet"/>
      </w:pPr>
      <w:r w:rsidRPr="00AA5B82">
        <w:t>to minimise urban footprint expansion</w:t>
      </w:r>
    </w:p>
    <w:p w:rsidR="00BE0750" w:rsidRDefault="00BE0750" w:rsidP="00BE0750">
      <w:pPr>
        <w:pStyle w:val="btbullet"/>
      </w:pPr>
      <w:r w:rsidRPr="00AA5B82">
        <w:t xml:space="preserve">to occur in sympathy with environmental and heritage assets and to occur in balance with natural hazards to enable protection of significant environment and heritage assets and appropriate risk mitigation </w:t>
      </w:r>
    </w:p>
    <w:p w:rsidR="00BE0750" w:rsidRPr="00BE0750" w:rsidRDefault="00BE0750" w:rsidP="00BE0750">
      <w:pPr>
        <w:pStyle w:val="bt"/>
        <w:rPr>
          <w:rStyle w:val="Strong"/>
        </w:rPr>
      </w:pPr>
      <w:r w:rsidRPr="00BE0750">
        <w:rPr>
          <w:rStyle w:val="Strong"/>
        </w:rPr>
        <w:t>Reference to future directions (Part C): 11.2 (a), 12.1 (a</w:t>
      </w:r>
      <w:r w:rsidR="00611995" w:rsidRPr="00BE0750">
        <w:rPr>
          <w:rStyle w:val="Strong"/>
        </w:rPr>
        <w:t>) (</w:t>
      </w:r>
      <w:r w:rsidRPr="00BE0750">
        <w:rPr>
          <w:rStyle w:val="Strong"/>
        </w:rPr>
        <w:t>b), 12.2 (a), 12.3 (b</w:t>
      </w:r>
      <w:r w:rsidR="00611995" w:rsidRPr="00BE0750">
        <w:rPr>
          <w:rStyle w:val="Strong"/>
        </w:rPr>
        <w:t>) (</w:t>
      </w:r>
      <w:r w:rsidRPr="00BE0750">
        <w:rPr>
          <w:rStyle w:val="Strong"/>
        </w:rPr>
        <w:t>c), 13.2, 13.3</w:t>
      </w:r>
    </w:p>
    <w:p w:rsidR="00BE0750" w:rsidRDefault="00BE0750" w:rsidP="00BE0750">
      <w:pPr>
        <w:pStyle w:val="bt"/>
      </w:pPr>
      <w:r w:rsidRPr="006F407A">
        <w:t>Maintain and enhance the distinctive and valued characteristics of settlements in the</w:t>
      </w:r>
      <w:r>
        <w:t xml:space="preserve"> Hume</w:t>
      </w:r>
      <w:r w:rsidRPr="006F407A">
        <w:t xml:space="preserve"> </w:t>
      </w:r>
      <w:r>
        <w:t>R</w:t>
      </w:r>
      <w:r w:rsidRPr="006F407A">
        <w:t>egion, including townships associated with early settlement and the Gold Rush</w:t>
      </w:r>
    </w:p>
    <w:p w:rsidR="00BE0750" w:rsidRPr="00BE0750" w:rsidRDefault="00BE0750" w:rsidP="00BE0750">
      <w:pPr>
        <w:pStyle w:val="bt"/>
        <w:rPr>
          <w:rStyle w:val="Strong"/>
        </w:rPr>
      </w:pPr>
      <w:r w:rsidRPr="00BE0750">
        <w:rPr>
          <w:rStyle w:val="Strong"/>
        </w:rPr>
        <w:t>Reference to future directions (Part C): 13.3 (c)</w:t>
      </w:r>
    </w:p>
    <w:p w:rsidR="00BE0750" w:rsidRPr="00E25525" w:rsidRDefault="00BE0750" w:rsidP="00BE0750">
      <w:pPr>
        <w:pStyle w:val="bt"/>
        <w:rPr>
          <w:rStyle w:val="Emphasis"/>
          <w:i w:val="0"/>
        </w:rPr>
      </w:pPr>
      <w:r w:rsidRPr="006F407A">
        <w:t>Support improved access to a range of employment and education opportunities, particularly in key urban locations such as Shepparton, Wodonga, Wangaratta, Benalla and Seymour</w:t>
      </w:r>
    </w:p>
    <w:p w:rsidR="00BE0750" w:rsidRPr="00BE0750" w:rsidRDefault="00BE0750" w:rsidP="00BE0750">
      <w:pPr>
        <w:pStyle w:val="bt"/>
        <w:rPr>
          <w:rStyle w:val="Strong"/>
        </w:rPr>
      </w:pPr>
      <w:r w:rsidRPr="00BE0750">
        <w:rPr>
          <w:rStyle w:val="Strong"/>
        </w:rPr>
        <w:t>Reference to future directions (Part C): 11.1 (a</w:t>
      </w:r>
      <w:r w:rsidR="00611995" w:rsidRPr="00BE0750">
        <w:rPr>
          <w:rStyle w:val="Strong"/>
        </w:rPr>
        <w:t>) (</w:t>
      </w:r>
      <w:r w:rsidRPr="00BE0750">
        <w:rPr>
          <w:rStyle w:val="Strong"/>
        </w:rPr>
        <w:t>b), 13.2 (a), 13.3 (b), 14.1, 14.2 (a</w:t>
      </w:r>
      <w:r w:rsidR="00611995" w:rsidRPr="00BE0750">
        <w:rPr>
          <w:rStyle w:val="Strong"/>
        </w:rPr>
        <w:t>) (</w:t>
      </w:r>
      <w:r w:rsidRPr="00BE0750">
        <w:rPr>
          <w:rStyle w:val="Strong"/>
        </w:rPr>
        <w:t>b)</w:t>
      </w:r>
    </w:p>
    <w:p w:rsidR="00BE0750" w:rsidRDefault="00BE0750" w:rsidP="00BE0750">
      <w:pPr>
        <w:pStyle w:val="bt"/>
      </w:pPr>
      <w:r w:rsidRPr="006F407A">
        <w:t xml:space="preserve">Encourage residential growth in areas where there are supporting employment, transport services and commercial activities. Urban growth frameworks included in this </w:t>
      </w:r>
      <w:r>
        <w:t>p</w:t>
      </w:r>
      <w:r w:rsidRPr="006F407A">
        <w:t>lan broadly identify these areas for Shepparton, Wodonga, Wangaratta and Benalla</w:t>
      </w:r>
    </w:p>
    <w:p w:rsidR="00BE0750" w:rsidRPr="00BE0750" w:rsidRDefault="00BE0750" w:rsidP="00BE0750">
      <w:pPr>
        <w:pStyle w:val="bt"/>
        <w:rPr>
          <w:rStyle w:val="Strong"/>
        </w:rPr>
      </w:pPr>
      <w:r w:rsidRPr="00BE0750">
        <w:rPr>
          <w:rStyle w:val="Strong"/>
        </w:rPr>
        <w:t>Reference to future directions (Part C): 11.1 (a</w:t>
      </w:r>
      <w:r w:rsidR="00611995" w:rsidRPr="00BE0750">
        <w:rPr>
          <w:rStyle w:val="Strong"/>
        </w:rPr>
        <w:t>) (</w:t>
      </w:r>
      <w:r w:rsidRPr="00BE0750">
        <w:rPr>
          <w:rStyle w:val="Strong"/>
        </w:rPr>
        <w:t>b), 13.2</w:t>
      </w:r>
    </w:p>
    <w:p w:rsidR="00BE0750" w:rsidRPr="006F407A" w:rsidRDefault="00BE0750" w:rsidP="00BE0750">
      <w:pPr>
        <w:pStyle w:val="bt"/>
      </w:pPr>
      <w:r w:rsidRPr="006F407A">
        <w:t>Plan for rural residential use to ensure:</w:t>
      </w:r>
    </w:p>
    <w:p w:rsidR="00BE0750" w:rsidRDefault="00BE0750" w:rsidP="00BE0750">
      <w:pPr>
        <w:pStyle w:val="btbullet"/>
      </w:pPr>
      <w:r w:rsidRPr="006F407A">
        <w:t>it is located where it will not impact adversely on regional assets, such as agricultural land, landscapes and the natural environment</w:t>
      </w:r>
    </w:p>
    <w:p w:rsidR="00BE0750" w:rsidRDefault="00BE0750" w:rsidP="00BE0750">
      <w:pPr>
        <w:pStyle w:val="btbullet"/>
      </w:pPr>
      <w:r w:rsidRPr="006F407A">
        <w:t>it has a sustainable settlement pattern</w:t>
      </w:r>
    </w:p>
    <w:p w:rsidR="00BE0750" w:rsidRDefault="00BE0750" w:rsidP="00BE0750">
      <w:pPr>
        <w:pStyle w:val="btbullet"/>
      </w:pPr>
      <w:r w:rsidRPr="006F407A">
        <w:t>there are sufficient areas of rural residential zoned land in strategic locations to help reduce development pressures on agricultural land</w:t>
      </w:r>
    </w:p>
    <w:p w:rsidR="00BE0750" w:rsidRDefault="00BE0750" w:rsidP="00BE0750">
      <w:pPr>
        <w:pStyle w:val="btbullet"/>
        <w:rPr>
          <w:rStyle w:val="Emphasis"/>
          <w:i w:val="0"/>
        </w:rPr>
      </w:pPr>
      <w:r w:rsidRPr="006F407A">
        <w:t>there are a range of lot sizes to meet differing needs</w:t>
      </w:r>
    </w:p>
    <w:p w:rsidR="00BE0750" w:rsidRDefault="00BE0750" w:rsidP="00BE0750">
      <w:pPr>
        <w:pStyle w:val="bt"/>
        <w:rPr>
          <w:rStyle w:val="Strong"/>
        </w:rPr>
      </w:pPr>
      <w:r w:rsidRPr="00BE0750">
        <w:rPr>
          <w:rStyle w:val="Strong"/>
        </w:rPr>
        <w:t>Reference to future directions (Part C): 11.2 (a), 11.2 (g), 13.2 (a), 13.3 (a)</w:t>
      </w:r>
    </w:p>
    <w:p w:rsidR="00BE0750" w:rsidRPr="00915962" w:rsidRDefault="00BE0750" w:rsidP="00915962">
      <w:pPr>
        <w:pStyle w:val="Heading5"/>
        <w:rPr>
          <w:rStyle w:val="Strong"/>
          <w:rFonts w:ascii="Calibri" w:eastAsiaTheme="majorEastAsia" w:hAnsi="Calibri" w:cstheme="majorBidi"/>
          <w:b/>
          <w:bCs w:val="0"/>
          <w:sz w:val="22"/>
        </w:rPr>
      </w:pPr>
      <w:r w:rsidRPr="00915962">
        <w:rPr>
          <w:rStyle w:val="Strong"/>
          <w:rFonts w:ascii="Calibri" w:eastAsiaTheme="majorEastAsia" w:hAnsi="Calibri" w:cstheme="majorBidi"/>
          <w:b/>
          <w:bCs w:val="0"/>
          <w:sz w:val="22"/>
        </w:rPr>
        <w:t xml:space="preserve">Regional </w:t>
      </w:r>
      <w:r w:rsidR="00611995" w:rsidRPr="00915962">
        <w:rPr>
          <w:rStyle w:val="Strong"/>
          <w:rFonts w:ascii="Calibri" w:eastAsiaTheme="majorEastAsia" w:hAnsi="Calibri" w:cstheme="majorBidi"/>
          <w:b/>
          <w:bCs w:val="0"/>
          <w:sz w:val="22"/>
        </w:rPr>
        <w:t>infrastructure –</w:t>
      </w:r>
      <w:r w:rsidRPr="00915962">
        <w:rPr>
          <w:rStyle w:val="Strong"/>
          <w:rFonts w:ascii="Calibri" w:eastAsiaTheme="majorEastAsia" w:hAnsi="Calibri" w:cstheme="majorBidi"/>
          <w:b/>
          <w:bCs w:val="0"/>
          <w:sz w:val="22"/>
        </w:rPr>
        <w:t xml:space="preserve"> Supporting the improvement of people and freight movement and planning strategically for future infrastructure needs</w:t>
      </w:r>
    </w:p>
    <w:p w:rsidR="00BE0750" w:rsidRPr="00E25525" w:rsidRDefault="00BE0750" w:rsidP="00BE0750">
      <w:pPr>
        <w:pStyle w:val="bt"/>
        <w:rPr>
          <w:rStyle w:val="Emphasis"/>
          <w:i w:val="0"/>
        </w:rPr>
      </w:pPr>
      <w:r w:rsidRPr="006F407A">
        <w:t>Plan for transport services and infrastructure provision that keep pace with growth and change in the key urban areas and respond to changes in demographics, land use and economic and social development</w:t>
      </w:r>
      <w:r w:rsidRPr="00E25525">
        <w:rPr>
          <w:rStyle w:val="Emphasis"/>
          <w:i w:val="0"/>
        </w:rPr>
        <w:t xml:space="preserve"> </w:t>
      </w:r>
    </w:p>
    <w:p w:rsidR="00BE0750" w:rsidRPr="00BE0750" w:rsidRDefault="00BE0750" w:rsidP="00BE0750">
      <w:pPr>
        <w:pStyle w:val="bt"/>
        <w:rPr>
          <w:rStyle w:val="Strong"/>
        </w:rPr>
      </w:pPr>
      <w:r w:rsidRPr="00BE0750">
        <w:rPr>
          <w:rStyle w:val="Strong"/>
        </w:rPr>
        <w:t>Reference to future directions (Part C): 13.2, 14.1, 14.3 (a)</w:t>
      </w:r>
    </w:p>
    <w:p w:rsidR="00BE0750" w:rsidRPr="00E25525" w:rsidRDefault="00BE0750" w:rsidP="00BE0750">
      <w:pPr>
        <w:pStyle w:val="bt"/>
        <w:rPr>
          <w:rStyle w:val="Emphasis"/>
          <w:i w:val="0"/>
        </w:rPr>
      </w:pPr>
      <w:r w:rsidRPr="006F407A">
        <w:lastRenderedPageBreak/>
        <w:t xml:space="preserve">Plan for freight connectivity to the network that is flexible and adaptable to changes in the </w:t>
      </w:r>
      <w:r>
        <w:t xml:space="preserve">mix of </w:t>
      </w:r>
      <w:r w:rsidRPr="006F407A">
        <w:t xml:space="preserve">commodities </w:t>
      </w:r>
      <w:r>
        <w:t xml:space="preserve">and freight logistic operations </w:t>
      </w:r>
      <w:r w:rsidRPr="006F407A">
        <w:t>into the future</w:t>
      </w:r>
      <w:r w:rsidRPr="00E25525">
        <w:rPr>
          <w:rStyle w:val="Emphasis"/>
          <w:i w:val="0"/>
        </w:rPr>
        <w:t xml:space="preserve"> </w:t>
      </w:r>
    </w:p>
    <w:p w:rsidR="00BE0750" w:rsidRPr="00BE0750" w:rsidRDefault="00BE0750" w:rsidP="00BE0750">
      <w:pPr>
        <w:pStyle w:val="bt"/>
        <w:rPr>
          <w:rStyle w:val="Strong"/>
        </w:rPr>
      </w:pPr>
      <w:r w:rsidRPr="00BE0750">
        <w:rPr>
          <w:rStyle w:val="Strong"/>
        </w:rPr>
        <w:t>Reference to future directions (Part C): 11.1 (f), 14.1</w:t>
      </w:r>
    </w:p>
    <w:p w:rsidR="00BE0750" w:rsidRDefault="00BE0750" w:rsidP="00BE0750">
      <w:pPr>
        <w:pStyle w:val="bt"/>
        <w:rPr>
          <w:rStyle w:val="Emphasis"/>
          <w:i w:val="0"/>
        </w:rPr>
      </w:pPr>
      <w:r w:rsidRPr="006F407A">
        <w:t>Support improved east-west transport links including those into Gippsland</w:t>
      </w:r>
    </w:p>
    <w:p w:rsidR="00BE0750" w:rsidRPr="00BE0750" w:rsidRDefault="00BE0750" w:rsidP="00BE0750">
      <w:pPr>
        <w:pStyle w:val="bt"/>
        <w:rPr>
          <w:rStyle w:val="Strong"/>
        </w:rPr>
      </w:pPr>
      <w:r w:rsidRPr="00BE0750">
        <w:rPr>
          <w:rStyle w:val="Strong"/>
        </w:rPr>
        <w:t>Reference to future directions (Part C): 14.1</w:t>
      </w:r>
    </w:p>
    <w:p w:rsidR="00BE0750" w:rsidRDefault="00BE0750" w:rsidP="00BE0750">
      <w:pPr>
        <w:pStyle w:val="bt"/>
      </w:pPr>
      <w:r w:rsidRPr="006F407A">
        <w:t xml:space="preserve">Promote the </w:t>
      </w:r>
      <w:r>
        <w:t>Hume R</w:t>
      </w:r>
      <w:r w:rsidRPr="006F407A">
        <w:t>egion’s network of tracks and trails and support activities that complement and extend their use</w:t>
      </w:r>
    </w:p>
    <w:p w:rsidR="00BE0750" w:rsidRPr="00BE0750" w:rsidRDefault="00BE0750" w:rsidP="00BE0750">
      <w:pPr>
        <w:pStyle w:val="bt"/>
        <w:rPr>
          <w:rStyle w:val="Strong"/>
        </w:rPr>
      </w:pPr>
      <w:r w:rsidRPr="00BE0750">
        <w:rPr>
          <w:rStyle w:val="Strong"/>
        </w:rPr>
        <w:t>Reference to future directions (Part C): 11.1 (e), 14.1 (f), 14.2 (c)</w:t>
      </w:r>
    </w:p>
    <w:p w:rsidR="00BE0750" w:rsidRDefault="00BE0750" w:rsidP="00BE0750">
      <w:pPr>
        <w:pStyle w:val="bt"/>
        <w:rPr>
          <w:rStyle w:val="Emphasis"/>
          <w:i w:val="0"/>
        </w:rPr>
      </w:pPr>
      <w:r w:rsidRPr="006F407A">
        <w:t xml:space="preserve">Support the development of freight and logistics precincts </w:t>
      </w:r>
      <w:r>
        <w:t>in</w:t>
      </w:r>
      <w:r w:rsidRPr="006F407A">
        <w:t xml:space="preserve"> strategic locations </w:t>
      </w:r>
      <w:r>
        <w:t>along</w:t>
      </w:r>
      <w:r w:rsidRPr="006F407A">
        <w:t xml:space="preserve"> key regional freight transport corridors</w:t>
      </w:r>
    </w:p>
    <w:p w:rsidR="00BE0750" w:rsidRPr="00BE0750" w:rsidRDefault="00BE0750" w:rsidP="00BE0750">
      <w:pPr>
        <w:pStyle w:val="bt"/>
        <w:rPr>
          <w:rStyle w:val="Strong"/>
        </w:rPr>
      </w:pPr>
      <w:r w:rsidRPr="00BE0750">
        <w:rPr>
          <w:rStyle w:val="Strong"/>
        </w:rPr>
        <w:t>Reference to future directions (Part C): 11.1 (f), 13.2, 14.1 (a), 14.1 (d)</w:t>
      </w:r>
    </w:p>
    <w:p w:rsidR="00BE0750" w:rsidRPr="00E25525" w:rsidRDefault="00BE0750" w:rsidP="00BE0750">
      <w:pPr>
        <w:pStyle w:val="bt"/>
        <w:rPr>
          <w:rStyle w:val="Emphasis"/>
          <w:i w:val="0"/>
        </w:rPr>
      </w:pPr>
      <w:r w:rsidRPr="006F407A">
        <w:t>Maximise the strategic position of the transport network and associated infrastructure to encourage settlement and economic growth</w:t>
      </w:r>
    </w:p>
    <w:p w:rsidR="00BE0750" w:rsidRPr="00BE0750" w:rsidRDefault="00BE0750" w:rsidP="00BE0750">
      <w:pPr>
        <w:pStyle w:val="bt"/>
        <w:rPr>
          <w:rStyle w:val="Strong"/>
        </w:rPr>
      </w:pPr>
      <w:r w:rsidRPr="00BE0750">
        <w:rPr>
          <w:rStyle w:val="Strong"/>
        </w:rPr>
        <w:t>Reference to future directions (Part C): 11.1 (f), 13.2, 14.1</w:t>
      </w:r>
    </w:p>
    <w:p w:rsidR="00BE0750" w:rsidRDefault="00BE0750" w:rsidP="00BE0750">
      <w:pPr>
        <w:pStyle w:val="bt"/>
      </w:pPr>
      <w:r w:rsidRPr="006F407A">
        <w:t xml:space="preserve">Support infrastructure upgrades </w:t>
      </w:r>
      <w:r>
        <w:t>that</w:t>
      </w:r>
      <w:r w:rsidRPr="006F407A">
        <w:t xml:space="preserve"> facilitate urban growth, environmental enhancements and key economic </w:t>
      </w:r>
      <w:r>
        <w:br/>
      </w:r>
      <w:r w:rsidRPr="006F407A">
        <w:t>development initiatives</w:t>
      </w:r>
    </w:p>
    <w:p w:rsidR="00BE0750" w:rsidRPr="00BE0750" w:rsidRDefault="00BE0750" w:rsidP="00BE0750">
      <w:pPr>
        <w:pStyle w:val="bt"/>
        <w:rPr>
          <w:rStyle w:val="Strong"/>
        </w:rPr>
      </w:pPr>
      <w:r w:rsidRPr="00BE0750">
        <w:rPr>
          <w:rStyle w:val="Strong"/>
        </w:rPr>
        <w:t>Reference to future directions (Part C): 11.1, 13.2, 14.1, 14.2, 14.3</w:t>
      </w:r>
    </w:p>
    <w:p w:rsidR="00BE0750" w:rsidRPr="00E25525" w:rsidRDefault="00BE0750" w:rsidP="00BE0750">
      <w:pPr>
        <w:pStyle w:val="bt"/>
        <w:rPr>
          <w:rStyle w:val="Emphasis"/>
          <w:i w:val="0"/>
        </w:rPr>
      </w:pPr>
      <w:r w:rsidRPr="006F407A">
        <w:t xml:space="preserve">Provide for appropriate settlement buffers around sewerage treatment areas, solid waste management </w:t>
      </w:r>
      <w:r>
        <w:t>and resource recovery facilities</w:t>
      </w:r>
      <w:r w:rsidRPr="006F407A">
        <w:t xml:space="preserve"> and industrial areas to minimise potential impacts on the environment such as noise and odour</w:t>
      </w:r>
    </w:p>
    <w:p w:rsidR="00BE0750" w:rsidRPr="00BE0750" w:rsidRDefault="00BE0750" w:rsidP="00BE0750">
      <w:pPr>
        <w:pStyle w:val="bt"/>
        <w:rPr>
          <w:rStyle w:val="Strong"/>
        </w:rPr>
      </w:pPr>
      <w:r w:rsidRPr="00BE0750">
        <w:rPr>
          <w:rStyle w:val="Strong"/>
        </w:rPr>
        <w:t>Reference to future directions (Part C): 11.2 (g), 14.3 (a)</w:t>
      </w:r>
    </w:p>
    <w:p w:rsidR="00BE0750" w:rsidRDefault="00BE0750" w:rsidP="00BE0750">
      <w:pPr>
        <w:pStyle w:val="bt"/>
        <w:rPr>
          <w:rStyle w:val="Emphasis"/>
          <w:i w:val="0"/>
        </w:rPr>
      </w:pPr>
      <w:r w:rsidRPr="006F407A">
        <w:t>Avoid locating water treatment plants close to development nodes</w:t>
      </w:r>
      <w:r w:rsidRPr="00E25525">
        <w:rPr>
          <w:rStyle w:val="Emphasis"/>
          <w:i w:val="0"/>
        </w:rPr>
        <w:t xml:space="preserve"> </w:t>
      </w:r>
    </w:p>
    <w:p w:rsidR="00BE0750" w:rsidRPr="00BE0750" w:rsidRDefault="00BE0750" w:rsidP="00BE0750">
      <w:pPr>
        <w:pStyle w:val="bt"/>
        <w:rPr>
          <w:rStyle w:val="Strong"/>
        </w:rPr>
      </w:pPr>
      <w:r w:rsidRPr="00BE0750">
        <w:rPr>
          <w:rStyle w:val="Strong"/>
        </w:rPr>
        <w:t>Reference to future directions (Part C): 14.3</w:t>
      </w:r>
    </w:p>
    <w:p w:rsidR="00BE0750" w:rsidRDefault="00BE0750" w:rsidP="00BE0750">
      <w:pPr>
        <w:pStyle w:val="bt"/>
      </w:pPr>
      <w:r w:rsidRPr="006F407A">
        <w:t xml:space="preserve">Support provision of adequate facilities to manage the </w:t>
      </w:r>
      <w:r>
        <w:t>Hume R</w:t>
      </w:r>
      <w:r w:rsidRPr="006F407A">
        <w:t>egion’s solid waste, including resource recovery facilities</w:t>
      </w:r>
    </w:p>
    <w:p w:rsidR="00BE0750" w:rsidRPr="00BE0750" w:rsidRDefault="00BE0750" w:rsidP="00BE0750">
      <w:pPr>
        <w:pStyle w:val="bt"/>
        <w:rPr>
          <w:rStyle w:val="Strong"/>
        </w:rPr>
      </w:pPr>
      <w:r w:rsidRPr="00BE0750">
        <w:rPr>
          <w:rStyle w:val="Strong"/>
        </w:rPr>
        <w:t>Reference to future directions (Part C): 11.3 (a), 14.3 (a)</w:t>
      </w:r>
    </w:p>
    <w:p w:rsidR="00BE0750" w:rsidRDefault="00BE0750" w:rsidP="00BE0750">
      <w:pPr>
        <w:pStyle w:val="bt"/>
      </w:pPr>
      <w:r w:rsidRPr="006F407A">
        <w:t>Support development of opportunities to generate renewable energy from waste</w:t>
      </w:r>
    </w:p>
    <w:p w:rsidR="00BE0750" w:rsidRPr="00BE0750" w:rsidRDefault="00BE0750" w:rsidP="00BE0750">
      <w:pPr>
        <w:pStyle w:val="bt"/>
        <w:rPr>
          <w:rStyle w:val="Strong"/>
        </w:rPr>
      </w:pPr>
      <w:r w:rsidRPr="00BE0750">
        <w:rPr>
          <w:rStyle w:val="Strong"/>
        </w:rPr>
        <w:t>Reference to future directions (Part C): 11.1 (d), 14.3 (a)</w:t>
      </w:r>
    </w:p>
    <w:p w:rsidR="00BE0750" w:rsidRPr="00E25525" w:rsidRDefault="00BE0750" w:rsidP="00BE0750">
      <w:pPr>
        <w:pStyle w:val="bt"/>
        <w:rPr>
          <w:rStyle w:val="Emphasis"/>
          <w:i w:val="0"/>
        </w:rPr>
      </w:pPr>
      <w:r w:rsidRPr="006F407A">
        <w:t>Support the supply of high quality information and communications technology</w:t>
      </w:r>
    </w:p>
    <w:p w:rsidR="00BE0750" w:rsidRPr="00BE0750" w:rsidRDefault="00BE0750" w:rsidP="00BE0750">
      <w:pPr>
        <w:pStyle w:val="bt"/>
        <w:rPr>
          <w:rStyle w:val="Strong"/>
        </w:rPr>
      </w:pPr>
      <w:r w:rsidRPr="00BE0750">
        <w:rPr>
          <w:rStyle w:val="Strong"/>
        </w:rPr>
        <w:t>Reference to future directions (Part C): 11.1 (b), 11.1 (d), 14.3 (a)</w:t>
      </w:r>
    </w:p>
    <w:p w:rsidR="00BE0750" w:rsidRDefault="00BE0750" w:rsidP="00BE0750">
      <w:pPr>
        <w:pStyle w:val="bt"/>
      </w:pPr>
      <w:r w:rsidRPr="006F407A">
        <w:t>Growth should be supported through strategic investment in sustainable new physical and social infrastructure that is resilient to natural hazards and risks and climate change</w:t>
      </w:r>
    </w:p>
    <w:p w:rsidR="00BE0750" w:rsidRPr="00BE0750" w:rsidRDefault="00BE0750" w:rsidP="00BE0750">
      <w:pPr>
        <w:pStyle w:val="bt"/>
        <w:rPr>
          <w:rStyle w:val="Strong"/>
        </w:rPr>
      </w:pPr>
      <w:r w:rsidRPr="00BE0750">
        <w:rPr>
          <w:rStyle w:val="Strong"/>
        </w:rPr>
        <w:lastRenderedPageBreak/>
        <w:t>Reference to future directions Sections 13.2, 14.1–14.3</w:t>
      </w:r>
    </w:p>
    <w:p w:rsidR="00BE0750" w:rsidRPr="00E25525" w:rsidRDefault="00BE0750" w:rsidP="00BE0750">
      <w:pPr>
        <w:pStyle w:val="bt"/>
        <w:rPr>
          <w:rStyle w:val="Emphasis"/>
          <w:i w:val="0"/>
        </w:rPr>
      </w:pPr>
      <w:r w:rsidRPr="006F407A">
        <w:t xml:space="preserve">Plan for the provision of social infrastructure in sequence with </w:t>
      </w:r>
      <w:r>
        <w:t xml:space="preserve">new </w:t>
      </w:r>
      <w:r w:rsidRPr="006F407A">
        <w:t xml:space="preserve">residential development </w:t>
      </w:r>
      <w:r>
        <w:t>with</w:t>
      </w:r>
      <w:r w:rsidRPr="006F407A">
        <w:t xml:space="preserve"> good access to public transport services, as well as to employment and education opportunities</w:t>
      </w:r>
      <w:r w:rsidRPr="00E25525">
        <w:rPr>
          <w:rStyle w:val="Emphasis"/>
          <w:i w:val="0"/>
        </w:rPr>
        <w:t xml:space="preserve"> </w:t>
      </w:r>
    </w:p>
    <w:p w:rsidR="00BE0750" w:rsidRPr="00BE0750" w:rsidRDefault="00BE0750" w:rsidP="00BE0750">
      <w:pPr>
        <w:pStyle w:val="bt"/>
        <w:rPr>
          <w:rStyle w:val="Strong"/>
        </w:rPr>
      </w:pPr>
      <w:r w:rsidRPr="00BE0750">
        <w:rPr>
          <w:rStyle w:val="Strong"/>
        </w:rPr>
        <w:t>Reference to future directions (Part C): 11.1 (a</w:t>
      </w:r>
      <w:r w:rsidR="00611995" w:rsidRPr="00BE0750">
        <w:rPr>
          <w:rStyle w:val="Strong"/>
        </w:rPr>
        <w:t>) (</w:t>
      </w:r>
      <w:r w:rsidRPr="00BE0750">
        <w:rPr>
          <w:rStyle w:val="Strong"/>
        </w:rPr>
        <w:t>b), 13.2, 14.2 (b)</w:t>
      </w:r>
    </w:p>
    <w:p w:rsidR="00BE0750" w:rsidRPr="00E25525" w:rsidRDefault="00BE0750" w:rsidP="00BE0750">
      <w:pPr>
        <w:pStyle w:val="bt"/>
        <w:rPr>
          <w:rStyle w:val="Emphasis"/>
          <w:i w:val="0"/>
        </w:rPr>
      </w:pPr>
      <w:r w:rsidRPr="006F407A">
        <w:t>Support the co-location and integration of community facilities and services to improve service delivery and efficiency</w:t>
      </w:r>
    </w:p>
    <w:p w:rsidR="00BE0750" w:rsidRPr="00BE0750" w:rsidRDefault="00BE0750" w:rsidP="00BE0750">
      <w:pPr>
        <w:pStyle w:val="bt"/>
        <w:rPr>
          <w:rStyle w:val="Strong"/>
        </w:rPr>
      </w:pPr>
      <w:r w:rsidRPr="00BE0750">
        <w:rPr>
          <w:rStyle w:val="Strong"/>
        </w:rPr>
        <w:t>Reference to future directions (Part C): 14.2 (a)</w:t>
      </w:r>
    </w:p>
    <w:p w:rsidR="00BE0750" w:rsidRDefault="00BE0750" w:rsidP="00BE0750">
      <w:pPr>
        <w:pStyle w:val="bt"/>
      </w:pPr>
      <w:r w:rsidRPr="006F407A">
        <w:t xml:space="preserve">Provide for </w:t>
      </w:r>
      <w:r>
        <w:t xml:space="preserve">integrated </w:t>
      </w:r>
      <w:r w:rsidRPr="006F407A">
        <w:t xml:space="preserve">regional and </w:t>
      </w:r>
      <w:r>
        <w:t>sub-region</w:t>
      </w:r>
      <w:r w:rsidRPr="006F407A">
        <w:t>al scale community, cultural and recreation facilities that contribute to social inclusion and connectivity, community health and wellbeing, amenity, environmental sustainability and the economy</w:t>
      </w:r>
    </w:p>
    <w:p w:rsidR="00BE0750" w:rsidRPr="00BE0750" w:rsidRDefault="00BE0750" w:rsidP="00BE0750">
      <w:pPr>
        <w:pStyle w:val="bt"/>
        <w:rPr>
          <w:rStyle w:val="Strong"/>
        </w:rPr>
      </w:pPr>
      <w:r w:rsidRPr="00BE0750">
        <w:rPr>
          <w:rStyle w:val="Strong"/>
        </w:rPr>
        <w:t>Reference to future directions (Part C): 14.2</w:t>
      </w:r>
    </w:p>
    <w:p w:rsidR="00BE0750" w:rsidRPr="00E25525" w:rsidRDefault="00BE0750" w:rsidP="00BE0750">
      <w:pPr>
        <w:pStyle w:val="bt"/>
        <w:rPr>
          <w:rStyle w:val="Emphasis"/>
          <w:i w:val="0"/>
        </w:rPr>
      </w:pPr>
      <w:r w:rsidRPr="006F407A">
        <w:t>Coordinate the development of growth areas to ensure required land, infrastructure and services</w:t>
      </w:r>
      <w:r>
        <w:t xml:space="preserve"> (</w:t>
      </w:r>
      <w:r w:rsidRPr="006F407A">
        <w:t>including education and health</w:t>
      </w:r>
      <w:r>
        <w:t xml:space="preserve"> services)</w:t>
      </w:r>
      <w:r w:rsidRPr="006F407A">
        <w:t xml:space="preserve"> are provided in a timely manner</w:t>
      </w:r>
      <w:r w:rsidRPr="00E25525">
        <w:rPr>
          <w:rStyle w:val="Emphasis"/>
          <w:i w:val="0"/>
        </w:rPr>
        <w:t xml:space="preserve"> </w:t>
      </w:r>
    </w:p>
    <w:p w:rsidR="00BE0750" w:rsidRDefault="00BE0750" w:rsidP="00BE0750">
      <w:pPr>
        <w:pStyle w:val="bt"/>
        <w:rPr>
          <w:rStyle w:val="Strong"/>
        </w:rPr>
      </w:pPr>
      <w:r w:rsidRPr="00BE0750">
        <w:rPr>
          <w:rStyle w:val="Strong"/>
        </w:rPr>
        <w:t>Reference to future directions (Part C): 13.2, 14.1–14.3</w:t>
      </w:r>
    </w:p>
    <w:p w:rsidR="006E6684" w:rsidRPr="006E6684" w:rsidRDefault="006E6684" w:rsidP="006E6684">
      <w:pPr>
        <w:pStyle w:val="bt"/>
        <w:rPr>
          <w:rStyle w:val="Strong"/>
          <w:rFonts w:ascii="Calibri" w:hAnsi="Calibri" w:cs="Times New Roman"/>
          <w:b w:val="0"/>
          <w:bCs w:val="0"/>
        </w:rPr>
      </w:pPr>
      <w:bookmarkStart w:id="109" w:name="_Ref374356924"/>
      <w:bookmarkStart w:id="110" w:name="_Toc374434715"/>
      <w:r w:rsidRPr="006E6684">
        <w:t xml:space="preserve">Map </w:t>
      </w:r>
      <w:bookmarkEnd w:id="109"/>
      <w:r w:rsidR="00AF799A">
        <w:t>18</w:t>
      </w:r>
      <w:r>
        <w:t xml:space="preserve"> is located here in the document and it shows -</w:t>
      </w:r>
      <w:r w:rsidR="00553D06">
        <w:t xml:space="preserve"> Hume regional growth p</w:t>
      </w:r>
      <w:r w:rsidRPr="006E6684">
        <w:t>lan</w:t>
      </w:r>
      <w:bookmarkEnd w:id="110"/>
    </w:p>
    <w:p w:rsidR="00C53D5B" w:rsidRPr="006E6684" w:rsidRDefault="00C53D5B" w:rsidP="006E6684">
      <w:pPr>
        <w:pStyle w:val="bt"/>
        <w:rPr>
          <w:rStyle w:val="Strong"/>
          <w:rFonts w:ascii="Calibri" w:hAnsi="Calibri" w:cs="Times New Roman"/>
          <w:b w:val="0"/>
          <w:bCs w:val="0"/>
        </w:rPr>
        <w:sectPr w:rsidR="00C53D5B" w:rsidRPr="006E6684" w:rsidSect="00AF1A24">
          <w:headerReference w:type="default" r:id="rId31"/>
          <w:pgSz w:w="11906" w:h="16838"/>
          <w:pgMar w:top="1440" w:right="1440" w:bottom="993" w:left="1440" w:header="708" w:footer="708" w:gutter="0"/>
          <w:pgBorders w:offsetFrom="page">
            <w:top w:val="single" w:sz="4" w:space="24" w:color="FFFFFF"/>
            <w:bottom w:val="single" w:sz="4" w:space="24" w:color="FFFFFF"/>
          </w:pgBorders>
          <w:cols w:space="708"/>
          <w:docGrid w:linePitch="360"/>
        </w:sectPr>
      </w:pPr>
    </w:p>
    <w:p w:rsidR="004C47F5" w:rsidRPr="002E4510" w:rsidRDefault="004C47F5" w:rsidP="00CB54A1">
      <w:pPr>
        <w:pStyle w:val="Heading1"/>
      </w:pPr>
      <w:bookmarkStart w:id="111" w:name="_Toc336871237"/>
      <w:bookmarkStart w:id="112" w:name="_Toc376945606"/>
      <w:bookmarkEnd w:id="106"/>
      <w:bookmarkEnd w:id="107"/>
      <w:r w:rsidRPr="002E4510">
        <w:lastRenderedPageBreak/>
        <w:t>PART E</w:t>
      </w:r>
      <w:r w:rsidR="00CB54A1">
        <w:t>:</w:t>
      </w:r>
      <w:r w:rsidRPr="002E4510">
        <w:tab/>
        <w:t>D</w:t>
      </w:r>
      <w:bookmarkEnd w:id="111"/>
      <w:r w:rsidR="009B6188" w:rsidRPr="002E4510">
        <w:t>ELIVERING REGIONAL GROWTH</w:t>
      </w:r>
      <w:bookmarkEnd w:id="112"/>
    </w:p>
    <w:p w:rsidR="000B4D93" w:rsidRDefault="000B4D93" w:rsidP="002E4510">
      <w:pPr>
        <w:pStyle w:val="Heading11"/>
      </w:pPr>
      <w:bookmarkStart w:id="113" w:name="_Toc336871238"/>
      <w:bookmarkStart w:id="114" w:name="_Toc376945607"/>
      <w:r w:rsidRPr="002E4510">
        <w:t>Implementation</w:t>
      </w:r>
      <w:bookmarkStart w:id="115" w:name="_Toc364247267"/>
      <w:bookmarkEnd w:id="113"/>
      <w:bookmarkEnd w:id="114"/>
    </w:p>
    <w:p w:rsidR="0083562E" w:rsidRPr="002E4510" w:rsidRDefault="0083562E" w:rsidP="00A00B05">
      <w:pPr>
        <w:pStyle w:val="Heading2"/>
        <w:tabs>
          <w:tab w:val="clear" w:pos="396"/>
          <w:tab w:val="clear" w:pos="851"/>
        </w:tabs>
        <w:ind w:left="567"/>
      </w:pPr>
      <w:bookmarkStart w:id="116" w:name="_Toc356474801"/>
      <w:bookmarkStart w:id="117" w:name="_Toc364247460"/>
      <w:bookmarkStart w:id="118" w:name="_Toc371590137"/>
      <w:bookmarkStart w:id="119" w:name="_Toc376945608"/>
      <w:bookmarkEnd w:id="115"/>
      <w:r w:rsidRPr="002E4510">
        <w:t xml:space="preserve">Planning </w:t>
      </w:r>
      <w:r w:rsidR="00544995" w:rsidRPr="002E4510">
        <w:t>s</w:t>
      </w:r>
      <w:r w:rsidRPr="002E4510">
        <w:t>chemes</w:t>
      </w:r>
      <w:bookmarkEnd w:id="116"/>
      <w:bookmarkEnd w:id="117"/>
      <w:bookmarkEnd w:id="118"/>
      <w:bookmarkEnd w:id="119"/>
    </w:p>
    <w:p w:rsidR="00613BE0" w:rsidRDefault="00BF2023" w:rsidP="00613BE0">
      <w:pPr>
        <w:pStyle w:val="bt"/>
      </w:pPr>
      <w:r w:rsidRPr="00602CC6">
        <w:t xml:space="preserve">The </w:t>
      </w:r>
      <w:r>
        <w:t>Hume</w:t>
      </w:r>
      <w:r w:rsidRPr="00602CC6">
        <w:t xml:space="preserve"> Regional Growth Plan will have status as part of the Victoria Planning Provisions and planning schemes. This will give the plan’s strategic directions status in each local government area’s planning scheme.</w:t>
      </w:r>
    </w:p>
    <w:p w:rsidR="00613BE0" w:rsidRDefault="00BA5971" w:rsidP="00613BE0">
      <w:pPr>
        <w:pStyle w:val="bt"/>
      </w:pPr>
      <w:r>
        <w:t xml:space="preserve">Councils in the </w:t>
      </w:r>
      <w:r w:rsidR="00BF2023">
        <w:t>Hume</w:t>
      </w:r>
      <w:r w:rsidR="00BF2023" w:rsidRPr="00602CC6">
        <w:t xml:space="preserve"> </w:t>
      </w:r>
      <w:r>
        <w:t>R</w:t>
      </w:r>
      <w:r w:rsidR="00BF2023" w:rsidRPr="00602CC6">
        <w:t xml:space="preserve">egion will work in partnership with </w:t>
      </w:r>
      <w:r w:rsidR="0002314B">
        <w:t>S</w:t>
      </w:r>
      <w:r w:rsidR="0002314B" w:rsidRPr="00602CC6">
        <w:t xml:space="preserve">tate </w:t>
      </w:r>
      <w:r w:rsidR="0002314B">
        <w:t>G</w:t>
      </w:r>
      <w:r w:rsidR="0002314B" w:rsidRPr="00602CC6">
        <w:t xml:space="preserve">overnment </w:t>
      </w:r>
      <w:r w:rsidR="00BF2023" w:rsidRPr="00602CC6">
        <w:t>to facilitate the required planning scheme amendment process and content as an immediate priority.</w:t>
      </w:r>
    </w:p>
    <w:p w:rsidR="0083562E" w:rsidRPr="002E4510" w:rsidRDefault="00D809FA" w:rsidP="002E4510">
      <w:pPr>
        <w:pStyle w:val="bt"/>
      </w:pPr>
      <w:r w:rsidRPr="00D809FA">
        <w:t xml:space="preserve">An Advisory Committee has been appointed to conduct a review of the State Planning Policy Framework in order to deliver </w:t>
      </w:r>
      <w:r w:rsidR="00B41117">
        <w:t>regional growth plan</w:t>
      </w:r>
      <w:r w:rsidRPr="00D809FA">
        <w:t xml:space="preserve">s and other major </w:t>
      </w:r>
      <w:r w:rsidR="00315B29">
        <w:t>planning policies</w:t>
      </w:r>
      <w:r w:rsidR="00B04CA4">
        <w:t xml:space="preserve">, </w:t>
      </w:r>
      <w:r w:rsidR="00315B29">
        <w:t xml:space="preserve">such as the </w:t>
      </w:r>
      <w:r w:rsidR="00B04CA4">
        <w:t xml:space="preserve">new </w:t>
      </w:r>
      <w:r w:rsidR="00315B29">
        <w:t>metropolitan planning s</w:t>
      </w:r>
      <w:r w:rsidRPr="00D809FA">
        <w:t>trategy</w:t>
      </w:r>
      <w:r w:rsidR="00315B29">
        <w:t xml:space="preserve">, </w:t>
      </w:r>
      <w:r w:rsidR="00315B29" w:rsidRPr="00315B29">
        <w:rPr>
          <w:i/>
        </w:rPr>
        <w:t>Plan Melbourne</w:t>
      </w:r>
      <w:r w:rsidRPr="00D809FA">
        <w:t>.</w:t>
      </w:r>
    </w:p>
    <w:p w:rsidR="0083562E" w:rsidRDefault="00067014" w:rsidP="002E4510">
      <w:pPr>
        <w:pStyle w:val="bt"/>
      </w:pPr>
      <w:r w:rsidRPr="002E4510">
        <w:t xml:space="preserve">The </w:t>
      </w:r>
      <w:r w:rsidR="00D36385" w:rsidRPr="002E4510">
        <w:t>p</w:t>
      </w:r>
      <w:r w:rsidR="002864FD" w:rsidRPr="002E4510">
        <w:t>lan will</w:t>
      </w:r>
      <w:r w:rsidRPr="002E4510">
        <w:t xml:space="preserve"> guide and inform future strategic planning across the </w:t>
      </w:r>
      <w:r w:rsidR="00EF0E91" w:rsidRPr="002E4510">
        <w:t xml:space="preserve">Hume </w:t>
      </w:r>
      <w:r w:rsidR="00B17119" w:rsidRPr="002E4510">
        <w:t>R</w:t>
      </w:r>
      <w:r w:rsidRPr="002E4510">
        <w:t xml:space="preserve">egion, including future reviews of each council’s Municipal Strategic Statement and </w:t>
      </w:r>
      <w:r w:rsidR="002864FD" w:rsidRPr="002E4510">
        <w:t xml:space="preserve">will help </w:t>
      </w:r>
      <w:r w:rsidRPr="002E4510">
        <w:t xml:space="preserve">provide justification for planning scheme amendments </w:t>
      </w:r>
      <w:r w:rsidR="002864FD" w:rsidRPr="002E4510">
        <w:t xml:space="preserve">that </w:t>
      </w:r>
      <w:r w:rsidRPr="002E4510">
        <w:t xml:space="preserve">are consistent with the </w:t>
      </w:r>
      <w:r w:rsidR="00D36385" w:rsidRPr="002E4510">
        <w:t>p</w:t>
      </w:r>
      <w:r w:rsidRPr="002E4510">
        <w:t>lan.</w:t>
      </w:r>
    </w:p>
    <w:p w:rsidR="00BF2023" w:rsidRPr="002E4510" w:rsidRDefault="00BF2023" w:rsidP="00BF2023">
      <w:pPr>
        <w:pStyle w:val="bt"/>
      </w:pPr>
      <w:r w:rsidRPr="002E4510">
        <w:t xml:space="preserve">The plan will provide councils in the Hume Region with a clearer regional land use context to inform and influence future local strategic planning, planning scheme amendments and local decisions. As </w:t>
      </w:r>
      <w:r>
        <w:t>the plan</w:t>
      </w:r>
      <w:r w:rsidRPr="002E4510">
        <w:t xml:space="preserve"> indicates preferred locations for future urban development and valued areas for protection, it can be used as a high level context for regional and local infrastructure planning and investment. </w:t>
      </w:r>
    </w:p>
    <w:p w:rsidR="00BF2023" w:rsidRPr="002E4510" w:rsidRDefault="00BF2023" w:rsidP="002E4510">
      <w:pPr>
        <w:pStyle w:val="bt"/>
      </w:pPr>
      <w:r w:rsidRPr="002E4510">
        <w:t xml:space="preserve">The plan establishes a context for growth and settlement planning to inform and assist in frameworks for town and city growth plans and infrastructure requirements. This more detailed level of planning will continue in partnership between local and </w:t>
      </w:r>
      <w:r w:rsidR="0002314B">
        <w:t>s</w:t>
      </w:r>
      <w:r w:rsidR="0002314B" w:rsidRPr="002E4510">
        <w:t xml:space="preserve">tate </w:t>
      </w:r>
      <w:r w:rsidRPr="002E4510">
        <w:t>planning authorities. Careful monitoring of urban projects, land development and population change during the life of the plan will be established to assist in the delivery of the plan.</w:t>
      </w:r>
    </w:p>
    <w:p w:rsidR="00BF2023" w:rsidRDefault="00BF2023" w:rsidP="00A00B05">
      <w:pPr>
        <w:pStyle w:val="Heading2"/>
        <w:tabs>
          <w:tab w:val="clear" w:pos="396"/>
          <w:tab w:val="clear" w:pos="851"/>
        </w:tabs>
        <w:ind w:left="567"/>
      </w:pPr>
      <w:bookmarkStart w:id="120" w:name="_Toc364247461"/>
      <w:bookmarkStart w:id="121" w:name="_Toc371590138"/>
      <w:bookmarkStart w:id="122" w:name="_Toc376945609"/>
      <w:bookmarkStart w:id="123" w:name="_Toc356474802"/>
      <w:r>
        <w:t xml:space="preserve">Links to </w:t>
      </w:r>
      <w:bookmarkEnd w:id="120"/>
      <w:bookmarkEnd w:id="121"/>
      <w:r w:rsidR="00DC3B21">
        <w:t>Regional Strategic Plan implementation</w:t>
      </w:r>
      <w:bookmarkEnd w:id="122"/>
    </w:p>
    <w:p w:rsidR="00BF2023" w:rsidRPr="006D58BF" w:rsidRDefault="00BF2023" w:rsidP="00BF2023">
      <w:pPr>
        <w:pStyle w:val="bt"/>
      </w:pPr>
      <w:r w:rsidRPr="006D58BF">
        <w:t xml:space="preserve">The plan is closely aligned to the </w:t>
      </w:r>
      <w:r w:rsidRPr="00141FA0">
        <w:t>Hume Strategy for Sustainable Communities 2010–2020</w:t>
      </w:r>
      <w:r w:rsidRPr="006D58BF">
        <w:t>. Implementation of the plan should also be considered in relation to other ongoing work to implement the strategic directions of the Hume Strategy. This will strengthen the capacity for achieving shared objectives and targeting efforts to secure funding for the highest priorities in the region.</w:t>
      </w:r>
    </w:p>
    <w:p w:rsidR="00BF2023" w:rsidRPr="006D58BF" w:rsidRDefault="00BF2023" w:rsidP="00BF2023">
      <w:pPr>
        <w:pStyle w:val="bt"/>
      </w:pPr>
      <w:r w:rsidRPr="006D58BF">
        <w:t>Regional leadership and high level support for the implementation of the Hume Strategy is provided through a partnership between the Hume Regional Local Government Network, Hume Regional Management Forum and Hume Regional Development Australia Committee. Implementation of the plan could be advanced through the same processes and governance structures (see</w:t>
      </w:r>
      <w:r w:rsidR="00BA53E2">
        <w:t xml:space="preserve"> </w:t>
      </w:r>
      <w:r w:rsidR="005F523F">
        <w:rPr>
          <w:szCs w:val="20"/>
        </w:rPr>
        <w:fldChar w:fldCharType="begin"/>
      </w:r>
      <w:r w:rsidR="00D12457">
        <w:rPr>
          <w:szCs w:val="20"/>
        </w:rPr>
        <w:instrText xml:space="preserve"> REF _Ref374357072 \h </w:instrText>
      </w:r>
      <w:r w:rsidR="005F523F">
        <w:rPr>
          <w:szCs w:val="20"/>
        </w:rPr>
      </w:r>
      <w:r w:rsidR="005F523F">
        <w:rPr>
          <w:szCs w:val="20"/>
        </w:rPr>
        <w:fldChar w:fldCharType="separate"/>
      </w:r>
      <w:r w:rsidR="006A067A" w:rsidRPr="006E6684">
        <w:t xml:space="preserve">Figure </w:t>
      </w:r>
      <w:r w:rsidR="006A067A">
        <w:rPr>
          <w:rStyle w:val="btChar"/>
          <w:noProof/>
        </w:rPr>
        <w:t>5</w:t>
      </w:r>
      <w:r w:rsidR="005F523F">
        <w:rPr>
          <w:szCs w:val="20"/>
        </w:rPr>
        <w:fldChar w:fldCharType="end"/>
      </w:r>
      <w:r w:rsidRPr="006D58BF">
        <w:t>). These structures allow for inter-agency cooperation to implement regional priorities.</w:t>
      </w:r>
    </w:p>
    <w:p w:rsidR="00BD7B1F" w:rsidRPr="006E6684" w:rsidRDefault="00BD7B1F" w:rsidP="006E6684">
      <w:pPr>
        <w:pStyle w:val="bt"/>
      </w:pPr>
      <w:bookmarkStart w:id="124" w:name="_Ref374357072"/>
      <w:bookmarkStart w:id="125" w:name="_Toc374434738"/>
      <w:r w:rsidRPr="006E6684">
        <w:t xml:space="preserve">Figure </w:t>
      </w:r>
      <w:r w:rsidR="005F523F" w:rsidRPr="006E6684">
        <w:rPr>
          <w:rStyle w:val="btChar"/>
        </w:rPr>
        <w:fldChar w:fldCharType="begin"/>
      </w:r>
      <w:r w:rsidR="008E0CEC" w:rsidRPr="006E6684">
        <w:rPr>
          <w:rStyle w:val="btChar"/>
        </w:rPr>
        <w:instrText xml:space="preserve"> SEQ Figure \* ARABIC </w:instrText>
      </w:r>
      <w:r w:rsidR="005F523F" w:rsidRPr="006E6684">
        <w:rPr>
          <w:rStyle w:val="btChar"/>
        </w:rPr>
        <w:fldChar w:fldCharType="separate"/>
      </w:r>
      <w:r w:rsidR="006A067A">
        <w:rPr>
          <w:rStyle w:val="btChar"/>
          <w:noProof/>
        </w:rPr>
        <w:t>5</w:t>
      </w:r>
      <w:r w:rsidR="005F523F" w:rsidRPr="006E6684">
        <w:rPr>
          <w:rStyle w:val="btChar"/>
        </w:rPr>
        <w:fldChar w:fldCharType="end"/>
      </w:r>
      <w:bookmarkEnd w:id="124"/>
      <w:r w:rsidR="006E6684" w:rsidRPr="006E6684">
        <w:t xml:space="preserve"> is located here in the document and it shows -</w:t>
      </w:r>
      <w:r w:rsidRPr="006E6684">
        <w:t xml:space="preserve"> Hume Strategy partnership governance structure and regional growth plan implementation</w:t>
      </w:r>
      <w:bookmarkEnd w:id="125"/>
    </w:p>
    <w:p w:rsidR="00BF2023" w:rsidRDefault="00BF2023" w:rsidP="00BF2023">
      <w:pPr>
        <w:pStyle w:val="bt"/>
      </w:pPr>
      <w:r w:rsidRPr="006D58BF">
        <w:t xml:space="preserve">Development of this plan was identified as a regional 'flagship project' in the </w:t>
      </w:r>
      <w:r w:rsidRPr="00141FA0">
        <w:t>State of the Hume Region 2010– 2012</w:t>
      </w:r>
      <w:r w:rsidRPr="006D58BF">
        <w:t xml:space="preserve"> (August 2012) progress report on Hume Strategy implementation and has been supported through the land use planning sub group of the Regional Management Forum. It is anticipated that key regional growth plan implementation initiatives may be adopted as priorities by the Hume Regional Management Forum and advanced through this structure. Implementing the actions identified in this plan through this existing </w:t>
      </w:r>
      <w:r w:rsidRPr="006D58BF">
        <w:lastRenderedPageBreak/>
        <w:t>structure could include identifying regional priorities, determining a timeframe for implementation and considering how actions are implemented.</w:t>
      </w:r>
    </w:p>
    <w:p w:rsidR="00493054" w:rsidRPr="006D58BF" w:rsidRDefault="00493054" w:rsidP="00BF2023">
      <w:pPr>
        <w:pStyle w:val="bt"/>
      </w:pPr>
      <w:r w:rsidRPr="00493054">
        <w:t>In addition, the performance monitoring framework established for implementing the Hume Strategy will support ongoing performance monitoring, reporting and review of strategic projects and activities that flow from this plan.</w:t>
      </w:r>
    </w:p>
    <w:p w:rsidR="009F5BA7" w:rsidRDefault="009F5BA7" w:rsidP="00A00B05">
      <w:pPr>
        <w:pStyle w:val="Heading2"/>
        <w:tabs>
          <w:tab w:val="clear" w:pos="396"/>
          <w:tab w:val="clear" w:pos="851"/>
        </w:tabs>
        <w:ind w:left="567"/>
      </w:pPr>
      <w:bookmarkStart w:id="126" w:name="_Toc364247462"/>
      <w:bookmarkStart w:id="127" w:name="_Toc364247463"/>
      <w:bookmarkStart w:id="128" w:name="_Toc371590139"/>
      <w:bookmarkStart w:id="129" w:name="_Toc376945610"/>
      <w:bookmarkEnd w:id="126"/>
      <w:r>
        <w:t>A plan for implementation of a</w:t>
      </w:r>
      <w:r w:rsidRPr="002E4510">
        <w:t>ction</w:t>
      </w:r>
      <w:r>
        <w:t>s</w:t>
      </w:r>
      <w:bookmarkEnd w:id="127"/>
      <w:bookmarkEnd w:id="128"/>
      <w:bookmarkEnd w:id="129"/>
    </w:p>
    <w:p w:rsidR="009F5BA7" w:rsidRPr="001C58B4" w:rsidRDefault="009F5BA7" w:rsidP="009F5BA7">
      <w:pPr>
        <w:rPr>
          <w:rFonts w:asciiTheme="minorHAnsi" w:hAnsiTheme="minorHAnsi" w:cstheme="minorHAnsi"/>
          <w:sz w:val="20"/>
          <w:szCs w:val="20"/>
        </w:rPr>
      </w:pPr>
      <w:r w:rsidRPr="001C58B4">
        <w:rPr>
          <w:rFonts w:asciiTheme="minorHAnsi" w:hAnsiTheme="minorHAnsi" w:cstheme="minorHAnsi"/>
          <w:sz w:val="20"/>
          <w:szCs w:val="20"/>
        </w:rPr>
        <w:t xml:space="preserve">Implementation of this plan is critical to achieve its strategic directions for growth and change. </w:t>
      </w:r>
      <w:r>
        <w:rPr>
          <w:rFonts w:asciiTheme="minorHAnsi" w:hAnsiTheme="minorHAnsi" w:cstheme="minorHAnsi"/>
          <w:sz w:val="20"/>
          <w:szCs w:val="20"/>
        </w:rPr>
        <w:t xml:space="preserve">An implementation plan </w:t>
      </w:r>
      <w:r w:rsidRPr="001C58B4">
        <w:rPr>
          <w:rFonts w:asciiTheme="minorHAnsi" w:hAnsiTheme="minorHAnsi" w:cstheme="minorHAnsi"/>
          <w:sz w:val="20"/>
          <w:szCs w:val="20"/>
        </w:rPr>
        <w:t>will ensure that the region is able to respond to key regional challenges and strategic directions of the plan relating to infrastructure provision, key asset protection and management of future growth.</w:t>
      </w:r>
    </w:p>
    <w:p w:rsidR="009F5BA7" w:rsidRPr="002E4510" w:rsidRDefault="009F5BA7" w:rsidP="009F5BA7">
      <w:pPr>
        <w:pStyle w:val="bt"/>
      </w:pPr>
      <w:r>
        <w:t xml:space="preserve">Table </w:t>
      </w:r>
      <w:r w:rsidR="00CC63B5">
        <w:t>5</w:t>
      </w:r>
      <w:r>
        <w:t xml:space="preserve"> sets out the actions </w:t>
      </w:r>
      <w:r w:rsidRPr="002E4510">
        <w:t xml:space="preserve">developed to achieve the future directions described in Part C of this plan. These actions build on the strategies identified in Table </w:t>
      </w:r>
      <w:r w:rsidR="00CC63B5">
        <w:t>4</w:t>
      </w:r>
      <w:r w:rsidRPr="002E4510">
        <w:t>.</w:t>
      </w:r>
    </w:p>
    <w:p w:rsidR="009F5BA7" w:rsidRPr="002E4510" w:rsidRDefault="009F5BA7" w:rsidP="009F5BA7">
      <w:pPr>
        <w:pStyle w:val="bt"/>
      </w:pPr>
      <w:r w:rsidRPr="002E4510">
        <w:t>Implementation of this plan is critical to achieve its strategic directions for growth and change. Short-term implementation priorities include:</w:t>
      </w:r>
    </w:p>
    <w:p w:rsidR="009F5BA7" w:rsidRPr="00945DFD" w:rsidRDefault="009F5BA7" w:rsidP="00EE492B">
      <w:pPr>
        <w:pStyle w:val="btbullet"/>
      </w:pPr>
      <w:r w:rsidRPr="00945DFD">
        <w:t xml:space="preserve">amending planning schemes to include key elements of the </w:t>
      </w:r>
      <w:r>
        <w:t>p</w:t>
      </w:r>
      <w:r w:rsidRPr="00945DFD">
        <w:t>lan</w:t>
      </w:r>
    </w:p>
    <w:p w:rsidR="009F5BA7" w:rsidRDefault="009F5BA7" w:rsidP="00EE492B">
      <w:pPr>
        <w:pStyle w:val="btbullet"/>
      </w:pPr>
      <w:r w:rsidRPr="00945DFD">
        <w:t xml:space="preserve">developing a detailed </w:t>
      </w:r>
      <w:r>
        <w:t>i</w:t>
      </w:r>
      <w:r w:rsidRPr="00945DFD">
        <w:t xml:space="preserve">mplementation </w:t>
      </w:r>
      <w:r>
        <w:t>p</w:t>
      </w:r>
      <w:r w:rsidRPr="00945DFD">
        <w:t xml:space="preserve">lan focusing on </w:t>
      </w:r>
      <w:r>
        <w:t xml:space="preserve">prioritising the actions identified in </w:t>
      </w:r>
      <w:r w:rsidR="00CC63B5">
        <w:t>T</w:t>
      </w:r>
      <w:r>
        <w:t xml:space="preserve">able </w:t>
      </w:r>
      <w:r w:rsidR="00CC63B5">
        <w:t>5</w:t>
      </w:r>
      <w:r>
        <w:t xml:space="preserve"> and </w:t>
      </w:r>
      <w:r w:rsidRPr="00A91646">
        <w:t>inter-agency cooperation</w:t>
      </w:r>
      <w:r>
        <w:t xml:space="preserve">. This plan should include a program for the implementation of actions and consider </w:t>
      </w:r>
      <w:r w:rsidRPr="00657C39">
        <w:t>ways to coordinate and deliver priority projects</w:t>
      </w:r>
      <w:r>
        <w:t>,</w:t>
      </w:r>
      <w:r w:rsidRPr="00657C39">
        <w:t xml:space="preserve"> including funding options</w:t>
      </w:r>
    </w:p>
    <w:p w:rsidR="009F5BA7" w:rsidRDefault="009F5BA7" w:rsidP="00EE492B">
      <w:pPr>
        <w:pStyle w:val="btbullet"/>
      </w:pPr>
      <w:r w:rsidRPr="00945DFD">
        <w:t>facilitating further detailed work and investigations</w:t>
      </w:r>
      <w:r>
        <w:t xml:space="preserve"> </w:t>
      </w:r>
      <w:r w:rsidRPr="00945DFD">
        <w:t xml:space="preserve">identified </w:t>
      </w:r>
      <w:r>
        <w:t xml:space="preserve">as </w:t>
      </w:r>
      <w:r w:rsidR="005140ED">
        <w:t>short-</w:t>
      </w:r>
      <w:r>
        <w:t>term regional priorities in the implementation plan</w:t>
      </w:r>
      <w:r w:rsidRPr="00945DFD">
        <w:t>.</w:t>
      </w:r>
    </w:p>
    <w:p w:rsidR="007D32F1" w:rsidRPr="007D32F1" w:rsidRDefault="007D32F1" w:rsidP="007D32F1">
      <w:pPr>
        <w:pStyle w:val="Caption"/>
      </w:pPr>
      <w:bookmarkStart w:id="130" w:name="_Toc373414224"/>
      <w:r>
        <w:t xml:space="preserve">Table </w:t>
      </w:r>
      <w:fldSimple w:instr=" SEQ Table \* ARABIC ">
        <w:r w:rsidR="006A067A">
          <w:t>5</w:t>
        </w:r>
      </w:fldSimple>
      <w:r>
        <w:t xml:space="preserve">: </w:t>
      </w:r>
      <w:r w:rsidRPr="007D32F1">
        <w:rPr>
          <w:b w:val="0"/>
        </w:rPr>
        <w:t>Actions</w:t>
      </w:r>
      <w:bookmarkEnd w:id="130"/>
    </w:p>
    <w:p w:rsidR="00BE0750" w:rsidRPr="00915962" w:rsidRDefault="00BE0750" w:rsidP="00915962">
      <w:pPr>
        <w:pStyle w:val="Heading5"/>
        <w:rPr>
          <w:rStyle w:val="Strong"/>
          <w:rFonts w:ascii="Calibri" w:eastAsiaTheme="majorEastAsia" w:hAnsi="Calibri" w:cstheme="majorBidi"/>
          <w:b/>
          <w:bCs w:val="0"/>
          <w:sz w:val="22"/>
        </w:rPr>
      </w:pPr>
      <w:r w:rsidRPr="00915962">
        <w:rPr>
          <w:rStyle w:val="Strong"/>
          <w:rFonts w:ascii="Calibri" w:eastAsiaTheme="majorEastAsia" w:hAnsi="Calibri" w:cstheme="majorBidi"/>
          <w:b/>
          <w:bCs w:val="0"/>
          <w:sz w:val="22"/>
        </w:rPr>
        <w:t>Regional economy – Supporting the development of a more diverse regional economy while managing and enhancing key regional economic assets</w:t>
      </w:r>
    </w:p>
    <w:p w:rsidR="00BE0750" w:rsidRPr="00474D9D" w:rsidRDefault="00BE0750" w:rsidP="00BE0750">
      <w:pPr>
        <w:pStyle w:val="bt"/>
      </w:pPr>
      <w:r w:rsidRPr="00474D9D">
        <w:t>Support initiatives to identify and secure land for resource recovery facilities, waste landfill sites and associated potential energy generation activities</w:t>
      </w:r>
    </w:p>
    <w:p w:rsidR="00BE0750" w:rsidRPr="000A25E1" w:rsidRDefault="00BE0750" w:rsidP="00BE0750">
      <w:pPr>
        <w:pStyle w:val="bt"/>
        <w:rPr>
          <w:rStyle w:val="Strong"/>
        </w:rPr>
      </w:pPr>
      <w:r w:rsidRPr="000A25E1">
        <w:rPr>
          <w:rStyle w:val="Strong"/>
        </w:rPr>
        <w:t>Reference to future directions (Part C): 11.1 (d), 11.3 (a), 14.3 (a)</w:t>
      </w:r>
    </w:p>
    <w:p w:rsidR="00BE0750" w:rsidRPr="00474D9D" w:rsidRDefault="00BE0750" w:rsidP="00BE0750">
      <w:pPr>
        <w:pStyle w:val="bt"/>
      </w:pPr>
      <w:r w:rsidRPr="00474D9D">
        <w:t>Prepare a regional retail and commercial strategy considering factors such as the use of improved technology (for work and shopping), online purchasing, the preferred design and location of commercial areas and the potential impact of changing planning provisions</w:t>
      </w:r>
    </w:p>
    <w:p w:rsidR="00BE0750" w:rsidRPr="000A25E1" w:rsidRDefault="00BE0750" w:rsidP="00BE0750">
      <w:pPr>
        <w:pStyle w:val="bt"/>
        <w:rPr>
          <w:rStyle w:val="Strong"/>
        </w:rPr>
      </w:pPr>
      <w:r w:rsidRPr="000A25E1">
        <w:rPr>
          <w:rStyle w:val="Strong"/>
        </w:rPr>
        <w:t>Reference to future directions (Part C): 11.1 (a)</w:t>
      </w:r>
    </w:p>
    <w:p w:rsidR="00BE0750" w:rsidRPr="00474D9D" w:rsidRDefault="00BE0750" w:rsidP="00BE0750">
      <w:pPr>
        <w:pStyle w:val="bt"/>
      </w:pPr>
      <w:r w:rsidRPr="00474D9D">
        <w:t>Identify opportunities to invest in ongoing redevelopment of CBDs</w:t>
      </w:r>
    </w:p>
    <w:p w:rsidR="00BE0750" w:rsidRPr="000A25E1" w:rsidRDefault="00BE0750" w:rsidP="00BE0750">
      <w:pPr>
        <w:pStyle w:val="bt"/>
        <w:rPr>
          <w:rStyle w:val="Strong"/>
        </w:rPr>
      </w:pPr>
      <w:r w:rsidRPr="000A25E1">
        <w:rPr>
          <w:rStyle w:val="Strong"/>
        </w:rPr>
        <w:t>Reference to future directions (Part C): 11.1 (d), 13.2 (a)</w:t>
      </w:r>
    </w:p>
    <w:p w:rsidR="00BE0750" w:rsidRPr="00474D9D" w:rsidRDefault="00BE0750" w:rsidP="00BE0750">
      <w:pPr>
        <w:pStyle w:val="bt"/>
      </w:pPr>
      <w:r w:rsidRPr="00474D9D">
        <w:t>Identify areas suitable for the expansion of nature-based and cultural heritage tourism</w:t>
      </w:r>
    </w:p>
    <w:p w:rsidR="00BE0750" w:rsidRPr="000A25E1" w:rsidRDefault="00BE0750" w:rsidP="00BE0750">
      <w:pPr>
        <w:pStyle w:val="bt"/>
        <w:rPr>
          <w:rStyle w:val="Strong"/>
        </w:rPr>
      </w:pPr>
      <w:r w:rsidRPr="000A25E1">
        <w:rPr>
          <w:rStyle w:val="Strong"/>
        </w:rPr>
        <w:t>Reference to future directions (Part C): 11.1 (e), 12.1 (c), (e), 12.2</w:t>
      </w:r>
    </w:p>
    <w:p w:rsidR="00BE0750" w:rsidRPr="00474D9D" w:rsidRDefault="00BE0750" w:rsidP="00BE0750">
      <w:pPr>
        <w:pStyle w:val="bt"/>
      </w:pPr>
      <w:r w:rsidRPr="00474D9D">
        <w:t>Support the use of the Hume Region’s tracks and trails by improving public transport access, providing a greater range of accessible accommodation opportunities and by improving links to tourism activities and precincts</w:t>
      </w:r>
    </w:p>
    <w:p w:rsidR="00BE0750" w:rsidRPr="000A25E1" w:rsidRDefault="00BE0750" w:rsidP="00BE0750">
      <w:pPr>
        <w:pStyle w:val="bt"/>
        <w:rPr>
          <w:rStyle w:val="Strong"/>
        </w:rPr>
      </w:pPr>
      <w:r w:rsidRPr="000A25E1">
        <w:rPr>
          <w:rStyle w:val="Strong"/>
        </w:rPr>
        <w:lastRenderedPageBreak/>
        <w:t xml:space="preserve">Reference to future directions (Part C): 11.1 (e), 14.1 (f), 14.2 (c) </w:t>
      </w:r>
    </w:p>
    <w:p w:rsidR="00BE0750" w:rsidRPr="00474D9D" w:rsidRDefault="00BE0750" w:rsidP="00BE0750">
      <w:pPr>
        <w:pStyle w:val="bt"/>
      </w:pPr>
      <w:r w:rsidRPr="00474D9D">
        <w:t>Undertake a regional study to identify future opportunities for the sustainable development of resource opportunities such as extractive industries and energy generation including renewable energy</w:t>
      </w:r>
    </w:p>
    <w:p w:rsidR="00BE0750" w:rsidRPr="000A25E1" w:rsidRDefault="00BE0750" w:rsidP="00BE0750">
      <w:pPr>
        <w:pStyle w:val="bt"/>
        <w:rPr>
          <w:rStyle w:val="Strong"/>
        </w:rPr>
      </w:pPr>
      <w:r w:rsidRPr="000A25E1">
        <w:rPr>
          <w:rStyle w:val="Strong"/>
        </w:rPr>
        <w:t>Reference to future directions (Part C): 11.1 (d), 11.2 (c), 11.3 (a), 11.3 (b), 14.3 (a)</w:t>
      </w:r>
    </w:p>
    <w:p w:rsidR="00BE0750" w:rsidRPr="00474D9D" w:rsidRDefault="00BE0750" w:rsidP="00BE0750">
      <w:pPr>
        <w:pStyle w:val="bt"/>
      </w:pPr>
      <w:r w:rsidRPr="00474D9D">
        <w:t>Investigate applying consistent, streamlined land use planning processes to industry clusters to be identified at a regional or sub-regional scale</w:t>
      </w:r>
    </w:p>
    <w:p w:rsidR="00BE0750" w:rsidRPr="000A25E1" w:rsidRDefault="00BE0750" w:rsidP="00BE0750">
      <w:pPr>
        <w:pStyle w:val="bt"/>
        <w:rPr>
          <w:rStyle w:val="Strong"/>
        </w:rPr>
      </w:pPr>
      <w:r w:rsidRPr="000A25E1">
        <w:rPr>
          <w:rStyle w:val="Strong"/>
        </w:rPr>
        <w:t>Reference to future directions (Part C): 11.1 (c)</w:t>
      </w:r>
    </w:p>
    <w:p w:rsidR="00BE0750" w:rsidRPr="00474D9D" w:rsidRDefault="00BE0750" w:rsidP="00BE0750">
      <w:pPr>
        <w:pStyle w:val="bt"/>
      </w:pPr>
      <w:r w:rsidRPr="00474D9D">
        <w:t>Undertake a detailed investigation of settlements for latent and undeveloped commercial and industrial capacity. This investigation should examine future market growth potential in the intensive agriculture and industrial sectors. Priority areas include, but are not limited to areas in and around Shepparton, Wodonga, Wangaratta, Benalla and Seymour</w:t>
      </w:r>
    </w:p>
    <w:p w:rsidR="00BE0750" w:rsidRPr="000A25E1" w:rsidRDefault="00BE0750" w:rsidP="00BE0750">
      <w:pPr>
        <w:pStyle w:val="bt"/>
        <w:rPr>
          <w:rStyle w:val="Strong"/>
        </w:rPr>
      </w:pPr>
      <w:r w:rsidRPr="000A25E1">
        <w:rPr>
          <w:rStyle w:val="Strong"/>
        </w:rPr>
        <w:t>Reference to future directions (Part C): 11.1 (a), 13.2 (a)</w:t>
      </w:r>
    </w:p>
    <w:p w:rsidR="00BE0750" w:rsidRPr="00474D9D" w:rsidRDefault="00BE0750" w:rsidP="00BE0750">
      <w:pPr>
        <w:pStyle w:val="bt"/>
      </w:pPr>
      <w:r w:rsidRPr="00474D9D">
        <w:t xml:space="preserve">Map </w:t>
      </w:r>
      <w:r>
        <w:t xml:space="preserve">existing rural land use and </w:t>
      </w:r>
      <w:r w:rsidRPr="00474D9D">
        <w:t>strategic agricultural land of local significance, based on a consistent methodology, for use by local government to inform local rural land use planning processes</w:t>
      </w:r>
    </w:p>
    <w:p w:rsidR="00BE0750" w:rsidRPr="000A25E1" w:rsidRDefault="00BE0750" w:rsidP="00BE0750">
      <w:pPr>
        <w:pStyle w:val="bt"/>
        <w:rPr>
          <w:rStyle w:val="Strong"/>
        </w:rPr>
      </w:pPr>
      <w:r w:rsidRPr="000A25E1">
        <w:rPr>
          <w:rStyle w:val="Strong"/>
        </w:rPr>
        <w:t>Reference to future directions (Part C): 11.2 (a)</w:t>
      </w:r>
    </w:p>
    <w:p w:rsidR="00BE0750" w:rsidRPr="00474D9D" w:rsidRDefault="00BE0750" w:rsidP="00BE0750">
      <w:pPr>
        <w:pStyle w:val="bt"/>
      </w:pPr>
      <w:r w:rsidRPr="00474D9D">
        <w:t>Prepare a plan for the establishment of strategic clusters of intensive rural industries, including intensive agricultural production, by identifying locations where these uses are encouraged from a regional perspective</w:t>
      </w:r>
    </w:p>
    <w:p w:rsidR="00BE0750" w:rsidRDefault="00BE0750" w:rsidP="00BE0750">
      <w:pPr>
        <w:pStyle w:val="bt"/>
        <w:rPr>
          <w:rStyle w:val="Strong"/>
        </w:rPr>
      </w:pPr>
      <w:r w:rsidRPr="000A25E1">
        <w:rPr>
          <w:rStyle w:val="Strong"/>
        </w:rPr>
        <w:t>Reference to future directions (Part C): 11.2 (b)</w:t>
      </w:r>
    </w:p>
    <w:p w:rsidR="00BE0750" w:rsidRPr="00915962" w:rsidRDefault="00BE0750" w:rsidP="00915962">
      <w:pPr>
        <w:pStyle w:val="Heading5"/>
        <w:rPr>
          <w:rStyle w:val="Strong"/>
          <w:rFonts w:ascii="Calibri" w:eastAsiaTheme="majorEastAsia" w:hAnsi="Calibri" w:cstheme="majorBidi"/>
          <w:b/>
          <w:bCs w:val="0"/>
          <w:sz w:val="22"/>
        </w:rPr>
      </w:pPr>
      <w:r w:rsidRPr="00915962">
        <w:rPr>
          <w:rStyle w:val="Strong"/>
          <w:rFonts w:ascii="Calibri" w:eastAsiaTheme="majorEastAsia" w:hAnsi="Calibri" w:cstheme="majorBidi"/>
          <w:b/>
          <w:bCs w:val="0"/>
          <w:sz w:val="22"/>
        </w:rPr>
        <w:t xml:space="preserve">Environment and heritage – Protecting environmental and heritage assets and maximising the regional benefit from them, while managing exposure to natural hazards and planning for the potential impacts of climate change </w:t>
      </w:r>
    </w:p>
    <w:p w:rsidR="00BE0750" w:rsidRPr="00474D9D" w:rsidRDefault="00BE0750" w:rsidP="00BE0750">
      <w:pPr>
        <w:pStyle w:val="bt"/>
      </w:pPr>
      <w:r w:rsidRPr="00474D9D">
        <w:t>Undertake an integrated, regional cultural landscape study (including consideration of scenic and heritage values), that identifies and documents cultural landscapes, integrates scenic preference and visual exposure</w:t>
      </w:r>
      <w:r>
        <w:t>,</w:t>
      </w:r>
      <w:r w:rsidDel="000E1D0C">
        <w:t xml:space="preserve"> </w:t>
      </w:r>
      <w:r>
        <w:t>considers the economic value of landscapes</w:t>
      </w:r>
      <w:r w:rsidRPr="00474D9D">
        <w:t xml:space="preserve"> and makes recommendations for the protection and management of these landscapes</w:t>
      </w:r>
    </w:p>
    <w:p w:rsidR="00BE0750" w:rsidRPr="000A25E1" w:rsidRDefault="00BE0750" w:rsidP="00BE0750">
      <w:pPr>
        <w:pStyle w:val="bt"/>
        <w:rPr>
          <w:rStyle w:val="Strong"/>
          <w:rFonts w:eastAsia="Calibri"/>
        </w:rPr>
      </w:pPr>
      <w:r w:rsidRPr="000A25E1">
        <w:rPr>
          <w:rStyle w:val="Strong"/>
        </w:rPr>
        <w:t>Reference to future directions (Part C): 12.1 (a)</w:t>
      </w:r>
    </w:p>
    <w:p w:rsidR="00BE0750" w:rsidRPr="00474D9D" w:rsidRDefault="00BE0750" w:rsidP="00BE0750">
      <w:pPr>
        <w:pStyle w:val="bt"/>
      </w:pPr>
      <w:r w:rsidRPr="00474D9D">
        <w:t>Consistently apply appropriate planning tools to recognise and protect environment and heritage assets across the Hume Region, in particular:</w:t>
      </w:r>
    </w:p>
    <w:p w:rsidR="00BE0750" w:rsidRDefault="00BE0750" w:rsidP="000A25E1">
      <w:pPr>
        <w:pStyle w:val="btbullet"/>
      </w:pPr>
      <w:r w:rsidRPr="00C738CF">
        <w:t>terrestrial habitat (incorporating relative habitat value), including vegetation found in extensively cleared agricultural landscapes</w:t>
      </w:r>
    </w:p>
    <w:p w:rsidR="00BE0750" w:rsidRDefault="00BE0750" w:rsidP="000A25E1">
      <w:pPr>
        <w:pStyle w:val="btbullet"/>
      </w:pPr>
      <w:r w:rsidRPr="00C738CF">
        <w:t>waterways, wetlands and water quality (including threats to these asset, such as soil erosion)</w:t>
      </w:r>
    </w:p>
    <w:p w:rsidR="00BE0750" w:rsidRDefault="00BE0750" w:rsidP="000A25E1">
      <w:pPr>
        <w:pStyle w:val="btbullet"/>
      </w:pPr>
      <w:r w:rsidRPr="00C738CF">
        <w:t>significant cultural and heritage assets</w:t>
      </w:r>
    </w:p>
    <w:p w:rsidR="00BE0750" w:rsidRDefault="00BE0750" w:rsidP="000A25E1">
      <w:pPr>
        <w:pStyle w:val="btbullet"/>
      </w:pPr>
      <w:r w:rsidRPr="00C738CF">
        <w:t>significant landscapes</w:t>
      </w:r>
    </w:p>
    <w:p w:rsidR="00BE0750" w:rsidRDefault="00BE0750" w:rsidP="000A25E1">
      <w:pPr>
        <w:pStyle w:val="btbullet"/>
      </w:pPr>
      <w:r w:rsidRPr="00C738CF">
        <w:t>strategically significant agricultural land</w:t>
      </w:r>
    </w:p>
    <w:p w:rsidR="00BE0750" w:rsidRDefault="00BE0750" w:rsidP="000A25E1">
      <w:pPr>
        <w:pStyle w:val="btbullet"/>
      </w:pPr>
      <w:r w:rsidRPr="00C738CF">
        <w:t>soil health and degradation processes</w:t>
      </w:r>
    </w:p>
    <w:p w:rsidR="00BE0750" w:rsidRPr="000A25E1" w:rsidRDefault="00BE0750" w:rsidP="00BE0750">
      <w:pPr>
        <w:pStyle w:val="bt"/>
        <w:rPr>
          <w:rStyle w:val="Strong"/>
        </w:rPr>
      </w:pPr>
      <w:r w:rsidRPr="000A25E1">
        <w:rPr>
          <w:rStyle w:val="Strong"/>
        </w:rPr>
        <w:t>Reference to future directions (Part C): 11.2 (a), 12.1 (a)–(d), 12.2 (a)</w:t>
      </w:r>
    </w:p>
    <w:p w:rsidR="00BE0750" w:rsidRPr="00474D9D" w:rsidRDefault="00BE0750" w:rsidP="00BE0750">
      <w:pPr>
        <w:pStyle w:val="bt"/>
      </w:pPr>
      <w:r w:rsidRPr="00474D9D">
        <w:lastRenderedPageBreak/>
        <w:t>Support initiatives to establish, protect and reconnect ecosystems through large</w:t>
      </w:r>
      <w:r>
        <w:t>-</w:t>
      </w:r>
      <w:r w:rsidRPr="00474D9D">
        <w:t>scale integrated vegetation corridor projects such as the Mountains to Murray and Central Victoria Biolinks projects</w:t>
      </w:r>
    </w:p>
    <w:p w:rsidR="00BE0750" w:rsidRPr="000A25E1" w:rsidRDefault="00BE0750" w:rsidP="00BE0750">
      <w:pPr>
        <w:pStyle w:val="bt"/>
        <w:rPr>
          <w:rStyle w:val="Strong"/>
        </w:rPr>
      </w:pPr>
      <w:r w:rsidRPr="000A25E1">
        <w:rPr>
          <w:rStyle w:val="Strong"/>
        </w:rPr>
        <w:t>Reference to future directions (Part C): 12.1 (b), 14.2 (c)</w:t>
      </w:r>
    </w:p>
    <w:p w:rsidR="00BE0750" w:rsidRDefault="00BE0750" w:rsidP="00BE0750">
      <w:pPr>
        <w:pStyle w:val="bt"/>
      </w:pPr>
      <w:r w:rsidRPr="00474D9D">
        <w:t>Develop a strategic regional native vegetation offset plan to identify opportunities to utilise offset plantings (associated with land use and development and vegetation clearing) to enhance vegetation corridor connectivity across the Hume Region (landscape connectivity) and consider implementation mechanisms for such an approach</w:t>
      </w:r>
    </w:p>
    <w:p w:rsidR="00BE0750" w:rsidRPr="000A25E1" w:rsidRDefault="00BE0750" w:rsidP="00BE0750">
      <w:pPr>
        <w:pStyle w:val="bt"/>
        <w:rPr>
          <w:rStyle w:val="Strong"/>
        </w:rPr>
      </w:pPr>
      <w:r w:rsidRPr="000A25E1">
        <w:rPr>
          <w:rStyle w:val="Strong"/>
        </w:rPr>
        <w:t>Reference to future directions (Part C): 12.1 (b)</w:t>
      </w:r>
    </w:p>
    <w:p w:rsidR="00BE0750" w:rsidRDefault="00BE0750" w:rsidP="00BE0750">
      <w:pPr>
        <w:pStyle w:val="bt"/>
      </w:pPr>
      <w:r w:rsidRPr="00474D9D">
        <w:t>Align information (mapping of assets) between Regional Catchment Strategies and local government planning processes and strategies</w:t>
      </w:r>
    </w:p>
    <w:p w:rsidR="00BE0750" w:rsidRPr="000A25E1" w:rsidRDefault="00BE0750" w:rsidP="00BE0750">
      <w:pPr>
        <w:pStyle w:val="bt"/>
        <w:rPr>
          <w:rStyle w:val="Strong"/>
        </w:rPr>
      </w:pPr>
      <w:r w:rsidRPr="000A25E1">
        <w:rPr>
          <w:rStyle w:val="Strong"/>
        </w:rPr>
        <w:t>Reference to future directions (Part C): 12</w:t>
      </w:r>
    </w:p>
    <w:p w:rsidR="00BE0750" w:rsidRDefault="00BE0750" w:rsidP="00BE0750">
      <w:pPr>
        <w:pStyle w:val="bt"/>
      </w:pPr>
      <w:r w:rsidRPr="00474D9D">
        <w:t>Establish minimum setbacks to guide the use and development of land along major waterways and around key water bodies to protect buildings and works, to make allowance for natural variance in beds and banks and to protect important regional natural features</w:t>
      </w:r>
    </w:p>
    <w:p w:rsidR="00BE0750" w:rsidRPr="000A25E1" w:rsidRDefault="00BE0750" w:rsidP="00BE0750">
      <w:pPr>
        <w:pStyle w:val="bt"/>
        <w:rPr>
          <w:rStyle w:val="Strong"/>
        </w:rPr>
      </w:pPr>
      <w:r w:rsidRPr="000A25E1">
        <w:rPr>
          <w:rStyle w:val="Strong"/>
        </w:rPr>
        <w:t>Reference to future directions (Part C): 12.1 (c)</w:t>
      </w:r>
    </w:p>
    <w:p w:rsidR="00BE0750" w:rsidRDefault="00BE0750" w:rsidP="00BE0750">
      <w:pPr>
        <w:pStyle w:val="bt"/>
      </w:pPr>
      <w:r w:rsidRPr="00474D9D">
        <w:t xml:space="preserve">Councils, water authorities and </w:t>
      </w:r>
      <w:r>
        <w:t>c</w:t>
      </w:r>
      <w:r w:rsidRPr="00474D9D">
        <w:t xml:space="preserve">atchment </w:t>
      </w:r>
      <w:r>
        <w:t>m</w:t>
      </w:r>
      <w:r w:rsidRPr="00474D9D">
        <w:t xml:space="preserve">anagement </w:t>
      </w:r>
      <w:r>
        <w:t>a</w:t>
      </w:r>
      <w:r w:rsidRPr="00474D9D">
        <w:t>uthorities, develop and implement management plans for</w:t>
      </w:r>
      <w:r>
        <w:t xml:space="preserve"> d</w:t>
      </w:r>
      <w:r w:rsidRPr="00474D9D">
        <w:t xml:space="preserve">eclared </w:t>
      </w:r>
      <w:r>
        <w:t>w</w:t>
      </w:r>
      <w:r w:rsidRPr="00474D9D">
        <w:t xml:space="preserve">ater </w:t>
      </w:r>
      <w:r>
        <w:t>s</w:t>
      </w:r>
      <w:r w:rsidRPr="00474D9D">
        <w:t xml:space="preserve">upply </w:t>
      </w:r>
      <w:r>
        <w:t>c</w:t>
      </w:r>
      <w:r w:rsidRPr="00474D9D">
        <w:t xml:space="preserve">atchments to inform planning strategies and decisions. This could include review of </w:t>
      </w:r>
      <w:r>
        <w:t>d</w:t>
      </w:r>
      <w:r w:rsidRPr="00474D9D">
        <w:t xml:space="preserve">omestic </w:t>
      </w:r>
      <w:r>
        <w:t>w</w:t>
      </w:r>
      <w:r w:rsidRPr="00474D9D">
        <w:t xml:space="preserve">astewater </w:t>
      </w:r>
      <w:r>
        <w:t>m</w:t>
      </w:r>
      <w:r w:rsidRPr="00474D9D">
        <w:t xml:space="preserve">anagement </w:t>
      </w:r>
      <w:r>
        <w:t>p</w:t>
      </w:r>
      <w:r w:rsidRPr="00474D9D">
        <w:t>lans to enable effective planning for the type of settlement and economic activity that can occur in declared water supply catchments whil</w:t>
      </w:r>
      <w:r>
        <w:t>e</w:t>
      </w:r>
      <w:r w:rsidRPr="00474D9D">
        <w:t xml:space="preserve"> protecting catchment health</w:t>
      </w:r>
    </w:p>
    <w:p w:rsidR="00BE0750" w:rsidRPr="000A25E1" w:rsidRDefault="00BE0750" w:rsidP="00BE0750">
      <w:pPr>
        <w:pStyle w:val="bt"/>
        <w:rPr>
          <w:rStyle w:val="Strong"/>
        </w:rPr>
      </w:pPr>
      <w:r w:rsidRPr="000A25E1">
        <w:rPr>
          <w:rStyle w:val="Strong"/>
        </w:rPr>
        <w:t>Reference to future directions (Part C): 12.1 (c)</w:t>
      </w:r>
    </w:p>
    <w:p w:rsidR="00BE0750" w:rsidRDefault="00BE0750" w:rsidP="00BE0750">
      <w:pPr>
        <w:pStyle w:val="bt"/>
      </w:pPr>
      <w:r w:rsidRPr="00474D9D">
        <w:t xml:space="preserve">Support implementation of the Improving Flood Warning Systems Implementation Plan, which will help to ensure flood modelling is undertaken (that incorporates predicted climate change impacts) where floodplain behaviour is not well understood and there are significant risks to life and property. As a matter of priority, </w:t>
      </w:r>
      <w:r>
        <w:t xml:space="preserve">investigate opportunities to </w:t>
      </w:r>
      <w:r w:rsidRPr="00474D9D">
        <w:t xml:space="preserve">implement the findings of </w:t>
      </w:r>
      <w:r>
        <w:t xml:space="preserve">flood </w:t>
      </w:r>
      <w:r w:rsidRPr="00474D9D">
        <w:t>studies</w:t>
      </w:r>
      <w:r>
        <w:t xml:space="preserve"> and floodplain management strategies</w:t>
      </w:r>
      <w:r w:rsidRPr="00474D9D">
        <w:t xml:space="preserve"> through a range of means including amendments to planning schemes</w:t>
      </w:r>
    </w:p>
    <w:p w:rsidR="00BE0750" w:rsidRPr="000A25E1" w:rsidRDefault="00BE0750" w:rsidP="00BE0750">
      <w:pPr>
        <w:pStyle w:val="bt"/>
        <w:rPr>
          <w:rStyle w:val="Strong"/>
        </w:rPr>
      </w:pPr>
      <w:r w:rsidRPr="000A25E1">
        <w:rPr>
          <w:rStyle w:val="Strong"/>
        </w:rPr>
        <w:t>Reference to future directions (Part C): 12.3 (b)</w:t>
      </w:r>
    </w:p>
    <w:p w:rsidR="00BE0750" w:rsidRDefault="00BE0750" w:rsidP="00BE0750">
      <w:pPr>
        <w:pStyle w:val="bt"/>
      </w:pPr>
      <w:r w:rsidRPr="00474D9D">
        <w:t>Update planning tools related to bushfire hazard and risks, including the Bushfire Management Overlay, when necessary to reflect new understanding of this hazard</w:t>
      </w:r>
    </w:p>
    <w:p w:rsidR="00BE0750" w:rsidRPr="000A25E1" w:rsidRDefault="00BE0750" w:rsidP="00BE0750">
      <w:pPr>
        <w:pStyle w:val="bt"/>
        <w:rPr>
          <w:rStyle w:val="Strong"/>
        </w:rPr>
      </w:pPr>
      <w:r w:rsidRPr="000A25E1">
        <w:rPr>
          <w:rStyle w:val="Strong"/>
        </w:rPr>
        <w:t>Reference to future directions (Part C): 12.3 (c)</w:t>
      </w:r>
    </w:p>
    <w:p w:rsidR="00BE0750" w:rsidRDefault="00BE0750" w:rsidP="00BE0750">
      <w:pPr>
        <w:pStyle w:val="bt"/>
      </w:pPr>
      <w:r w:rsidRPr="00474D9D">
        <w:t>Exchange mapped and modelled data of environmental assets and natural hazards to provide for accurate interpretation of the best available data in planning decisions</w:t>
      </w:r>
    </w:p>
    <w:p w:rsidR="00BE0750" w:rsidRPr="000A25E1" w:rsidRDefault="00BE0750" w:rsidP="00BE0750">
      <w:pPr>
        <w:pStyle w:val="bt"/>
        <w:rPr>
          <w:rStyle w:val="Strong"/>
        </w:rPr>
      </w:pPr>
      <w:r w:rsidRPr="000A25E1">
        <w:rPr>
          <w:rStyle w:val="Strong"/>
        </w:rPr>
        <w:t>Reference to future directions (Part C): 12.1, 12.3</w:t>
      </w:r>
    </w:p>
    <w:p w:rsidR="00BE0750" w:rsidRDefault="00BE0750" w:rsidP="00BE0750">
      <w:pPr>
        <w:pStyle w:val="bt"/>
      </w:pPr>
      <w:r w:rsidRPr="00474D9D">
        <w:t>Complete mapping areas that are affected by salinity and incorporate this information into planning schemes</w:t>
      </w:r>
    </w:p>
    <w:p w:rsidR="00BE0750" w:rsidRPr="000A25E1" w:rsidRDefault="00BE0750" w:rsidP="00BE0750">
      <w:pPr>
        <w:pStyle w:val="bt"/>
        <w:rPr>
          <w:rStyle w:val="Strong"/>
        </w:rPr>
      </w:pPr>
      <w:r w:rsidRPr="000A25E1">
        <w:rPr>
          <w:rStyle w:val="Strong"/>
        </w:rPr>
        <w:t>Reference to future directions (Part C): 12.1 (c), 12.1 (d)</w:t>
      </w:r>
    </w:p>
    <w:p w:rsidR="00BE0750" w:rsidRDefault="00BE0750" w:rsidP="00BE0750">
      <w:pPr>
        <w:pStyle w:val="bt"/>
      </w:pPr>
      <w:r w:rsidRPr="0005734A">
        <w:t>Monitor, assess and act on the potential impacts and opportunities of climate change across the region and consider the outcomes of regional climate change adaptation planning activities to inform future land use planning decisions</w:t>
      </w:r>
    </w:p>
    <w:p w:rsidR="00BE0750" w:rsidRDefault="00BE0750" w:rsidP="00BE0750">
      <w:pPr>
        <w:pStyle w:val="bt"/>
        <w:rPr>
          <w:rStyle w:val="Strong"/>
        </w:rPr>
      </w:pPr>
      <w:r w:rsidRPr="000A25E1">
        <w:rPr>
          <w:rStyle w:val="Strong"/>
        </w:rPr>
        <w:lastRenderedPageBreak/>
        <w:t>Reference to future directions (Part C): 11.1 (e), 11.2 (d), 12, 12.1 (c), 12.3 (a)</w:t>
      </w:r>
    </w:p>
    <w:p w:rsidR="00BE0750" w:rsidRPr="00915962" w:rsidRDefault="00BE0750" w:rsidP="00915962">
      <w:pPr>
        <w:pStyle w:val="Heading5"/>
        <w:rPr>
          <w:rStyle w:val="Strong"/>
          <w:rFonts w:ascii="Calibri" w:eastAsiaTheme="majorEastAsia" w:hAnsi="Calibri" w:cstheme="majorBidi"/>
          <w:b/>
          <w:bCs w:val="0"/>
          <w:sz w:val="22"/>
        </w:rPr>
      </w:pPr>
      <w:r w:rsidRPr="00915962">
        <w:rPr>
          <w:rStyle w:val="Strong"/>
          <w:rFonts w:ascii="Calibri" w:eastAsiaTheme="majorEastAsia" w:hAnsi="Calibri" w:cstheme="majorBidi"/>
          <w:b/>
          <w:bCs w:val="0"/>
          <w:sz w:val="22"/>
        </w:rPr>
        <w:t>Living in the region – Focusing growth and development to maximise the strengths of existing settlements</w:t>
      </w:r>
    </w:p>
    <w:p w:rsidR="00BE0750" w:rsidRDefault="00BE0750" w:rsidP="00BE0750">
      <w:pPr>
        <w:pStyle w:val="bt"/>
      </w:pPr>
      <w:r w:rsidRPr="00474D9D">
        <w:t>Report on residential (including rural residential), commercial and industrial land supply and demand at five</w:t>
      </w:r>
      <w:r>
        <w:t>-</w:t>
      </w:r>
      <w:r w:rsidRPr="00474D9D">
        <w:t>yearly intervals to inform government decision-making</w:t>
      </w:r>
    </w:p>
    <w:p w:rsidR="00BE0750" w:rsidRPr="000A25E1" w:rsidRDefault="00BE0750" w:rsidP="00BE0750">
      <w:pPr>
        <w:pStyle w:val="bt"/>
        <w:rPr>
          <w:rStyle w:val="Strong"/>
        </w:rPr>
      </w:pPr>
      <w:r w:rsidRPr="000A25E1">
        <w:rPr>
          <w:rStyle w:val="Strong"/>
        </w:rPr>
        <w:t>Reference to future directions (Part C): 11.1 (a</w:t>
      </w:r>
      <w:r w:rsidR="00611995" w:rsidRPr="000A25E1">
        <w:rPr>
          <w:rStyle w:val="Strong"/>
        </w:rPr>
        <w:t>) (</w:t>
      </w:r>
      <w:r w:rsidRPr="000A25E1">
        <w:rPr>
          <w:rStyle w:val="Strong"/>
        </w:rPr>
        <w:t>b), 13.2 (a)</w:t>
      </w:r>
    </w:p>
    <w:p w:rsidR="00BE0750" w:rsidRPr="00474D9D" w:rsidRDefault="00BE0750" w:rsidP="00BE0750">
      <w:pPr>
        <w:pStyle w:val="bt"/>
      </w:pPr>
      <w:r w:rsidRPr="00474D9D">
        <w:t>Prepare a detailed framework plan for Seymour and surrounds to guide the development of this area as a sub-regional employment hub. The plan should consider:</w:t>
      </w:r>
    </w:p>
    <w:p w:rsidR="00BE0750" w:rsidRDefault="00BE0750" w:rsidP="000A25E1">
      <w:pPr>
        <w:pStyle w:val="btbullet"/>
      </w:pPr>
      <w:r w:rsidRPr="00474D9D">
        <w:t>opportunities to capitalise on existing transport interchanges and networks within and near Seymour</w:t>
      </w:r>
    </w:p>
    <w:p w:rsidR="00BE0750" w:rsidRDefault="00BE0750" w:rsidP="000A25E1">
      <w:pPr>
        <w:pStyle w:val="btbullet"/>
      </w:pPr>
      <w:r w:rsidRPr="00474D9D">
        <w:t>opportunities to provide business enterprise (incubator) precincts</w:t>
      </w:r>
    </w:p>
    <w:p w:rsidR="00BE0750" w:rsidRDefault="00BE0750" w:rsidP="000A25E1">
      <w:pPr>
        <w:pStyle w:val="btbullet"/>
      </w:pPr>
      <w:r w:rsidRPr="00474D9D">
        <w:t>provision of social infrastructure</w:t>
      </w:r>
    </w:p>
    <w:p w:rsidR="00BE0750" w:rsidRDefault="00BE0750" w:rsidP="000A25E1">
      <w:pPr>
        <w:pStyle w:val="btbullet"/>
      </w:pPr>
      <w:r w:rsidRPr="00474D9D">
        <w:t>provision of a range of housing choices</w:t>
      </w:r>
    </w:p>
    <w:p w:rsidR="00BE0750" w:rsidRPr="000A25E1" w:rsidRDefault="00BE0750" w:rsidP="00BE0750">
      <w:pPr>
        <w:pStyle w:val="bt"/>
        <w:rPr>
          <w:rStyle w:val="Strong"/>
          <w:rFonts w:eastAsia="Calibri"/>
        </w:rPr>
      </w:pPr>
      <w:r w:rsidRPr="000A25E1">
        <w:rPr>
          <w:rStyle w:val="Strong"/>
        </w:rPr>
        <w:t>Reference to future directions (Part C): 13.2 (a)</w:t>
      </w:r>
    </w:p>
    <w:p w:rsidR="00BE0750" w:rsidRPr="00B8282C" w:rsidRDefault="00BE0750" w:rsidP="00BE0750">
      <w:pPr>
        <w:pStyle w:val="bt"/>
      </w:pPr>
      <w:r w:rsidRPr="00474D9D">
        <w:t>Measure the resilience of settlements (using best practice socio-economic indicators) and recommend measures to support their sustainability</w:t>
      </w:r>
    </w:p>
    <w:p w:rsidR="00BE0750" w:rsidRPr="000A25E1" w:rsidRDefault="00BE0750" w:rsidP="00BE0750">
      <w:pPr>
        <w:pStyle w:val="bt"/>
        <w:rPr>
          <w:rStyle w:val="Strong"/>
        </w:rPr>
      </w:pPr>
      <w:r w:rsidRPr="000A25E1">
        <w:rPr>
          <w:rStyle w:val="Strong"/>
        </w:rPr>
        <w:t>Reference to future directions (Part C): 13.2 (b)</w:t>
      </w:r>
    </w:p>
    <w:p w:rsidR="00BE0750" w:rsidRPr="00B8282C" w:rsidRDefault="00BE0750" w:rsidP="00BE0750">
      <w:pPr>
        <w:pStyle w:val="bt"/>
      </w:pPr>
      <w:r>
        <w:t xml:space="preserve">Participate in a coordinated approach to </w:t>
      </w:r>
      <w:r w:rsidRPr="00474D9D">
        <w:t>planning for growth</w:t>
      </w:r>
      <w:r>
        <w:t xml:space="preserve"> and development</w:t>
      </w:r>
      <w:r w:rsidRPr="00474D9D">
        <w:t xml:space="preserve"> in Melbourne’s </w:t>
      </w:r>
      <w:r w:rsidRPr="007E4618">
        <w:t>peri-urban region</w:t>
      </w:r>
      <w:r w:rsidRPr="00474D9D">
        <w:t xml:space="preserve">s (building on existing work) and consider applying such an approach to </w:t>
      </w:r>
      <w:r w:rsidRPr="007E4618">
        <w:t>peri-urban region</w:t>
      </w:r>
      <w:r w:rsidRPr="00474D9D">
        <w:t>s within the Hume Region such as those around the regional cities of Shepparton, Wangaratta and Wodonga</w:t>
      </w:r>
    </w:p>
    <w:p w:rsidR="00BE0750" w:rsidRPr="000A25E1" w:rsidRDefault="00BE0750" w:rsidP="00BE0750">
      <w:pPr>
        <w:pStyle w:val="bt"/>
        <w:rPr>
          <w:rStyle w:val="Strong"/>
        </w:rPr>
      </w:pPr>
      <w:r w:rsidRPr="000A25E1">
        <w:rPr>
          <w:rStyle w:val="Strong"/>
        </w:rPr>
        <w:t>Reference to future directions (Part C): 13.3 (e)</w:t>
      </w:r>
    </w:p>
    <w:p w:rsidR="00BE0750" w:rsidRPr="00474D9D" w:rsidRDefault="00BE0750" w:rsidP="00BE0750">
      <w:pPr>
        <w:pStyle w:val="bt"/>
      </w:pPr>
      <w:r w:rsidRPr="00474D9D">
        <w:t>Form a regional partnership to prepare a regional accommodation strategy that builds on existing work and:</w:t>
      </w:r>
    </w:p>
    <w:p w:rsidR="00BE0750" w:rsidRDefault="00BE0750" w:rsidP="000A25E1">
      <w:pPr>
        <w:pStyle w:val="btbullet"/>
      </w:pPr>
      <w:r w:rsidRPr="00474D9D">
        <w:t>identifies gaps in the regional housing market (taking into account demographic and population projections), and includes aspects such as the supply of housing for elderly people, affordable housing, housing for professionals, rental accommodation and accommodation for tourists and visitors</w:t>
      </w:r>
    </w:p>
    <w:p w:rsidR="00BE0750" w:rsidRDefault="00BE0750" w:rsidP="000A25E1">
      <w:pPr>
        <w:pStyle w:val="btbullet"/>
      </w:pPr>
      <w:r w:rsidRPr="00474D9D">
        <w:t>identifies how gaps can be addressed, such as through the redevelopment of public housing stock, development of urban renewal sites, by allowing for increased densities in urban centres and planning for rural residential development</w:t>
      </w:r>
    </w:p>
    <w:p w:rsidR="00BE0750" w:rsidRDefault="00BE0750" w:rsidP="000A25E1">
      <w:pPr>
        <w:pStyle w:val="btbullet"/>
        <w:rPr>
          <w:rStyle w:val="Emphasis"/>
          <w:rFonts w:ascii="Arial Narrow" w:hAnsi="Arial Narrow"/>
          <w:i w:val="0"/>
          <w:iCs w:val="0"/>
        </w:rPr>
      </w:pPr>
      <w:r w:rsidRPr="00474D9D">
        <w:t>makes recommendations on affordable housing provision, such as through joint programs with Places Victoria, the Office of Housing, local councils and the not-for-profit sector</w:t>
      </w:r>
    </w:p>
    <w:p w:rsidR="00BE0750" w:rsidRPr="000A25E1" w:rsidRDefault="00BE0750" w:rsidP="00BE0750">
      <w:pPr>
        <w:pStyle w:val="bt"/>
        <w:rPr>
          <w:rStyle w:val="Strong"/>
        </w:rPr>
      </w:pPr>
      <w:r w:rsidRPr="000A25E1">
        <w:rPr>
          <w:rStyle w:val="Strong"/>
        </w:rPr>
        <w:t>Reference to future directions (Part C): 11.1 (e), 13.3 (b)</w:t>
      </w:r>
    </w:p>
    <w:p w:rsidR="00BE0750" w:rsidRDefault="00BE0750" w:rsidP="00BE0750">
      <w:pPr>
        <w:pStyle w:val="bt"/>
        <w:rPr>
          <w:rStyle w:val="Emphasis"/>
          <w:i w:val="0"/>
          <w:iCs w:val="0"/>
        </w:rPr>
      </w:pPr>
      <w:r w:rsidRPr="00474D9D">
        <w:t>Identify opportunities to establish or improve publicly accessible, regional and sub-regional open space linkages</w:t>
      </w:r>
    </w:p>
    <w:p w:rsidR="00BE0750" w:rsidRPr="000A25E1" w:rsidRDefault="00BE0750" w:rsidP="00BE0750">
      <w:pPr>
        <w:pStyle w:val="bt"/>
        <w:rPr>
          <w:rStyle w:val="Strong"/>
        </w:rPr>
      </w:pPr>
      <w:r w:rsidRPr="000A25E1">
        <w:rPr>
          <w:rStyle w:val="Strong"/>
        </w:rPr>
        <w:t>Reference to future directions (Part C): 11.1 (a), 12.1 (b), (e), 13.3 (b), 14.2 (c)</w:t>
      </w:r>
    </w:p>
    <w:p w:rsidR="00BE0750" w:rsidRPr="00474D9D" w:rsidRDefault="00BE0750" w:rsidP="00BE0750">
      <w:pPr>
        <w:pStyle w:val="bt"/>
      </w:pPr>
      <w:r w:rsidRPr="00474D9D">
        <w:t xml:space="preserve">Develop and implement a consistent set of regional criteria to be used when undertaking local planning for rural residential uses, building on the statewide guidance (such as provided by Practice Note 37: Rural residential development). This work should include considerations such as: </w:t>
      </w:r>
    </w:p>
    <w:p w:rsidR="00BE0750" w:rsidRDefault="00BE0750" w:rsidP="000A25E1">
      <w:pPr>
        <w:pStyle w:val="btbullet"/>
      </w:pPr>
      <w:r w:rsidRPr="00474D9D">
        <w:lastRenderedPageBreak/>
        <w:t>providing land within a regular commuting distance to a major regional centre</w:t>
      </w:r>
    </w:p>
    <w:p w:rsidR="00BE0750" w:rsidRDefault="00BE0750" w:rsidP="000A25E1">
      <w:pPr>
        <w:pStyle w:val="btbullet"/>
      </w:pPr>
      <w:r w:rsidRPr="00474D9D">
        <w:t>providing safe and easy transport and access</w:t>
      </w:r>
    </w:p>
    <w:p w:rsidR="00BE0750" w:rsidRDefault="00BE0750" w:rsidP="000A25E1">
      <w:pPr>
        <w:pStyle w:val="btbullet"/>
      </w:pPr>
      <w:r w:rsidRPr="00474D9D">
        <w:t>consolidating existing rural settlement patterns</w:t>
      </w:r>
    </w:p>
    <w:p w:rsidR="00BE0750" w:rsidRDefault="00BE0750" w:rsidP="000A25E1">
      <w:pPr>
        <w:pStyle w:val="btbullet"/>
      </w:pPr>
      <w:r w:rsidRPr="00474D9D">
        <w:t>visual and physical linkages to areas with high amenity such as lakes, rivers</w:t>
      </w:r>
      <w:r>
        <w:t xml:space="preserve"> and</w:t>
      </w:r>
      <w:r w:rsidRPr="00474D9D">
        <w:t xml:space="preserve"> national and state parks</w:t>
      </w:r>
    </w:p>
    <w:p w:rsidR="00BE0750" w:rsidRDefault="00BE0750" w:rsidP="000A25E1">
      <w:pPr>
        <w:pStyle w:val="btbullet"/>
      </w:pPr>
      <w:r w:rsidRPr="00474D9D">
        <w:t>avoiding areas of strategic agricultural importance</w:t>
      </w:r>
    </w:p>
    <w:p w:rsidR="00BE0750" w:rsidRDefault="00BE0750" w:rsidP="000A25E1">
      <w:pPr>
        <w:pStyle w:val="btbullet"/>
      </w:pPr>
      <w:r w:rsidRPr="00474D9D">
        <w:t>avoiding areas of landscape significance and ensuring the protection of strategic views and vistas</w:t>
      </w:r>
    </w:p>
    <w:p w:rsidR="00BE0750" w:rsidRDefault="00BE0750" w:rsidP="000A25E1">
      <w:pPr>
        <w:pStyle w:val="btbullet"/>
      </w:pPr>
      <w:r w:rsidRPr="00474D9D">
        <w:t xml:space="preserve">avoiding areas of environmental significance </w:t>
      </w:r>
    </w:p>
    <w:p w:rsidR="00BE0750" w:rsidRDefault="00BE0750" w:rsidP="000A25E1">
      <w:pPr>
        <w:pStyle w:val="btbullet"/>
      </w:pPr>
      <w:r w:rsidRPr="00474D9D">
        <w:t>access to infrastructure such as power and sustainable water supply</w:t>
      </w:r>
    </w:p>
    <w:p w:rsidR="00BE0750" w:rsidRDefault="00BE0750" w:rsidP="000A25E1">
      <w:pPr>
        <w:pStyle w:val="btbullet"/>
      </w:pPr>
      <w:r w:rsidRPr="00474D9D">
        <w:t>avoiding areas subject to natural hazard such as bushfire and flood risk</w:t>
      </w:r>
    </w:p>
    <w:p w:rsidR="00BE0750" w:rsidRDefault="00BE0750" w:rsidP="000A25E1">
      <w:pPr>
        <w:pStyle w:val="btbullet"/>
      </w:pPr>
      <w:r w:rsidRPr="00474D9D">
        <w:t>minimising potential conflicts with other rural land uses</w:t>
      </w:r>
    </w:p>
    <w:p w:rsidR="00BE0750" w:rsidRDefault="00BE0750" w:rsidP="00BE0750">
      <w:pPr>
        <w:pStyle w:val="bt"/>
        <w:rPr>
          <w:rStyle w:val="Strong"/>
        </w:rPr>
      </w:pPr>
      <w:r w:rsidRPr="000A25E1">
        <w:rPr>
          <w:rStyle w:val="Strong"/>
        </w:rPr>
        <w:t>Reference to future directions (Part C): 11.2 (g), 12.1 (b), 13.2 (a), 13.3 (a)</w:t>
      </w:r>
    </w:p>
    <w:p w:rsidR="00BE0750" w:rsidRPr="00915962" w:rsidRDefault="00BE0750" w:rsidP="00915962">
      <w:pPr>
        <w:pStyle w:val="Heading5"/>
        <w:rPr>
          <w:rStyle w:val="Strong"/>
          <w:rFonts w:ascii="Calibri" w:eastAsiaTheme="majorEastAsia" w:hAnsi="Calibri" w:cstheme="majorBidi"/>
          <w:b/>
          <w:bCs w:val="0"/>
          <w:sz w:val="22"/>
        </w:rPr>
      </w:pPr>
      <w:r w:rsidRPr="00915962">
        <w:rPr>
          <w:rStyle w:val="Strong"/>
          <w:rFonts w:ascii="Calibri" w:eastAsiaTheme="majorEastAsia" w:hAnsi="Calibri" w:cstheme="majorBidi"/>
          <w:b/>
          <w:bCs w:val="0"/>
          <w:sz w:val="22"/>
        </w:rPr>
        <w:t>Regional infrastructure – Supporting the improvement of people and freight movement and planning strategically for future infrastructure needs</w:t>
      </w:r>
    </w:p>
    <w:p w:rsidR="00BE0750" w:rsidRDefault="00BE0750" w:rsidP="00BE0750">
      <w:pPr>
        <w:pStyle w:val="bt"/>
        <w:rPr>
          <w:rStyle w:val="Emphasis"/>
          <w:i w:val="0"/>
          <w:iCs w:val="0"/>
        </w:rPr>
      </w:pPr>
      <w:r w:rsidRPr="00474D9D">
        <w:t>Investigate the strengthening of transport and information and communications technology linkages between key growth locations and surrounding communities to enhance access to education, employment, services and facilities</w:t>
      </w:r>
    </w:p>
    <w:p w:rsidR="00BE0750" w:rsidRPr="000A25E1" w:rsidRDefault="00BE0750" w:rsidP="00BE0750">
      <w:pPr>
        <w:pStyle w:val="bt"/>
        <w:rPr>
          <w:rStyle w:val="Strong"/>
        </w:rPr>
      </w:pPr>
      <w:r w:rsidRPr="000A25E1">
        <w:rPr>
          <w:rStyle w:val="Strong"/>
        </w:rPr>
        <w:t>Reference to future directions (Part C): 11.1 (d), 13.2 (a</w:t>
      </w:r>
      <w:r w:rsidR="00611995" w:rsidRPr="000A25E1">
        <w:rPr>
          <w:rStyle w:val="Strong"/>
        </w:rPr>
        <w:t>) (</w:t>
      </w:r>
      <w:r w:rsidRPr="000A25E1">
        <w:rPr>
          <w:rStyle w:val="Strong"/>
        </w:rPr>
        <w:t>b), 14.1 (c</w:t>
      </w:r>
      <w:r w:rsidR="00611995" w:rsidRPr="000A25E1">
        <w:rPr>
          <w:rStyle w:val="Strong"/>
        </w:rPr>
        <w:t>) (</w:t>
      </w:r>
      <w:r w:rsidRPr="000A25E1">
        <w:rPr>
          <w:rStyle w:val="Strong"/>
        </w:rPr>
        <w:t>e), 14.2 (a), 14.3 (a)</w:t>
      </w:r>
    </w:p>
    <w:p w:rsidR="00BE0750" w:rsidRPr="00550A61" w:rsidRDefault="00BE0750" w:rsidP="00BE0750">
      <w:pPr>
        <w:pStyle w:val="bt"/>
      </w:pPr>
      <w:r w:rsidRPr="00474D9D">
        <w:t>Undertake a study to consider the potential economic benefits of improved road and rail passenger transport in the Hume Region</w:t>
      </w:r>
      <w:r w:rsidRPr="00E25525">
        <w:rPr>
          <w:iCs/>
        </w:rPr>
        <w:t xml:space="preserve"> </w:t>
      </w:r>
    </w:p>
    <w:p w:rsidR="00BE0750" w:rsidRPr="000A25E1" w:rsidRDefault="00BE0750" w:rsidP="00BE0750">
      <w:pPr>
        <w:pStyle w:val="bt"/>
        <w:rPr>
          <w:rStyle w:val="Strong"/>
        </w:rPr>
      </w:pPr>
      <w:r w:rsidRPr="000A25E1">
        <w:rPr>
          <w:rStyle w:val="Strong"/>
        </w:rPr>
        <w:t>Reference to future directions (Part C): 11.1 (f), 13.2 (a), 14.1 (a)–(c)</w:t>
      </w:r>
    </w:p>
    <w:p w:rsidR="00BE0750" w:rsidRDefault="00BE0750" w:rsidP="00BE0750">
      <w:pPr>
        <w:pStyle w:val="bt"/>
        <w:rPr>
          <w:rStyle w:val="Emphasis"/>
          <w:i w:val="0"/>
          <w:iCs w:val="0"/>
        </w:rPr>
      </w:pPr>
      <w:r w:rsidRPr="00474D9D">
        <w:t>Develop a model and guidelines for the provision of social infrastructure as part of a co-locational and integrated approach to the design, development and delivery of community facilities</w:t>
      </w:r>
    </w:p>
    <w:p w:rsidR="00BE0750" w:rsidRPr="000A25E1" w:rsidRDefault="00BE0750" w:rsidP="00BE0750">
      <w:pPr>
        <w:pStyle w:val="bt"/>
        <w:rPr>
          <w:rStyle w:val="Strong"/>
        </w:rPr>
      </w:pPr>
      <w:r w:rsidRPr="000A25E1">
        <w:rPr>
          <w:rStyle w:val="Strong"/>
        </w:rPr>
        <w:t>Reference to future directions (Part C): 14.2 (a)</w:t>
      </w:r>
    </w:p>
    <w:p w:rsidR="00BE0750" w:rsidRDefault="00BE0750" w:rsidP="00BE0750">
      <w:pPr>
        <w:pStyle w:val="bt"/>
      </w:pPr>
      <w:r>
        <w:t>Collaborate with relevant stakeholders to review planning controls and guidance relating to separation distances for solid waste management and resource recovery facilities</w:t>
      </w:r>
    </w:p>
    <w:p w:rsidR="00BE0750" w:rsidRPr="000A25E1" w:rsidRDefault="00BE0750" w:rsidP="00BE0750">
      <w:pPr>
        <w:pStyle w:val="bt"/>
        <w:rPr>
          <w:rStyle w:val="Strong"/>
        </w:rPr>
      </w:pPr>
      <w:r w:rsidRPr="000A25E1">
        <w:rPr>
          <w:rStyle w:val="Strong"/>
        </w:rPr>
        <w:t>Reference to future directions (Part C): 14.3 (a)</w:t>
      </w:r>
    </w:p>
    <w:p w:rsidR="00BE0750" w:rsidRPr="00474D9D" w:rsidRDefault="00BE0750" w:rsidP="00BE0750">
      <w:pPr>
        <w:pStyle w:val="bt"/>
      </w:pPr>
      <w:r w:rsidRPr="00474D9D">
        <w:t>Build on existing work and develop a strategic regional infrastructure plan to:</w:t>
      </w:r>
    </w:p>
    <w:p w:rsidR="00BE0750" w:rsidRDefault="00BE0750" w:rsidP="00476BBD">
      <w:pPr>
        <w:pStyle w:val="btbullet"/>
      </w:pPr>
      <w:r w:rsidRPr="00474D9D">
        <w:t>identify and prioritise key regional infrastructure (social and physical) needed to support economic and population growth in the Hume Region, including consideration of</w:t>
      </w:r>
      <w:r>
        <w:t>:</w:t>
      </w:r>
    </w:p>
    <w:p w:rsidR="00BE0750" w:rsidRDefault="00BE0750" w:rsidP="00001B25">
      <w:pPr>
        <w:pStyle w:val="btbullet"/>
        <w:numPr>
          <w:ilvl w:val="1"/>
          <w:numId w:val="4"/>
        </w:numPr>
      </w:pPr>
      <w:r w:rsidRPr="00474D9D">
        <w:t>existing capacity issues</w:t>
      </w:r>
    </w:p>
    <w:p w:rsidR="00BE0750" w:rsidRDefault="00BE0750" w:rsidP="00001B25">
      <w:pPr>
        <w:pStyle w:val="btbullet"/>
        <w:numPr>
          <w:ilvl w:val="1"/>
          <w:numId w:val="4"/>
        </w:numPr>
      </w:pPr>
      <w:r>
        <w:t>infrastructure required in smaller settlements where the lack of infrastructure may be limiting development options</w:t>
      </w:r>
    </w:p>
    <w:p w:rsidR="00BE0750" w:rsidRDefault="00BE0750" w:rsidP="00001B25">
      <w:pPr>
        <w:pStyle w:val="btbullet"/>
        <w:numPr>
          <w:ilvl w:val="1"/>
          <w:numId w:val="4"/>
        </w:numPr>
      </w:pPr>
      <w:r>
        <w:t>instances where infrastructure provision does not only support growth, but can also deliver environmental and social benefits</w:t>
      </w:r>
      <w:r w:rsidRPr="00474D9D">
        <w:t xml:space="preserve"> </w:t>
      </w:r>
    </w:p>
    <w:p w:rsidR="00BE0750" w:rsidRDefault="00BE0750" w:rsidP="00476BBD">
      <w:pPr>
        <w:pStyle w:val="btbullet"/>
      </w:pPr>
      <w:r w:rsidRPr="00474D9D">
        <w:t>make recommendations on future regional and sub-regional scale sport, recreation and cultural facilities, open space, tracks and trails</w:t>
      </w:r>
    </w:p>
    <w:p w:rsidR="00BE0750" w:rsidRDefault="00BE0750" w:rsidP="00476BBD">
      <w:pPr>
        <w:pStyle w:val="btbullet"/>
      </w:pPr>
      <w:r w:rsidRPr="00474D9D">
        <w:t>investigate ways to coordinate and deliver priority projects including funding options</w:t>
      </w:r>
    </w:p>
    <w:p w:rsidR="00BE0750" w:rsidRDefault="00BE0750" w:rsidP="00BE0750">
      <w:pPr>
        <w:pStyle w:val="bt"/>
        <w:rPr>
          <w:rStyle w:val="Emphasis"/>
          <w:i w:val="0"/>
          <w:iCs w:val="0"/>
        </w:rPr>
      </w:pPr>
      <w:r w:rsidRPr="00474D9D">
        <w:lastRenderedPageBreak/>
        <w:t>The strategic regional infrastructure plan could consider key regional infrastructure items such as freight and logistics precincts, improvements to key transport infrastructure (including bypasses) and social and physical infrastructure to support growth areas</w:t>
      </w:r>
    </w:p>
    <w:p w:rsidR="00BE0750" w:rsidRPr="00476BBD" w:rsidRDefault="00BE0750" w:rsidP="00BE0750">
      <w:pPr>
        <w:pStyle w:val="bt"/>
        <w:rPr>
          <w:rStyle w:val="Strong"/>
        </w:rPr>
      </w:pPr>
      <w:r w:rsidRPr="00476BBD">
        <w:rPr>
          <w:rStyle w:val="Strong"/>
        </w:rPr>
        <w:t>Reference to future directions (Part C): 11.1 (a</w:t>
      </w:r>
      <w:r w:rsidR="00611995" w:rsidRPr="00476BBD">
        <w:rPr>
          <w:rStyle w:val="Strong"/>
        </w:rPr>
        <w:t>) (</w:t>
      </w:r>
      <w:r w:rsidRPr="00476BBD">
        <w:rPr>
          <w:rStyle w:val="Strong"/>
        </w:rPr>
        <w:t>b</w:t>
      </w:r>
      <w:r w:rsidR="00611995" w:rsidRPr="00476BBD">
        <w:rPr>
          <w:rStyle w:val="Strong"/>
        </w:rPr>
        <w:t>) (</w:t>
      </w:r>
      <w:r w:rsidRPr="00476BBD">
        <w:rPr>
          <w:rStyle w:val="Strong"/>
        </w:rPr>
        <w:t>d), 11.2 (h), 13.2 (a</w:t>
      </w:r>
      <w:r w:rsidR="00611995" w:rsidRPr="00476BBD">
        <w:rPr>
          <w:rStyle w:val="Strong"/>
        </w:rPr>
        <w:t>) (</w:t>
      </w:r>
      <w:r w:rsidRPr="00476BBD">
        <w:rPr>
          <w:rStyle w:val="Strong"/>
        </w:rPr>
        <w:t>b), 14</w:t>
      </w:r>
    </w:p>
    <w:p w:rsidR="009F5BA7" w:rsidRDefault="009F5BA7" w:rsidP="00A00B05">
      <w:pPr>
        <w:pStyle w:val="Heading2"/>
        <w:tabs>
          <w:tab w:val="clear" w:pos="396"/>
          <w:tab w:val="clear" w:pos="851"/>
        </w:tabs>
        <w:ind w:left="567"/>
      </w:pPr>
      <w:bookmarkStart w:id="131" w:name="_Toc364247464"/>
      <w:bookmarkStart w:id="132" w:name="_Toc371590140"/>
      <w:bookmarkStart w:id="133" w:name="_Toc376945611"/>
      <w:r>
        <w:t>Review and performance</w:t>
      </w:r>
      <w:bookmarkEnd w:id="131"/>
      <w:bookmarkEnd w:id="132"/>
      <w:bookmarkEnd w:id="133"/>
    </w:p>
    <w:p w:rsidR="009F5BA7" w:rsidRPr="006D58BF" w:rsidRDefault="009F5BA7" w:rsidP="009F5BA7">
      <w:pPr>
        <w:pStyle w:val="bt"/>
      </w:pPr>
      <w:r w:rsidRPr="006D58BF">
        <w:t>It is intended that this plan will inform any subsequent review of the Hume Strategy for Sustainable Communities 2010–2020.</w:t>
      </w:r>
    </w:p>
    <w:p w:rsidR="009F5BA7" w:rsidRPr="006D58BF" w:rsidRDefault="009F5BA7" w:rsidP="009F5BA7">
      <w:pPr>
        <w:pStyle w:val="bt"/>
      </w:pPr>
      <w:r w:rsidRPr="006D58BF">
        <w:t xml:space="preserve">The plan is intended to be a living and adaptable plan, able to respond to new data and information as it arises, including information from </w:t>
      </w:r>
      <w:r w:rsidR="008A5B6C">
        <w:t>s</w:t>
      </w:r>
      <w:r w:rsidR="008A5B6C" w:rsidRPr="006D58BF">
        <w:t xml:space="preserve">tate </w:t>
      </w:r>
      <w:r w:rsidRPr="006D58BF">
        <w:t>or regional strategies and programs. The plan is to be reviewed on a four</w:t>
      </w:r>
      <w:r w:rsidR="008A5B6C">
        <w:t>-</w:t>
      </w:r>
      <w:r w:rsidRPr="006D58BF">
        <w:t xml:space="preserve"> to </w:t>
      </w:r>
      <w:r w:rsidR="008A5B6C" w:rsidRPr="006D58BF">
        <w:t>five</w:t>
      </w:r>
      <w:r w:rsidR="008A5B6C">
        <w:t>-</w:t>
      </w:r>
      <w:r w:rsidRPr="006D58BF">
        <w:t>year cycle. Any review process will involve broad community and stakeholder engagement.</w:t>
      </w:r>
    </w:p>
    <w:p w:rsidR="00114A93" w:rsidRDefault="009F5BA7" w:rsidP="00BD7B1F">
      <w:pPr>
        <w:pStyle w:val="bt"/>
      </w:pPr>
      <w:r w:rsidRPr="006D58BF">
        <w:t xml:space="preserve">Implementation of this plan will be integrated with the overall implementation of the Hume Strategy and included in the performance monitoring framework already established for the implementation of the Hume Strategy. This framework </w:t>
      </w:r>
      <w:r>
        <w:t xml:space="preserve">includes </w:t>
      </w:r>
      <w:r w:rsidRPr="006D58BF">
        <w:t xml:space="preserve">an assessment of performance and project progress and sets out performance measures for the key directions of the Hume Strategy. </w:t>
      </w:r>
    </w:p>
    <w:p w:rsidR="009F5BA7" w:rsidRDefault="009F5BA7" w:rsidP="00A00B05">
      <w:pPr>
        <w:pStyle w:val="Heading2"/>
        <w:tabs>
          <w:tab w:val="clear" w:pos="396"/>
          <w:tab w:val="clear" w:pos="851"/>
        </w:tabs>
        <w:ind w:left="567"/>
      </w:pPr>
      <w:bookmarkStart w:id="134" w:name="_Toc364247465"/>
      <w:bookmarkStart w:id="135" w:name="_Toc371590141"/>
      <w:bookmarkStart w:id="136" w:name="_Toc376945612"/>
      <w:r>
        <w:t>Implementation summary</w:t>
      </w:r>
      <w:bookmarkEnd w:id="134"/>
      <w:bookmarkEnd w:id="135"/>
      <w:bookmarkEnd w:id="136"/>
    </w:p>
    <w:p w:rsidR="009F5BA7" w:rsidRDefault="00BD7B1F" w:rsidP="00115262">
      <w:pPr>
        <w:pStyle w:val="bt"/>
      </w:pPr>
      <w:r w:rsidRPr="00BD7B1F">
        <w:t>The key implementation actions, priorities, partners and responsibilities are summarised below:</w:t>
      </w:r>
    </w:p>
    <w:p w:rsidR="000A25E1" w:rsidRPr="000A25E1" w:rsidRDefault="000A25E1" w:rsidP="000A25E1">
      <w:pPr>
        <w:pStyle w:val="bt"/>
        <w:rPr>
          <w:rStyle w:val="Strong"/>
        </w:rPr>
      </w:pPr>
      <w:bookmarkStart w:id="137" w:name="_Toc367196718"/>
      <w:r w:rsidRPr="000A25E1">
        <w:rPr>
          <w:rStyle w:val="Strong"/>
        </w:rPr>
        <w:t>Action</w:t>
      </w:r>
      <w:bookmarkEnd w:id="137"/>
    </w:p>
    <w:p w:rsidR="000A25E1" w:rsidRPr="00B0122E" w:rsidRDefault="000A25E1" w:rsidP="00154BD0">
      <w:pPr>
        <w:pStyle w:val="bt"/>
        <w:numPr>
          <w:ilvl w:val="0"/>
          <w:numId w:val="35"/>
        </w:numPr>
        <w:ind w:left="426" w:hanging="426"/>
      </w:pPr>
      <w:bookmarkStart w:id="138" w:name="_Toc367196723"/>
      <w:r w:rsidRPr="00B0122E">
        <w:t>Planning scheme implementation of regional growth plan</w:t>
      </w:r>
      <w:bookmarkEnd w:id="138"/>
    </w:p>
    <w:p w:rsidR="000A25E1" w:rsidRPr="000A25E1" w:rsidRDefault="000A25E1" w:rsidP="000A25E1">
      <w:pPr>
        <w:pStyle w:val="bt"/>
        <w:rPr>
          <w:rStyle w:val="Strong"/>
        </w:rPr>
      </w:pPr>
      <w:bookmarkStart w:id="139" w:name="_Toc367196719"/>
      <w:r w:rsidRPr="000A25E1">
        <w:rPr>
          <w:rStyle w:val="Strong"/>
        </w:rPr>
        <w:t>Priority</w:t>
      </w:r>
      <w:bookmarkEnd w:id="139"/>
    </w:p>
    <w:p w:rsidR="000A25E1" w:rsidRPr="003A58CF" w:rsidRDefault="000A25E1" w:rsidP="000A25E1">
      <w:pPr>
        <w:pStyle w:val="bt"/>
      </w:pPr>
      <w:bookmarkStart w:id="140" w:name="_Toc367196724"/>
      <w:r w:rsidRPr="003A58CF">
        <w:t>High</w:t>
      </w:r>
      <w:bookmarkEnd w:id="140"/>
    </w:p>
    <w:p w:rsidR="000A25E1" w:rsidRPr="000A25E1" w:rsidRDefault="000A25E1" w:rsidP="000A25E1">
      <w:pPr>
        <w:pStyle w:val="bt"/>
        <w:rPr>
          <w:rStyle w:val="Strong"/>
        </w:rPr>
      </w:pPr>
      <w:bookmarkStart w:id="141" w:name="_Toc367196720"/>
      <w:r w:rsidRPr="000A25E1">
        <w:rPr>
          <w:rStyle w:val="Strong"/>
        </w:rPr>
        <w:t>Timing</w:t>
      </w:r>
      <w:bookmarkEnd w:id="141"/>
    </w:p>
    <w:p w:rsidR="000A25E1" w:rsidRPr="003A58CF" w:rsidRDefault="000A25E1" w:rsidP="000A25E1">
      <w:pPr>
        <w:pStyle w:val="bt"/>
      </w:pPr>
      <w:r w:rsidRPr="003A58CF">
        <w:t>2013–2014</w:t>
      </w:r>
    </w:p>
    <w:p w:rsidR="000A25E1" w:rsidRPr="000A25E1" w:rsidRDefault="000A25E1" w:rsidP="000A25E1">
      <w:pPr>
        <w:pStyle w:val="bt"/>
        <w:rPr>
          <w:rStyle w:val="Strong"/>
        </w:rPr>
      </w:pPr>
      <w:bookmarkStart w:id="142" w:name="_Toc367196721"/>
      <w:r w:rsidRPr="000A25E1">
        <w:rPr>
          <w:rStyle w:val="Strong"/>
        </w:rPr>
        <w:t>Lead responsibility</w:t>
      </w:r>
      <w:bookmarkEnd w:id="142"/>
    </w:p>
    <w:p w:rsidR="000A25E1" w:rsidRPr="003A58CF" w:rsidRDefault="000A25E1" w:rsidP="000A25E1">
      <w:pPr>
        <w:pStyle w:val="bt"/>
      </w:pPr>
      <w:bookmarkStart w:id="143" w:name="_Toc367196722"/>
      <w:r w:rsidRPr="003A58CF">
        <w:t>Department of Transport, Planning and Local Infrastructure</w:t>
      </w:r>
    </w:p>
    <w:p w:rsidR="000A25E1" w:rsidRPr="000A25E1" w:rsidRDefault="000A25E1" w:rsidP="000A25E1">
      <w:pPr>
        <w:pStyle w:val="bt"/>
        <w:rPr>
          <w:rStyle w:val="Strong"/>
        </w:rPr>
      </w:pPr>
      <w:r w:rsidRPr="000A25E1">
        <w:rPr>
          <w:rStyle w:val="Strong"/>
        </w:rPr>
        <w:t>Key partners</w:t>
      </w:r>
      <w:bookmarkEnd w:id="143"/>
    </w:p>
    <w:p w:rsidR="000A25E1" w:rsidRDefault="00476BBD" w:rsidP="000A25E1">
      <w:pPr>
        <w:pStyle w:val="bt"/>
      </w:pPr>
      <w:r>
        <w:t>Hume R</w:t>
      </w:r>
      <w:r w:rsidR="000A25E1" w:rsidRPr="003A58CF">
        <w:t>egion councils</w:t>
      </w:r>
    </w:p>
    <w:p w:rsidR="000A25E1" w:rsidRPr="000A25E1" w:rsidRDefault="000A25E1" w:rsidP="000A25E1">
      <w:pPr>
        <w:pStyle w:val="bt"/>
        <w:rPr>
          <w:rStyle w:val="Strong"/>
        </w:rPr>
      </w:pPr>
      <w:r w:rsidRPr="000A25E1">
        <w:rPr>
          <w:rStyle w:val="Strong"/>
        </w:rPr>
        <w:t>Action</w:t>
      </w:r>
    </w:p>
    <w:p w:rsidR="000A25E1" w:rsidRPr="00B0122E" w:rsidRDefault="000A25E1" w:rsidP="00154BD0">
      <w:pPr>
        <w:pStyle w:val="bt"/>
        <w:numPr>
          <w:ilvl w:val="0"/>
          <w:numId w:val="35"/>
        </w:numPr>
        <w:ind w:left="426" w:hanging="426"/>
      </w:pPr>
      <w:r w:rsidRPr="00B0122E">
        <w:t>Implementation plan</w:t>
      </w:r>
    </w:p>
    <w:p w:rsidR="000A25E1" w:rsidRPr="000A25E1" w:rsidRDefault="000A25E1" w:rsidP="000A25E1">
      <w:pPr>
        <w:pStyle w:val="bt"/>
        <w:rPr>
          <w:rStyle w:val="Strong"/>
        </w:rPr>
      </w:pPr>
      <w:r w:rsidRPr="000A25E1">
        <w:rPr>
          <w:rStyle w:val="Strong"/>
        </w:rPr>
        <w:t>Priority</w:t>
      </w:r>
    </w:p>
    <w:p w:rsidR="000A25E1" w:rsidRPr="003A58CF" w:rsidRDefault="000A25E1" w:rsidP="000A25E1">
      <w:pPr>
        <w:pStyle w:val="bt"/>
      </w:pPr>
      <w:r w:rsidRPr="003A58CF">
        <w:t>High</w:t>
      </w:r>
    </w:p>
    <w:p w:rsidR="000A25E1" w:rsidRPr="000A25E1" w:rsidRDefault="000A25E1" w:rsidP="000A25E1">
      <w:pPr>
        <w:pStyle w:val="bt"/>
        <w:rPr>
          <w:rStyle w:val="Strong"/>
        </w:rPr>
      </w:pPr>
      <w:r w:rsidRPr="000A25E1">
        <w:rPr>
          <w:rStyle w:val="Strong"/>
        </w:rPr>
        <w:t>Timing</w:t>
      </w:r>
    </w:p>
    <w:p w:rsidR="000A25E1" w:rsidRPr="003A58CF" w:rsidRDefault="000A25E1" w:rsidP="000A25E1">
      <w:pPr>
        <w:pStyle w:val="bt"/>
      </w:pPr>
      <w:r w:rsidRPr="003A58CF">
        <w:lastRenderedPageBreak/>
        <w:t>2014–2015</w:t>
      </w:r>
    </w:p>
    <w:p w:rsidR="000A25E1" w:rsidRPr="00476BBD" w:rsidRDefault="000A25E1" w:rsidP="000A25E1">
      <w:pPr>
        <w:pStyle w:val="bt"/>
        <w:rPr>
          <w:rStyle w:val="Strong"/>
        </w:rPr>
      </w:pPr>
      <w:r w:rsidRPr="00476BBD">
        <w:rPr>
          <w:rStyle w:val="Strong"/>
        </w:rPr>
        <w:t>Lead responsibility</w:t>
      </w:r>
    </w:p>
    <w:p w:rsidR="000A25E1" w:rsidRPr="003A58CF" w:rsidRDefault="00476BBD" w:rsidP="000A25E1">
      <w:pPr>
        <w:pStyle w:val="bt"/>
      </w:pPr>
      <w:r>
        <w:t>Hume R</w:t>
      </w:r>
      <w:r w:rsidR="000A25E1" w:rsidRPr="003A58CF">
        <w:t>egion lead governance entity</w:t>
      </w:r>
    </w:p>
    <w:p w:rsidR="000A25E1" w:rsidRPr="00476BBD" w:rsidRDefault="000A25E1" w:rsidP="000A25E1">
      <w:pPr>
        <w:pStyle w:val="bt"/>
        <w:rPr>
          <w:rStyle w:val="Strong"/>
        </w:rPr>
      </w:pPr>
      <w:r w:rsidRPr="00476BBD">
        <w:rPr>
          <w:rStyle w:val="Strong"/>
        </w:rPr>
        <w:t>Key partners</w:t>
      </w:r>
    </w:p>
    <w:p w:rsidR="000A25E1" w:rsidRPr="003A58CF" w:rsidRDefault="00476BBD" w:rsidP="000A25E1">
      <w:pPr>
        <w:pStyle w:val="bt"/>
      </w:pPr>
      <w:r>
        <w:t xml:space="preserve">Hume </w:t>
      </w:r>
      <w:r w:rsidR="000A25E1" w:rsidRPr="003A58CF">
        <w:t>Regional Growth Plan project partners</w:t>
      </w:r>
    </w:p>
    <w:p w:rsidR="000A25E1" w:rsidRPr="00476BBD" w:rsidRDefault="000A25E1" w:rsidP="000A25E1">
      <w:pPr>
        <w:pStyle w:val="bt"/>
        <w:rPr>
          <w:rStyle w:val="Strong"/>
        </w:rPr>
      </w:pPr>
      <w:r w:rsidRPr="00476BBD">
        <w:rPr>
          <w:rStyle w:val="Strong"/>
        </w:rPr>
        <w:t>Action</w:t>
      </w:r>
    </w:p>
    <w:p w:rsidR="000A25E1" w:rsidRPr="00B0122E" w:rsidRDefault="00476BBD" w:rsidP="00154BD0">
      <w:pPr>
        <w:pStyle w:val="bt"/>
        <w:numPr>
          <w:ilvl w:val="0"/>
          <w:numId w:val="35"/>
        </w:numPr>
        <w:ind w:left="426" w:hanging="426"/>
      </w:pPr>
      <w:r>
        <w:t>Hume R</w:t>
      </w:r>
      <w:r w:rsidR="000A25E1" w:rsidRPr="00B0122E">
        <w:t>egion Municipal Strategic Statement reviews</w:t>
      </w:r>
    </w:p>
    <w:p w:rsidR="000A25E1" w:rsidRPr="00476BBD" w:rsidRDefault="000A25E1" w:rsidP="000A25E1">
      <w:pPr>
        <w:pStyle w:val="bt"/>
        <w:rPr>
          <w:rStyle w:val="Strong"/>
        </w:rPr>
      </w:pPr>
      <w:r w:rsidRPr="00476BBD">
        <w:rPr>
          <w:rStyle w:val="Strong"/>
        </w:rPr>
        <w:t>Priority</w:t>
      </w:r>
    </w:p>
    <w:p w:rsidR="000A25E1" w:rsidRPr="003A58CF" w:rsidRDefault="000A25E1" w:rsidP="000A25E1">
      <w:pPr>
        <w:pStyle w:val="bt"/>
      </w:pPr>
      <w:r w:rsidRPr="003A58CF">
        <w:t>Medium</w:t>
      </w:r>
    </w:p>
    <w:p w:rsidR="000A25E1" w:rsidRPr="00476BBD" w:rsidRDefault="000A25E1" w:rsidP="000A25E1">
      <w:pPr>
        <w:pStyle w:val="bt"/>
        <w:rPr>
          <w:rStyle w:val="Strong"/>
        </w:rPr>
      </w:pPr>
      <w:r w:rsidRPr="00476BBD">
        <w:rPr>
          <w:rStyle w:val="Strong"/>
        </w:rPr>
        <w:t>Timing</w:t>
      </w:r>
    </w:p>
    <w:p w:rsidR="000A25E1" w:rsidRPr="003A58CF" w:rsidRDefault="000A25E1" w:rsidP="000A25E1">
      <w:pPr>
        <w:pStyle w:val="bt"/>
      </w:pPr>
      <w:r w:rsidRPr="003A58CF">
        <w:t>To coincide with Municipal Strategic Statement review cycles</w:t>
      </w:r>
    </w:p>
    <w:p w:rsidR="000A25E1" w:rsidRPr="00476BBD" w:rsidRDefault="000A25E1" w:rsidP="000A25E1">
      <w:pPr>
        <w:pStyle w:val="bt"/>
        <w:rPr>
          <w:rStyle w:val="Strong"/>
        </w:rPr>
      </w:pPr>
      <w:r w:rsidRPr="00476BBD">
        <w:rPr>
          <w:rStyle w:val="Strong"/>
        </w:rPr>
        <w:t>Lead responsibility</w:t>
      </w:r>
    </w:p>
    <w:p w:rsidR="000A25E1" w:rsidRPr="003A58CF" w:rsidRDefault="00476BBD" w:rsidP="000A25E1">
      <w:pPr>
        <w:pStyle w:val="bt"/>
      </w:pPr>
      <w:r>
        <w:t>Hume R</w:t>
      </w:r>
      <w:r w:rsidR="000A25E1" w:rsidRPr="003A58CF">
        <w:t>egion councils</w:t>
      </w:r>
    </w:p>
    <w:p w:rsidR="000A25E1" w:rsidRPr="00476BBD" w:rsidRDefault="000A25E1" w:rsidP="000A25E1">
      <w:pPr>
        <w:pStyle w:val="bt"/>
        <w:rPr>
          <w:rStyle w:val="Strong"/>
        </w:rPr>
      </w:pPr>
      <w:r w:rsidRPr="00476BBD">
        <w:rPr>
          <w:rStyle w:val="Strong"/>
        </w:rPr>
        <w:t>Key partners</w:t>
      </w:r>
    </w:p>
    <w:p w:rsidR="000A25E1" w:rsidRPr="003A58CF" w:rsidRDefault="000A25E1" w:rsidP="000A25E1">
      <w:pPr>
        <w:pStyle w:val="bt"/>
      </w:pPr>
      <w:r w:rsidRPr="003A58CF">
        <w:t>Department of Transport, Planning and Local Infrastructure</w:t>
      </w:r>
    </w:p>
    <w:p w:rsidR="000A25E1" w:rsidRPr="00476BBD" w:rsidRDefault="000A25E1" w:rsidP="000A25E1">
      <w:pPr>
        <w:pStyle w:val="bt"/>
        <w:rPr>
          <w:rStyle w:val="Strong"/>
        </w:rPr>
      </w:pPr>
      <w:r w:rsidRPr="00476BBD">
        <w:rPr>
          <w:rStyle w:val="Strong"/>
        </w:rPr>
        <w:t>Action</w:t>
      </w:r>
    </w:p>
    <w:p w:rsidR="000A25E1" w:rsidRPr="00B0122E" w:rsidRDefault="000A25E1" w:rsidP="00154BD0">
      <w:pPr>
        <w:pStyle w:val="bt"/>
        <w:numPr>
          <w:ilvl w:val="0"/>
          <w:numId w:val="35"/>
        </w:numPr>
        <w:ind w:left="426" w:hanging="426"/>
      </w:pPr>
      <w:r w:rsidRPr="00B0122E">
        <w:t>Review</w:t>
      </w:r>
    </w:p>
    <w:p w:rsidR="000A25E1" w:rsidRPr="00476BBD" w:rsidRDefault="000A25E1" w:rsidP="000A25E1">
      <w:pPr>
        <w:pStyle w:val="bt"/>
        <w:rPr>
          <w:rStyle w:val="Strong"/>
        </w:rPr>
      </w:pPr>
      <w:r w:rsidRPr="00476BBD">
        <w:rPr>
          <w:rStyle w:val="Strong"/>
        </w:rPr>
        <w:t>Priority</w:t>
      </w:r>
    </w:p>
    <w:p w:rsidR="000A25E1" w:rsidRPr="003A58CF" w:rsidRDefault="000A25E1" w:rsidP="000A25E1">
      <w:pPr>
        <w:pStyle w:val="bt"/>
      </w:pPr>
      <w:r w:rsidRPr="003A58CF">
        <w:t>Medium</w:t>
      </w:r>
    </w:p>
    <w:p w:rsidR="000A25E1" w:rsidRPr="00476BBD" w:rsidRDefault="000A25E1" w:rsidP="000A25E1">
      <w:pPr>
        <w:pStyle w:val="bt"/>
        <w:rPr>
          <w:rStyle w:val="Strong"/>
        </w:rPr>
      </w:pPr>
      <w:r w:rsidRPr="00476BBD">
        <w:rPr>
          <w:rStyle w:val="Strong"/>
        </w:rPr>
        <w:t>Timing</w:t>
      </w:r>
    </w:p>
    <w:p w:rsidR="000A25E1" w:rsidRPr="003A58CF" w:rsidRDefault="000A25E1" w:rsidP="000A25E1">
      <w:pPr>
        <w:pStyle w:val="bt"/>
      </w:pPr>
      <w:r w:rsidRPr="003A58CF">
        <w:t>2016–18</w:t>
      </w:r>
    </w:p>
    <w:p w:rsidR="000A25E1" w:rsidRPr="00476BBD" w:rsidRDefault="000A25E1" w:rsidP="000A25E1">
      <w:pPr>
        <w:pStyle w:val="bt"/>
        <w:rPr>
          <w:rStyle w:val="Strong"/>
        </w:rPr>
      </w:pPr>
      <w:r w:rsidRPr="00476BBD">
        <w:rPr>
          <w:rStyle w:val="Strong"/>
        </w:rPr>
        <w:t>Lead responsibility</w:t>
      </w:r>
    </w:p>
    <w:p w:rsidR="000A25E1" w:rsidRPr="003A58CF" w:rsidRDefault="00476BBD" w:rsidP="000A25E1">
      <w:pPr>
        <w:pStyle w:val="bt"/>
      </w:pPr>
      <w:r>
        <w:t>Hume R</w:t>
      </w:r>
      <w:r w:rsidR="000A25E1" w:rsidRPr="003A58CF">
        <w:t>egion lead governance entity</w:t>
      </w:r>
    </w:p>
    <w:p w:rsidR="000A25E1" w:rsidRPr="00476BBD" w:rsidRDefault="000A25E1" w:rsidP="000A25E1">
      <w:pPr>
        <w:pStyle w:val="bt"/>
        <w:rPr>
          <w:rStyle w:val="Strong"/>
        </w:rPr>
      </w:pPr>
      <w:r w:rsidRPr="00476BBD">
        <w:rPr>
          <w:rStyle w:val="Strong"/>
        </w:rPr>
        <w:t>Key partners</w:t>
      </w:r>
    </w:p>
    <w:p w:rsidR="00BE0750" w:rsidRDefault="00476BBD" w:rsidP="00115262">
      <w:pPr>
        <w:pStyle w:val="bt"/>
      </w:pPr>
      <w:r>
        <w:t xml:space="preserve">Hume </w:t>
      </w:r>
      <w:r w:rsidR="000A25E1" w:rsidRPr="003A58CF">
        <w:t>Regional Growth Plan project partner</w:t>
      </w:r>
      <w:r w:rsidR="00001B25">
        <w:t>s</w:t>
      </w:r>
    </w:p>
    <w:p w:rsidR="00BE0750" w:rsidRPr="009F5BA7" w:rsidRDefault="00BE0750" w:rsidP="00115262">
      <w:pPr>
        <w:pStyle w:val="bt"/>
      </w:pPr>
    </w:p>
    <w:bookmarkEnd w:id="123"/>
    <w:p w:rsidR="00114A93" w:rsidRDefault="00114A93" w:rsidP="004B258F">
      <w:pPr>
        <w:pStyle w:val="bt"/>
        <w:sectPr w:rsidR="00114A93" w:rsidSect="00BD5878">
          <w:headerReference w:type="default" r:id="rId32"/>
          <w:pgSz w:w="11906" w:h="16838"/>
          <w:pgMar w:top="1440" w:right="1440" w:bottom="993" w:left="1440" w:header="708" w:footer="708" w:gutter="0"/>
          <w:pgBorders w:offsetFrom="page">
            <w:top w:val="single" w:sz="4" w:space="24" w:color="FFFFFF"/>
            <w:bottom w:val="single" w:sz="4" w:space="24" w:color="FFFFFF"/>
          </w:pgBorders>
          <w:cols w:space="708"/>
          <w:docGrid w:linePitch="360"/>
        </w:sectPr>
      </w:pPr>
    </w:p>
    <w:p w:rsidR="00114A93" w:rsidRPr="00B06523" w:rsidRDefault="00114A93" w:rsidP="00B06523">
      <w:pPr>
        <w:pStyle w:val="Heading1"/>
      </w:pPr>
      <w:bookmarkStart w:id="144" w:name="_Toc376945613"/>
      <w:r w:rsidRPr="00B06523">
        <w:lastRenderedPageBreak/>
        <w:t>Glossary</w:t>
      </w:r>
      <w:bookmarkStart w:id="145" w:name="_GoBack"/>
      <w:bookmarkEnd w:id="145"/>
      <w:bookmarkEnd w:id="144"/>
    </w:p>
    <w:p w:rsidR="00114A93" w:rsidRPr="0057206A" w:rsidRDefault="00114A93" w:rsidP="00114A93">
      <w:pPr>
        <w:pStyle w:val="bt"/>
        <w:spacing w:before="120" w:after="140"/>
      </w:pPr>
      <w:r w:rsidRPr="00D454E6">
        <w:rPr>
          <w:rStyle w:val="Strong"/>
        </w:rPr>
        <w:t>Aboriginal cultural heritage:</w:t>
      </w:r>
      <w:r w:rsidRPr="00D454E6">
        <w:rPr>
          <w:rStyle w:val="Strong"/>
          <w:b w:val="0"/>
          <w:bCs w:val="0"/>
        </w:rPr>
        <w:t xml:space="preserve"> means Aboriginal places, Aboriginal objects and Aboriginal human remains. They tell the story of Aboriginal use and occupation of the land. An </w:t>
      </w:r>
      <w:r>
        <w:rPr>
          <w:rStyle w:val="Strong"/>
          <w:b w:val="0"/>
          <w:bCs w:val="0"/>
        </w:rPr>
        <w:t>A</w:t>
      </w:r>
      <w:r w:rsidRPr="00D454E6">
        <w:rPr>
          <w:rStyle w:val="Strong"/>
          <w:b w:val="0"/>
          <w:bCs w:val="0"/>
        </w:rPr>
        <w:t>boriginal place can be an area of land or water, a natural feature, formation or landscape</w:t>
      </w:r>
      <w:r w:rsidRPr="0057206A">
        <w:t>, an archaeological site, as well as a building or structure. Aboriginal cultural heritage also includes intangible places where there may be no physical evidence of past cultural activities. These include places of spiritual or ceremonial significance, places where traditional plant or mineral resources occur, or trade and travel routes.</w:t>
      </w:r>
    </w:p>
    <w:p w:rsidR="00114A93" w:rsidRPr="00D454E6" w:rsidRDefault="00114A93" w:rsidP="00114A93">
      <w:pPr>
        <w:pStyle w:val="bt"/>
        <w:spacing w:before="120" w:after="140"/>
      </w:pPr>
      <w:r w:rsidRPr="00D454E6">
        <w:rPr>
          <w:rStyle w:val="Strong"/>
        </w:rPr>
        <w:t>Biodiversity:</w:t>
      </w:r>
      <w:r w:rsidRPr="00D454E6">
        <w:t xml:space="preserve"> the variety of all life forms – different plants, animals and micro</w:t>
      </w:r>
      <w:r>
        <w:t>-</w:t>
      </w:r>
      <w:r w:rsidRPr="00D454E6">
        <w:t>organisms, the genes they contain</w:t>
      </w:r>
      <w:r>
        <w:t xml:space="preserve"> </w:t>
      </w:r>
      <w:r w:rsidRPr="00D454E6">
        <w:t>and the ecosystems of which they form a part.</w:t>
      </w:r>
    </w:p>
    <w:p w:rsidR="00114A93" w:rsidRPr="00D454E6" w:rsidRDefault="00114A93" w:rsidP="00114A93">
      <w:pPr>
        <w:pStyle w:val="bt"/>
        <w:spacing w:before="120" w:after="140"/>
      </w:pPr>
      <w:r w:rsidRPr="00D454E6">
        <w:rPr>
          <w:rStyle w:val="Strong"/>
        </w:rPr>
        <w:t>Bioenergy:</w:t>
      </w:r>
      <w:r w:rsidRPr="00D454E6">
        <w:t xml:space="preserve"> energy generated from organic matter</w:t>
      </w:r>
      <w:r>
        <w:t>,</w:t>
      </w:r>
      <w:r w:rsidRPr="00D454E6">
        <w:t xml:space="preserve"> such as agricultural waste.</w:t>
      </w:r>
    </w:p>
    <w:p w:rsidR="00114A93" w:rsidRDefault="00114A93" w:rsidP="00114A93">
      <w:pPr>
        <w:pStyle w:val="bt"/>
        <w:spacing w:before="120" w:after="140"/>
      </w:pPr>
      <w:r w:rsidRPr="00D454E6">
        <w:rPr>
          <w:rStyle w:val="Strong"/>
        </w:rPr>
        <w:t>Biofuels:</w:t>
      </w:r>
      <w:r w:rsidRPr="00D454E6">
        <w:t xml:space="preserve"> liquid or gaseous fuels derived from biomass. </w:t>
      </w:r>
    </w:p>
    <w:p w:rsidR="00114A93" w:rsidRPr="00D454E6" w:rsidRDefault="00114A93" w:rsidP="00114A93">
      <w:pPr>
        <w:pStyle w:val="bt"/>
        <w:spacing w:before="120" w:after="140"/>
      </w:pPr>
      <w:r w:rsidRPr="00613BE0">
        <w:rPr>
          <w:b/>
        </w:rPr>
        <w:t>Biomass:</w:t>
      </w:r>
      <w:r w:rsidRPr="00D454E6">
        <w:t xml:space="preserve"> includes agricultural residues and waste products, forestry residues, organic wastes, purpose-grown energy crops, woody weeds, algae and biodegradable municipal waste streams.</w:t>
      </w:r>
    </w:p>
    <w:p w:rsidR="00114A93" w:rsidRPr="00D454E6" w:rsidRDefault="00114A93" w:rsidP="00114A93">
      <w:pPr>
        <w:pStyle w:val="bt"/>
        <w:spacing w:before="120" w:after="140"/>
      </w:pPr>
      <w:r w:rsidRPr="00D454E6">
        <w:rPr>
          <w:rStyle w:val="Strong"/>
        </w:rPr>
        <w:t>Carbon farming:</w:t>
      </w:r>
      <w:r w:rsidRPr="00D454E6">
        <w:t xml:space="preserve"> a method of allowing farmers and land managers to earn carbon credits by storing carbon or reducing greenhouse gas emissions on the land.</w:t>
      </w:r>
    </w:p>
    <w:p w:rsidR="00114A93" w:rsidRPr="00D454E6" w:rsidRDefault="00114A93" w:rsidP="00114A93">
      <w:pPr>
        <w:pStyle w:val="bt"/>
        <w:spacing w:before="120" w:after="140"/>
      </w:pPr>
      <w:r w:rsidRPr="00D454E6">
        <w:rPr>
          <w:rStyle w:val="Strong"/>
        </w:rPr>
        <w:t>Central Business District</w:t>
      </w:r>
      <w:r>
        <w:rPr>
          <w:rStyle w:val="Strong"/>
        </w:rPr>
        <w:t xml:space="preserve"> (CBD)</w:t>
      </w:r>
      <w:r w:rsidRPr="00D454E6">
        <w:rPr>
          <w:rStyle w:val="Strong"/>
        </w:rPr>
        <w:t>:</w:t>
      </w:r>
      <w:r w:rsidRPr="00D454E6">
        <w:t xml:space="preserve"> the area comprising the core commercial, civic and community functions of a town.</w:t>
      </w:r>
    </w:p>
    <w:p w:rsidR="00114A93" w:rsidRDefault="00114A93" w:rsidP="00114A93">
      <w:pPr>
        <w:pStyle w:val="bt"/>
        <w:spacing w:before="120" w:after="140"/>
        <w:rPr>
          <w:rStyle w:val="Strong"/>
          <w:b w:val="0"/>
          <w:bCs w:val="0"/>
        </w:rPr>
      </w:pPr>
      <w:r w:rsidRPr="00D454E6">
        <w:rPr>
          <w:rStyle w:val="Strong"/>
        </w:rPr>
        <w:t>Cultural heritage:</w:t>
      </w:r>
      <w:r w:rsidRPr="00D454E6">
        <w:rPr>
          <w:rStyle w:val="Strong"/>
          <w:b w:val="0"/>
          <w:bCs w:val="0"/>
        </w:rPr>
        <w:t xml:space="preserve"> captures both Aboriginal cultural heritage and historic heritage.</w:t>
      </w:r>
    </w:p>
    <w:p w:rsidR="00114A93" w:rsidRDefault="00114A93" w:rsidP="00114A93">
      <w:pPr>
        <w:pStyle w:val="bt"/>
        <w:spacing w:before="120" w:after="120"/>
      </w:pPr>
      <w:r>
        <w:rPr>
          <w:b/>
        </w:rPr>
        <w:t>Declared Water Supply C</w:t>
      </w:r>
      <w:r w:rsidRPr="00A94AB1">
        <w:rPr>
          <w:b/>
        </w:rPr>
        <w:t>atchments:</w:t>
      </w:r>
      <w:r w:rsidRPr="00A94AB1">
        <w:t xml:space="preserve"> Catchment areas as proclaimed under the </w:t>
      </w:r>
      <w:r w:rsidRPr="00A94AB1">
        <w:rPr>
          <w:i/>
          <w:iCs/>
        </w:rPr>
        <w:t>Soil Conservation and Land Utilization Act</w:t>
      </w:r>
      <w:r w:rsidRPr="00DC4049">
        <w:rPr>
          <w:i/>
        </w:rPr>
        <w:t xml:space="preserve"> 1958</w:t>
      </w:r>
      <w:r w:rsidRPr="00A94AB1">
        <w:t xml:space="preserve"> in conjunction with the </w:t>
      </w:r>
      <w:r w:rsidRPr="00A94AB1">
        <w:rPr>
          <w:i/>
          <w:iCs/>
        </w:rPr>
        <w:t xml:space="preserve">Land Conservation </w:t>
      </w:r>
      <w:r w:rsidRPr="00230F6B">
        <w:rPr>
          <w:i/>
          <w:iCs/>
        </w:rPr>
        <w:t>Act</w:t>
      </w:r>
      <w:r w:rsidRPr="00DC4049">
        <w:rPr>
          <w:i/>
        </w:rPr>
        <w:t xml:space="preserve"> 1970</w:t>
      </w:r>
      <w:r w:rsidRPr="00A94AB1">
        <w:t xml:space="preserve"> and subsequently incorporated into the </w:t>
      </w:r>
      <w:r w:rsidRPr="00A94AB1">
        <w:rPr>
          <w:i/>
          <w:iCs/>
        </w:rPr>
        <w:t xml:space="preserve">Catchment and Land Protection </w:t>
      </w:r>
      <w:r w:rsidRPr="00230F6B">
        <w:rPr>
          <w:i/>
          <w:iCs/>
        </w:rPr>
        <w:t>Act</w:t>
      </w:r>
      <w:r w:rsidRPr="00DC4049">
        <w:rPr>
          <w:i/>
        </w:rPr>
        <w:t xml:space="preserve"> 1994</w:t>
      </w:r>
      <w:r w:rsidRPr="0084527C">
        <w:t>.</w:t>
      </w:r>
    </w:p>
    <w:p w:rsidR="00114A93" w:rsidRPr="003B3A8A" w:rsidRDefault="00114A93" w:rsidP="00114A93">
      <w:pPr>
        <w:pStyle w:val="bt"/>
        <w:spacing w:before="120" w:after="120"/>
        <w:rPr>
          <w:rStyle w:val="Strong"/>
          <w:b w:val="0"/>
          <w:bCs w:val="0"/>
        </w:rPr>
      </w:pPr>
      <w:r>
        <w:rPr>
          <w:b/>
        </w:rPr>
        <w:t>Domestic wastewater management p</w:t>
      </w:r>
      <w:r w:rsidRPr="001B4F7A">
        <w:rPr>
          <w:b/>
        </w:rPr>
        <w:t>lan:</w:t>
      </w:r>
      <w:r>
        <w:t xml:space="preserve"> a document seeking to reduce</w:t>
      </w:r>
      <w:r w:rsidRPr="001B4F7A">
        <w:t xml:space="preserve"> the potential health and environmental impacts of on-site wastewater disposal. </w:t>
      </w:r>
    </w:p>
    <w:p w:rsidR="00114A93" w:rsidRPr="00D454E6" w:rsidRDefault="00114A93" w:rsidP="00114A93">
      <w:pPr>
        <w:pStyle w:val="bt"/>
        <w:spacing w:before="120" w:after="140"/>
      </w:pPr>
      <w:r w:rsidRPr="00D454E6">
        <w:rPr>
          <w:rStyle w:val="Strong"/>
        </w:rPr>
        <w:t>Earth resources:</w:t>
      </w:r>
      <w:r w:rsidRPr="00D454E6">
        <w:t xml:space="preserve"> these comprise minerals, petroleum, </w:t>
      </w:r>
      <w:r>
        <w:t xml:space="preserve">gas, </w:t>
      </w:r>
      <w:r w:rsidRPr="00D454E6">
        <w:t xml:space="preserve">extractive and geothermal industries. </w:t>
      </w:r>
    </w:p>
    <w:p w:rsidR="00114A93" w:rsidRPr="00D454E6" w:rsidRDefault="00114A93" w:rsidP="00114A93">
      <w:pPr>
        <w:pStyle w:val="bt"/>
        <w:spacing w:before="120" w:after="140"/>
      </w:pPr>
      <w:r w:rsidRPr="00D454E6">
        <w:rPr>
          <w:rStyle w:val="Strong"/>
        </w:rPr>
        <w:t>Ecosystem services:</w:t>
      </w:r>
      <w:r w:rsidRPr="00D454E6">
        <w:t xml:space="preserve"> the conditions and processes through which natural ecosystems and the species of those natural ecosystems, sustain and fulfil human life.</w:t>
      </w:r>
    </w:p>
    <w:p w:rsidR="00114A93" w:rsidRPr="00D454E6" w:rsidRDefault="00114A93" w:rsidP="00114A93">
      <w:pPr>
        <w:pStyle w:val="bt"/>
        <w:spacing w:before="120" w:after="140"/>
      </w:pPr>
      <w:r w:rsidRPr="00D454E6">
        <w:rPr>
          <w:rStyle w:val="Strong"/>
        </w:rPr>
        <w:t>Environmental asset:</w:t>
      </w:r>
      <w:r w:rsidRPr="00D454E6">
        <w:t xml:space="preserve"> a tangible biophysical element of the environment</w:t>
      </w:r>
      <w:r>
        <w:t>,</w:t>
      </w:r>
      <w:r w:rsidRPr="00D454E6">
        <w:t xml:space="preserve"> such as terrestrial habitat, waterways, significant landscapes and soils.</w:t>
      </w:r>
    </w:p>
    <w:p w:rsidR="00114A93" w:rsidRDefault="00114A93" w:rsidP="00114A93">
      <w:pPr>
        <w:pStyle w:val="bt"/>
        <w:spacing w:before="120" w:after="140"/>
      </w:pPr>
      <w:r w:rsidRPr="00D454E6">
        <w:rPr>
          <w:rStyle w:val="Strong"/>
        </w:rPr>
        <w:t>Environmental value:</w:t>
      </w:r>
      <w:r w:rsidRPr="00D454E6">
        <w:t xml:space="preserve"> the attributes of an environmental asset that make it valuable or important based on environmental, social or economic values.</w:t>
      </w:r>
    </w:p>
    <w:p w:rsidR="00114A93" w:rsidRDefault="00114A93" w:rsidP="00114A93">
      <w:pPr>
        <w:pStyle w:val="bt"/>
        <w:spacing w:before="120" w:after="120"/>
      </w:pPr>
      <w:r w:rsidRPr="009A25B2">
        <w:rPr>
          <w:rStyle w:val="Strong"/>
          <w:bCs w:val="0"/>
        </w:rPr>
        <w:t>Extractive Industry Interest Area (EIIA):</w:t>
      </w:r>
      <w:r>
        <w:rPr>
          <w:rStyle w:val="Strong"/>
          <w:b w:val="0"/>
          <w:bCs w:val="0"/>
        </w:rPr>
        <w:t xml:space="preserve"> </w:t>
      </w:r>
      <w:r w:rsidRPr="009A25B2">
        <w:rPr>
          <w:rStyle w:val="Strong"/>
          <w:b w:val="0"/>
          <w:bCs w:val="0"/>
        </w:rPr>
        <w:t xml:space="preserve">identified areas around major centres in Victoria where it is possible that a quarry could be placed within </w:t>
      </w:r>
      <w:r>
        <w:rPr>
          <w:rStyle w:val="Strong"/>
          <w:b w:val="0"/>
          <w:bCs w:val="0"/>
        </w:rPr>
        <w:t>defined</w:t>
      </w:r>
      <w:r w:rsidRPr="009A25B2">
        <w:rPr>
          <w:rStyle w:val="Strong"/>
          <w:b w:val="0"/>
          <w:bCs w:val="0"/>
        </w:rPr>
        <w:t xml:space="preserve"> constraints.</w:t>
      </w:r>
    </w:p>
    <w:p w:rsidR="00114A93" w:rsidRPr="00D454E6" w:rsidRDefault="00114A93" w:rsidP="00114A93">
      <w:pPr>
        <w:pStyle w:val="bt"/>
        <w:spacing w:before="120" w:after="140"/>
      </w:pPr>
      <w:r w:rsidRPr="00D454E6">
        <w:rPr>
          <w:rStyle w:val="Strong"/>
        </w:rPr>
        <w:t xml:space="preserve">Food </w:t>
      </w:r>
      <w:r>
        <w:rPr>
          <w:rStyle w:val="Strong"/>
        </w:rPr>
        <w:t>b</w:t>
      </w:r>
      <w:r w:rsidRPr="00D454E6">
        <w:rPr>
          <w:rStyle w:val="Strong"/>
        </w:rPr>
        <w:t>owl:</w:t>
      </w:r>
      <w:r w:rsidRPr="00D454E6">
        <w:t xml:space="preserve"> </w:t>
      </w:r>
      <w:r>
        <w:t xml:space="preserve">the </w:t>
      </w:r>
      <w:r w:rsidRPr="00D454E6">
        <w:t xml:space="preserve">Greater Shepparton, Moira, Swan Hill, Campaspe, Gannawarra </w:t>
      </w:r>
      <w:r>
        <w:t xml:space="preserve">Mildura </w:t>
      </w:r>
      <w:r w:rsidRPr="00D454E6">
        <w:t xml:space="preserve">and Loddon </w:t>
      </w:r>
      <w:r>
        <w:t>municipalitie</w:t>
      </w:r>
      <w:r w:rsidRPr="00D454E6">
        <w:t xml:space="preserve">s </w:t>
      </w:r>
      <w:r>
        <w:t xml:space="preserve">all </w:t>
      </w:r>
      <w:r w:rsidRPr="00D454E6">
        <w:t xml:space="preserve">form part of Victoria’s </w:t>
      </w:r>
      <w:r>
        <w:t>f</w:t>
      </w:r>
      <w:r w:rsidRPr="00D454E6">
        <w:t xml:space="preserve">ood </w:t>
      </w:r>
      <w:r>
        <w:t>b</w:t>
      </w:r>
      <w:r w:rsidRPr="00D454E6">
        <w:t>owl</w:t>
      </w:r>
      <w:r>
        <w:t>,</w:t>
      </w:r>
      <w:r w:rsidRPr="00D454E6">
        <w:t xml:space="preserve"> which specialises in irrigation-based industries including dairy, horticulture and viticulture, as well as dry</w:t>
      </w:r>
      <w:r>
        <w:t xml:space="preserve"> </w:t>
      </w:r>
      <w:r w:rsidRPr="00D454E6">
        <w:t xml:space="preserve">land farming operations and </w:t>
      </w:r>
      <w:r>
        <w:t>agriculture-related industries, such as food processing,</w:t>
      </w:r>
      <w:r w:rsidRPr="00D454E6">
        <w:t xml:space="preserve"> packaging</w:t>
      </w:r>
      <w:r>
        <w:t xml:space="preserve"> and transport</w:t>
      </w:r>
      <w:r w:rsidRPr="00D454E6">
        <w:t>.</w:t>
      </w:r>
    </w:p>
    <w:p w:rsidR="00114A93" w:rsidRPr="00D454E6" w:rsidRDefault="00114A93" w:rsidP="00114A93">
      <w:pPr>
        <w:pStyle w:val="bt"/>
        <w:spacing w:before="120" w:after="140"/>
      </w:pPr>
      <w:r w:rsidRPr="00D454E6">
        <w:rPr>
          <w:rStyle w:val="Strong"/>
        </w:rPr>
        <w:t>Freight and logistics precincts:</w:t>
      </w:r>
      <w:r w:rsidRPr="00D454E6">
        <w:t xml:space="preserve"> places where large volumes of freight are received, stored and despatched. These precincts may support port, airport or rail and road intermodal terminals and may include manufacturing activity, warehouses and distribution centres within the broader precinct of complementary freight and freight-related activities.</w:t>
      </w:r>
    </w:p>
    <w:p w:rsidR="00114A93" w:rsidRPr="00D454E6" w:rsidRDefault="00114A93" w:rsidP="00114A93">
      <w:pPr>
        <w:pStyle w:val="bt"/>
        <w:spacing w:before="120" w:after="140"/>
      </w:pPr>
      <w:r w:rsidRPr="00D454E6">
        <w:rPr>
          <w:rStyle w:val="Strong"/>
        </w:rPr>
        <w:t>Goulburn-Murray Water Connections Project:</w:t>
      </w:r>
      <w:r w:rsidRPr="00D454E6">
        <w:t xml:space="preserve"> formerly known as </w:t>
      </w:r>
      <w:r>
        <w:t xml:space="preserve">the </w:t>
      </w:r>
      <w:r w:rsidRPr="00D454E6">
        <w:t>Northern Victoria Irrigation Renewal Project (NVIRP)</w:t>
      </w:r>
      <w:r>
        <w:t>, it</w:t>
      </w:r>
      <w:r w:rsidRPr="00D454E6">
        <w:t xml:space="preserve"> is a $2 billion irrigation modernisation project in Victoria’s </w:t>
      </w:r>
      <w:r>
        <w:t>f</w:t>
      </w:r>
      <w:r w:rsidRPr="00D454E6">
        <w:t xml:space="preserve">ood </w:t>
      </w:r>
      <w:r>
        <w:t>b</w:t>
      </w:r>
      <w:r w:rsidRPr="00D454E6">
        <w:t>owl.</w:t>
      </w:r>
    </w:p>
    <w:p w:rsidR="00114A93" w:rsidRPr="00D454E6" w:rsidRDefault="00114A93" w:rsidP="00114A93">
      <w:pPr>
        <w:pStyle w:val="bt"/>
        <w:spacing w:before="120" w:after="140"/>
      </w:pPr>
      <w:r w:rsidRPr="00D454E6">
        <w:rPr>
          <w:rStyle w:val="Strong"/>
        </w:rPr>
        <w:lastRenderedPageBreak/>
        <w:t>Higher order services:</w:t>
      </w:r>
      <w:r w:rsidRPr="00D454E6">
        <w:t xml:space="preserve"> services </w:t>
      </w:r>
      <w:r>
        <w:t xml:space="preserve">that are only </w:t>
      </w:r>
      <w:r w:rsidRPr="00D454E6">
        <w:t xml:space="preserve">provided in a limited number of locations </w:t>
      </w:r>
      <w:r>
        <w:t>and</w:t>
      </w:r>
      <w:r w:rsidRPr="00D454E6">
        <w:t xml:space="preserve"> have a large catchment area, such as a university or department store.</w:t>
      </w:r>
    </w:p>
    <w:p w:rsidR="00114A93" w:rsidRDefault="00114A93" w:rsidP="00114A93">
      <w:pPr>
        <w:pStyle w:val="bt"/>
        <w:rPr>
          <w:szCs w:val="20"/>
        </w:rPr>
      </w:pPr>
      <w:r w:rsidRPr="00CF05FF">
        <w:rPr>
          <w:rStyle w:val="Strong"/>
        </w:rPr>
        <w:t>Historic heritage:</w:t>
      </w:r>
      <w:r w:rsidRPr="00CF05FF">
        <w:rPr>
          <w:szCs w:val="20"/>
        </w:rPr>
        <w:t xml:space="preserve"> refers to the fabric of our past that we value today and includes archaeological sites, buildings and precincts, structures, gardens, trees, cemeteries, cultural landscapes, shipwrecks and significant objects and artefacts.</w:t>
      </w:r>
    </w:p>
    <w:p w:rsidR="00114A93" w:rsidRPr="00D454E6" w:rsidRDefault="00114A93" w:rsidP="00114A93">
      <w:pPr>
        <w:pStyle w:val="bt"/>
        <w:spacing w:before="120" w:after="140"/>
      </w:pPr>
      <w:r w:rsidRPr="00D454E6">
        <w:rPr>
          <w:rStyle w:val="Strong"/>
        </w:rPr>
        <w:t>Housing diversity:</w:t>
      </w:r>
      <w:r w:rsidRPr="00D454E6">
        <w:t xml:space="preserve"> the provision of a range of different housing types to suit different ages, lifestyles and incomes.</w:t>
      </w:r>
    </w:p>
    <w:p w:rsidR="00114A93" w:rsidRPr="00D454E6" w:rsidRDefault="00114A93" w:rsidP="00114A93">
      <w:pPr>
        <w:pStyle w:val="bt"/>
        <w:spacing w:before="120" w:after="140"/>
      </w:pPr>
      <w:r w:rsidRPr="00D454E6">
        <w:rPr>
          <w:rStyle w:val="Strong"/>
        </w:rPr>
        <w:t>Housing stress:</w:t>
      </w:r>
      <w:r w:rsidRPr="00D454E6">
        <w:t xml:space="preserve"> where the cost of housing is high relative to household income.</w:t>
      </w:r>
    </w:p>
    <w:p w:rsidR="00114A93" w:rsidRPr="00D454E6" w:rsidRDefault="00114A93" w:rsidP="00114A93">
      <w:pPr>
        <w:pStyle w:val="bt"/>
        <w:spacing w:before="120" w:after="140"/>
      </w:pPr>
      <w:r w:rsidRPr="00613BE0">
        <w:rPr>
          <w:b/>
        </w:rPr>
        <w:t>Industry</w:t>
      </w:r>
      <w:r>
        <w:rPr>
          <w:b/>
        </w:rPr>
        <w:t xml:space="preserve"> or </w:t>
      </w:r>
      <w:r w:rsidRPr="00613BE0">
        <w:rPr>
          <w:b/>
        </w:rPr>
        <w:t>agricultural clusters:</w:t>
      </w:r>
      <w:r w:rsidRPr="00D454E6">
        <w:t xml:space="preserve"> geographic concentration of businesses and activities that relate to each other or work together.</w:t>
      </w:r>
    </w:p>
    <w:p w:rsidR="00114A93" w:rsidRPr="00D454E6" w:rsidRDefault="00114A93" w:rsidP="00114A93">
      <w:pPr>
        <w:pStyle w:val="bt"/>
        <w:spacing w:before="120" w:after="140"/>
      </w:pPr>
      <w:r w:rsidRPr="00D454E6">
        <w:rPr>
          <w:rStyle w:val="Strong"/>
        </w:rPr>
        <w:t>Infill development:</w:t>
      </w:r>
      <w:r w:rsidRPr="00D454E6">
        <w:t xml:space="preserve"> the development of additional dwellings in established urban areas.</w:t>
      </w:r>
    </w:p>
    <w:p w:rsidR="00114A93" w:rsidRPr="00D454E6" w:rsidRDefault="00114A93" w:rsidP="00114A93">
      <w:pPr>
        <w:pStyle w:val="bt"/>
        <w:spacing w:before="120" w:after="140"/>
      </w:pPr>
      <w:r w:rsidRPr="00D454E6">
        <w:rPr>
          <w:rStyle w:val="Strong"/>
        </w:rPr>
        <w:t>Intensive agriculture:</w:t>
      </w:r>
      <w:r w:rsidRPr="00D454E6">
        <w:t xml:space="preserve"> land used to intensively produce agricultural products through ventures such as poultry farms, piggeries, feedlots, aquaculture, hydroponics, greenhouses and glasshouses. This includes ‘intensive animal husbandry’ and intensive ‘crop raising’ as defined in planning schemes.</w:t>
      </w:r>
    </w:p>
    <w:p w:rsidR="00114A93" w:rsidRPr="00D454E6" w:rsidRDefault="00114A93" w:rsidP="00114A93">
      <w:pPr>
        <w:pStyle w:val="bt"/>
        <w:spacing w:before="120" w:after="140"/>
      </w:pPr>
      <w:r w:rsidRPr="00D454E6">
        <w:rPr>
          <w:rStyle w:val="Strong"/>
        </w:rPr>
        <w:t>Landscape connectivity:</w:t>
      </w:r>
      <w:r w:rsidRPr="00D454E6">
        <w:t xml:space="preserve"> broad corridors of vegetation that have been established to connect areas of high natural value such as national parks.</w:t>
      </w:r>
    </w:p>
    <w:p w:rsidR="00114A93" w:rsidRPr="00D454E6" w:rsidRDefault="00114A93" w:rsidP="00114A93">
      <w:pPr>
        <w:pStyle w:val="bt"/>
        <w:spacing w:before="120" w:after="140"/>
      </w:pPr>
      <w:r w:rsidRPr="00D454E6">
        <w:rPr>
          <w:rStyle w:val="Strong"/>
        </w:rPr>
        <w:t>Living Murray Icon sites:</w:t>
      </w:r>
      <w:r w:rsidRPr="00D454E6">
        <w:t xml:space="preserve"> the Murray-Darling Basin Ministerial Council’s Living Murray program identified six priority </w:t>
      </w:r>
      <w:r>
        <w:t>I</w:t>
      </w:r>
      <w:r w:rsidRPr="00D454E6">
        <w:t>con sites that will benefit from improved water management regimes. The sites have ecological, economic and cultural heritage significance to Aboriginal people and to the whole community</w:t>
      </w:r>
      <w:r>
        <w:t>,</w:t>
      </w:r>
      <w:r w:rsidRPr="00D454E6">
        <w:t xml:space="preserve"> but have historically been subject to negative impacts from river regulation. The Barmah-Mil</w:t>
      </w:r>
      <w:r>
        <w:t>e</w:t>
      </w:r>
      <w:r w:rsidRPr="00D454E6">
        <w:t xml:space="preserve">wa Forest is the only </w:t>
      </w:r>
      <w:r>
        <w:t>I</w:t>
      </w:r>
      <w:r w:rsidRPr="00D454E6">
        <w:t>con site in the Hume Region.</w:t>
      </w:r>
    </w:p>
    <w:p w:rsidR="00114A93" w:rsidRPr="00D454E6" w:rsidRDefault="00114A93" w:rsidP="00114A93">
      <w:pPr>
        <w:pStyle w:val="bt"/>
        <w:spacing w:before="120" w:after="140"/>
      </w:pPr>
      <w:r w:rsidRPr="00D454E6">
        <w:rPr>
          <w:rStyle w:val="Strong"/>
        </w:rPr>
        <w:t>National Broadband Network (NBN):</w:t>
      </w:r>
      <w:r w:rsidRPr="00D454E6">
        <w:t xml:space="preserve"> high</w:t>
      </w:r>
      <w:r>
        <w:t>-</w:t>
      </w:r>
      <w:r w:rsidRPr="00D454E6">
        <w:t>speed internet network being provided across Australia.</w:t>
      </w:r>
    </w:p>
    <w:p w:rsidR="00114A93" w:rsidRPr="00D454E6" w:rsidRDefault="00114A93" w:rsidP="00114A93">
      <w:pPr>
        <w:pStyle w:val="bt"/>
        <w:spacing w:before="120" w:after="140"/>
      </w:pPr>
      <w:r w:rsidRPr="00D454E6">
        <w:rPr>
          <w:rStyle w:val="Strong"/>
        </w:rPr>
        <w:t>Natural hazard:</w:t>
      </w:r>
      <w:r w:rsidRPr="00D454E6">
        <w:t xml:space="preserve"> a naturally occurring source of potential harm or a situation with the potential to cause loss, for example, bushfire</w:t>
      </w:r>
      <w:r>
        <w:t xml:space="preserve"> or</w:t>
      </w:r>
      <w:r w:rsidRPr="00D454E6">
        <w:t xml:space="preserve"> flood.</w:t>
      </w:r>
    </w:p>
    <w:p w:rsidR="00114A93" w:rsidRDefault="00114A93" w:rsidP="00114A93">
      <w:pPr>
        <w:pStyle w:val="bt"/>
      </w:pPr>
      <w:r w:rsidRPr="00FA0B0E">
        <w:rPr>
          <w:rStyle w:val="Strong"/>
        </w:rPr>
        <w:t>Natural resources:</w:t>
      </w:r>
      <w:r w:rsidRPr="00FA0B0E">
        <w:t xml:space="preserve"> naturally occurring commodities such as oil, gas, </w:t>
      </w:r>
      <w:r>
        <w:t xml:space="preserve">sand and stone, </w:t>
      </w:r>
      <w:r w:rsidRPr="00FA0B0E">
        <w:t xml:space="preserve">minerals, fisheries, timber or places </w:t>
      </w:r>
      <w:r>
        <w:t xml:space="preserve">of solar or </w:t>
      </w:r>
      <w:r w:rsidRPr="00FA0B0E">
        <w:t>geothermal energy potential.</w:t>
      </w:r>
    </w:p>
    <w:p w:rsidR="00114A93" w:rsidRPr="00D454E6" w:rsidRDefault="00114A93" w:rsidP="00114A93">
      <w:pPr>
        <w:pStyle w:val="bt"/>
        <w:spacing w:before="120" w:after="140"/>
      </w:pPr>
      <w:r w:rsidRPr="00D454E6">
        <w:rPr>
          <w:rStyle w:val="Strong"/>
        </w:rPr>
        <w:t>Nature-based tourism:</w:t>
      </w:r>
      <w:r w:rsidRPr="00D454E6">
        <w:t xml:space="preserve"> any activity that relies on experiences directly related to natural attractions including ecotourism, adventure tourism, wildlife tourism and extractive tourism </w:t>
      </w:r>
      <w:r>
        <w:t>for example,</w:t>
      </w:r>
      <w:r w:rsidRPr="00D454E6">
        <w:t xml:space="preserve"> fishing or gold panning.</w:t>
      </w:r>
    </w:p>
    <w:p w:rsidR="00114A93" w:rsidRPr="00D454E6" w:rsidRDefault="00114A93" w:rsidP="00114A93">
      <w:pPr>
        <w:pStyle w:val="bt"/>
        <w:spacing w:before="120" w:after="140"/>
      </w:pPr>
      <w:r w:rsidRPr="00D454E6">
        <w:rPr>
          <w:rStyle w:val="Strong"/>
        </w:rPr>
        <w:t>Overlays:</w:t>
      </w:r>
      <w:r w:rsidRPr="00D454E6">
        <w:t xml:space="preserve"> planning scheme provisions generally related to a particular issue, such as heritage or </w:t>
      </w:r>
      <w:r>
        <w:t>flood</w:t>
      </w:r>
      <w:r w:rsidRPr="00D454E6">
        <w:t>.</w:t>
      </w:r>
    </w:p>
    <w:p w:rsidR="00114A93" w:rsidRPr="00112398" w:rsidRDefault="00114A93" w:rsidP="00114A93">
      <w:pPr>
        <w:pStyle w:val="bt"/>
        <w:spacing w:before="120" w:after="120"/>
        <w:rPr>
          <w:rStyle w:val="Strong"/>
          <w:b w:val="0"/>
          <w:bCs w:val="0"/>
        </w:rPr>
      </w:pPr>
      <w:r w:rsidRPr="007C0BB0">
        <w:rPr>
          <w:b/>
        </w:rPr>
        <w:t>Peri</w:t>
      </w:r>
      <w:r>
        <w:rPr>
          <w:b/>
        </w:rPr>
        <w:t>-</w:t>
      </w:r>
      <w:r w:rsidRPr="007C0BB0">
        <w:rPr>
          <w:b/>
        </w:rPr>
        <w:t xml:space="preserve">urban hinterland: </w:t>
      </w:r>
      <w:r>
        <w:t>t</w:t>
      </w:r>
      <w:r w:rsidRPr="007C0BB0">
        <w:t xml:space="preserve">he </w:t>
      </w:r>
      <w:r>
        <w:t xml:space="preserve">area around a large settlement into which cities expand or which cities influence. </w:t>
      </w:r>
    </w:p>
    <w:p w:rsidR="00114A93" w:rsidRPr="00D454E6" w:rsidRDefault="00114A93" w:rsidP="00114A93">
      <w:pPr>
        <w:pStyle w:val="bt"/>
        <w:spacing w:before="120" w:after="140"/>
      </w:pPr>
      <w:r w:rsidRPr="00D454E6">
        <w:rPr>
          <w:rStyle w:val="Strong"/>
        </w:rPr>
        <w:t>Planning scheme:</w:t>
      </w:r>
      <w:r w:rsidRPr="00D454E6">
        <w:t xml:space="preserve"> policies and provisions for the use, development and protection of land, prepared by councils or the Minister for Planning.</w:t>
      </w:r>
    </w:p>
    <w:p w:rsidR="00114A93" w:rsidRDefault="00114A93" w:rsidP="00114A93">
      <w:pPr>
        <w:pStyle w:val="bt"/>
        <w:spacing w:before="120" w:after="120"/>
      </w:pPr>
      <w:r>
        <w:rPr>
          <w:b/>
        </w:rPr>
        <w:t>Regional catchment strategy</w:t>
      </w:r>
      <w:r w:rsidRPr="00A94AB1">
        <w:rPr>
          <w:b/>
        </w:rPr>
        <w:t xml:space="preserve">: </w:t>
      </w:r>
      <w:r>
        <w:t>a</w:t>
      </w:r>
      <w:r w:rsidRPr="00A94AB1">
        <w:t xml:space="preserve"> document setting out the management</w:t>
      </w:r>
      <w:r>
        <w:t xml:space="preserve"> of natural resources, such as rivers, wetlands, terrestrial habitat and agricultural land.</w:t>
      </w:r>
      <w:r w:rsidRPr="00A94AB1">
        <w:t xml:space="preserve"> </w:t>
      </w:r>
    </w:p>
    <w:p w:rsidR="00114A93" w:rsidRPr="00A94AB1" w:rsidRDefault="00114A93" w:rsidP="00114A93">
      <w:pPr>
        <w:pStyle w:val="bt"/>
        <w:spacing w:before="120" w:after="120"/>
      </w:pPr>
      <w:r>
        <w:rPr>
          <w:b/>
          <w:lang w:val="en-US"/>
        </w:rPr>
        <w:t xml:space="preserve">Regional cities: </w:t>
      </w:r>
      <w:r>
        <w:rPr>
          <w:lang w:val="en-US"/>
        </w:rPr>
        <w:t>t</w:t>
      </w:r>
      <w:r w:rsidRPr="00592EA6">
        <w:rPr>
          <w:lang w:val="en-US"/>
        </w:rPr>
        <w:t>he 10 largest cities outside metropolitan Melbourne (Ballarat, Bendigo, Geelong, Horsham, Latrobe, Mildura, Shepparton, Warrnambool, Wangaratta and Wodonga). The relevant municipalities are represented by the Regional Cities Victoria group and together they advocate a whole-of-government approach to delivering services and infrastructure.</w:t>
      </w:r>
    </w:p>
    <w:p w:rsidR="00114A93" w:rsidRPr="00903437" w:rsidRDefault="00114A93" w:rsidP="00114A93">
      <w:pPr>
        <w:pStyle w:val="bt"/>
        <w:spacing w:before="120" w:after="120"/>
        <w:rPr>
          <w:rStyle w:val="Strong"/>
          <w:bCs w:val="0"/>
        </w:rPr>
      </w:pPr>
      <w:r w:rsidRPr="00903437">
        <w:rPr>
          <w:b/>
        </w:rPr>
        <w:t xml:space="preserve">Registered Aboriginal Party: </w:t>
      </w:r>
      <w:r>
        <w:t>r</w:t>
      </w:r>
      <w:r w:rsidRPr="00903437">
        <w:t>epresent</w:t>
      </w:r>
      <w:r>
        <w:t>s</w:t>
      </w:r>
      <w:r w:rsidRPr="00903437">
        <w:t xml:space="preserve"> Aboriginal people in the management and protection of Aboriginal cultural heritage.</w:t>
      </w:r>
    </w:p>
    <w:p w:rsidR="00114A93" w:rsidRPr="00D454E6" w:rsidRDefault="00114A93" w:rsidP="00114A93">
      <w:pPr>
        <w:pStyle w:val="bt"/>
        <w:spacing w:before="120" w:after="140"/>
      </w:pPr>
      <w:r w:rsidRPr="00D454E6">
        <w:rPr>
          <w:rStyle w:val="Strong"/>
        </w:rPr>
        <w:t>Rural land use:</w:t>
      </w:r>
      <w:r w:rsidRPr="00D454E6">
        <w:t xml:space="preserve"> a broad term representing the use of land outside urban areas, and includes activities such as agriculture, rural living, forestry and extractive industry. </w:t>
      </w:r>
    </w:p>
    <w:p w:rsidR="00114A93" w:rsidRPr="00D454E6" w:rsidRDefault="00114A93" w:rsidP="00114A93">
      <w:pPr>
        <w:pStyle w:val="bt"/>
        <w:spacing w:before="120" w:after="140"/>
      </w:pPr>
      <w:r w:rsidRPr="00D454E6">
        <w:rPr>
          <w:rStyle w:val="Strong"/>
        </w:rPr>
        <w:lastRenderedPageBreak/>
        <w:t>Rural living:</w:t>
      </w:r>
      <w:r w:rsidRPr="00D454E6">
        <w:t xml:space="preserve"> land in a rural setting used and developed for dwellings that are not primarily associated with agriculture.</w:t>
      </w:r>
    </w:p>
    <w:p w:rsidR="00114A93" w:rsidRPr="00D454E6" w:rsidRDefault="00114A93" w:rsidP="00114A93">
      <w:pPr>
        <w:pStyle w:val="bt"/>
        <w:spacing w:before="120" w:after="140"/>
      </w:pPr>
      <w:r w:rsidRPr="00D454E6">
        <w:rPr>
          <w:rStyle w:val="Strong"/>
        </w:rPr>
        <w:t>Sensitive uses:</w:t>
      </w:r>
      <w:r w:rsidRPr="00D454E6">
        <w:t xml:space="preserve"> land uses that have high amenity expectations such as housing, schools or hospitals.</w:t>
      </w:r>
    </w:p>
    <w:p w:rsidR="00114A93" w:rsidRPr="00D454E6" w:rsidRDefault="00114A93" w:rsidP="00114A93">
      <w:pPr>
        <w:pStyle w:val="bt"/>
        <w:spacing w:before="120" w:after="140"/>
      </w:pPr>
      <w:r w:rsidRPr="00D454E6">
        <w:rPr>
          <w:rStyle w:val="Strong"/>
        </w:rPr>
        <w:t>Social infrastructure:</w:t>
      </w:r>
      <w:r w:rsidRPr="00D454E6">
        <w:t xml:space="preserve"> i</w:t>
      </w:r>
      <w:r>
        <w:t>ncludes com</w:t>
      </w:r>
      <w:r w:rsidRPr="00D454E6">
        <w:t>munity facilities, services and networks that help communities meet their social needs and maximise their potential wellbeing.</w:t>
      </w:r>
    </w:p>
    <w:p w:rsidR="004C47F5" w:rsidRPr="006D58BF" w:rsidRDefault="00114A93" w:rsidP="004B258F">
      <w:pPr>
        <w:pStyle w:val="bt"/>
      </w:pPr>
      <w:r w:rsidRPr="00FA0B0E">
        <w:rPr>
          <w:rStyle w:val="Strong"/>
        </w:rPr>
        <w:t>Terrestrial habitats:</w:t>
      </w:r>
      <w:r w:rsidRPr="00FA0B0E">
        <w:t xml:space="preserve"> combinations of biological and physical features of the landscape (including native vegetation, fallen timber and litter, soil, rocks</w:t>
      </w:r>
      <w:r>
        <w:t>,</w:t>
      </w:r>
      <w:r w:rsidRPr="00FA0B0E">
        <w:t xml:space="preserve"> etc) that enable populations of each native plant or animal species (or group of species) to live and reproduce. Features can be considered at the site scale, for example, the food sources used by individuals, and the landscape scale, for example, the linkages used for movement between areas, or the refuges used to cope with disturbance events.</w:t>
      </w:r>
    </w:p>
    <w:sectPr w:rsidR="004C47F5" w:rsidRPr="006D58BF" w:rsidSect="00BD5878">
      <w:headerReference w:type="default" r:id="rId33"/>
      <w:pgSz w:w="11906" w:h="16838"/>
      <w:pgMar w:top="1440" w:right="1440" w:bottom="993" w:left="1440" w:header="708" w:footer="708" w:gutter="0"/>
      <w:pgBorders w:offsetFrom="page">
        <w:top w:val="single" w:sz="4" w:space="24" w:color="FFFFFF"/>
        <w:bottom w:val="single" w:sz="4" w:space="24" w:color="FFFFFF"/>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9F4" w:rsidRDefault="007359F4" w:rsidP="00E02F62">
      <w:pPr>
        <w:spacing w:after="0" w:line="240" w:lineRule="auto"/>
      </w:pPr>
      <w:r>
        <w:separator/>
      </w:r>
    </w:p>
  </w:endnote>
  <w:endnote w:type="continuationSeparator" w:id="0">
    <w:p w:rsidR="007359F4" w:rsidRDefault="007359F4" w:rsidP="00E02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DIN">
    <w:altName w:val="DIN"/>
    <w:panose1 w:val="00000000000000000000"/>
    <w:charset w:val="00"/>
    <w:family w:val="swiss"/>
    <w:notTrueType/>
    <w:pitch w:val="default"/>
    <w:sig w:usb0="00000003" w:usb1="00000000" w:usb2="00000000" w:usb3="00000000" w:csb0="00000001" w:csb1="00000000"/>
  </w:font>
  <w:font w:name="Helvetica Light">
    <w:altName w:val="Times New Roman"/>
    <w:panose1 w:val="00000000000000000000"/>
    <w:charset w:val="00"/>
    <w:family w:val="roman"/>
    <w:notTrueType/>
    <w:pitch w:val="default"/>
    <w:sig w:usb0="00000000" w:usb1="00000000" w:usb2="00000000" w:usb3="00000000" w:csb0="00000000" w:csb1="00000000"/>
  </w:font>
  <w:font w:name="ＭＳ 明朝">
    <w:altName w:val="MS Mincho"/>
    <w:charset w:val="4E"/>
    <w:family w:val="auto"/>
    <w:pitch w:val="variable"/>
    <w:sig w:usb0="00000000"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Default="007359F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Default="007359F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Default="007359F4">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Pr="001D4BF9" w:rsidRDefault="007359F4" w:rsidP="001D4BF9">
    <w:pPr>
      <w:pStyle w:val="Foo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Pr="00F063AE" w:rsidRDefault="007359F4" w:rsidP="005F52CD">
    <w:pPr>
      <w:pStyle w:val="Footer"/>
      <w:tabs>
        <w:tab w:val="clear" w:pos="4513"/>
        <w:tab w:val="clear" w:pos="9026"/>
      </w:tabs>
      <w:rPr>
        <w:sz w:val="20"/>
        <w:szCs w:val="20"/>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Default="007359F4" w:rsidP="00CF205A">
    <w:pPr>
      <w:pStyle w:val="Footer"/>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Pr="00F063AE" w:rsidRDefault="005F523F" w:rsidP="00D22D6A">
    <w:pPr>
      <w:pStyle w:val="Footer"/>
      <w:pBdr>
        <w:top w:val="single" w:sz="4" w:space="1" w:color="5F497A"/>
      </w:pBdr>
      <w:tabs>
        <w:tab w:val="clear" w:pos="4513"/>
        <w:tab w:val="clear" w:pos="9026"/>
      </w:tabs>
      <w:jc w:val="center"/>
      <w:rPr>
        <w:sz w:val="20"/>
        <w:szCs w:val="20"/>
      </w:rPr>
    </w:pPr>
    <w:r>
      <w:rPr>
        <w:sz w:val="20"/>
        <w:szCs w:val="20"/>
      </w:rPr>
      <w:fldChar w:fldCharType="begin"/>
    </w:r>
    <w:r w:rsidR="007359F4">
      <w:rPr>
        <w:sz w:val="20"/>
        <w:szCs w:val="20"/>
      </w:rPr>
      <w:instrText xml:space="preserve"> PAGE  \* roman  \* MERGEFORMAT </w:instrText>
    </w:r>
    <w:r>
      <w:rPr>
        <w:sz w:val="20"/>
        <w:szCs w:val="20"/>
      </w:rPr>
      <w:fldChar w:fldCharType="separate"/>
    </w:r>
    <w:r w:rsidR="00E63DD4">
      <w:rPr>
        <w:noProof/>
        <w:sz w:val="20"/>
        <w:szCs w:val="20"/>
      </w:rPr>
      <w:t>v</w:t>
    </w:r>
    <w:r>
      <w:rPr>
        <w:sz w:val="20"/>
        <w:szCs w:val="2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Pr="00F063AE" w:rsidRDefault="005F523F" w:rsidP="00D22D6A">
    <w:pPr>
      <w:pStyle w:val="Footer"/>
      <w:pBdr>
        <w:top w:val="single" w:sz="4" w:space="1" w:color="5F497A"/>
      </w:pBdr>
      <w:tabs>
        <w:tab w:val="clear" w:pos="4513"/>
        <w:tab w:val="clear" w:pos="9026"/>
      </w:tabs>
      <w:jc w:val="center"/>
      <w:rPr>
        <w:sz w:val="20"/>
        <w:szCs w:val="20"/>
      </w:rPr>
    </w:pPr>
    <w:r>
      <w:rPr>
        <w:sz w:val="20"/>
        <w:szCs w:val="20"/>
      </w:rPr>
      <w:fldChar w:fldCharType="begin"/>
    </w:r>
    <w:r w:rsidR="007359F4">
      <w:rPr>
        <w:sz w:val="20"/>
        <w:szCs w:val="20"/>
      </w:rPr>
      <w:instrText xml:space="preserve"> PAGE  \* Arabic  \* MERGEFORMAT </w:instrText>
    </w:r>
    <w:r>
      <w:rPr>
        <w:sz w:val="20"/>
        <w:szCs w:val="20"/>
      </w:rPr>
      <w:fldChar w:fldCharType="separate"/>
    </w:r>
    <w:r w:rsidR="00E63DD4">
      <w:rPr>
        <w:noProof/>
        <w:sz w:val="20"/>
        <w:szCs w:val="20"/>
      </w:rPr>
      <w:t>1</w:t>
    </w:r>
    <w:r>
      <w:rPr>
        <w:sz w:val="20"/>
        <w:szCs w:val="20"/>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Pr="00F063AE" w:rsidRDefault="005F523F" w:rsidP="00D22D6A">
    <w:pPr>
      <w:pStyle w:val="Footer"/>
      <w:pBdr>
        <w:top w:val="single" w:sz="4" w:space="1" w:color="5F497A"/>
      </w:pBdr>
      <w:tabs>
        <w:tab w:val="clear" w:pos="4513"/>
        <w:tab w:val="clear" w:pos="9026"/>
      </w:tabs>
      <w:jc w:val="center"/>
      <w:rPr>
        <w:sz w:val="20"/>
        <w:szCs w:val="20"/>
      </w:rPr>
    </w:pPr>
    <w:r>
      <w:rPr>
        <w:sz w:val="20"/>
        <w:szCs w:val="20"/>
      </w:rPr>
      <w:fldChar w:fldCharType="begin"/>
    </w:r>
    <w:r w:rsidR="007359F4">
      <w:rPr>
        <w:sz w:val="20"/>
        <w:szCs w:val="20"/>
      </w:rPr>
      <w:instrText xml:space="preserve"> PAGE  \* Arabic  \* MERGEFORMAT </w:instrText>
    </w:r>
    <w:r>
      <w:rPr>
        <w:sz w:val="20"/>
        <w:szCs w:val="20"/>
      </w:rPr>
      <w:fldChar w:fldCharType="separate"/>
    </w:r>
    <w:r w:rsidR="00E63DD4">
      <w:rPr>
        <w:noProof/>
        <w:sz w:val="20"/>
        <w:szCs w:val="20"/>
      </w:rPr>
      <w:t>34</w:t>
    </w:r>
    <w:r>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9F4" w:rsidRDefault="007359F4" w:rsidP="00E02F62">
      <w:pPr>
        <w:spacing w:after="0" w:line="240" w:lineRule="auto"/>
      </w:pPr>
      <w:r>
        <w:separator/>
      </w:r>
    </w:p>
  </w:footnote>
  <w:footnote w:type="continuationSeparator" w:id="0">
    <w:p w:rsidR="007359F4" w:rsidRDefault="007359F4" w:rsidP="00E02F62">
      <w:pPr>
        <w:spacing w:after="0" w:line="240" w:lineRule="auto"/>
      </w:pPr>
      <w:r>
        <w:continuationSeparator/>
      </w:r>
    </w:p>
  </w:footnote>
  <w:footnote w:id="1">
    <w:p w:rsidR="007359F4" w:rsidRPr="00666BAF" w:rsidRDefault="007359F4" w:rsidP="00A0614B">
      <w:pPr>
        <w:pStyle w:val="FootnoteText"/>
      </w:pPr>
      <w:r w:rsidRPr="00666BAF">
        <w:rPr>
          <w:rStyle w:val="FootnoteReference"/>
          <w:vertAlign w:val="baseline"/>
        </w:rPr>
        <w:footnoteRef/>
      </w:r>
      <w:r w:rsidRPr="00666BAF">
        <w:t xml:space="preserve"> Unless specified, the term ‘growth’ used in this document refers to both economic growth and population growth and does not necessarily mean outward expansion of settlements.</w:t>
      </w:r>
    </w:p>
  </w:footnote>
  <w:footnote w:id="2">
    <w:p w:rsidR="007359F4" w:rsidRPr="00666BAF" w:rsidRDefault="007359F4" w:rsidP="000C4C60">
      <w:pPr>
        <w:pStyle w:val="FootnoteText"/>
      </w:pPr>
      <w:r w:rsidRPr="00666BAF">
        <w:rPr>
          <w:rStyle w:val="FootnoteReference"/>
          <w:vertAlign w:val="baseline"/>
        </w:rPr>
        <w:footnoteRef/>
      </w:r>
      <w:r w:rsidRPr="00666BAF">
        <w:t xml:space="preserve"> Stakeholders include councils and state government agencies and authorities.</w:t>
      </w:r>
    </w:p>
  </w:footnote>
  <w:footnote w:id="3">
    <w:p w:rsidR="007359F4" w:rsidRPr="00666BAF" w:rsidRDefault="007359F4" w:rsidP="00A0614B">
      <w:pPr>
        <w:pStyle w:val="FootnoteText"/>
      </w:pPr>
      <w:r w:rsidRPr="00666BAF">
        <w:rPr>
          <w:rStyle w:val="FootnoteReference"/>
          <w:vertAlign w:val="baseline"/>
        </w:rPr>
        <w:footnoteRef/>
      </w:r>
      <w:r w:rsidRPr="00666BAF">
        <w:t xml:space="preserve"> Based on Department of Transport, Planning and Local Infrastructure unpublished projections 2012</w:t>
      </w:r>
    </w:p>
  </w:footnote>
  <w:footnote w:id="4">
    <w:p w:rsidR="007359F4" w:rsidRPr="00666BAF" w:rsidRDefault="007359F4" w:rsidP="00A0614B">
      <w:pPr>
        <w:pStyle w:val="FootnoteText"/>
      </w:pPr>
      <w:r w:rsidRPr="00666BAF">
        <w:rPr>
          <w:rStyle w:val="FootnoteReference"/>
          <w:vertAlign w:val="baseline"/>
        </w:rPr>
        <w:footnoteRef/>
      </w:r>
      <w:r w:rsidRPr="00666BAF">
        <w:t xml:space="preserve"> This figure excludes expected metropolitan growth in the southern part of the region.</w:t>
      </w:r>
    </w:p>
  </w:footnote>
  <w:footnote w:id="5">
    <w:p w:rsidR="007359F4" w:rsidRPr="00A0614B" w:rsidRDefault="007359F4" w:rsidP="00A0614B">
      <w:pPr>
        <w:pStyle w:val="FootnoteText"/>
      </w:pPr>
      <w:r w:rsidRPr="00A0614B">
        <w:rPr>
          <w:rStyle w:val="FootnoteReference"/>
          <w:vertAlign w:val="baseline"/>
        </w:rPr>
        <w:footnoteRef/>
      </w:r>
      <w:r w:rsidRPr="00A0614B">
        <w:t xml:space="preserve"> These reports include the 2011 Urban Development Program, Regional Industrial Reports for the City Greater Shepparton and the Rural City of Wangaratta, and the 2009 Urban Development Program, Regional Industrial Report for the City of Wodonga.</w:t>
      </w:r>
    </w:p>
  </w:footnote>
  <w:footnote w:id="6">
    <w:p w:rsidR="007359F4" w:rsidRPr="00666BAF" w:rsidRDefault="007359F4" w:rsidP="00A0614B">
      <w:pPr>
        <w:pStyle w:val="FootnoteText"/>
      </w:pPr>
      <w:r w:rsidRPr="00666BAF">
        <w:rPr>
          <w:rStyle w:val="FootnoteReference"/>
          <w:vertAlign w:val="baseline"/>
        </w:rPr>
        <w:footnoteRef/>
      </w:r>
      <w:r w:rsidRPr="00666BAF">
        <w:t xml:space="preserve"> Rural land purchased primarily for residential use, to take advantage of the amenity of areas.</w:t>
      </w:r>
    </w:p>
  </w:footnote>
  <w:footnote w:id="7">
    <w:p w:rsidR="007359F4" w:rsidRPr="00A0614B" w:rsidRDefault="007359F4" w:rsidP="00A0614B">
      <w:pPr>
        <w:pStyle w:val="FootnoteText"/>
      </w:pPr>
      <w:r w:rsidRPr="00A0614B">
        <w:rPr>
          <w:rStyle w:val="FootnoteReference"/>
          <w:vertAlign w:val="baseline"/>
        </w:rPr>
        <w:footnoteRef/>
      </w:r>
      <w:r w:rsidRPr="00A0614B">
        <w:t xml:space="preserve"> In this section, reference to Shepparton includes Mooroopna and Kialla.</w:t>
      </w:r>
    </w:p>
  </w:footnote>
  <w:footnote w:id="8">
    <w:p w:rsidR="007359F4" w:rsidRPr="00A0614B" w:rsidRDefault="007359F4" w:rsidP="00A0614B">
      <w:pPr>
        <w:pStyle w:val="FootnoteText"/>
      </w:pPr>
      <w:r w:rsidRPr="00A0614B">
        <w:rPr>
          <w:rStyle w:val="FootnoteReference"/>
          <w:vertAlign w:val="baseline"/>
        </w:rPr>
        <w:footnoteRef/>
      </w:r>
      <w:r w:rsidRPr="00A0614B">
        <w:t xml:space="preserve"> The Melbourne metropolitan area is expected to grow into the region and places like Beveridge and Wallan will ultimately become metropolitan suburban areas. Planning for this metropolitan growth is being undertaken as part of the ongoing metropolitan planning process.</w:t>
      </w:r>
    </w:p>
  </w:footnote>
  <w:footnote w:id="9">
    <w:p w:rsidR="007359F4" w:rsidRPr="00A0614B" w:rsidRDefault="007359F4" w:rsidP="00A0614B">
      <w:pPr>
        <w:pStyle w:val="FootnoteText"/>
      </w:pPr>
      <w:r w:rsidRPr="00A0614B">
        <w:rPr>
          <w:rStyle w:val="FootnoteReference"/>
          <w:vertAlign w:val="baseline"/>
        </w:rPr>
        <w:footnoteRef/>
      </w:r>
      <w:r w:rsidRPr="00A0614B">
        <w:t xml:space="preserve"> The Understanding Small Settlements in Victoria report was prepared for the Department of Transport, Planning and Local Infrastructure as an input to regional growth plans, to gain a greater understanding of the role and function of smaller settlements in a changing environment.</w:t>
      </w:r>
    </w:p>
  </w:footnote>
  <w:footnote w:id="10">
    <w:p w:rsidR="007359F4" w:rsidRPr="00A0614B" w:rsidRDefault="007359F4" w:rsidP="00A0614B">
      <w:pPr>
        <w:pStyle w:val="FootnoteText"/>
      </w:pPr>
      <w:r w:rsidRPr="00A0614B">
        <w:rPr>
          <w:rStyle w:val="FootnoteReference"/>
          <w:vertAlign w:val="baseline"/>
        </w:rPr>
        <w:footnoteRef/>
      </w:r>
      <w:r w:rsidRPr="00A0614B">
        <w:t xml:space="preserve"> Integrated water cycle strategies will be developed by water corporations by 2017 to replace their current water supply demand strategies, and will consider maintaining demand and supply balances, water supply system resilience, and future water cycle services options (including recycling sewage or trade waste, storm water capture and reuse, and demand management).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Default="007359F4">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Pr="00F41CA0" w:rsidRDefault="007359F4" w:rsidP="00204584">
    <w:pPr>
      <w:pStyle w:val="Header"/>
      <w:tabs>
        <w:tab w:val="clear" w:pos="4513"/>
        <w:tab w:val="clear" w:pos="9026"/>
      </w:tabs>
      <w:jc w:val="center"/>
      <w:rPr>
        <w:b/>
        <w:sz w:val="20"/>
        <w:szCs w:val="20"/>
      </w:rPr>
    </w:pPr>
    <w:r>
      <w:rPr>
        <w:b/>
        <w:sz w:val="20"/>
        <w:szCs w:val="20"/>
      </w:rPr>
      <w:t>Hume Regional Growth Plan</w:t>
    </w:r>
  </w:p>
  <w:p w:rsidR="007359F4" w:rsidRPr="0090538E" w:rsidRDefault="007359F4" w:rsidP="00B81F46">
    <w:pPr>
      <w:pStyle w:val="Header"/>
      <w:pBdr>
        <w:bottom w:val="single" w:sz="4" w:space="1" w:color="5F497A"/>
        <w:between w:val="single" w:sz="4" w:space="1" w:color="5F497A"/>
      </w:pBdr>
      <w:tabs>
        <w:tab w:val="clear" w:pos="4513"/>
        <w:tab w:val="clear" w:pos="9026"/>
      </w:tabs>
      <w:spacing w:line="276" w:lineRule="auto"/>
      <w:jc w:val="center"/>
      <w:rPr>
        <w:sz w:val="20"/>
        <w:szCs w:val="20"/>
      </w:rPr>
    </w:pPr>
    <w:r>
      <w:rPr>
        <w:sz w:val="20"/>
        <w:szCs w:val="20"/>
      </w:rPr>
      <w:t>Part B: Regional overview</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Pr="00F41CA0" w:rsidRDefault="007359F4" w:rsidP="00204584">
    <w:pPr>
      <w:pStyle w:val="Header"/>
      <w:tabs>
        <w:tab w:val="clear" w:pos="4513"/>
        <w:tab w:val="clear" w:pos="9026"/>
      </w:tabs>
      <w:jc w:val="center"/>
      <w:rPr>
        <w:b/>
        <w:sz w:val="20"/>
        <w:szCs w:val="20"/>
      </w:rPr>
    </w:pPr>
    <w:r>
      <w:rPr>
        <w:b/>
        <w:sz w:val="20"/>
        <w:szCs w:val="20"/>
      </w:rPr>
      <w:t>Hume Regional Growth Plan</w:t>
    </w:r>
  </w:p>
  <w:p w:rsidR="007359F4" w:rsidRPr="0090538E" w:rsidRDefault="007359F4" w:rsidP="00643D9B">
    <w:pPr>
      <w:pStyle w:val="Header"/>
      <w:pBdr>
        <w:bottom w:val="single" w:sz="4" w:space="1" w:color="5F497A"/>
        <w:between w:val="single" w:sz="4" w:space="1" w:color="5F497A"/>
      </w:pBdr>
      <w:tabs>
        <w:tab w:val="clear" w:pos="4513"/>
        <w:tab w:val="clear" w:pos="9026"/>
      </w:tabs>
      <w:spacing w:line="276" w:lineRule="auto"/>
      <w:jc w:val="center"/>
      <w:rPr>
        <w:sz w:val="20"/>
        <w:szCs w:val="20"/>
      </w:rPr>
    </w:pPr>
    <w:r>
      <w:rPr>
        <w:sz w:val="20"/>
        <w:szCs w:val="20"/>
      </w:rPr>
      <w:t>Part C: Towards the regional growth plan – Regional land use framework</w:t>
    </w:r>
  </w:p>
  <w:p w:rsidR="007359F4" w:rsidRPr="00643D9B" w:rsidRDefault="007359F4" w:rsidP="00643D9B">
    <w:pPr>
      <w:pStyle w:val="Header"/>
      <w:rPr>
        <w:szCs w:val="18"/>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Pr="00F41CA0" w:rsidRDefault="007359F4" w:rsidP="00553FD5">
    <w:pPr>
      <w:pStyle w:val="Header"/>
      <w:tabs>
        <w:tab w:val="clear" w:pos="4513"/>
        <w:tab w:val="clear" w:pos="9026"/>
      </w:tabs>
      <w:jc w:val="center"/>
      <w:rPr>
        <w:b/>
        <w:sz w:val="20"/>
        <w:szCs w:val="20"/>
      </w:rPr>
    </w:pPr>
    <w:r>
      <w:rPr>
        <w:b/>
        <w:sz w:val="20"/>
        <w:szCs w:val="20"/>
      </w:rPr>
      <w:t>Hume Regional Growth Plan</w:t>
    </w:r>
  </w:p>
  <w:p w:rsidR="007359F4" w:rsidRPr="007E714D" w:rsidRDefault="007359F4" w:rsidP="001F6092">
    <w:pPr>
      <w:pStyle w:val="Header"/>
      <w:pBdr>
        <w:bottom w:val="single" w:sz="4" w:space="1" w:color="5F497A"/>
        <w:between w:val="single" w:sz="4" w:space="1" w:color="5F497A"/>
      </w:pBdr>
      <w:tabs>
        <w:tab w:val="clear" w:pos="4513"/>
        <w:tab w:val="clear" w:pos="9026"/>
      </w:tabs>
      <w:spacing w:line="276" w:lineRule="auto"/>
      <w:jc w:val="center"/>
      <w:rPr>
        <w:sz w:val="20"/>
        <w:szCs w:val="20"/>
      </w:rPr>
    </w:pPr>
    <w:r>
      <w:rPr>
        <w:sz w:val="20"/>
        <w:szCs w:val="20"/>
      </w:rPr>
      <w:t>Part D: Regional growth plan</w:t>
    </w:r>
  </w:p>
  <w:p w:rsidR="007359F4" w:rsidRPr="00643D9B" w:rsidRDefault="007359F4" w:rsidP="00643D9B">
    <w:pPr>
      <w:pStyle w:val="Header"/>
      <w:rPr>
        <w:szCs w:val="18"/>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Pr="00F41CA0" w:rsidRDefault="007359F4" w:rsidP="00553FD5">
    <w:pPr>
      <w:pStyle w:val="Header"/>
      <w:tabs>
        <w:tab w:val="clear" w:pos="4513"/>
        <w:tab w:val="clear" w:pos="9026"/>
      </w:tabs>
      <w:jc w:val="center"/>
      <w:rPr>
        <w:b/>
        <w:sz w:val="20"/>
        <w:szCs w:val="20"/>
      </w:rPr>
    </w:pPr>
    <w:r>
      <w:rPr>
        <w:b/>
        <w:sz w:val="20"/>
        <w:szCs w:val="20"/>
      </w:rPr>
      <w:t>Hume Regional Growth Plan</w:t>
    </w:r>
  </w:p>
  <w:p w:rsidR="007359F4" w:rsidRPr="0090538E" w:rsidRDefault="007359F4" w:rsidP="00594DC9">
    <w:pPr>
      <w:pStyle w:val="Header"/>
      <w:pBdr>
        <w:bottom w:val="single" w:sz="4" w:space="1" w:color="5F497A"/>
        <w:between w:val="single" w:sz="4" w:space="1" w:color="5F497A"/>
      </w:pBdr>
      <w:tabs>
        <w:tab w:val="clear" w:pos="4513"/>
        <w:tab w:val="clear" w:pos="9026"/>
      </w:tabs>
      <w:spacing w:line="276" w:lineRule="auto"/>
      <w:jc w:val="center"/>
      <w:rPr>
        <w:sz w:val="20"/>
        <w:szCs w:val="20"/>
      </w:rPr>
    </w:pPr>
    <w:r>
      <w:rPr>
        <w:sz w:val="20"/>
        <w:szCs w:val="20"/>
      </w:rPr>
      <w:t>Part E: Delivering regional growth</w:t>
    </w:r>
  </w:p>
  <w:p w:rsidR="007359F4" w:rsidRPr="00594DC9" w:rsidRDefault="007359F4" w:rsidP="00594DC9">
    <w:pPr>
      <w:pStyle w:val="Header"/>
      <w:rPr>
        <w:szCs w:val="20"/>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Pr="00753BC3" w:rsidRDefault="00B85119" w:rsidP="00553FD5">
    <w:pPr>
      <w:pStyle w:val="Header"/>
      <w:tabs>
        <w:tab w:val="clear" w:pos="4513"/>
        <w:tab w:val="clear" w:pos="9026"/>
      </w:tabs>
      <w:jc w:val="center"/>
      <w:rPr>
        <w:sz w:val="20"/>
        <w:szCs w:val="20"/>
      </w:rPr>
    </w:pPr>
    <w:r w:rsidRPr="00B85119">
      <w:rPr>
        <w:sz w:val="20"/>
        <w:szCs w:val="20"/>
      </w:rPr>
      <w:t>Hume Regional Growth Plan</w:t>
    </w:r>
  </w:p>
  <w:p w:rsidR="007359F4" w:rsidRDefault="007359F4" w:rsidP="00CD2621">
    <w:pPr>
      <w:pStyle w:val="Header"/>
      <w:tabs>
        <w:tab w:val="clear" w:pos="4513"/>
        <w:tab w:val="clear" w:pos="9026"/>
      </w:tabs>
      <w:spacing w:line="276" w:lineRule="auto"/>
      <w:jc w:val="center"/>
      <w:rPr>
        <w:sz w:val="20"/>
        <w:szCs w:val="20"/>
      </w:rPr>
    </w:pPr>
    <w:r>
      <w:rPr>
        <w:sz w:val="20"/>
        <w:szCs w:val="20"/>
      </w:rPr>
      <w:t>Glossary</w:t>
    </w:r>
  </w:p>
  <w:p w:rsidR="007359F4" w:rsidRPr="0090538E" w:rsidRDefault="007359F4" w:rsidP="00CD2621">
    <w:pPr>
      <w:pStyle w:val="Header"/>
      <w:pBdr>
        <w:top w:val="single" w:sz="4" w:space="1" w:color="auto"/>
      </w:pBdr>
      <w:tabs>
        <w:tab w:val="clear" w:pos="4513"/>
        <w:tab w:val="clear" w:pos="9026"/>
      </w:tabs>
      <w:spacing w:line="276" w:lineRule="auto"/>
      <w:rPr>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Default="007359F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Default="007359F4" w:rsidP="006C25FB">
    <w:pPr>
      <w:pStyle w:val="Header"/>
      <w:ind w:left="-1418" w:firstLine="142"/>
    </w:pPr>
    <w:r>
      <w:rPr>
        <w:noProof/>
      </w:rPr>
      <w:drawing>
        <wp:anchor distT="0" distB="0" distL="114300" distR="114300" simplePos="0" relativeHeight="251657728" behindDoc="1" locked="0" layoutInCell="1" allowOverlap="1">
          <wp:simplePos x="0" y="0"/>
          <wp:positionH relativeFrom="column">
            <wp:posOffset>-788670</wp:posOffset>
          </wp:positionH>
          <wp:positionV relativeFrom="paragraph">
            <wp:posOffset>-10160</wp:posOffset>
          </wp:positionV>
          <wp:extent cx="7170420" cy="1532255"/>
          <wp:effectExtent l="19050" t="0" r="0" b="0"/>
          <wp:wrapTight wrapText="bothSides">
            <wp:wrapPolygon edited="0">
              <wp:start x="-57" y="0"/>
              <wp:lineTo x="-57" y="21215"/>
              <wp:lineTo x="21577" y="21215"/>
              <wp:lineTo x="21577" y="0"/>
              <wp:lineTo x="-57" y="0"/>
            </wp:wrapPolygon>
          </wp:wrapTight>
          <wp:docPr id="3" name="Picture 4" descr="Banner for Regional Growth Plans, A Vision for Victoria - H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anner for Regional Growth Plans, A Vision for Victoria - Hume"/>
                  <pic:cNvPicPr>
                    <a:picLocks noChangeAspect="1" noChangeArrowheads="1"/>
                  </pic:cNvPicPr>
                </pic:nvPicPr>
                <pic:blipFill>
                  <a:blip r:embed="rId1"/>
                  <a:srcRect/>
                  <a:stretch>
                    <a:fillRect/>
                  </a:stretch>
                </pic:blipFill>
                <pic:spPr bwMode="auto">
                  <a:xfrm>
                    <a:off x="0" y="0"/>
                    <a:ext cx="7170420" cy="1532255"/>
                  </a:xfrm>
                  <a:prstGeom prst="rect">
                    <a:avLst/>
                  </a:prstGeom>
                  <a:noFill/>
                </pic:spPr>
              </pic:pic>
            </a:graphicData>
          </a:graphic>
        </wp:anchor>
      </w:drawing>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Pr="006C25FB" w:rsidRDefault="007359F4" w:rsidP="005F52CD">
    <w:pPr>
      <w:pStyle w:val="Header"/>
      <w:tabs>
        <w:tab w:val="clear" w:pos="9026"/>
        <w:tab w:val="right" w:pos="9072"/>
      </w:tabs>
      <w:spacing w:line="276" w:lineRule="auto"/>
      <w:rPr>
        <w:sz w:val="18"/>
        <w:szCs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Default="007359F4" w:rsidP="006066EE">
    <w:pPr>
      <w:pStyle w:val="Header"/>
      <w:tabs>
        <w:tab w:val="clear" w:pos="4513"/>
        <w:tab w:val="clear" w:pos="9026"/>
      </w:tabs>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Pr="006C25FB" w:rsidRDefault="007359F4" w:rsidP="005F52CD">
    <w:pPr>
      <w:pStyle w:val="Header"/>
      <w:tabs>
        <w:tab w:val="clear" w:pos="9026"/>
        <w:tab w:val="right" w:pos="9072"/>
      </w:tabs>
      <w:spacing w:line="276" w:lineRule="auto"/>
      <w:rPr>
        <w:sz w:val="18"/>
        <w:szCs w:val="18"/>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Default="007359F4">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Pr="00753BC3" w:rsidRDefault="00B85119" w:rsidP="00204584">
    <w:pPr>
      <w:pStyle w:val="Header"/>
      <w:tabs>
        <w:tab w:val="clear" w:pos="4513"/>
        <w:tab w:val="clear" w:pos="9026"/>
      </w:tabs>
      <w:jc w:val="center"/>
      <w:rPr>
        <w:sz w:val="20"/>
        <w:szCs w:val="20"/>
      </w:rPr>
    </w:pPr>
    <w:r w:rsidRPr="00B85119">
      <w:rPr>
        <w:sz w:val="20"/>
        <w:szCs w:val="20"/>
      </w:rPr>
      <w:t>Hume Regional Growth Plan</w:t>
    </w:r>
  </w:p>
  <w:p w:rsidR="007359F4" w:rsidRPr="0090538E" w:rsidRDefault="007359F4" w:rsidP="00707EC3">
    <w:pPr>
      <w:pStyle w:val="Header"/>
      <w:pBdr>
        <w:bottom w:val="single" w:sz="4" w:space="1" w:color="5F497A"/>
        <w:between w:val="single" w:sz="4" w:space="1" w:color="5F497A"/>
      </w:pBdr>
      <w:tabs>
        <w:tab w:val="clear" w:pos="4513"/>
        <w:tab w:val="clear" w:pos="9026"/>
      </w:tabs>
      <w:spacing w:line="276" w:lineRule="auto"/>
      <w:jc w:val="center"/>
      <w:rPr>
        <w:sz w:val="20"/>
        <w:szCs w:val="20"/>
      </w:rPr>
    </w:pPr>
    <w:r>
      <w:rPr>
        <w:sz w:val="20"/>
        <w:szCs w:val="20"/>
      </w:rPr>
      <w:t>Executive summary</w:t>
    </w:r>
  </w:p>
  <w:p w:rsidR="007359F4" w:rsidRPr="00707EC3" w:rsidRDefault="007359F4" w:rsidP="00707EC3">
    <w:pPr>
      <w:pStyle w:val="Header"/>
      <w:rPr>
        <w:szCs w:val="18"/>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59F4" w:rsidRPr="008D2DAB" w:rsidRDefault="007359F4" w:rsidP="00204584">
    <w:pPr>
      <w:pStyle w:val="Header"/>
      <w:tabs>
        <w:tab w:val="clear" w:pos="4513"/>
        <w:tab w:val="clear" w:pos="9026"/>
      </w:tabs>
      <w:jc w:val="center"/>
      <w:rPr>
        <w:b/>
        <w:sz w:val="20"/>
        <w:szCs w:val="20"/>
      </w:rPr>
    </w:pPr>
    <w:r>
      <w:rPr>
        <w:b/>
        <w:sz w:val="20"/>
        <w:szCs w:val="20"/>
      </w:rPr>
      <w:t>Hume Regional Growth Plan</w:t>
    </w:r>
  </w:p>
  <w:p w:rsidR="007359F4" w:rsidRPr="0090538E" w:rsidRDefault="007359F4" w:rsidP="00707EC3">
    <w:pPr>
      <w:pStyle w:val="Header"/>
      <w:pBdr>
        <w:bottom w:val="single" w:sz="4" w:space="1" w:color="5F497A"/>
        <w:between w:val="single" w:sz="4" w:space="1" w:color="5F497A"/>
      </w:pBdr>
      <w:tabs>
        <w:tab w:val="clear" w:pos="4513"/>
        <w:tab w:val="clear" w:pos="9026"/>
      </w:tabs>
      <w:spacing w:line="276" w:lineRule="auto"/>
      <w:jc w:val="center"/>
      <w:rPr>
        <w:sz w:val="20"/>
        <w:szCs w:val="20"/>
      </w:rPr>
    </w:pPr>
    <w:r>
      <w:rPr>
        <w:sz w:val="20"/>
        <w:szCs w:val="20"/>
      </w:rPr>
      <w:t>Part A: Introduction</w:t>
    </w:r>
  </w:p>
  <w:p w:rsidR="007359F4" w:rsidRPr="00707EC3" w:rsidRDefault="007359F4" w:rsidP="00707EC3">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8ED2AA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D2DE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28C6E8"/>
    <w:lvl w:ilvl="0">
      <w:start w:val="1"/>
      <w:numFmt w:val="decimal"/>
      <w:pStyle w:val="ListNumber2"/>
      <w:lvlText w:val="%1."/>
      <w:lvlJc w:val="left"/>
      <w:pPr>
        <w:tabs>
          <w:tab w:val="num" w:pos="643"/>
        </w:tabs>
        <w:ind w:left="643" w:hanging="360"/>
      </w:pPr>
    </w:lvl>
  </w:abstractNum>
  <w:abstractNum w:abstractNumId="3">
    <w:nsid w:val="FFFFFF83"/>
    <w:multiLevelType w:val="singleLevel"/>
    <w:tmpl w:val="41D043BC"/>
    <w:lvl w:ilvl="0">
      <w:start w:val="1"/>
      <w:numFmt w:val="bullet"/>
      <w:pStyle w:val="ListBullet2"/>
      <w:lvlText w:val=""/>
      <w:lvlJc w:val="left"/>
      <w:pPr>
        <w:ind w:left="1211" w:hanging="360"/>
      </w:pPr>
      <w:rPr>
        <w:rFonts w:ascii="Symbol" w:hAnsi="Symbol" w:hint="default"/>
        <w:b/>
        <w:color w:val="auto"/>
      </w:rPr>
    </w:lvl>
  </w:abstractNum>
  <w:abstractNum w:abstractNumId="4">
    <w:nsid w:val="FFFFFF88"/>
    <w:multiLevelType w:val="singleLevel"/>
    <w:tmpl w:val="4018531E"/>
    <w:lvl w:ilvl="0">
      <w:start w:val="1"/>
      <w:numFmt w:val="decimal"/>
      <w:pStyle w:val="ListNumber"/>
      <w:lvlText w:val="%1."/>
      <w:lvlJc w:val="left"/>
      <w:pPr>
        <w:tabs>
          <w:tab w:val="num" w:pos="360"/>
        </w:tabs>
        <w:ind w:left="360" w:hanging="360"/>
      </w:pPr>
    </w:lvl>
  </w:abstractNum>
  <w:abstractNum w:abstractNumId="5">
    <w:nsid w:val="01E723B2"/>
    <w:multiLevelType w:val="hybridMultilevel"/>
    <w:tmpl w:val="307EB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6760F15"/>
    <w:multiLevelType w:val="hybridMultilevel"/>
    <w:tmpl w:val="9C4C8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08F25F3B"/>
    <w:multiLevelType w:val="hybridMultilevel"/>
    <w:tmpl w:val="3F120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A82DAC"/>
    <w:multiLevelType w:val="hybridMultilevel"/>
    <w:tmpl w:val="BE0C5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9B5115F"/>
    <w:multiLevelType w:val="hybridMultilevel"/>
    <w:tmpl w:val="474CB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EB15DFE"/>
    <w:multiLevelType w:val="hybridMultilevel"/>
    <w:tmpl w:val="B64610B6"/>
    <w:lvl w:ilvl="0" w:tplc="0C090001">
      <w:start w:val="1"/>
      <w:numFmt w:val="bullet"/>
      <w:pStyle w:val="tabletextbullet"/>
      <w:lvlText w:val=""/>
      <w:lvlJc w:val="left"/>
      <w:pPr>
        <w:tabs>
          <w:tab w:val="num" w:pos="961"/>
        </w:tabs>
        <w:ind w:left="959" w:hanging="358"/>
      </w:pPr>
      <w:rPr>
        <w:rFonts w:ascii="Wingdings" w:hAnsi="Wingdings" w:hint="default"/>
      </w:rPr>
    </w:lvl>
    <w:lvl w:ilvl="1" w:tplc="0C090003" w:tentative="1">
      <w:start w:val="1"/>
      <w:numFmt w:val="bullet"/>
      <w:lvlText w:val="o"/>
      <w:lvlJc w:val="left"/>
      <w:pPr>
        <w:ind w:left="1681" w:hanging="360"/>
      </w:pPr>
      <w:rPr>
        <w:rFonts w:ascii="Courier New" w:hAnsi="Courier New" w:cs="Courier New" w:hint="default"/>
      </w:rPr>
    </w:lvl>
    <w:lvl w:ilvl="2" w:tplc="0C090005" w:tentative="1">
      <w:start w:val="1"/>
      <w:numFmt w:val="bullet"/>
      <w:lvlText w:val=""/>
      <w:lvlJc w:val="left"/>
      <w:pPr>
        <w:ind w:left="2401" w:hanging="360"/>
      </w:pPr>
      <w:rPr>
        <w:rFonts w:ascii="Wingdings" w:hAnsi="Wingdings" w:hint="default"/>
      </w:rPr>
    </w:lvl>
    <w:lvl w:ilvl="3" w:tplc="0C090001" w:tentative="1">
      <w:start w:val="1"/>
      <w:numFmt w:val="bullet"/>
      <w:lvlText w:val=""/>
      <w:lvlJc w:val="left"/>
      <w:pPr>
        <w:ind w:left="3121" w:hanging="360"/>
      </w:pPr>
      <w:rPr>
        <w:rFonts w:ascii="Symbol" w:hAnsi="Symbol" w:hint="default"/>
      </w:rPr>
    </w:lvl>
    <w:lvl w:ilvl="4" w:tplc="0C090003" w:tentative="1">
      <w:start w:val="1"/>
      <w:numFmt w:val="bullet"/>
      <w:lvlText w:val="o"/>
      <w:lvlJc w:val="left"/>
      <w:pPr>
        <w:ind w:left="3841" w:hanging="360"/>
      </w:pPr>
      <w:rPr>
        <w:rFonts w:ascii="Courier New" w:hAnsi="Courier New" w:cs="Courier New" w:hint="default"/>
      </w:rPr>
    </w:lvl>
    <w:lvl w:ilvl="5" w:tplc="0C090005" w:tentative="1">
      <w:start w:val="1"/>
      <w:numFmt w:val="bullet"/>
      <w:lvlText w:val=""/>
      <w:lvlJc w:val="left"/>
      <w:pPr>
        <w:ind w:left="4561" w:hanging="360"/>
      </w:pPr>
      <w:rPr>
        <w:rFonts w:ascii="Wingdings" w:hAnsi="Wingdings" w:hint="default"/>
      </w:rPr>
    </w:lvl>
    <w:lvl w:ilvl="6" w:tplc="0C090001" w:tentative="1">
      <w:start w:val="1"/>
      <w:numFmt w:val="bullet"/>
      <w:lvlText w:val=""/>
      <w:lvlJc w:val="left"/>
      <w:pPr>
        <w:ind w:left="5281" w:hanging="360"/>
      </w:pPr>
      <w:rPr>
        <w:rFonts w:ascii="Symbol" w:hAnsi="Symbol" w:hint="default"/>
      </w:rPr>
    </w:lvl>
    <w:lvl w:ilvl="7" w:tplc="0C090003" w:tentative="1">
      <w:start w:val="1"/>
      <w:numFmt w:val="bullet"/>
      <w:lvlText w:val="o"/>
      <w:lvlJc w:val="left"/>
      <w:pPr>
        <w:ind w:left="6001" w:hanging="360"/>
      </w:pPr>
      <w:rPr>
        <w:rFonts w:ascii="Courier New" w:hAnsi="Courier New" w:cs="Courier New" w:hint="default"/>
      </w:rPr>
    </w:lvl>
    <w:lvl w:ilvl="8" w:tplc="0C090005" w:tentative="1">
      <w:start w:val="1"/>
      <w:numFmt w:val="bullet"/>
      <w:lvlText w:val=""/>
      <w:lvlJc w:val="left"/>
      <w:pPr>
        <w:ind w:left="6721" w:hanging="360"/>
      </w:pPr>
      <w:rPr>
        <w:rFonts w:ascii="Wingdings" w:hAnsi="Wingdings" w:hint="default"/>
      </w:rPr>
    </w:lvl>
  </w:abstractNum>
  <w:abstractNum w:abstractNumId="11">
    <w:nsid w:val="12295574"/>
    <w:multiLevelType w:val="hybridMultilevel"/>
    <w:tmpl w:val="1FF43710"/>
    <w:lvl w:ilvl="0" w:tplc="0C090001">
      <w:start w:val="1"/>
      <w:numFmt w:val="bullet"/>
      <w:lvlText w:val=""/>
      <w:lvlJc w:val="left"/>
      <w:pPr>
        <w:tabs>
          <w:tab w:val="num" w:pos="720"/>
        </w:tabs>
        <w:ind w:left="718" w:hanging="358"/>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DC28BC"/>
    <w:multiLevelType w:val="hybridMultilevel"/>
    <w:tmpl w:val="5A8621BE"/>
    <w:lvl w:ilvl="0" w:tplc="C4DA61D6">
      <w:start w:val="1"/>
      <w:numFmt w:val="bullet"/>
      <w:pStyle w:val="bt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B8906BC"/>
    <w:multiLevelType w:val="hybridMultilevel"/>
    <w:tmpl w:val="F5847C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9A14C67"/>
    <w:multiLevelType w:val="hybridMultilevel"/>
    <w:tmpl w:val="A13E41E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C5877E4"/>
    <w:multiLevelType w:val="hybridMultilevel"/>
    <w:tmpl w:val="2470554E"/>
    <w:lvl w:ilvl="0" w:tplc="FDB6D9A6">
      <w:start w:val="1"/>
      <w:numFmt w:val="bullet"/>
      <w:pStyle w:val="ListBullet3"/>
      <w:lvlText w:val="o"/>
      <w:lvlJc w:val="left"/>
      <w:pPr>
        <w:tabs>
          <w:tab w:val="num" w:pos="1077"/>
        </w:tabs>
        <w:ind w:left="1077" w:hanging="226"/>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12E5F7F"/>
    <w:multiLevelType w:val="hybridMultilevel"/>
    <w:tmpl w:val="A81CD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3A4BCD"/>
    <w:multiLevelType w:val="hybridMultilevel"/>
    <w:tmpl w:val="EF0651AC"/>
    <w:lvl w:ilvl="0" w:tplc="5184956E">
      <w:start w:val="1"/>
      <w:numFmt w:val="lowerLetter"/>
      <w:pStyle w:val="Heading3-list"/>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51CD7D7E"/>
    <w:multiLevelType w:val="hybridMultilevel"/>
    <w:tmpl w:val="59EAF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71911E5"/>
    <w:multiLevelType w:val="hybridMultilevel"/>
    <w:tmpl w:val="F5520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631FDB"/>
    <w:multiLevelType w:val="hybridMultilevel"/>
    <w:tmpl w:val="4B5C778A"/>
    <w:lvl w:ilvl="0" w:tplc="4A12242E">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76C5B70"/>
    <w:multiLevelType w:val="hybridMultilevel"/>
    <w:tmpl w:val="A82AEA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nsid w:val="698D0903"/>
    <w:multiLevelType w:val="hybridMultilevel"/>
    <w:tmpl w:val="DD2A26A2"/>
    <w:lvl w:ilvl="0" w:tplc="4A12242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nsid w:val="6CC6478A"/>
    <w:multiLevelType w:val="multilevel"/>
    <w:tmpl w:val="22AC73AC"/>
    <w:lvl w:ilvl="0">
      <w:start w:val="1"/>
      <w:numFmt w:val="decimal"/>
      <w:pStyle w:val="Heading11"/>
      <w:lvlText w:val="%1."/>
      <w:lvlJc w:val="left"/>
      <w:pPr>
        <w:tabs>
          <w:tab w:val="num" w:pos="432"/>
        </w:tabs>
        <w:ind w:left="432" w:hanging="432"/>
      </w:pPr>
      <w:rPr>
        <w:rFonts w:hint="default"/>
      </w:rPr>
    </w:lvl>
    <w:lvl w:ilvl="1">
      <w:start w:val="1"/>
      <w:numFmt w:val="decimal"/>
      <w:pStyle w:val="Heading2"/>
      <w:lvlText w:val="%1.%2"/>
      <w:lvlJc w:val="left"/>
      <w:pPr>
        <w:tabs>
          <w:tab w:val="num" w:pos="396"/>
        </w:tabs>
        <w:ind w:left="3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abstractNum w:abstractNumId="24">
    <w:nsid w:val="752C787C"/>
    <w:multiLevelType w:val="hybridMultilevel"/>
    <w:tmpl w:val="5C98A9F2"/>
    <w:lvl w:ilvl="0" w:tplc="5B08A916">
      <w:start w:val="1"/>
      <w:numFmt w:val="bullet"/>
      <w:pStyle w:val="ListBullet"/>
      <w:lvlText w:val=""/>
      <w:lvlJc w:val="left"/>
      <w:pPr>
        <w:ind w:left="1630" w:hanging="360"/>
      </w:pPr>
      <w:rPr>
        <w:rFonts w:ascii="Wingdings" w:hAnsi="Wingdings" w:hint="default"/>
      </w:rPr>
    </w:lvl>
    <w:lvl w:ilvl="1" w:tplc="0C090003" w:tentative="1">
      <w:start w:val="1"/>
      <w:numFmt w:val="bullet"/>
      <w:lvlText w:val="o"/>
      <w:lvlJc w:val="left"/>
      <w:pPr>
        <w:ind w:left="2350" w:hanging="360"/>
      </w:pPr>
      <w:rPr>
        <w:rFonts w:ascii="Courier New" w:hAnsi="Courier New" w:cs="Courier New" w:hint="default"/>
      </w:rPr>
    </w:lvl>
    <w:lvl w:ilvl="2" w:tplc="0C090005" w:tentative="1">
      <w:start w:val="1"/>
      <w:numFmt w:val="bullet"/>
      <w:lvlText w:val=""/>
      <w:lvlJc w:val="left"/>
      <w:pPr>
        <w:ind w:left="3070" w:hanging="360"/>
      </w:pPr>
      <w:rPr>
        <w:rFonts w:ascii="Wingdings" w:hAnsi="Wingdings" w:hint="default"/>
      </w:rPr>
    </w:lvl>
    <w:lvl w:ilvl="3" w:tplc="0C090001" w:tentative="1">
      <w:start w:val="1"/>
      <w:numFmt w:val="bullet"/>
      <w:lvlText w:val=""/>
      <w:lvlJc w:val="left"/>
      <w:pPr>
        <w:ind w:left="3790" w:hanging="360"/>
      </w:pPr>
      <w:rPr>
        <w:rFonts w:ascii="Symbol" w:hAnsi="Symbol" w:hint="default"/>
      </w:rPr>
    </w:lvl>
    <w:lvl w:ilvl="4" w:tplc="0C090003" w:tentative="1">
      <w:start w:val="1"/>
      <w:numFmt w:val="bullet"/>
      <w:lvlText w:val="o"/>
      <w:lvlJc w:val="left"/>
      <w:pPr>
        <w:ind w:left="4510" w:hanging="360"/>
      </w:pPr>
      <w:rPr>
        <w:rFonts w:ascii="Courier New" w:hAnsi="Courier New" w:cs="Courier New" w:hint="default"/>
      </w:rPr>
    </w:lvl>
    <w:lvl w:ilvl="5" w:tplc="0C090005" w:tentative="1">
      <w:start w:val="1"/>
      <w:numFmt w:val="bullet"/>
      <w:lvlText w:val=""/>
      <w:lvlJc w:val="left"/>
      <w:pPr>
        <w:ind w:left="5230" w:hanging="360"/>
      </w:pPr>
      <w:rPr>
        <w:rFonts w:ascii="Wingdings" w:hAnsi="Wingdings" w:hint="default"/>
      </w:rPr>
    </w:lvl>
    <w:lvl w:ilvl="6" w:tplc="0C090001" w:tentative="1">
      <w:start w:val="1"/>
      <w:numFmt w:val="bullet"/>
      <w:lvlText w:val=""/>
      <w:lvlJc w:val="left"/>
      <w:pPr>
        <w:ind w:left="5950" w:hanging="360"/>
      </w:pPr>
      <w:rPr>
        <w:rFonts w:ascii="Symbol" w:hAnsi="Symbol" w:hint="default"/>
      </w:rPr>
    </w:lvl>
    <w:lvl w:ilvl="7" w:tplc="0C090003" w:tentative="1">
      <w:start w:val="1"/>
      <w:numFmt w:val="bullet"/>
      <w:lvlText w:val="o"/>
      <w:lvlJc w:val="left"/>
      <w:pPr>
        <w:ind w:left="6670" w:hanging="360"/>
      </w:pPr>
      <w:rPr>
        <w:rFonts w:ascii="Courier New" w:hAnsi="Courier New" w:cs="Courier New" w:hint="default"/>
      </w:rPr>
    </w:lvl>
    <w:lvl w:ilvl="8" w:tplc="0C090005" w:tentative="1">
      <w:start w:val="1"/>
      <w:numFmt w:val="bullet"/>
      <w:lvlText w:val=""/>
      <w:lvlJc w:val="left"/>
      <w:pPr>
        <w:ind w:left="7390" w:hanging="360"/>
      </w:pPr>
      <w:rPr>
        <w:rFonts w:ascii="Wingdings" w:hAnsi="Wingdings" w:hint="default"/>
      </w:rPr>
    </w:lvl>
  </w:abstractNum>
  <w:abstractNum w:abstractNumId="25">
    <w:nsid w:val="78DD7F3B"/>
    <w:multiLevelType w:val="hybridMultilevel"/>
    <w:tmpl w:val="B1C0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3"/>
  </w:num>
  <w:num w:numId="3">
    <w:abstractNumId w:val="15"/>
  </w:num>
  <w:num w:numId="4">
    <w:abstractNumId w:val="12"/>
  </w:num>
  <w:num w:numId="5">
    <w:abstractNumId w:val="24"/>
  </w:num>
  <w:num w:numId="6">
    <w:abstractNumId w:val="4"/>
  </w:num>
  <w:num w:numId="7">
    <w:abstractNumId w:val="2"/>
  </w:num>
  <w:num w:numId="8">
    <w:abstractNumId w:val="1"/>
  </w:num>
  <w:num w:numId="9">
    <w:abstractNumId w:val="0"/>
  </w:num>
  <w:num w:numId="10">
    <w:abstractNumId w:val="10"/>
  </w:num>
  <w:num w:numId="11">
    <w:abstractNumId w:val="19"/>
  </w:num>
  <w:num w:numId="12">
    <w:abstractNumId w:val="13"/>
  </w:num>
  <w:num w:numId="13">
    <w:abstractNumId w:val="8"/>
  </w:num>
  <w:num w:numId="14">
    <w:abstractNumId w:val="9"/>
  </w:num>
  <w:num w:numId="15">
    <w:abstractNumId w:val="5"/>
  </w:num>
  <w:num w:numId="16">
    <w:abstractNumId w:val="11"/>
  </w:num>
  <w:num w:numId="17">
    <w:abstractNumId w:val="25"/>
  </w:num>
  <w:num w:numId="18">
    <w:abstractNumId w:val="16"/>
  </w:num>
  <w:num w:numId="19">
    <w:abstractNumId w:val="18"/>
  </w:num>
  <w:num w:numId="20">
    <w:abstractNumId w:val="7"/>
  </w:num>
  <w:num w:numId="21">
    <w:abstractNumId w:val="14"/>
  </w:num>
  <w:num w:numId="22">
    <w:abstractNumId w:val="6"/>
  </w:num>
  <w:num w:numId="23">
    <w:abstractNumId w:val="17"/>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7"/>
    <w:lvlOverride w:ilvl="0">
      <w:startOverride w:val="1"/>
    </w:lvlOverride>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num>
  <w:num w:numId="33">
    <w:abstractNumId w:val="21"/>
  </w:num>
  <w:num w:numId="34">
    <w:abstractNumId w:val="22"/>
  </w:num>
  <w:num w:numId="35">
    <w:abstractNumId w:val="20"/>
  </w:num>
  <w:num w:numId="36">
    <w:abstractNumId w:val="17"/>
    <w:lvlOverride w:ilvl="0">
      <w:startOverride w:val="1"/>
    </w:lvlOverride>
  </w:num>
  <w:num w:numId="37">
    <w:abstractNumId w:val="17"/>
    <w:lvlOverride w:ilvl="0">
      <w:startOverride w:val="1"/>
    </w:lvlOverride>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proofState w:spelling="clean" w:grammar="clean"/>
  <w:stylePaneFormatFilter w:val="1021"/>
  <w:defaultTabStop w:val="720"/>
  <w:drawingGridHorizontalSpacing w:val="110"/>
  <w:displayHorizontalDrawingGridEvery w:val="2"/>
  <w:characterSpacingControl w:val="doNotCompress"/>
  <w:hdrShapeDefaults>
    <o:shapedefaults v:ext="edit" spidmax="94209"/>
  </w:hdrShapeDefaults>
  <w:footnotePr>
    <w:footnote w:id="-1"/>
    <w:footnote w:id="0"/>
  </w:footnotePr>
  <w:endnotePr>
    <w:endnote w:id="-1"/>
    <w:endnote w:id="0"/>
  </w:endnotePr>
  <w:compat/>
  <w:rsids>
    <w:rsidRoot w:val="006D670C"/>
    <w:rsid w:val="00000105"/>
    <w:rsid w:val="00001549"/>
    <w:rsid w:val="00001AAD"/>
    <w:rsid w:val="00001B25"/>
    <w:rsid w:val="00001F38"/>
    <w:rsid w:val="00002570"/>
    <w:rsid w:val="0000260F"/>
    <w:rsid w:val="00003949"/>
    <w:rsid w:val="00003CDA"/>
    <w:rsid w:val="00004B33"/>
    <w:rsid w:val="00004F50"/>
    <w:rsid w:val="000057AA"/>
    <w:rsid w:val="00005E2D"/>
    <w:rsid w:val="000066EF"/>
    <w:rsid w:val="0000771C"/>
    <w:rsid w:val="00007767"/>
    <w:rsid w:val="00010678"/>
    <w:rsid w:val="000119E4"/>
    <w:rsid w:val="0001260F"/>
    <w:rsid w:val="00012A0B"/>
    <w:rsid w:val="000131CD"/>
    <w:rsid w:val="000131D5"/>
    <w:rsid w:val="00013777"/>
    <w:rsid w:val="00015A70"/>
    <w:rsid w:val="0001644B"/>
    <w:rsid w:val="00017305"/>
    <w:rsid w:val="00017E2E"/>
    <w:rsid w:val="00020B84"/>
    <w:rsid w:val="00021CED"/>
    <w:rsid w:val="0002314B"/>
    <w:rsid w:val="00023215"/>
    <w:rsid w:val="00024302"/>
    <w:rsid w:val="000243F0"/>
    <w:rsid w:val="000273FF"/>
    <w:rsid w:val="00027778"/>
    <w:rsid w:val="00027F44"/>
    <w:rsid w:val="00030278"/>
    <w:rsid w:val="000306C1"/>
    <w:rsid w:val="00031A67"/>
    <w:rsid w:val="00031EF6"/>
    <w:rsid w:val="0003264A"/>
    <w:rsid w:val="00032955"/>
    <w:rsid w:val="00032DB2"/>
    <w:rsid w:val="00033D67"/>
    <w:rsid w:val="00036754"/>
    <w:rsid w:val="000370D1"/>
    <w:rsid w:val="00037D30"/>
    <w:rsid w:val="000405A5"/>
    <w:rsid w:val="00040A8B"/>
    <w:rsid w:val="000410A3"/>
    <w:rsid w:val="00041B30"/>
    <w:rsid w:val="00041BA1"/>
    <w:rsid w:val="00041CF6"/>
    <w:rsid w:val="000430E6"/>
    <w:rsid w:val="00043AE5"/>
    <w:rsid w:val="00043C5A"/>
    <w:rsid w:val="000444A6"/>
    <w:rsid w:val="00044C8A"/>
    <w:rsid w:val="00044E19"/>
    <w:rsid w:val="0004567C"/>
    <w:rsid w:val="000462D8"/>
    <w:rsid w:val="00050C41"/>
    <w:rsid w:val="00050EA9"/>
    <w:rsid w:val="00051695"/>
    <w:rsid w:val="000519E3"/>
    <w:rsid w:val="00051A91"/>
    <w:rsid w:val="00052A11"/>
    <w:rsid w:val="00053245"/>
    <w:rsid w:val="00055000"/>
    <w:rsid w:val="0005662E"/>
    <w:rsid w:val="0005734A"/>
    <w:rsid w:val="00057BF4"/>
    <w:rsid w:val="00060BCC"/>
    <w:rsid w:val="000616B2"/>
    <w:rsid w:val="00063171"/>
    <w:rsid w:val="0006488A"/>
    <w:rsid w:val="00065709"/>
    <w:rsid w:val="000662A7"/>
    <w:rsid w:val="000667D7"/>
    <w:rsid w:val="00067014"/>
    <w:rsid w:val="0007000D"/>
    <w:rsid w:val="000716E5"/>
    <w:rsid w:val="00071773"/>
    <w:rsid w:val="000721BA"/>
    <w:rsid w:val="00072BBD"/>
    <w:rsid w:val="00075E07"/>
    <w:rsid w:val="00076696"/>
    <w:rsid w:val="00076F11"/>
    <w:rsid w:val="00077454"/>
    <w:rsid w:val="00080AD0"/>
    <w:rsid w:val="0008247C"/>
    <w:rsid w:val="00082D50"/>
    <w:rsid w:val="00083093"/>
    <w:rsid w:val="00084205"/>
    <w:rsid w:val="00084B4F"/>
    <w:rsid w:val="0008506D"/>
    <w:rsid w:val="000857A3"/>
    <w:rsid w:val="000861F2"/>
    <w:rsid w:val="00086470"/>
    <w:rsid w:val="0008651E"/>
    <w:rsid w:val="00087B92"/>
    <w:rsid w:val="000912B2"/>
    <w:rsid w:val="00091879"/>
    <w:rsid w:val="00092187"/>
    <w:rsid w:val="000925D8"/>
    <w:rsid w:val="00092D02"/>
    <w:rsid w:val="0009347B"/>
    <w:rsid w:val="00093A5E"/>
    <w:rsid w:val="000943DE"/>
    <w:rsid w:val="00096EA1"/>
    <w:rsid w:val="00097318"/>
    <w:rsid w:val="000A1786"/>
    <w:rsid w:val="000A18FF"/>
    <w:rsid w:val="000A25E1"/>
    <w:rsid w:val="000A277C"/>
    <w:rsid w:val="000A2EA0"/>
    <w:rsid w:val="000A371E"/>
    <w:rsid w:val="000A4643"/>
    <w:rsid w:val="000A5068"/>
    <w:rsid w:val="000A5129"/>
    <w:rsid w:val="000A5D94"/>
    <w:rsid w:val="000A642D"/>
    <w:rsid w:val="000A6D60"/>
    <w:rsid w:val="000A740C"/>
    <w:rsid w:val="000A7711"/>
    <w:rsid w:val="000B0CC3"/>
    <w:rsid w:val="000B0EE9"/>
    <w:rsid w:val="000B1CE7"/>
    <w:rsid w:val="000B25DA"/>
    <w:rsid w:val="000B2683"/>
    <w:rsid w:val="000B2BD5"/>
    <w:rsid w:val="000B2D86"/>
    <w:rsid w:val="000B34B8"/>
    <w:rsid w:val="000B3B71"/>
    <w:rsid w:val="000B4D93"/>
    <w:rsid w:val="000B59FC"/>
    <w:rsid w:val="000B684A"/>
    <w:rsid w:val="000B6890"/>
    <w:rsid w:val="000B6C62"/>
    <w:rsid w:val="000C008F"/>
    <w:rsid w:val="000C0CE8"/>
    <w:rsid w:val="000C280C"/>
    <w:rsid w:val="000C2CDD"/>
    <w:rsid w:val="000C3FC1"/>
    <w:rsid w:val="000C46E8"/>
    <w:rsid w:val="000C4C60"/>
    <w:rsid w:val="000C4FF3"/>
    <w:rsid w:val="000C6B14"/>
    <w:rsid w:val="000C7035"/>
    <w:rsid w:val="000C78A9"/>
    <w:rsid w:val="000C7C2D"/>
    <w:rsid w:val="000D0427"/>
    <w:rsid w:val="000D1969"/>
    <w:rsid w:val="000D2469"/>
    <w:rsid w:val="000D292C"/>
    <w:rsid w:val="000D4879"/>
    <w:rsid w:val="000D5565"/>
    <w:rsid w:val="000D5909"/>
    <w:rsid w:val="000D5E3F"/>
    <w:rsid w:val="000D6519"/>
    <w:rsid w:val="000D682A"/>
    <w:rsid w:val="000D7EA4"/>
    <w:rsid w:val="000E0A69"/>
    <w:rsid w:val="000E13DD"/>
    <w:rsid w:val="000E1D0C"/>
    <w:rsid w:val="000E3469"/>
    <w:rsid w:val="000E4D11"/>
    <w:rsid w:val="000E4EFA"/>
    <w:rsid w:val="000E4F31"/>
    <w:rsid w:val="000E5F04"/>
    <w:rsid w:val="000E6C4C"/>
    <w:rsid w:val="000E7BAB"/>
    <w:rsid w:val="000E7CA2"/>
    <w:rsid w:val="000F0891"/>
    <w:rsid w:val="000F14E8"/>
    <w:rsid w:val="000F187E"/>
    <w:rsid w:val="000F1B6F"/>
    <w:rsid w:val="000F1D61"/>
    <w:rsid w:val="000F1E4D"/>
    <w:rsid w:val="000F2B75"/>
    <w:rsid w:val="000F4C51"/>
    <w:rsid w:val="000F4D94"/>
    <w:rsid w:val="000F54B4"/>
    <w:rsid w:val="000F573B"/>
    <w:rsid w:val="000F5898"/>
    <w:rsid w:val="000F6850"/>
    <w:rsid w:val="000F77AE"/>
    <w:rsid w:val="000F7C7D"/>
    <w:rsid w:val="001007DE"/>
    <w:rsid w:val="001009A2"/>
    <w:rsid w:val="00101C42"/>
    <w:rsid w:val="001049F5"/>
    <w:rsid w:val="00104A40"/>
    <w:rsid w:val="00104D72"/>
    <w:rsid w:val="00104EBE"/>
    <w:rsid w:val="001060CA"/>
    <w:rsid w:val="00107289"/>
    <w:rsid w:val="0010736D"/>
    <w:rsid w:val="00107D00"/>
    <w:rsid w:val="001110EC"/>
    <w:rsid w:val="00112398"/>
    <w:rsid w:val="001123E4"/>
    <w:rsid w:val="00112C95"/>
    <w:rsid w:val="00112DE5"/>
    <w:rsid w:val="00113CCA"/>
    <w:rsid w:val="001145F8"/>
    <w:rsid w:val="00114962"/>
    <w:rsid w:val="00114A93"/>
    <w:rsid w:val="0011520B"/>
    <w:rsid w:val="00115262"/>
    <w:rsid w:val="00115ABC"/>
    <w:rsid w:val="00120351"/>
    <w:rsid w:val="0012126F"/>
    <w:rsid w:val="00121CDA"/>
    <w:rsid w:val="001223CE"/>
    <w:rsid w:val="001225FD"/>
    <w:rsid w:val="00123412"/>
    <w:rsid w:val="00123512"/>
    <w:rsid w:val="00124082"/>
    <w:rsid w:val="00124AC9"/>
    <w:rsid w:val="00124F4D"/>
    <w:rsid w:val="00125026"/>
    <w:rsid w:val="001250D3"/>
    <w:rsid w:val="00125F4A"/>
    <w:rsid w:val="00126457"/>
    <w:rsid w:val="00126B13"/>
    <w:rsid w:val="00130822"/>
    <w:rsid w:val="00131466"/>
    <w:rsid w:val="001329DF"/>
    <w:rsid w:val="001338B1"/>
    <w:rsid w:val="001346E0"/>
    <w:rsid w:val="00135D9A"/>
    <w:rsid w:val="001369A5"/>
    <w:rsid w:val="0014027C"/>
    <w:rsid w:val="001404CC"/>
    <w:rsid w:val="001404E7"/>
    <w:rsid w:val="001408BD"/>
    <w:rsid w:val="00140CC1"/>
    <w:rsid w:val="00140EEA"/>
    <w:rsid w:val="001414C5"/>
    <w:rsid w:val="00141A1E"/>
    <w:rsid w:val="00141DCA"/>
    <w:rsid w:val="00141FA0"/>
    <w:rsid w:val="00143270"/>
    <w:rsid w:val="0014339A"/>
    <w:rsid w:val="00143607"/>
    <w:rsid w:val="00143A3C"/>
    <w:rsid w:val="00145628"/>
    <w:rsid w:val="00145DF0"/>
    <w:rsid w:val="00145DF7"/>
    <w:rsid w:val="00145EEA"/>
    <w:rsid w:val="0014643F"/>
    <w:rsid w:val="00146741"/>
    <w:rsid w:val="00146EC8"/>
    <w:rsid w:val="00147715"/>
    <w:rsid w:val="00147717"/>
    <w:rsid w:val="00147923"/>
    <w:rsid w:val="00147F0E"/>
    <w:rsid w:val="00147F4E"/>
    <w:rsid w:val="001501D4"/>
    <w:rsid w:val="001504AB"/>
    <w:rsid w:val="001520B8"/>
    <w:rsid w:val="0015216B"/>
    <w:rsid w:val="0015252F"/>
    <w:rsid w:val="0015481C"/>
    <w:rsid w:val="00154BD0"/>
    <w:rsid w:val="00156AD4"/>
    <w:rsid w:val="00157946"/>
    <w:rsid w:val="00160DCF"/>
    <w:rsid w:val="0016297B"/>
    <w:rsid w:val="0016400E"/>
    <w:rsid w:val="00164650"/>
    <w:rsid w:val="00164B29"/>
    <w:rsid w:val="00164DCD"/>
    <w:rsid w:val="001657A6"/>
    <w:rsid w:val="001662D8"/>
    <w:rsid w:val="00167424"/>
    <w:rsid w:val="0016780A"/>
    <w:rsid w:val="00167CDB"/>
    <w:rsid w:val="00167F49"/>
    <w:rsid w:val="00170158"/>
    <w:rsid w:val="001706B0"/>
    <w:rsid w:val="00171A6E"/>
    <w:rsid w:val="00172147"/>
    <w:rsid w:val="00172CA8"/>
    <w:rsid w:val="001734BF"/>
    <w:rsid w:val="00173CDA"/>
    <w:rsid w:val="00174FAB"/>
    <w:rsid w:val="001750C7"/>
    <w:rsid w:val="00175A2B"/>
    <w:rsid w:val="001763B4"/>
    <w:rsid w:val="001773B1"/>
    <w:rsid w:val="0017740D"/>
    <w:rsid w:val="001800ED"/>
    <w:rsid w:val="001809AF"/>
    <w:rsid w:val="001809C1"/>
    <w:rsid w:val="0018185F"/>
    <w:rsid w:val="00181A86"/>
    <w:rsid w:val="00183FBA"/>
    <w:rsid w:val="001840E5"/>
    <w:rsid w:val="0018578A"/>
    <w:rsid w:val="0018638C"/>
    <w:rsid w:val="001866EC"/>
    <w:rsid w:val="001873D9"/>
    <w:rsid w:val="00187CAA"/>
    <w:rsid w:val="00190036"/>
    <w:rsid w:val="00191018"/>
    <w:rsid w:val="001914E8"/>
    <w:rsid w:val="00192912"/>
    <w:rsid w:val="00193584"/>
    <w:rsid w:val="001938BB"/>
    <w:rsid w:val="0019434F"/>
    <w:rsid w:val="001948FE"/>
    <w:rsid w:val="00194F0F"/>
    <w:rsid w:val="001950E0"/>
    <w:rsid w:val="00195583"/>
    <w:rsid w:val="00195B5D"/>
    <w:rsid w:val="00195C65"/>
    <w:rsid w:val="00196A15"/>
    <w:rsid w:val="00197D74"/>
    <w:rsid w:val="001A0474"/>
    <w:rsid w:val="001A0EFE"/>
    <w:rsid w:val="001A15CA"/>
    <w:rsid w:val="001A3617"/>
    <w:rsid w:val="001A37E3"/>
    <w:rsid w:val="001A38BA"/>
    <w:rsid w:val="001A38C4"/>
    <w:rsid w:val="001A4A9D"/>
    <w:rsid w:val="001A4AD5"/>
    <w:rsid w:val="001A5046"/>
    <w:rsid w:val="001A50C4"/>
    <w:rsid w:val="001A5173"/>
    <w:rsid w:val="001A53DF"/>
    <w:rsid w:val="001A5891"/>
    <w:rsid w:val="001A63D4"/>
    <w:rsid w:val="001A6AFD"/>
    <w:rsid w:val="001A6BBD"/>
    <w:rsid w:val="001A7582"/>
    <w:rsid w:val="001B1505"/>
    <w:rsid w:val="001B32D7"/>
    <w:rsid w:val="001B3A13"/>
    <w:rsid w:val="001B46F0"/>
    <w:rsid w:val="001B4E32"/>
    <w:rsid w:val="001B5531"/>
    <w:rsid w:val="001B5F40"/>
    <w:rsid w:val="001B6B0B"/>
    <w:rsid w:val="001B7279"/>
    <w:rsid w:val="001B72ED"/>
    <w:rsid w:val="001C0C90"/>
    <w:rsid w:val="001C2CFC"/>
    <w:rsid w:val="001C3372"/>
    <w:rsid w:val="001C3E52"/>
    <w:rsid w:val="001C5994"/>
    <w:rsid w:val="001C6C22"/>
    <w:rsid w:val="001D18CB"/>
    <w:rsid w:val="001D197F"/>
    <w:rsid w:val="001D1E4A"/>
    <w:rsid w:val="001D1EC3"/>
    <w:rsid w:val="001D2455"/>
    <w:rsid w:val="001D26E6"/>
    <w:rsid w:val="001D341E"/>
    <w:rsid w:val="001D4BF9"/>
    <w:rsid w:val="001D4E6D"/>
    <w:rsid w:val="001D5379"/>
    <w:rsid w:val="001D5C7A"/>
    <w:rsid w:val="001D6E2E"/>
    <w:rsid w:val="001D7E0B"/>
    <w:rsid w:val="001D7F2B"/>
    <w:rsid w:val="001E0ABA"/>
    <w:rsid w:val="001E119C"/>
    <w:rsid w:val="001E1934"/>
    <w:rsid w:val="001E1E5E"/>
    <w:rsid w:val="001E2AC0"/>
    <w:rsid w:val="001E2BF9"/>
    <w:rsid w:val="001E2F58"/>
    <w:rsid w:val="001E35B5"/>
    <w:rsid w:val="001E3654"/>
    <w:rsid w:val="001E424A"/>
    <w:rsid w:val="001E4BB5"/>
    <w:rsid w:val="001E5864"/>
    <w:rsid w:val="001E6227"/>
    <w:rsid w:val="001E6DC6"/>
    <w:rsid w:val="001E762B"/>
    <w:rsid w:val="001E79AF"/>
    <w:rsid w:val="001E7C00"/>
    <w:rsid w:val="001F2B66"/>
    <w:rsid w:val="001F3017"/>
    <w:rsid w:val="001F35F3"/>
    <w:rsid w:val="001F3E4C"/>
    <w:rsid w:val="001F4B55"/>
    <w:rsid w:val="001F525E"/>
    <w:rsid w:val="001F5FF5"/>
    <w:rsid w:val="001F6092"/>
    <w:rsid w:val="001F6187"/>
    <w:rsid w:val="001F74BD"/>
    <w:rsid w:val="002000A4"/>
    <w:rsid w:val="00201DD8"/>
    <w:rsid w:val="00201DFE"/>
    <w:rsid w:val="0020213A"/>
    <w:rsid w:val="00204584"/>
    <w:rsid w:val="00205448"/>
    <w:rsid w:val="002054D9"/>
    <w:rsid w:val="00205F98"/>
    <w:rsid w:val="00206F4C"/>
    <w:rsid w:val="00206F98"/>
    <w:rsid w:val="0021068E"/>
    <w:rsid w:val="00210CE1"/>
    <w:rsid w:val="00211129"/>
    <w:rsid w:val="00211D32"/>
    <w:rsid w:val="002121B0"/>
    <w:rsid w:val="00212D55"/>
    <w:rsid w:val="002139B5"/>
    <w:rsid w:val="00213DAC"/>
    <w:rsid w:val="002141E3"/>
    <w:rsid w:val="00214612"/>
    <w:rsid w:val="0021467E"/>
    <w:rsid w:val="00214CAA"/>
    <w:rsid w:val="00215709"/>
    <w:rsid w:val="00216144"/>
    <w:rsid w:val="002171CD"/>
    <w:rsid w:val="0021725F"/>
    <w:rsid w:val="0021739C"/>
    <w:rsid w:val="00217B20"/>
    <w:rsid w:val="00217C6E"/>
    <w:rsid w:val="00220F2F"/>
    <w:rsid w:val="00221BCE"/>
    <w:rsid w:val="00221D6B"/>
    <w:rsid w:val="00222447"/>
    <w:rsid w:val="00222A04"/>
    <w:rsid w:val="00222E07"/>
    <w:rsid w:val="00222F44"/>
    <w:rsid w:val="00223C39"/>
    <w:rsid w:val="00223EE3"/>
    <w:rsid w:val="00224E64"/>
    <w:rsid w:val="002258B2"/>
    <w:rsid w:val="00225963"/>
    <w:rsid w:val="0022632E"/>
    <w:rsid w:val="002268DC"/>
    <w:rsid w:val="00226E26"/>
    <w:rsid w:val="00227FCB"/>
    <w:rsid w:val="0023087F"/>
    <w:rsid w:val="002317B5"/>
    <w:rsid w:val="00231ABE"/>
    <w:rsid w:val="002325CD"/>
    <w:rsid w:val="00233428"/>
    <w:rsid w:val="00233784"/>
    <w:rsid w:val="0023458A"/>
    <w:rsid w:val="00235221"/>
    <w:rsid w:val="00235C54"/>
    <w:rsid w:val="00237001"/>
    <w:rsid w:val="00240170"/>
    <w:rsid w:val="00241F97"/>
    <w:rsid w:val="00243330"/>
    <w:rsid w:val="0024422B"/>
    <w:rsid w:val="002447A8"/>
    <w:rsid w:val="00245CF3"/>
    <w:rsid w:val="00246B3B"/>
    <w:rsid w:val="00247251"/>
    <w:rsid w:val="002475AA"/>
    <w:rsid w:val="00247A70"/>
    <w:rsid w:val="00247F59"/>
    <w:rsid w:val="002503F8"/>
    <w:rsid w:val="00250DD5"/>
    <w:rsid w:val="00252181"/>
    <w:rsid w:val="00252363"/>
    <w:rsid w:val="00253536"/>
    <w:rsid w:val="00253A12"/>
    <w:rsid w:val="00253A79"/>
    <w:rsid w:val="00253CCF"/>
    <w:rsid w:val="002554AF"/>
    <w:rsid w:val="002556DD"/>
    <w:rsid w:val="00255A14"/>
    <w:rsid w:val="00257C94"/>
    <w:rsid w:val="00260DA4"/>
    <w:rsid w:val="002616FE"/>
    <w:rsid w:val="002618D5"/>
    <w:rsid w:val="0026204C"/>
    <w:rsid w:val="0026221C"/>
    <w:rsid w:val="002626B8"/>
    <w:rsid w:val="002632F9"/>
    <w:rsid w:val="00263D8C"/>
    <w:rsid w:val="00264A88"/>
    <w:rsid w:val="00264ABC"/>
    <w:rsid w:val="00265235"/>
    <w:rsid w:val="00265278"/>
    <w:rsid w:val="0026738F"/>
    <w:rsid w:val="002679B9"/>
    <w:rsid w:val="00267EB0"/>
    <w:rsid w:val="00270BF3"/>
    <w:rsid w:val="00271476"/>
    <w:rsid w:val="00271F20"/>
    <w:rsid w:val="00272F44"/>
    <w:rsid w:val="00272F89"/>
    <w:rsid w:val="0027325D"/>
    <w:rsid w:val="00273D5B"/>
    <w:rsid w:val="00274011"/>
    <w:rsid w:val="002749D5"/>
    <w:rsid w:val="0027539C"/>
    <w:rsid w:val="00276723"/>
    <w:rsid w:val="00276F9B"/>
    <w:rsid w:val="0027751F"/>
    <w:rsid w:val="002778E2"/>
    <w:rsid w:val="00281041"/>
    <w:rsid w:val="00282121"/>
    <w:rsid w:val="00282178"/>
    <w:rsid w:val="002829C6"/>
    <w:rsid w:val="00282F9B"/>
    <w:rsid w:val="002837B7"/>
    <w:rsid w:val="00283C67"/>
    <w:rsid w:val="00283D66"/>
    <w:rsid w:val="00284387"/>
    <w:rsid w:val="00284B11"/>
    <w:rsid w:val="002858F4"/>
    <w:rsid w:val="002864FD"/>
    <w:rsid w:val="002872F6"/>
    <w:rsid w:val="002873C3"/>
    <w:rsid w:val="002877CE"/>
    <w:rsid w:val="00290722"/>
    <w:rsid w:val="00290759"/>
    <w:rsid w:val="00290C32"/>
    <w:rsid w:val="00290D0E"/>
    <w:rsid w:val="00290E1E"/>
    <w:rsid w:val="0029120D"/>
    <w:rsid w:val="00291275"/>
    <w:rsid w:val="00291C26"/>
    <w:rsid w:val="00292F00"/>
    <w:rsid w:val="00293228"/>
    <w:rsid w:val="002936BD"/>
    <w:rsid w:val="00293A0B"/>
    <w:rsid w:val="0029422D"/>
    <w:rsid w:val="00295DAD"/>
    <w:rsid w:val="00296FAC"/>
    <w:rsid w:val="00297950"/>
    <w:rsid w:val="002A0C8C"/>
    <w:rsid w:val="002A1427"/>
    <w:rsid w:val="002A17A0"/>
    <w:rsid w:val="002A1891"/>
    <w:rsid w:val="002A2B7E"/>
    <w:rsid w:val="002A2D7F"/>
    <w:rsid w:val="002A2E33"/>
    <w:rsid w:val="002A333B"/>
    <w:rsid w:val="002A3761"/>
    <w:rsid w:val="002A3FDE"/>
    <w:rsid w:val="002A4580"/>
    <w:rsid w:val="002A4816"/>
    <w:rsid w:val="002A5024"/>
    <w:rsid w:val="002A5513"/>
    <w:rsid w:val="002A5AE6"/>
    <w:rsid w:val="002A6CD5"/>
    <w:rsid w:val="002A7039"/>
    <w:rsid w:val="002A7315"/>
    <w:rsid w:val="002A7AC2"/>
    <w:rsid w:val="002B01D6"/>
    <w:rsid w:val="002B0496"/>
    <w:rsid w:val="002B156E"/>
    <w:rsid w:val="002B185B"/>
    <w:rsid w:val="002B1A47"/>
    <w:rsid w:val="002B3165"/>
    <w:rsid w:val="002B456D"/>
    <w:rsid w:val="002B4682"/>
    <w:rsid w:val="002B473D"/>
    <w:rsid w:val="002B47A0"/>
    <w:rsid w:val="002B4D5D"/>
    <w:rsid w:val="002B5404"/>
    <w:rsid w:val="002B60E4"/>
    <w:rsid w:val="002B68B0"/>
    <w:rsid w:val="002B7343"/>
    <w:rsid w:val="002B7682"/>
    <w:rsid w:val="002C02EE"/>
    <w:rsid w:val="002C03EC"/>
    <w:rsid w:val="002C1A37"/>
    <w:rsid w:val="002C1C14"/>
    <w:rsid w:val="002C1D31"/>
    <w:rsid w:val="002C22CC"/>
    <w:rsid w:val="002C2666"/>
    <w:rsid w:val="002C2798"/>
    <w:rsid w:val="002C398A"/>
    <w:rsid w:val="002C3F14"/>
    <w:rsid w:val="002C3F26"/>
    <w:rsid w:val="002C410E"/>
    <w:rsid w:val="002C5D3F"/>
    <w:rsid w:val="002C5FE9"/>
    <w:rsid w:val="002C69A4"/>
    <w:rsid w:val="002C6CAD"/>
    <w:rsid w:val="002C7932"/>
    <w:rsid w:val="002D0BD2"/>
    <w:rsid w:val="002D2D4D"/>
    <w:rsid w:val="002D418D"/>
    <w:rsid w:val="002D4357"/>
    <w:rsid w:val="002D4F72"/>
    <w:rsid w:val="002D5B62"/>
    <w:rsid w:val="002D689E"/>
    <w:rsid w:val="002D6C5E"/>
    <w:rsid w:val="002D70F2"/>
    <w:rsid w:val="002D7187"/>
    <w:rsid w:val="002D7C30"/>
    <w:rsid w:val="002E02ED"/>
    <w:rsid w:val="002E16CC"/>
    <w:rsid w:val="002E2AC7"/>
    <w:rsid w:val="002E2CDE"/>
    <w:rsid w:val="002E3390"/>
    <w:rsid w:val="002E3C59"/>
    <w:rsid w:val="002E3E9C"/>
    <w:rsid w:val="002E44B0"/>
    <w:rsid w:val="002E4510"/>
    <w:rsid w:val="002E51A4"/>
    <w:rsid w:val="002E532F"/>
    <w:rsid w:val="002E6211"/>
    <w:rsid w:val="002E67F3"/>
    <w:rsid w:val="002E6CA4"/>
    <w:rsid w:val="002E6D27"/>
    <w:rsid w:val="002E6D30"/>
    <w:rsid w:val="002F16A5"/>
    <w:rsid w:val="002F187E"/>
    <w:rsid w:val="002F2826"/>
    <w:rsid w:val="002F3A18"/>
    <w:rsid w:val="002F3BB6"/>
    <w:rsid w:val="002F42FB"/>
    <w:rsid w:val="002F4646"/>
    <w:rsid w:val="002F46FD"/>
    <w:rsid w:val="002F498F"/>
    <w:rsid w:val="002F5498"/>
    <w:rsid w:val="002F6B8B"/>
    <w:rsid w:val="002F6F83"/>
    <w:rsid w:val="0030216D"/>
    <w:rsid w:val="00302C57"/>
    <w:rsid w:val="00303436"/>
    <w:rsid w:val="00303F36"/>
    <w:rsid w:val="003040EB"/>
    <w:rsid w:val="00304357"/>
    <w:rsid w:val="00304FA0"/>
    <w:rsid w:val="003056CE"/>
    <w:rsid w:val="0030610D"/>
    <w:rsid w:val="00306AC9"/>
    <w:rsid w:val="0030729B"/>
    <w:rsid w:val="00307988"/>
    <w:rsid w:val="00310604"/>
    <w:rsid w:val="00311286"/>
    <w:rsid w:val="00311499"/>
    <w:rsid w:val="0031320F"/>
    <w:rsid w:val="00314703"/>
    <w:rsid w:val="00314D44"/>
    <w:rsid w:val="00315B29"/>
    <w:rsid w:val="003179DA"/>
    <w:rsid w:val="00317D9F"/>
    <w:rsid w:val="00320F79"/>
    <w:rsid w:val="00321293"/>
    <w:rsid w:val="00321FB6"/>
    <w:rsid w:val="003237C1"/>
    <w:rsid w:val="003249E0"/>
    <w:rsid w:val="0032623F"/>
    <w:rsid w:val="003268EE"/>
    <w:rsid w:val="0032734C"/>
    <w:rsid w:val="00330C05"/>
    <w:rsid w:val="00330D2E"/>
    <w:rsid w:val="003319BF"/>
    <w:rsid w:val="003328AA"/>
    <w:rsid w:val="003328B3"/>
    <w:rsid w:val="0033297E"/>
    <w:rsid w:val="00332C4A"/>
    <w:rsid w:val="00332D75"/>
    <w:rsid w:val="00332E68"/>
    <w:rsid w:val="0033311D"/>
    <w:rsid w:val="003336AE"/>
    <w:rsid w:val="00333958"/>
    <w:rsid w:val="003362F7"/>
    <w:rsid w:val="00336EF5"/>
    <w:rsid w:val="003372E8"/>
    <w:rsid w:val="00337E1D"/>
    <w:rsid w:val="00340020"/>
    <w:rsid w:val="0034067E"/>
    <w:rsid w:val="0034073A"/>
    <w:rsid w:val="00342DA2"/>
    <w:rsid w:val="00343149"/>
    <w:rsid w:val="0034376E"/>
    <w:rsid w:val="0034428A"/>
    <w:rsid w:val="00345385"/>
    <w:rsid w:val="00345463"/>
    <w:rsid w:val="00345923"/>
    <w:rsid w:val="00345ED5"/>
    <w:rsid w:val="0034712C"/>
    <w:rsid w:val="0034756B"/>
    <w:rsid w:val="00347703"/>
    <w:rsid w:val="00347AC2"/>
    <w:rsid w:val="00350737"/>
    <w:rsid w:val="003508EB"/>
    <w:rsid w:val="00350CA3"/>
    <w:rsid w:val="003514C4"/>
    <w:rsid w:val="00351D6E"/>
    <w:rsid w:val="003520A6"/>
    <w:rsid w:val="003520AF"/>
    <w:rsid w:val="0035255D"/>
    <w:rsid w:val="00352719"/>
    <w:rsid w:val="00352C38"/>
    <w:rsid w:val="00354765"/>
    <w:rsid w:val="00354E69"/>
    <w:rsid w:val="00356B34"/>
    <w:rsid w:val="00356EF7"/>
    <w:rsid w:val="0035730D"/>
    <w:rsid w:val="003613FB"/>
    <w:rsid w:val="003614A9"/>
    <w:rsid w:val="00361AA2"/>
    <w:rsid w:val="00361AAB"/>
    <w:rsid w:val="00361FFA"/>
    <w:rsid w:val="00362BB2"/>
    <w:rsid w:val="00363A2B"/>
    <w:rsid w:val="00364205"/>
    <w:rsid w:val="00365B91"/>
    <w:rsid w:val="00366024"/>
    <w:rsid w:val="00367494"/>
    <w:rsid w:val="003718E8"/>
    <w:rsid w:val="00372187"/>
    <w:rsid w:val="00373C43"/>
    <w:rsid w:val="00374641"/>
    <w:rsid w:val="00374FA7"/>
    <w:rsid w:val="00375301"/>
    <w:rsid w:val="00377DD8"/>
    <w:rsid w:val="00380028"/>
    <w:rsid w:val="00380758"/>
    <w:rsid w:val="00380E8B"/>
    <w:rsid w:val="00381157"/>
    <w:rsid w:val="0038120A"/>
    <w:rsid w:val="00381453"/>
    <w:rsid w:val="0038165B"/>
    <w:rsid w:val="0038292E"/>
    <w:rsid w:val="0038340A"/>
    <w:rsid w:val="00383A19"/>
    <w:rsid w:val="003848BB"/>
    <w:rsid w:val="00384DC4"/>
    <w:rsid w:val="0038569B"/>
    <w:rsid w:val="00385890"/>
    <w:rsid w:val="003866AB"/>
    <w:rsid w:val="00387647"/>
    <w:rsid w:val="00387FFE"/>
    <w:rsid w:val="003920C5"/>
    <w:rsid w:val="00392796"/>
    <w:rsid w:val="00392A7A"/>
    <w:rsid w:val="00393841"/>
    <w:rsid w:val="00393940"/>
    <w:rsid w:val="00394150"/>
    <w:rsid w:val="00394F96"/>
    <w:rsid w:val="003951CC"/>
    <w:rsid w:val="00395279"/>
    <w:rsid w:val="00395F4D"/>
    <w:rsid w:val="00397DCB"/>
    <w:rsid w:val="003A0588"/>
    <w:rsid w:val="003A0708"/>
    <w:rsid w:val="003A0DF0"/>
    <w:rsid w:val="003A1225"/>
    <w:rsid w:val="003A240F"/>
    <w:rsid w:val="003A24A3"/>
    <w:rsid w:val="003A3A3F"/>
    <w:rsid w:val="003A4709"/>
    <w:rsid w:val="003A50FF"/>
    <w:rsid w:val="003A648D"/>
    <w:rsid w:val="003A792C"/>
    <w:rsid w:val="003B0BC5"/>
    <w:rsid w:val="003B0CD4"/>
    <w:rsid w:val="003B1245"/>
    <w:rsid w:val="003B627C"/>
    <w:rsid w:val="003B655A"/>
    <w:rsid w:val="003B69D3"/>
    <w:rsid w:val="003B7B15"/>
    <w:rsid w:val="003C0222"/>
    <w:rsid w:val="003C176F"/>
    <w:rsid w:val="003C1D1C"/>
    <w:rsid w:val="003C1E3F"/>
    <w:rsid w:val="003C1E93"/>
    <w:rsid w:val="003C208C"/>
    <w:rsid w:val="003C33C9"/>
    <w:rsid w:val="003C3CC7"/>
    <w:rsid w:val="003C50AD"/>
    <w:rsid w:val="003C5B59"/>
    <w:rsid w:val="003C640C"/>
    <w:rsid w:val="003C65F2"/>
    <w:rsid w:val="003C65F9"/>
    <w:rsid w:val="003C6CC0"/>
    <w:rsid w:val="003C6FCC"/>
    <w:rsid w:val="003C7D80"/>
    <w:rsid w:val="003D1057"/>
    <w:rsid w:val="003D1581"/>
    <w:rsid w:val="003D1B34"/>
    <w:rsid w:val="003D2557"/>
    <w:rsid w:val="003D556F"/>
    <w:rsid w:val="003D5A3D"/>
    <w:rsid w:val="003D7A7B"/>
    <w:rsid w:val="003E1137"/>
    <w:rsid w:val="003E1AC6"/>
    <w:rsid w:val="003E29A2"/>
    <w:rsid w:val="003E3935"/>
    <w:rsid w:val="003E44F0"/>
    <w:rsid w:val="003E66B4"/>
    <w:rsid w:val="003E795E"/>
    <w:rsid w:val="003E7BFB"/>
    <w:rsid w:val="003E7E28"/>
    <w:rsid w:val="003E7ECF"/>
    <w:rsid w:val="003F141F"/>
    <w:rsid w:val="003F15D4"/>
    <w:rsid w:val="003F3A89"/>
    <w:rsid w:val="003F3B01"/>
    <w:rsid w:val="003F3EBC"/>
    <w:rsid w:val="003F3F5B"/>
    <w:rsid w:val="003F494C"/>
    <w:rsid w:val="003F50AD"/>
    <w:rsid w:val="003F58F4"/>
    <w:rsid w:val="00400207"/>
    <w:rsid w:val="0040027E"/>
    <w:rsid w:val="00400CC9"/>
    <w:rsid w:val="004016D4"/>
    <w:rsid w:val="00401941"/>
    <w:rsid w:val="0040245A"/>
    <w:rsid w:val="00402629"/>
    <w:rsid w:val="00404868"/>
    <w:rsid w:val="00404CAC"/>
    <w:rsid w:val="00404E9B"/>
    <w:rsid w:val="00405150"/>
    <w:rsid w:val="00410EBE"/>
    <w:rsid w:val="00411B44"/>
    <w:rsid w:val="0041206F"/>
    <w:rsid w:val="00412531"/>
    <w:rsid w:val="00412A8E"/>
    <w:rsid w:val="00413479"/>
    <w:rsid w:val="0041374D"/>
    <w:rsid w:val="004151A0"/>
    <w:rsid w:val="004152CA"/>
    <w:rsid w:val="004174EF"/>
    <w:rsid w:val="00420B5A"/>
    <w:rsid w:val="00420CFD"/>
    <w:rsid w:val="004210EC"/>
    <w:rsid w:val="004218AA"/>
    <w:rsid w:val="004218DB"/>
    <w:rsid w:val="004230EA"/>
    <w:rsid w:val="00424C13"/>
    <w:rsid w:val="00424ED0"/>
    <w:rsid w:val="00425020"/>
    <w:rsid w:val="0042517E"/>
    <w:rsid w:val="00426ACC"/>
    <w:rsid w:val="00426D55"/>
    <w:rsid w:val="004276BE"/>
    <w:rsid w:val="004300E0"/>
    <w:rsid w:val="004302F9"/>
    <w:rsid w:val="00430C46"/>
    <w:rsid w:val="004333ED"/>
    <w:rsid w:val="004338A5"/>
    <w:rsid w:val="00434B71"/>
    <w:rsid w:val="00434D39"/>
    <w:rsid w:val="00435735"/>
    <w:rsid w:val="0043575F"/>
    <w:rsid w:val="00435772"/>
    <w:rsid w:val="004358E0"/>
    <w:rsid w:val="00436DCB"/>
    <w:rsid w:val="00436E80"/>
    <w:rsid w:val="00436F8A"/>
    <w:rsid w:val="004374A0"/>
    <w:rsid w:val="00437D94"/>
    <w:rsid w:val="00440129"/>
    <w:rsid w:val="00440511"/>
    <w:rsid w:val="00440868"/>
    <w:rsid w:val="00440E5F"/>
    <w:rsid w:val="0044174A"/>
    <w:rsid w:val="00441A99"/>
    <w:rsid w:val="0044341B"/>
    <w:rsid w:val="00443DFC"/>
    <w:rsid w:val="00444231"/>
    <w:rsid w:val="00444612"/>
    <w:rsid w:val="00444C72"/>
    <w:rsid w:val="00445929"/>
    <w:rsid w:val="00445DBC"/>
    <w:rsid w:val="00445E5F"/>
    <w:rsid w:val="004476AA"/>
    <w:rsid w:val="00451A18"/>
    <w:rsid w:val="004539EF"/>
    <w:rsid w:val="00453DBB"/>
    <w:rsid w:val="00454054"/>
    <w:rsid w:val="004542BB"/>
    <w:rsid w:val="00454802"/>
    <w:rsid w:val="00455905"/>
    <w:rsid w:val="00455EFE"/>
    <w:rsid w:val="00456510"/>
    <w:rsid w:val="0045654E"/>
    <w:rsid w:val="00456958"/>
    <w:rsid w:val="00457236"/>
    <w:rsid w:val="00457FA8"/>
    <w:rsid w:val="004607AA"/>
    <w:rsid w:val="004608B8"/>
    <w:rsid w:val="00460F0D"/>
    <w:rsid w:val="004615E4"/>
    <w:rsid w:val="004627D5"/>
    <w:rsid w:val="0046362D"/>
    <w:rsid w:val="004638BF"/>
    <w:rsid w:val="0046521C"/>
    <w:rsid w:val="00465521"/>
    <w:rsid w:val="00466238"/>
    <w:rsid w:val="00466504"/>
    <w:rsid w:val="0046655E"/>
    <w:rsid w:val="0047017A"/>
    <w:rsid w:val="00470652"/>
    <w:rsid w:val="00472510"/>
    <w:rsid w:val="00472AE1"/>
    <w:rsid w:val="00472BC3"/>
    <w:rsid w:val="00473DF6"/>
    <w:rsid w:val="00475DEF"/>
    <w:rsid w:val="00475EDF"/>
    <w:rsid w:val="00475F76"/>
    <w:rsid w:val="00476025"/>
    <w:rsid w:val="00476A69"/>
    <w:rsid w:val="00476BBD"/>
    <w:rsid w:val="00477108"/>
    <w:rsid w:val="0047719D"/>
    <w:rsid w:val="0047731D"/>
    <w:rsid w:val="00477575"/>
    <w:rsid w:val="00481288"/>
    <w:rsid w:val="0048138C"/>
    <w:rsid w:val="0048438A"/>
    <w:rsid w:val="00484875"/>
    <w:rsid w:val="00484CD9"/>
    <w:rsid w:val="004856CC"/>
    <w:rsid w:val="00486519"/>
    <w:rsid w:val="00487196"/>
    <w:rsid w:val="00487403"/>
    <w:rsid w:val="00491302"/>
    <w:rsid w:val="00491A4D"/>
    <w:rsid w:val="00491B13"/>
    <w:rsid w:val="00491D33"/>
    <w:rsid w:val="00491E3B"/>
    <w:rsid w:val="00492336"/>
    <w:rsid w:val="0049281C"/>
    <w:rsid w:val="00493054"/>
    <w:rsid w:val="00493CF5"/>
    <w:rsid w:val="00493D26"/>
    <w:rsid w:val="0049410A"/>
    <w:rsid w:val="00495D71"/>
    <w:rsid w:val="00496556"/>
    <w:rsid w:val="00497B1A"/>
    <w:rsid w:val="00497B4D"/>
    <w:rsid w:val="004A05FA"/>
    <w:rsid w:val="004A0738"/>
    <w:rsid w:val="004A0799"/>
    <w:rsid w:val="004A1793"/>
    <w:rsid w:val="004A17B6"/>
    <w:rsid w:val="004A3C19"/>
    <w:rsid w:val="004A3D5C"/>
    <w:rsid w:val="004A4225"/>
    <w:rsid w:val="004A444A"/>
    <w:rsid w:val="004A4506"/>
    <w:rsid w:val="004A4EEF"/>
    <w:rsid w:val="004A5097"/>
    <w:rsid w:val="004A6558"/>
    <w:rsid w:val="004A6D0E"/>
    <w:rsid w:val="004A738C"/>
    <w:rsid w:val="004B0656"/>
    <w:rsid w:val="004B258F"/>
    <w:rsid w:val="004B2E6D"/>
    <w:rsid w:val="004B3B36"/>
    <w:rsid w:val="004B432B"/>
    <w:rsid w:val="004B5B8C"/>
    <w:rsid w:val="004B6012"/>
    <w:rsid w:val="004B687A"/>
    <w:rsid w:val="004B7B57"/>
    <w:rsid w:val="004B7FBE"/>
    <w:rsid w:val="004C04B9"/>
    <w:rsid w:val="004C1130"/>
    <w:rsid w:val="004C4147"/>
    <w:rsid w:val="004C47F5"/>
    <w:rsid w:val="004C4937"/>
    <w:rsid w:val="004C50C3"/>
    <w:rsid w:val="004C5842"/>
    <w:rsid w:val="004C6779"/>
    <w:rsid w:val="004C752E"/>
    <w:rsid w:val="004C7F24"/>
    <w:rsid w:val="004D086A"/>
    <w:rsid w:val="004D127C"/>
    <w:rsid w:val="004D2588"/>
    <w:rsid w:val="004D26F8"/>
    <w:rsid w:val="004D2A02"/>
    <w:rsid w:val="004D2CC1"/>
    <w:rsid w:val="004D3AE4"/>
    <w:rsid w:val="004D5431"/>
    <w:rsid w:val="004D584B"/>
    <w:rsid w:val="004D5FC7"/>
    <w:rsid w:val="004D6799"/>
    <w:rsid w:val="004D730E"/>
    <w:rsid w:val="004D7625"/>
    <w:rsid w:val="004D763E"/>
    <w:rsid w:val="004D781F"/>
    <w:rsid w:val="004D7E57"/>
    <w:rsid w:val="004E1E7B"/>
    <w:rsid w:val="004E23AF"/>
    <w:rsid w:val="004E42E3"/>
    <w:rsid w:val="004E4AE0"/>
    <w:rsid w:val="004E5C03"/>
    <w:rsid w:val="004E5FF4"/>
    <w:rsid w:val="004E6CA2"/>
    <w:rsid w:val="004E7003"/>
    <w:rsid w:val="004E7122"/>
    <w:rsid w:val="004E79B5"/>
    <w:rsid w:val="004E7AFC"/>
    <w:rsid w:val="004F0273"/>
    <w:rsid w:val="004F05B3"/>
    <w:rsid w:val="004F14AB"/>
    <w:rsid w:val="004F2858"/>
    <w:rsid w:val="004F2D60"/>
    <w:rsid w:val="004F3FC3"/>
    <w:rsid w:val="004F4844"/>
    <w:rsid w:val="004F49F8"/>
    <w:rsid w:val="004F52B3"/>
    <w:rsid w:val="004F5440"/>
    <w:rsid w:val="004F5947"/>
    <w:rsid w:val="004F652A"/>
    <w:rsid w:val="004F6793"/>
    <w:rsid w:val="004F7078"/>
    <w:rsid w:val="004F7641"/>
    <w:rsid w:val="004F7D00"/>
    <w:rsid w:val="00500044"/>
    <w:rsid w:val="005013BF"/>
    <w:rsid w:val="00501FCA"/>
    <w:rsid w:val="0050200B"/>
    <w:rsid w:val="00502076"/>
    <w:rsid w:val="00503052"/>
    <w:rsid w:val="005036FC"/>
    <w:rsid w:val="005037E9"/>
    <w:rsid w:val="005041FC"/>
    <w:rsid w:val="00504487"/>
    <w:rsid w:val="0050481E"/>
    <w:rsid w:val="00506D8F"/>
    <w:rsid w:val="0050700E"/>
    <w:rsid w:val="005070B5"/>
    <w:rsid w:val="00507297"/>
    <w:rsid w:val="005117CE"/>
    <w:rsid w:val="005140ED"/>
    <w:rsid w:val="005142E3"/>
    <w:rsid w:val="0051626D"/>
    <w:rsid w:val="00516324"/>
    <w:rsid w:val="00516CF5"/>
    <w:rsid w:val="00516F61"/>
    <w:rsid w:val="00517662"/>
    <w:rsid w:val="00520267"/>
    <w:rsid w:val="005209DC"/>
    <w:rsid w:val="00520DB8"/>
    <w:rsid w:val="00520E1C"/>
    <w:rsid w:val="00520FE4"/>
    <w:rsid w:val="00521304"/>
    <w:rsid w:val="00521C08"/>
    <w:rsid w:val="00521CF7"/>
    <w:rsid w:val="005227C7"/>
    <w:rsid w:val="00522891"/>
    <w:rsid w:val="00522CEA"/>
    <w:rsid w:val="00523585"/>
    <w:rsid w:val="00523B5D"/>
    <w:rsid w:val="00523E8C"/>
    <w:rsid w:val="005254B3"/>
    <w:rsid w:val="00526520"/>
    <w:rsid w:val="00526583"/>
    <w:rsid w:val="005269E5"/>
    <w:rsid w:val="005271A7"/>
    <w:rsid w:val="0053009B"/>
    <w:rsid w:val="00531B0E"/>
    <w:rsid w:val="00531C06"/>
    <w:rsid w:val="00531CE8"/>
    <w:rsid w:val="00534396"/>
    <w:rsid w:val="005348D7"/>
    <w:rsid w:val="00534F94"/>
    <w:rsid w:val="0053521E"/>
    <w:rsid w:val="00536727"/>
    <w:rsid w:val="00536D4A"/>
    <w:rsid w:val="005377B2"/>
    <w:rsid w:val="005401B2"/>
    <w:rsid w:val="00541217"/>
    <w:rsid w:val="005413A7"/>
    <w:rsid w:val="00541F5E"/>
    <w:rsid w:val="00542CAB"/>
    <w:rsid w:val="00542CD1"/>
    <w:rsid w:val="00542FE9"/>
    <w:rsid w:val="00543A56"/>
    <w:rsid w:val="005442F2"/>
    <w:rsid w:val="00544995"/>
    <w:rsid w:val="00544DE4"/>
    <w:rsid w:val="0054502B"/>
    <w:rsid w:val="00545C15"/>
    <w:rsid w:val="00546653"/>
    <w:rsid w:val="00547B08"/>
    <w:rsid w:val="00550A61"/>
    <w:rsid w:val="00551436"/>
    <w:rsid w:val="0055176B"/>
    <w:rsid w:val="00552B76"/>
    <w:rsid w:val="00552CCA"/>
    <w:rsid w:val="005531FA"/>
    <w:rsid w:val="0055354F"/>
    <w:rsid w:val="00553A88"/>
    <w:rsid w:val="00553D06"/>
    <w:rsid w:val="00553FD5"/>
    <w:rsid w:val="005542A5"/>
    <w:rsid w:val="00555B21"/>
    <w:rsid w:val="00556136"/>
    <w:rsid w:val="005563FD"/>
    <w:rsid w:val="00557577"/>
    <w:rsid w:val="00557C23"/>
    <w:rsid w:val="005607AC"/>
    <w:rsid w:val="00561293"/>
    <w:rsid w:val="005612DE"/>
    <w:rsid w:val="00561D01"/>
    <w:rsid w:val="00561FA9"/>
    <w:rsid w:val="00561FF4"/>
    <w:rsid w:val="00563911"/>
    <w:rsid w:val="00564530"/>
    <w:rsid w:val="00564EF0"/>
    <w:rsid w:val="0056505E"/>
    <w:rsid w:val="00565A1C"/>
    <w:rsid w:val="00566497"/>
    <w:rsid w:val="00566D12"/>
    <w:rsid w:val="00566EB1"/>
    <w:rsid w:val="00567B45"/>
    <w:rsid w:val="005703BE"/>
    <w:rsid w:val="00570C3A"/>
    <w:rsid w:val="005713B3"/>
    <w:rsid w:val="0057206A"/>
    <w:rsid w:val="0057225C"/>
    <w:rsid w:val="00573639"/>
    <w:rsid w:val="00573AD4"/>
    <w:rsid w:val="00573FBC"/>
    <w:rsid w:val="00574E99"/>
    <w:rsid w:val="00574EF8"/>
    <w:rsid w:val="0057512A"/>
    <w:rsid w:val="005751E8"/>
    <w:rsid w:val="0057575D"/>
    <w:rsid w:val="005760A8"/>
    <w:rsid w:val="005764B9"/>
    <w:rsid w:val="00576C05"/>
    <w:rsid w:val="00577493"/>
    <w:rsid w:val="00581086"/>
    <w:rsid w:val="005821F4"/>
    <w:rsid w:val="00582610"/>
    <w:rsid w:val="00583D91"/>
    <w:rsid w:val="00585208"/>
    <w:rsid w:val="0058573F"/>
    <w:rsid w:val="0058599B"/>
    <w:rsid w:val="005875C4"/>
    <w:rsid w:val="00590AD1"/>
    <w:rsid w:val="00590EC8"/>
    <w:rsid w:val="0059168F"/>
    <w:rsid w:val="005918B1"/>
    <w:rsid w:val="00591E18"/>
    <w:rsid w:val="00592703"/>
    <w:rsid w:val="00593267"/>
    <w:rsid w:val="005936A7"/>
    <w:rsid w:val="00594DC9"/>
    <w:rsid w:val="00594E08"/>
    <w:rsid w:val="00594F6B"/>
    <w:rsid w:val="00595C05"/>
    <w:rsid w:val="00595D92"/>
    <w:rsid w:val="00596464"/>
    <w:rsid w:val="00597B73"/>
    <w:rsid w:val="00597B7B"/>
    <w:rsid w:val="005A19BB"/>
    <w:rsid w:val="005A1BA4"/>
    <w:rsid w:val="005A2F13"/>
    <w:rsid w:val="005A3A21"/>
    <w:rsid w:val="005A3E26"/>
    <w:rsid w:val="005A4392"/>
    <w:rsid w:val="005A61A8"/>
    <w:rsid w:val="005A62E3"/>
    <w:rsid w:val="005A7006"/>
    <w:rsid w:val="005A7CDD"/>
    <w:rsid w:val="005B1D6A"/>
    <w:rsid w:val="005B2DD4"/>
    <w:rsid w:val="005B3520"/>
    <w:rsid w:val="005B4AE6"/>
    <w:rsid w:val="005B5483"/>
    <w:rsid w:val="005B618C"/>
    <w:rsid w:val="005B7623"/>
    <w:rsid w:val="005C068C"/>
    <w:rsid w:val="005C07CE"/>
    <w:rsid w:val="005C0933"/>
    <w:rsid w:val="005C0D2D"/>
    <w:rsid w:val="005C1632"/>
    <w:rsid w:val="005C22AA"/>
    <w:rsid w:val="005C2928"/>
    <w:rsid w:val="005C33FA"/>
    <w:rsid w:val="005C3400"/>
    <w:rsid w:val="005C34AD"/>
    <w:rsid w:val="005C4B87"/>
    <w:rsid w:val="005C5409"/>
    <w:rsid w:val="005C563C"/>
    <w:rsid w:val="005C659A"/>
    <w:rsid w:val="005D02AC"/>
    <w:rsid w:val="005D0575"/>
    <w:rsid w:val="005D0AF6"/>
    <w:rsid w:val="005D180A"/>
    <w:rsid w:val="005D1993"/>
    <w:rsid w:val="005D1BD1"/>
    <w:rsid w:val="005D318C"/>
    <w:rsid w:val="005D3E4E"/>
    <w:rsid w:val="005D44DB"/>
    <w:rsid w:val="005D551C"/>
    <w:rsid w:val="005D5915"/>
    <w:rsid w:val="005D7716"/>
    <w:rsid w:val="005D796E"/>
    <w:rsid w:val="005E092E"/>
    <w:rsid w:val="005E15D9"/>
    <w:rsid w:val="005E18BD"/>
    <w:rsid w:val="005E1AB5"/>
    <w:rsid w:val="005E291A"/>
    <w:rsid w:val="005E2C4B"/>
    <w:rsid w:val="005E336D"/>
    <w:rsid w:val="005E33B8"/>
    <w:rsid w:val="005E45E0"/>
    <w:rsid w:val="005E4AA2"/>
    <w:rsid w:val="005E556D"/>
    <w:rsid w:val="005E5600"/>
    <w:rsid w:val="005E71C6"/>
    <w:rsid w:val="005E76CA"/>
    <w:rsid w:val="005F1621"/>
    <w:rsid w:val="005F3036"/>
    <w:rsid w:val="005F32F2"/>
    <w:rsid w:val="005F37B8"/>
    <w:rsid w:val="005F5052"/>
    <w:rsid w:val="005F5190"/>
    <w:rsid w:val="005F523F"/>
    <w:rsid w:val="005F52CD"/>
    <w:rsid w:val="005F6328"/>
    <w:rsid w:val="005F6A49"/>
    <w:rsid w:val="005F6B6A"/>
    <w:rsid w:val="005F7A47"/>
    <w:rsid w:val="00600362"/>
    <w:rsid w:val="00600B23"/>
    <w:rsid w:val="00601366"/>
    <w:rsid w:val="006019F2"/>
    <w:rsid w:val="00602311"/>
    <w:rsid w:val="00603A59"/>
    <w:rsid w:val="00604197"/>
    <w:rsid w:val="00604BB0"/>
    <w:rsid w:val="0060505C"/>
    <w:rsid w:val="00605A10"/>
    <w:rsid w:val="0060628E"/>
    <w:rsid w:val="006066EE"/>
    <w:rsid w:val="00606782"/>
    <w:rsid w:val="006074E1"/>
    <w:rsid w:val="00607D9D"/>
    <w:rsid w:val="00610B4C"/>
    <w:rsid w:val="00610CD7"/>
    <w:rsid w:val="00610FFA"/>
    <w:rsid w:val="006110B7"/>
    <w:rsid w:val="0061158B"/>
    <w:rsid w:val="00611995"/>
    <w:rsid w:val="00611CCB"/>
    <w:rsid w:val="00613085"/>
    <w:rsid w:val="00613B93"/>
    <w:rsid w:val="00613BE0"/>
    <w:rsid w:val="006151C2"/>
    <w:rsid w:val="00615A12"/>
    <w:rsid w:val="00620651"/>
    <w:rsid w:val="00620DE2"/>
    <w:rsid w:val="00621595"/>
    <w:rsid w:val="00622437"/>
    <w:rsid w:val="00623045"/>
    <w:rsid w:val="00623717"/>
    <w:rsid w:val="00623E23"/>
    <w:rsid w:val="006247BC"/>
    <w:rsid w:val="006265C6"/>
    <w:rsid w:val="00627D1A"/>
    <w:rsid w:val="006307E7"/>
    <w:rsid w:val="00631C07"/>
    <w:rsid w:val="006323F8"/>
    <w:rsid w:val="006339C0"/>
    <w:rsid w:val="00633B88"/>
    <w:rsid w:val="00634002"/>
    <w:rsid w:val="0063563F"/>
    <w:rsid w:val="00636476"/>
    <w:rsid w:val="006369C8"/>
    <w:rsid w:val="00637562"/>
    <w:rsid w:val="00640CB6"/>
    <w:rsid w:val="006410CE"/>
    <w:rsid w:val="00641F53"/>
    <w:rsid w:val="0064212C"/>
    <w:rsid w:val="006435AB"/>
    <w:rsid w:val="00643D9B"/>
    <w:rsid w:val="00644872"/>
    <w:rsid w:val="00644C0D"/>
    <w:rsid w:val="00645B69"/>
    <w:rsid w:val="00646541"/>
    <w:rsid w:val="0065022B"/>
    <w:rsid w:val="00650FEB"/>
    <w:rsid w:val="00652625"/>
    <w:rsid w:val="00652916"/>
    <w:rsid w:val="00654581"/>
    <w:rsid w:val="00654DB1"/>
    <w:rsid w:val="006557AA"/>
    <w:rsid w:val="006557E6"/>
    <w:rsid w:val="00655AEF"/>
    <w:rsid w:val="00655F33"/>
    <w:rsid w:val="00656688"/>
    <w:rsid w:val="00656729"/>
    <w:rsid w:val="00657C39"/>
    <w:rsid w:val="00660EC5"/>
    <w:rsid w:val="0066105D"/>
    <w:rsid w:val="00662E77"/>
    <w:rsid w:val="006639F3"/>
    <w:rsid w:val="0066402C"/>
    <w:rsid w:val="0066426C"/>
    <w:rsid w:val="00664362"/>
    <w:rsid w:val="006649A6"/>
    <w:rsid w:val="006651BA"/>
    <w:rsid w:val="0066657A"/>
    <w:rsid w:val="00666BAF"/>
    <w:rsid w:val="00666E96"/>
    <w:rsid w:val="0066797E"/>
    <w:rsid w:val="00667ECD"/>
    <w:rsid w:val="00667F82"/>
    <w:rsid w:val="00670799"/>
    <w:rsid w:val="00671A47"/>
    <w:rsid w:val="006735A2"/>
    <w:rsid w:val="00674EA5"/>
    <w:rsid w:val="00674FA7"/>
    <w:rsid w:val="00675298"/>
    <w:rsid w:val="00676DC3"/>
    <w:rsid w:val="00676F2B"/>
    <w:rsid w:val="00676FA5"/>
    <w:rsid w:val="00680474"/>
    <w:rsid w:val="00680543"/>
    <w:rsid w:val="0068068D"/>
    <w:rsid w:val="006806F8"/>
    <w:rsid w:val="00680713"/>
    <w:rsid w:val="006813A1"/>
    <w:rsid w:val="006817A6"/>
    <w:rsid w:val="00683BAF"/>
    <w:rsid w:val="006841B0"/>
    <w:rsid w:val="00684DEE"/>
    <w:rsid w:val="00685440"/>
    <w:rsid w:val="006865EF"/>
    <w:rsid w:val="006871B0"/>
    <w:rsid w:val="006875DB"/>
    <w:rsid w:val="0069036C"/>
    <w:rsid w:val="00691032"/>
    <w:rsid w:val="0069139B"/>
    <w:rsid w:val="00691769"/>
    <w:rsid w:val="00691F9D"/>
    <w:rsid w:val="00693054"/>
    <w:rsid w:val="0069462F"/>
    <w:rsid w:val="006951B0"/>
    <w:rsid w:val="006951FB"/>
    <w:rsid w:val="00695439"/>
    <w:rsid w:val="0069588C"/>
    <w:rsid w:val="00696256"/>
    <w:rsid w:val="006A0481"/>
    <w:rsid w:val="006A067A"/>
    <w:rsid w:val="006A1B83"/>
    <w:rsid w:val="006A1D2F"/>
    <w:rsid w:val="006A1E44"/>
    <w:rsid w:val="006A2444"/>
    <w:rsid w:val="006A3F59"/>
    <w:rsid w:val="006A4280"/>
    <w:rsid w:val="006A4682"/>
    <w:rsid w:val="006A469C"/>
    <w:rsid w:val="006A4924"/>
    <w:rsid w:val="006A50A4"/>
    <w:rsid w:val="006A5DC5"/>
    <w:rsid w:val="006A6F2B"/>
    <w:rsid w:val="006B09E5"/>
    <w:rsid w:val="006B0ABA"/>
    <w:rsid w:val="006B210C"/>
    <w:rsid w:val="006B2BFC"/>
    <w:rsid w:val="006B350F"/>
    <w:rsid w:val="006B3511"/>
    <w:rsid w:val="006B3650"/>
    <w:rsid w:val="006B3AA1"/>
    <w:rsid w:val="006B4B1C"/>
    <w:rsid w:val="006B52F3"/>
    <w:rsid w:val="006B6033"/>
    <w:rsid w:val="006B6B57"/>
    <w:rsid w:val="006B7171"/>
    <w:rsid w:val="006B778D"/>
    <w:rsid w:val="006B77D6"/>
    <w:rsid w:val="006C0510"/>
    <w:rsid w:val="006C0879"/>
    <w:rsid w:val="006C1131"/>
    <w:rsid w:val="006C17DF"/>
    <w:rsid w:val="006C1A3E"/>
    <w:rsid w:val="006C20A7"/>
    <w:rsid w:val="006C25FB"/>
    <w:rsid w:val="006C298F"/>
    <w:rsid w:val="006C36CF"/>
    <w:rsid w:val="006C37DF"/>
    <w:rsid w:val="006C4D78"/>
    <w:rsid w:val="006C4EF5"/>
    <w:rsid w:val="006C6F17"/>
    <w:rsid w:val="006C6FCC"/>
    <w:rsid w:val="006C7587"/>
    <w:rsid w:val="006D0192"/>
    <w:rsid w:val="006D1B45"/>
    <w:rsid w:val="006D3903"/>
    <w:rsid w:val="006D39B3"/>
    <w:rsid w:val="006D4926"/>
    <w:rsid w:val="006D4FFE"/>
    <w:rsid w:val="006D539F"/>
    <w:rsid w:val="006D54F3"/>
    <w:rsid w:val="006D58BF"/>
    <w:rsid w:val="006D670C"/>
    <w:rsid w:val="006D74EC"/>
    <w:rsid w:val="006E00CC"/>
    <w:rsid w:val="006E195F"/>
    <w:rsid w:val="006E3687"/>
    <w:rsid w:val="006E3B97"/>
    <w:rsid w:val="006E3ED6"/>
    <w:rsid w:val="006E456A"/>
    <w:rsid w:val="006E5705"/>
    <w:rsid w:val="006E637E"/>
    <w:rsid w:val="006E6684"/>
    <w:rsid w:val="006E6E91"/>
    <w:rsid w:val="006E7464"/>
    <w:rsid w:val="006E7BAC"/>
    <w:rsid w:val="006F065A"/>
    <w:rsid w:val="006F2616"/>
    <w:rsid w:val="006F2692"/>
    <w:rsid w:val="006F34CD"/>
    <w:rsid w:val="006F3819"/>
    <w:rsid w:val="006F407A"/>
    <w:rsid w:val="006F4CB8"/>
    <w:rsid w:val="006F55FA"/>
    <w:rsid w:val="006F57BB"/>
    <w:rsid w:val="006F5919"/>
    <w:rsid w:val="006F6B96"/>
    <w:rsid w:val="006F7A04"/>
    <w:rsid w:val="00700B0D"/>
    <w:rsid w:val="00700BDB"/>
    <w:rsid w:val="007011B2"/>
    <w:rsid w:val="00701A04"/>
    <w:rsid w:val="007036F4"/>
    <w:rsid w:val="00704B39"/>
    <w:rsid w:val="00705A12"/>
    <w:rsid w:val="00705A71"/>
    <w:rsid w:val="00706461"/>
    <w:rsid w:val="00706544"/>
    <w:rsid w:val="00706E35"/>
    <w:rsid w:val="007072F7"/>
    <w:rsid w:val="0070754A"/>
    <w:rsid w:val="00707D0D"/>
    <w:rsid w:val="00707D14"/>
    <w:rsid w:val="00707D4C"/>
    <w:rsid w:val="00707EC3"/>
    <w:rsid w:val="007105B6"/>
    <w:rsid w:val="00710AA0"/>
    <w:rsid w:val="007117CD"/>
    <w:rsid w:val="0071191E"/>
    <w:rsid w:val="007119EF"/>
    <w:rsid w:val="00712968"/>
    <w:rsid w:val="00712A34"/>
    <w:rsid w:val="00713738"/>
    <w:rsid w:val="00713B99"/>
    <w:rsid w:val="00713BD5"/>
    <w:rsid w:val="00714875"/>
    <w:rsid w:val="00714953"/>
    <w:rsid w:val="0071620D"/>
    <w:rsid w:val="00716406"/>
    <w:rsid w:val="00717E52"/>
    <w:rsid w:val="00720408"/>
    <w:rsid w:val="007204E9"/>
    <w:rsid w:val="007205CD"/>
    <w:rsid w:val="00720B41"/>
    <w:rsid w:val="00720BB6"/>
    <w:rsid w:val="00720D88"/>
    <w:rsid w:val="00721426"/>
    <w:rsid w:val="00721691"/>
    <w:rsid w:val="007222A8"/>
    <w:rsid w:val="0072417C"/>
    <w:rsid w:val="00724F66"/>
    <w:rsid w:val="00725DBF"/>
    <w:rsid w:val="007269C6"/>
    <w:rsid w:val="00730016"/>
    <w:rsid w:val="00730538"/>
    <w:rsid w:val="00730C2B"/>
    <w:rsid w:val="00730E30"/>
    <w:rsid w:val="00731290"/>
    <w:rsid w:val="00732B4F"/>
    <w:rsid w:val="007334D1"/>
    <w:rsid w:val="007339AA"/>
    <w:rsid w:val="00733B9E"/>
    <w:rsid w:val="00733DA1"/>
    <w:rsid w:val="007343BF"/>
    <w:rsid w:val="00734478"/>
    <w:rsid w:val="00734564"/>
    <w:rsid w:val="00734760"/>
    <w:rsid w:val="00735279"/>
    <w:rsid w:val="00735651"/>
    <w:rsid w:val="007359F4"/>
    <w:rsid w:val="007361FD"/>
    <w:rsid w:val="00736DB0"/>
    <w:rsid w:val="00737744"/>
    <w:rsid w:val="007377AB"/>
    <w:rsid w:val="00740041"/>
    <w:rsid w:val="007400E9"/>
    <w:rsid w:val="00740D57"/>
    <w:rsid w:val="00741EA7"/>
    <w:rsid w:val="00741F73"/>
    <w:rsid w:val="0074371A"/>
    <w:rsid w:val="0074498C"/>
    <w:rsid w:val="00744D20"/>
    <w:rsid w:val="007451AE"/>
    <w:rsid w:val="00745997"/>
    <w:rsid w:val="00745D40"/>
    <w:rsid w:val="00745F4C"/>
    <w:rsid w:val="0074726B"/>
    <w:rsid w:val="007474AC"/>
    <w:rsid w:val="0074752F"/>
    <w:rsid w:val="007475DB"/>
    <w:rsid w:val="00750E0C"/>
    <w:rsid w:val="007514B5"/>
    <w:rsid w:val="0075187A"/>
    <w:rsid w:val="0075312A"/>
    <w:rsid w:val="00753BAC"/>
    <w:rsid w:val="00753BC3"/>
    <w:rsid w:val="007540AB"/>
    <w:rsid w:val="007553FE"/>
    <w:rsid w:val="007563A9"/>
    <w:rsid w:val="007564AC"/>
    <w:rsid w:val="00757126"/>
    <w:rsid w:val="0076015E"/>
    <w:rsid w:val="00760C4E"/>
    <w:rsid w:val="00760E59"/>
    <w:rsid w:val="00761FBE"/>
    <w:rsid w:val="0076236F"/>
    <w:rsid w:val="00762675"/>
    <w:rsid w:val="00766064"/>
    <w:rsid w:val="00766A53"/>
    <w:rsid w:val="00767506"/>
    <w:rsid w:val="007677CA"/>
    <w:rsid w:val="0077048E"/>
    <w:rsid w:val="00770834"/>
    <w:rsid w:val="007722DB"/>
    <w:rsid w:val="00774E20"/>
    <w:rsid w:val="00775783"/>
    <w:rsid w:val="00775FA1"/>
    <w:rsid w:val="007764A3"/>
    <w:rsid w:val="00776C75"/>
    <w:rsid w:val="00780225"/>
    <w:rsid w:val="007803B7"/>
    <w:rsid w:val="00781A75"/>
    <w:rsid w:val="00782239"/>
    <w:rsid w:val="00782502"/>
    <w:rsid w:val="00783F56"/>
    <w:rsid w:val="0078624A"/>
    <w:rsid w:val="00787363"/>
    <w:rsid w:val="007906B1"/>
    <w:rsid w:val="00790978"/>
    <w:rsid w:val="00790C85"/>
    <w:rsid w:val="007913B2"/>
    <w:rsid w:val="00791D5E"/>
    <w:rsid w:val="007924C7"/>
    <w:rsid w:val="007929A0"/>
    <w:rsid w:val="00792D5F"/>
    <w:rsid w:val="0079371D"/>
    <w:rsid w:val="00793B19"/>
    <w:rsid w:val="00794BDD"/>
    <w:rsid w:val="00794C74"/>
    <w:rsid w:val="00795036"/>
    <w:rsid w:val="00795428"/>
    <w:rsid w:val="00795DFE"/>
    <w:rsid w:val="007A0761"/>
    <w:rsid w:val="007A08C5"/>
    <w:rsid w:val="007A0B19"/>
    <w:rsid w:val="007A1F65"/>
    <w:rsid w:val="007A28AE"/>
    <w:rsid w:val="007A3827"/>
    <w:rsid w:val="007A43E3"/>
    <w:rsid w:val="007A47B5"/>
    <w:rsid w:val="007A4FD5"/>
    <w:rsid w:val="007A5032"/>
    <w:rsid w:val="007A548B"/>
    <w:rsid w:val="007A5A04"/>
    <w:rsid w:val="007A5DDF"/>
    <w:rsid w:val="007A5E6E"/>
    <w:rsid w:val="007A6682"/>
    <w:rsid w:val="007A6808"/>
    <w:rsid w:val="007A6822"/>
    <w:rsid w:val="007A74D9"/>
    <w:rsid w:val="007B0B36"/>
    <w:rsid w:val="007B152D"/>
    <w:rsid w:val="007B2479"/>
    <w:rsid w:val="007B3B55"/>
    <w:rsid w:val="007B4662"/>
    <w:rsid w:val="007C06DD"/>
    <w:rsid w:val="007C22B4"/>
    <w:rsid w:val="007C2696"/>
    <w:rsid w:val="007C2B99"/>
    <w:rsid w:val="007C2C85"/>
    <w:rsid w:val="007C2DF9"/>
    <w:rsid w:val="007C313A"/>
    <w:rsid w:val="007C38F8"/>
    <w:rsid w:val="007C401E"/>
    <w:rsid w:val="007C430F"/>
    <w:rsid w:val="007C47F5"/>
    <w:rsid w:val="007C4B8F"/>
    <w:rsid w:val="007C5A35"/>
    <w:rsid w:val="007C6948"/>
    <w:rsid w:val="007C69E0"/>
    <w:rsid w:val="007D1633"/>
    <w:rsid w:val="007D1B1F"/>
    <w:rsid w:val="007D32F1"/>
    <w:rsid w:val="007D3DEA"/>
    <w:rsid w:val="007D41E2"/>
    <w:rsid w:val="007D60F4"/>
    <w:rsid w:val="007D638B"/>
    <w:rsid w:val="007D655F"/>
    <w:rsid w:val="007D6574"/>
    <w:rsid w:val="007D6734"/>
    <w:rsid w:val="007D7221"/>
    <w:rsid w:val="007D794E"/>
    <w:rsid w:val="007E18FF"/>
    <w:rsid w:val="007E1EFE"/>
    <w:rsid w:val="007E2816"/>
    <w:rsid w:val="007E2D02"/>
    <w:rsid w:val="007E3D46"/>
    <w:rsid w:val="007E3E73"/>
    <w:rsid w:val="007E40AC"/>
    <w:rsid w:val="007E418F"/>
    <w:rsid w:val="007E4618"/>
    <w:rsid w:val="007E4CC1"/>
    <w:rsid w:val="007E5259"/>
    <w:rsid w:val="007E5AB2"/>
    <w:rsid w:val="007E5F05"/>
    <w:rsid w:val="007E714D"/>
    <w:rsid w:val="007E75BB"/>
    <w:rsid w:val="007E7780"/>
    <w:rsid w:val="007F032A"/>
    <w:rsid w:val="007F24CB"/>
    <w:rsid w:val="007F2A56"/>
    <w:rsid w:val="007F424C"/>
    <w:rsid w:val="007F461C"/>
    <w:rsid w:val="007F4D6F"/>
    <w:rsid w:val="007F528E"/>
    <w:rsid w:val="007F54E3"/>
    <w:rsid w:val="007F66F7"/>
    <w:rsid w:val="007F7BC6"/>
    <w:rsid w:val="007F7BCD"/>
    <w:rsid w:val="007F7FE6"/>
    <w:rsid w:val="00800921"/>
    <w:rsid w:val="00800CFF"/>
    <w:rsid w:val="00802657"/>
    <w:rsid w:val="00802693"/>
    <w:rsid w:val="00803BD6"/>
    <w:rsid w:val="00804F5A"/>
    <w:rsid w:val="008051D7"/>
    <w:rsid w:val="00806552"/>
    <w:rsid w:val="00806881"/>
    <w:rsid w:val="00806BD4"/>
    <w:rsid w:val="0081195F"/>
    <w:rsid w:val="00812D76"/>
    <w:rsid w:val="00812DC0"/>
    <w:rsid w:val="00813220"/>
    <w:rsid w:val="0081326C"/>
    <w:rsid w:val="008136C3"/>
    <w:rsid w:val="00814829"/>
    <w:rsid w:val="00814EBF"/>
    <w:rsid w:val="00814FCD"/>
    <w:rsid w:val="00815999"/>
    <w:rsid w:val="00815B85"/>
    <w:rsid w:val="008178AB"/>
    <w:rsid w:val="00817E54"/>
    <w:rsid w:val="00820A9B"/>
    <w:rsid w:val="008216E0"/>
    <w:rsid w:val="00821998"/>
    <w:rsid w:val="00821FA6"/>
    <w:rsid w:val="00822E61"/>
    <w:rsid w:val="0082329F"/>
    <w:rsid w:val="00823D1D"/>
    <w:rsid w:val="00824F8B"/>
    <w:rsid w:val="00825A3D"/>
    <w:rsid w:val="008262C4"/>
    <w:rsid w:val="008264F1"/>
    <w:rsid w:val="00826DF2"/>
    <w:rsid w:val="00827729"/>
    <w:rsid w:val="008279C3"/>
    <w:rsid w:val="0083137C"/>
    <w:rsid w:val="008328FB"/>
    <w:rsid w:val="00833271"/>
    <w:rsid w:val="0083330A"/>
    <w:rsid w:val="00833F57"/>
    <w:rsid w:val="00834257"/>
    <w:rsid w:val="00834C2A"/>
    <w:rsid w:val="00834FEB"/>
    <w:rsid w:val="0083550C"/>
    <w:rsid w:val="0083562E"/>
    <w:rsid w:val="008361A9"/>
    <w:rsid w:val="00836C2D"/>
    <w:rsid w:val="00841577"/>
    <w:rsid w:val="00842388"/>
    <w:rsid w:val="0084266C"/>
    <w:rsid w:val="00842BDD"/>
    <w:rsid w:val="00843A7D"/>
    <w:rsid w:val="00844464"/>
    <w:rsid w:val="0084479D"/>
    <w:rsid w:val="0084485E"/>
    <w:rsid w:val="00846C8A"/>
    <w:rsid w:val="00846FB5"/>
    <w:rsid w:val="008474E5"/>
    <w:rsid w:val="008477C7"/>
    <w:rsid w:val="00847EDE"/>
    <w:rsid w:val="0085082D"/>
    <w:rsid w:val="008511B1"/>
    <w:rsid w:val="0085156C"/>
    <w:rsid w:val="00851643"/>
    <w:rsid w:val="00851E52"/>
    <w:rsid w:val="00854CDA"/>
    <w:rsid w:val="00855AFA"/>
    <w:rsid w:val="008561D9"/>
    <w:rsid w:val="00856ADA"/>
    <w:rsid w:val="00857904"/>
    <w:rsid w:val="008604C2"/>
    <w:rsid w:val="00860A4E"/>
    <w:rsid w:val="00860E68"/>
    <w:rsid w:val="008611CA"/>
    <w:rsid w:val="0086201B"/>
    <w:rsid w:val="00862B44"/>
    <w:rsid w:val="00862D7E"/>
    <w:rsid w:val="00862DB7"/>
    <w:rsid w:val="0086326E"/>
    <w:rsid w:val="00863567"/>
    <w:rsid w:val="008639B1"/>
    <w:rsid w:val="008648DA"/>
    <w:rsid w:val="00871875"/>
    <w:rsid w:val="00872634"/>
    <w:rsid w:val="008729A0"/>
    <w:rsid w:val="00873181"/>
    <w:rsid w:val="0087366A"/>
    <w:rsid w:val="00873823"/>
    <w:rsid w:val="008740A8"/>
    <w:rsid w:val="00880767"/>
    <w:rsid w:val="00882727"/>
    <w:rsid w:val="0088282B"/>
    <w:rsid w:val="00882F6A"/>
    <w:rsid w:val="00884A4F"/>
    <w:rsid w:val="00884DDB"/>
    <w:rsid w:val="00885FA7"/>
    <w:rsid w:val="008875E0"/>
    <w:rsid w:val="00887737"/>
    <w:rsid w:val="00890FF0"/>
    <w:rsid w:val="00891478"/>
    <w:rsid w:val="008917A6"/>
    <w:rsid w:val="0089192D"/>
    <w:rsid w:val="008919D9"/>
    <w:rsid w:val="00891BD1"/>
    <w:rsid w:val="00893441"/>
    <w:rsid w:val="00893E7B"/>
    <w:rsid w:val="0089447C"/>
    <w:rsid w:val="0089556C"/>
    <w:rsid w:val="00896278"/>
    <w:rsid w:val="00897989"/>
    <w:rsid w:val="008A1A52"/>
    <w:rsid w:val="008A1E78"/>
    <w:rsid w:val="008A3194"/>
    <w:rsid w:val="008A3639"/>
    <w:rsid w:val="008A36D8"/>
    <w:rsid w:val="008A3FA1"/>
    <w:rsid w:val="008A4515"/>
    <w:rsid w:val="008A477E"/>
    <w:rsid w:val="008A4BEA"/>
    <w:rsid w:val="008A4FCA"/>
    <w:rsid w:val="008A5B6C"/>
    <w:rsid w:val="008A6C7F"/>
    <w:rsid w:val="008A7F5F"/>
    <w:rsid w:val="008B0993"/>
    <w:rsid w:val="008B0C51"/>
    <w:rsid w:val="008B15B5"/>
    <w:rsid w:val="008B26A8"/>
    <w:rsid w:val="008B4482"/>
    <w:rsid w:val="008B456D"/>
    <w:rsid w:val="008B4BA6"/>
    <w:rsid w:val="008C01C7"/>
    <w:rsid w:val="008C05E9"/>
    <w:rsid w:val="008C0A80"/>
    <w:rsid w:val="008C1CA8"/>
    <w:rsid w:val="008C26E0"/>
    <w:rsid w:val="008C2E50"/>
    <w:rsid w:val="008C475D"/>
    <w:rsid w:val="008C4781"/>
    <w:rsid w:val="008C4796"/>
    <w:rsid w:val="008C4C9D"/>
    <w:rsid w:val="008C67A3"/>
    <w:rsid w:val="008C69C2"/>
    <w:rsid w:val="008C6AF5"/>
    <w:rsid w:val="008C6D7E"/>
    <w:rsid w:val="008D0D43"/>
    <w:rsid w:val="008D233E"/>
    <w:rsid w:val="008D2DAB"/>
    <w:rsid w:val="008D2EDA"/>
    <w:rsid w:val="008D3CB9"/>
    <w:rsid w:val="008D3DDB"/>
    <w:rsid w:val="008D4102"/>
    <w:rsid w:val="008D4EB0"/>
    <w:rsid w:val="008D6F55"/>
    <w:rsid w:val="008E01F2"/>
    <w:rsid w:val="008E0CEC"/>
    <w:rsid w:val="008E211D"/>
    <w:rsid w:val="008E2381"/>
    <w:rsid w:val="008E28B3"/>
    <w:rsid w:val="008E38A1"/>
    <w:rsid w:val="008E5A91"/>
    <w:rsid w:val="008E5BDE"/>
    <w:rsid w:val="008E6261"/>
    <w:rsid w:val="008E65D9"/>
    <w:rsid w:val="008E7450"/>
    <w:rsid w:val="008F0044"/>
    <w:rsid w:val="008F1A04"/>
    <w:rsid w:val="008F1FE1"/>
    <w:rsid w:val="008F21F5"/>
    <w:rsid w:val="008F52EE"/>
    <w:rsid w:val="008F7BEA"/>
    <w:rsid w:val="009006E9"/>
    <w:rsid w:val="00901454"/>
    <w:rsid w:val="00901A3E"/>
    <w:rsid w:val="00902841"/>
    <w:rsid w:val="00902896"/>
    <w:rsid w:val="00903439"/>
    <w:rsid w:val="009045C2"/>
    <w:rsid w:val="009045DB"/>
    <w:rsid w:val="0090538E"/>
    <w:rsid w:val="009067A0"/>
    <w:rsid w:val="00906C49"/>
    <w:rsid w:val="00906DE8"/>
    <w:rsid w:val="00911DD2"/>
    <w:rsid w:val="00911F0F"/>
    <w:rsid w:val="00913A72"/>
    <w:rsid w:val="0091402E"/>
    <w:rsid w:val="009151DA"/>
    <w:rsid w:val="00915470"/>
    <w:rsid w:val="00915834"/>
    <w:rsid w:val="00915962"/>
    <w:rsid w:val="00915B15"/>
    <w:rsid w:val="00916A5E"/>
    <w:rsid w:val="0091705D"/>
    <w:rsid w:val="00917B7C"/>
    <w:rsid w:val="00920C26"/>
    <w:rsid w:val="00920E04"/>
    <w:rsid w:val="00921AD0"/>
    <w:rsid w:val="00923EA8"/>
    <w:rsid w:val="00923EC8"/>
    <w:rsid w:val="00924F9F"/>
    <w:rsid w:val="00925051"/>
    <w:rsid w:val="00925A8E"/>
    <w:rsid w:val="00926011"/>
    <w:rsid w:val="009265C5"/>
    <w:rsid w:val="009306FB"/>
    <w:rsid w:val="00931A23"/>
    <w:rsid w:val="00931C3D"/>
    <w:rsid w:val="00932033"/>
    <w:rsid w:val="009320D2"/>
    <w:rsid w:val="00932265"/>
    <w:rsid w:val="00934C55"/>
    <w:rsid w:val="00935E16"/>
    <w:rsid w:val="00935EBF"/>
    <w:rsid w:val="00935F1D"/>
    <w:rsid w:val="009409C1"/>
    <w:rsid w:val="00941AEC"/>
    <w:rsid w:val="009420D6"/>
    <w:rsid w:val="009424A0"/>
    <w:rsid w:val="009431B4"/>
    <w:rsid w:val="009436ED"/>
    <w:rsid w:val="00943A2F"/>
    <w:rsid w:val="00944306"/>
    <w:rsid w:val="009447F2"/>
    <w:rsid w:val="00945DFD"/>
    <w:rsid w:val="009464D8"/>
    <w:rsid w:val="0094758E"/>
    <w:rsid w:val="0094761A"/>
    <w:rsid w:val="00950C3B"/>
    <w:rsid w:val="009513CC"/>
    <w:rsid w:val="00951500"/>
    <w:rsid w:val="0095202E"/>
    <w:rsid w:val="0095290A"/>
    <w:rsid w:val="00953803"/>
    <w:rsid w:val="00953826"/>
    <w:rsid w:val="00953C35"/>
    <w:rsid w:val="009578B6"/>
    <w:rsid w:val="00961439"/>
    <w:rsid w:val="00961D6F"/>
    <w:rsid w:val="00961F34"/>
    <w:rsid w:val="00962BE2"/>
    <w:rsid w:val="00962C79"/>
    <w:rsid w:val="009631BC"/>
    <w:rsid w:val="0096371E"/>
    <w:rsid w:val="0096386D"/>
    <w:rsid w:val="00963DE3"/>
    <w:rsid w:val="00964B68"/>
    <w:rsid w:val="009654D9"/>
    <w:rsid w:val="009655EB"/>
    <w:rsid w:val="009665EF"/>
    <w:rsid w:val="00966EF4"/>
    <w:rsid w:val="00966F98"/>
    <w:rsid w:val="0096721C"/>
    <w:rsid w:val="009675F8"/>
    <w:rsid w:val="009705FE"/>
    <w:rsid w:val="00970715"/>
    <w:rsid w:val="009732F2"/>
    <w:rsid w:val="0097334A"/>
    <w:rsid w:val="00973935"/>
    <w:rsid w:val="0097425D"/>
    <w:rsid w:val="009742C2"/>
    <w:rsid w:val="00977553"/>
    <w:rsid w:val="00977A2F"/>
    <w:rsid w:val="009812A9"/>
    <w:rsid w:val="009818BF"/>
    <w:rsid w:val="009819A2"/>
    <w:rsid w:val="0098246C"/>
    <w:rsid w:val="009827EE"/>
    <w:rsid w:val="00983401"/>
    <w:rsid w:val="00983871"/>
    <w:rsid w:val="00984332"/>
    <w:rsid w:val="00984658"/>
    <w:rsid w:val="00984BA2"/>
    <w:rsid w:val="00984D37"/>
    <w:rsid w:val="00985280"/>
    <w:rsid w:val="0098582A"/>
    <w:rsid w:val="0098628C"/>
    <w:rsid w:val="00986A06"/>
    <w:rsid w:val="00986A86"/>
    <w:rsid w:val="00987B70"/>
    <w:rsid w:val="00987BF2"/>
    <w:rsid w:val="00987FAC"/>
    <w:rsid w:val="00990267"/>
    <w:rsid w:val="009907F3"/>
    <w:rsid w:val="00991860"/>
    <w:rsid w:val="00991A9D"/>
    <w:rsid w:val="0099204E"/>
    <w:rsid w:val="00992355"/>
    <w:rsid w:val="009936FD"/>
    <w:rsid w:val="009954E1"/>
    <w:rsid w:val="00995B32"/>
    <w:rsid w:val="009960CD"/>
    <w:rsid w:val="009963F7"/>
    <w:rsid w:val="00997753"/>
    <w:rsid w:val="009A09DF"/>
    <w:rsid w:val="009A11CF"/>
    <w:rsid w:val="009A1D70"/>
    <w:rsid w:val="009A22C7"/>
    <w:rsid w:val="009A43AB"/>
    <w:rsid w:val="009A43B8"/>
    <w:rsid w:val="009A500C"/>
    <w:rsid w:val="009A6704"/>
    <w:rsid w:val="009A6E5D"/>
    <w:rsid w:val="009A7CDA"/>
    <w:rsid w:val="009A7DAF"/>
    <w:rsid w:val="009B0877"/>
    <w:rsid w:val="009B0990"/>
    <w:rsid w:val="009B3418"/>
    <w:rsid w:val="009B3A15"/>
    <w:rsid w:val="009B4268"/>
    <w:rsid w:val="009B4318"/>
    <w:rsid w:val="009B483D"/>
    <w:rsid w:val="009B5D3D"/>
    <w:rsid w:val="009B6188"/>
    <w:rsid w:val="009B6E4C"/>
    <w:rsid w:val="009B6EE9"/>
    <w:rsid w:val="009B707F"/>
    <w:rsid w:val="009B78F2"/>
    <w:rsid w:val="009B7C8C"/>
    <w:rsid w:val="009C094C"/>
    <w:rsid w:val="009C1DC1"/>
    <w:rsid w:val="009C232C"/>
    <w:rsid w:val="009C3413"/>
    <w:rsid w:val="009C417C"/>
    <w:rsid w:val="009C48B1"/>
    <w:rsid w:val="009C4AF5"/>
    <w:rsid w:val="009C5A28"/>
    <w:rsid w:val="009C6169"/>
    <w:rsid w:val="009C6EC0"/>
    <w:rsid w:val="009C7D54"/>
    <w:rsid w:val="009D02F6"/>
    <w:rsid w:val="009D0FFE"/>
    <w:rsid w:val="009D1249"/>
    <w:rsid w:val="009D1827"/>
    <w:rsid w:val="009D2D96"/>
    <w:rsid w:val="009D3AB4"/>
    <w:rsid w:val="009D43AD"/>
    <w:rsid w:val="009D46B5"/>
    <w:rsid w:val="009D57A8"/>
    <w:rsid w:val="009D596D"/>
    <w:rsid w:val="009D5C77"/>
    <w:rsid w:val="009D60ED"/>
    <w:rsid w:val="009D775A"/>
    <w:rsid w:val="009E02B2"/>
    <w:rsid w:val="009E106E"/>
    <w:rsid w:val="009E148A"/>
    <w:rsid w:val="009E1D72"/>
    <w:rsid w:val="009E3261"/>
    <w:rsid w:val="009E37E2"/>
    <w:rsid w:val="009E3BD5"/>
    <w:rsid w:val="009E3EDF"/>
    <w:rsid w:val="009E587F"/>
    <w:rsid w:val="009E612F"/>
    <w:rsid w:val="009E66E3"/>
    <w:rsid w:val="009E6CB1"/>
    <w:rsid w:val="009E73D6"/>
    <w:rsid w:val="009F0807"/>
    <w:rsid w:val="009F26FA"/>
    <w:rsid w:val="009F2D51"/>
    <w:rsid w:val="009F400B"/>
    <w:rsid w:val="009F5BA7"/>
    <w:rsid w:val="009F7A88"/>
    <w:rsid w:val="00A0007F"/>
    <w:rsid w:val="00A001BA"/>
    <w:rsid w:val="00A0060F"/>
    <w:rsid w:val="00A008DD"/>
    <w:rsid w:val="00A00B05"/>
    <w:rsid w:val="00A00E44"/>
    <w:rsid w:val="00A010B8"/>
    <w:rsid w:val="00A01BCE"/>
    <w:rsid w:val="00A02D56"/>
    <w:rsid w:val="00A034AB"/>
    <w:rsid w:val="00A03920"/>
    <w:rsid w:val="00A04366"/>
    <w:rsid w:val="00A04449"/>
    <w:rsid w:val="00A049D6"/>
    <w:rsid w:val="00A049F0"/>
    <w:rsid w:val="00A05995"/>
    <w:rsid w:val="00A0614B"/>
    <w:rsid w:val="00A0782F"/>
    <w:rsid w:val="00A10A26"/>
    <w:rsid w:val="00A1152E"/>
    <w:rsid w:val="00A11AF2"/>
    <w:rsid w:val="00A1227D"/>
    <w:rsid w:val="00A12281"/>
    <w:rsid w:val="00A1270C"/>
    <w:rsid w:val="00A12B03"/>
    <w:rsid w:val="00A13A59"/>
    <w:rsid w:val="00A1432A"/>
    <w:rsid w:val="00A14432"/>
    <w:rsid w:val="00A14564"/>
    <w:rsid w:val="00A15526"/>
    <w:rsid w:val="00A1563E"/>
    <w:rsid w:val="00A15ACC"/>
    <w:rsid w:val="00A15AFF"/>
    <w:rsid w:val="00A16A1E"/>
    <w:rsid w:val="00A16B0B"/>
    <w:rsid w:val="00A16F29"/>
    <w:rsid w:val="00A2143F"/>
    <w:rsid w:val="00A2192C"/>
    <w:rsid w:val="00A2230B"/>
    <w:rsid w:val="00A22F2F"/>
    <w:rsid w:val="00A2300B"/>
    <w:rsid w:val="00A235EC"/>
    <w:rsid w:val="00A237DA"/>
    <w:rsid w:val="00A25511"/>
    <w:rsid w:val="00A2695F"/>
    <w:rsid w:val="00A2755E"/>
    <w:rsid w:val="00A27CD6"/>
    <w:rsid w:val="00A309F6"/>
    <w:rsid w:val="00A313A8"/>
    <w:rsid w:val="00A31ABC"/>
    <w:rsid w:val="00A3214C"/>
    <w:rsid w:val="00A3214D"/>
    <w:rsid w:val="00A33FDB"/>
    <w:rsid w:val="00A346B5"/>
    <w:rsid w:val="00A358C0"/>
    <w:rsid w:val="00A36D7B"/>
    <w:rsid w:val="00A375B3"/>
    <w:rsid w:val="00A3780A"/>
    <w:rsid w:val="00A40EC1"/>
    <w:rsid w:val="00A40EE7"/>
    <w:rsid w:val="00A423E6"/>
    <w:rsid w:val="00A435E1"/>
    <w:rsid w:val="00A43B5F"/>
    <w:rsid w:val="00A452D5"/>
    <w:rsid w:val="00A45424"/>
    <w:rsid w:val="00A45720"/>
    <w:rsid w:val="00A458B1"/>
    <w:rsid w:val="00A45ABA"/>
    <w:rsid w:val="00A46D34"/>
    <w:rsid w:val="00A46F5F"/>
    <w:rsid w:val="00A47C5B"/>
    <w:rsid w:val="00A47E87"/>
    <w:rsid w:val="00A50080"/>
    <w:rsid w:val="00A50CD3"/>
    <w:rsid w:val="00A51BA8"/>
    <w:rsid w:val="00A52749"/>
    <w:rsid w:val="00A53415"/>
    <w:rsid w:val="00A542E3"/>
    <w:rsid w:val="00A547E4"/>
    <w:rsid w:val="00A54D05"/>
    <w:rsid w:val="00A550E2"/>
    <w:rsid w:val="00A552E6"/>
    <w:rsid w:val="00A55697"/>
    <w:rsid w:val="00A55C67"/>
    <w:rsid w:val="00A56ADD"/>
    <w:rsid w:val="00A5709A"/>
    <w:rsid w:val="00A57181"/>
    <w:rsid w:val="00A575EF"/>
    <w:rsid w:val="00A57D3E"/>
    <w:rsid w:val="00A6142F"/>
    <w:rsid w:val="00A61896"/>
    <w:rsid w:val="00A61D07"/>
    <w:rsid w:val="00A62502"/>
    <w:rsid w:val="00A63ACA"/>
    <w:rsid w:val="00A65225"/>
    <w:rsid w:val="00A67AC3"/>
    <w:rsid w:val="00A67D87"/>
    <w:rsid w:val="00A712C2"/>
    <w:rsid w:val="00A716B7"/>
    <w:rsid w:val="00A725AB"/>
    <w:rsid w:val="00A72921"/>
    <w:rsid w:val="00A73823"/>
    <w:rsid w:val="00A7430E"/>
    <w:rsid w:val="00A74C61"/>
    <w:rsid w:val="00A767D7"/>
    <w:rsid w:val="00A77103"/>
    <w:rsid w:val="00A77123"/>
    <w:rsid w:val="00A77DCF"/>
    <w:rsid w:val="00A8098E"/>
    <w:rsid w:val="00A80B07"/>
    <w:rsid w:val="00A80E23"/>
    <w:rsid w:val="00A815AF"/>
    <w:rsid w:val="00A81A85"/>
    <w:rsid w:val="00A81A89"/>
    <w:rsid w:val="00A81CE4"/>
    <w:rsid w:val="00A82085"/>
    <w:rsid w:val="00A83935"/>
    <w:rsid w:val="00A83F65"/>
    <w:rsid w:val="00A84EC8"/>
    <w:rsid w:val="00A8520F"/>
    <w:rsid w:val="00A85ACB"/>
    <w:rsid w:val="00A86311"/>
    <w:rsid w:val="00A86A0A"/>
    <w:rsid w:val="00A9020A"/>
    <w:rsid w:val="00A91646"/>
    <w:rsid w:val="00A91E5B"/>
    <w:rsid w:val="00A925B2"/>
    <w:rsid w:val="00A92C3A"/>
    <w:rsid w:val="00A92CD9"/>
    <w:rsid w:val="00A92ED9"/>
    <w:rsid w:val="00A9315C"/>
    <w:rsid w:val="00A93FAF"/>
    <w:rsid w:val="00A9426A"/>
    <w:rsid w:val="00A95957"/>
    <w:rsid w:val="00A95F8F"/>
    <w:rsid w:val="00A96113"/>
    <w:rsid w:val="00A966F5"/>
    <w:rsid w:val="00A96980"/>
    <w:rsid w:val="00AA102B"/>
    <w:rsid w:val="00AA196E"/>
    <w:rsid w:val="00AA23C0"/>
    <w:rsid w:val="00AA2A1D"/>
    <w:rsid w:val="00AA31ED"/>
    <w:rsid w:val="00AA3318"/>
    <w:rsid w:val="00AA3BA6"/>
    <w:rsid w:val="00AA42D6"/>
    <w:rsid w:val="00AA4C23"/>
    <w:rsid w:val="00AA5577"/>
    <w:rsid w:val="00AA652F"/>
    <w:rsid w:val="00AA6ACA"/>
    <w:rsid w:val="00AA7100"/>
    <w:rsid w:val="00AA737B"/>
    <w:rsid w:val="00AB099F"/>
    <w:rsid w:val="00AB1161"/>
    <w:rsid w:val="00AB1700"/>
    <w:rsid w:val="00AB34E3"/>
    <w:rsid w:val="00AB4C83"/>
    <w:rsid w:val="00AB508B"/>
    <w:rsid w:val="00AB7646"/>
    <w:rsid w:val="00AB7D1F"/>
    <w:rsid w:val="00AC0941"/>
    <w:rsid w:val="00AC1939"/>
    <w:rsid w:val="00AC3556"/>
    <w:rsid w:val="00AC403A"/>
    <w:rsid w:val="00AC40A8"/>
    <w:rsid w:val="00AC425E"/>
    <w:rsid w:val="00AC456A"/>
    <w:rsid w:val="00AC4A8C"/>
    <w:rsid w:val="00AC5B5A"/>
    <w:rsid w:val="00AC6273"/>
    <w:rsid w:val="00AC6C4C"/>
    <w:rsid w:val="00AC6CB8"/>
    <w:rsid w:val="00AC72DB"/>
    <w:rsid w:val="00AC7ABA"/>
    <w:rsid w:val="00AD0BED"/>
    <w:rsid w:val="00AD0E75"/>
    <w:rsid w:val="00AD0FCB"/>
    <w:rsid w:val="00AD1BAD"/>
    <w:rsid w:val="00AD2800"/>
    <w:rsid w:val="00AD40BE"/>
    <w:rsid w:val="00AD420D"/>
    <w:rsid w:val="00AD459E"/>
    <w:rsid w:val="00AD4660"/>
    <w:rsid w:val="00AD53FD"/>
    <w:rsid w:val="00AD54B0"/>
    <w:rsid w:val="00AD5584"/>
    <w:rsid w:val="00AD592B"/>
    <w:rsid w:val="00AD5B60"/>
    <w:rsid w:val="00AD5CBD"/>
    <w:rsid w:val="00AD7E91"/>
    <w:rsid w:val="00AD7FBC"/>
    <w:rsid w:val="00AE1141"/>
    <w:rsid w:val="00AE126C"/>
    <w:rsid w:val="00AE14CC"/>
    <w:rsid w:val="00AE1E44"/>
    <w:rsid w:val="00AE2205"/>
    <w:rsid w:val="00AE2C06"/>
    <w:rsid w:val="00AE2E04"/>
    <w:rsid w:val="00AE4454"/>
    <w:rsid w:val="00AE4B25"/>
    <w:rsid w:val="00AE4EED"/>
    <w:rsid w:val="00AE5108"/>
    <w:rsid w:val="00AE59CE"/>
    <w:rsid w:val="00AE5C6D"/>
    <w:rsid w:val="00AF0DEC"/>
    <w:rsid w:val="00AF1196"/>
    <w:rsid w:val="00AF1346"/>
    <w:rsid w:val="00AF1899"/>
    <w:rsid w:val="00AF1A24"/>
    <w:rsid w:val="00AF1B37"/>
    <w:rsid w:val="00AF206E"/>
    <w:rsid w:val="00AF2416"/>
    <w:rsid w:val="00AF290F"/>
    <w:rsid w:val="00AF3FAC"/>
    <w:rsid w:val="00AF4FB2"/>
    <w:rsid w:val="00AF5261"/>
    <w:rsid w:val="00AF5FEF"/>
    <w:rsid w:val="00AF6040"/>
    <w:rsid w:val="00AF7618"/>
    <w:rsid w:val="00AF799A"/>
    <w:rsid w:val="00B00825"/>
    <w:rsid w:val="00B00DD8"/>
    <w:rsid w:val="00B01C8E"/>
    <w:rsid w:val="00B02045"/>
    <w:rsid w:val="00B0241B"/>
    <w:rsid w:val="00B031C8"/>
    <w:rsid w:val="00B03FDA"/>
    <w:rsid w:val="00B04206"/>
    <w:rsid w:val="00B04219"/>
    <w:rsid w:val="00B04CA4"/>
    <w:rsid w:val="00B04FEA"/>
    <w:rsid w:val="00B05C52"/>
    <w:rsid w:val="00B062F9"/>
    <w:rsid w:val="00B06523"/>
    <w:rsid w:val="00B0683D"/>
    <w:rsid w:val="00B06C2C"/>
    <w:rsid w:val="00B07E6B"/>
    <w:rsid w:val="00B10742"/>
    <w:rsid w:val="00B107AA"/>
    <w:rsid w:val="00B12230"/>
    <w:rsid w:val="00B129E7"/>
    <w:rsid w:val="00B13573"/>
    <w:rsid w:val="00B13BCD"/>
    <w:rsid w:val="00B149E7"/>
    <w:rsid w:val="00B16127"/>
    <w:rsid w:val="00B17119"/>
    <w:rsid w:val="00B227F6"/>
    <w:rsid w:val="00B2295A"/>
    <w:rsid w:val="00B23677"/>
    <w:rsid w:val="00B23C18"/>
    <w:rsid w:val="00B23C83"/>
    <w:rsid w:val="00B247B3"/>
    <w:rsid w:val="00B24A43"/>
    <w:rsid w:val="00B254FA"/>
    <w:rsid w:val="00B25EFB"/>
    <w:rsid w:val="00B269CF"/>
    <w:rsid w:val="00B26F55"/>
    <w:rsid w:val="00B2705A"/>
    <w:rsid w:val="00B27D1C"/>
    <w:rsid w:val="00B30076"/>
    <w:rsid w:val="00B30913"/>
    <w:rsid w:val="00B30BA6"/>
    <w:rsid w:val="00B3108D"/>
    <w:rsid w:val="00B310B1"/>
    <w:rsid w:val="00B31952"/>
    <w:rsid w:val="00B34CF4"/>
    <w:rsid w:val="00B35983"/>
    <w:rsid w:val="00B36FF5"/>
    <w:rsid w:val="00B377E5"/>
    <w:rsid w:val="00B40111"/>
    <w:rsid w:val="00B40119"/>
    <w:rsid w:val="00B40AD9"/>
    <w:rsid w:val="00B41117"/>
    <w:rsid w:val="00B41326"/>
    <w:rsid w:val="00B41416"/>
    <w:rsid w:val="00B4157C"/>
    <w:rsid w:val="00B417B6"/>
    <w:rsid w:val="00B41BAF"/>
    <w:rsid w:val="00B41DF7"/>
    <w:rsid w:val="00B41F83"/>
    <w:rsid w:val="00B422FA"/>
    <w:rsid w:val="00B424D0"/>
    <w:rsid w:val="00B43742"/>
    <w:rsid w:val="00B43E1D"/>
    <w:rsid w:val="00B445A4"/>
    <w:rsid w:val="00B4480F"/>
    <w:rsid w:val="00B44EA3"/>
    <w:rsid w:val="00B45737"/>
    <w:rsid w:val="00B459A8"/>
    <w:rsid w:val="00B45B54"/>
    <w:rsid w:val="00B45D6E"/>
    <w:rsid w:val="00B46B16"/>
    <w:rsid w:val="00B474A9"/>
    <w:rsid w:val="00B47E4E"/>
    <w:rsid w:val="00B52B0C"/>
    <w:rsid w:val="00B533A0"/>
    <w:rsid w:val="00B53ACB"/>
    <w:rsid w:val="00B544E7"/>
    <w:rsid w:val="00B55D29"/>
    <w:rsid w:val="00B56565"/>
    <w:rsid w:val="00B56B51"/>
    <w:rsid w:val="00B57AE4"/>
    <w:rsid w:val="00B57AF6"/>
    <w:rsid w:val="00B57BDB"/>
    <w:rsid w:val="00B60913"/>
    <w:rsid w:val="00B60FF4"/>
    <w:rsid w:val="00B6169D"/>
    <w:rsid w:val="00B634BA"/>
    <w:rsid w:val="00B63545"/>
    <w:rsid w:val="00B64125"/>
    <w:rsid w:val="00B64428"/>
    <w:rsid w:val="00B6452D"/>
    <w:rsid w:val="00B64805"/>
    <w:rsid w:val="00B653DC"/>
    <w:rsid w:val="00B65C24"/>
    <w:rsid w:val="00B65DA8"/>
    <w:rsid w:val="00B664F4"/>
    <w:rsid w:val="00B66CBD"/>
    <w:rsid w:val="00B67960"/>
    <w:rsid w:val="00B67FA4"/>
    <w:rsid w:val="00B700AA"/>
    <w:rsid w:val="00B70FE6"/>
    <w:rsid w:val="00B714E0"/>
    <w:rsid w:val="00B714FE"/>
    <w:rsid w:val="00B717C7"/>
    <w:rsid w:val="00B71E17"/>
    <w:rsid w:val="00B71F6E"/>
    <w:rsid w:val="00B721A3"/>
    <w:rsid w:val="00B72DF3"/>
    <w:rsid w:val="00B74170"/>
    <w:rsid w:val="00B744C8"/>
    <w:rsid w:val="00B74C22"/>
    <w:rsid w:val="00B74D7B"/>
    <w:rsid w:val="00B753A3"/>
    <w:rsid w:val="00B753E4"/>
    <w:rsid w:val="00B75B26"/>
    <w:rsid w:val="00B81866"/>
    <w:rsid w:val="00B818AC"/>
    <w:rsid w:val="00B81F46"/>
    <w:rsid w:val="00B8282C"/>
    <w:rsid w:val="00B82842"/>
    <w:rsid w:val="00B82C58"/>
    <w:rsid w:val="00B83259"/>
    <w:rsid w:val="00B840B0"/>
    <w:rsid w:val="00B8418C"/>
    <w:rsid w:val="00B84A46"/>
    <w:rsid w:val="00B84B49"/>
    <w:rsid w:val="00B85119"/>
    <w:rsid w:val="00B85CEC"/>
    <w:rsid w:val="00B87BF6"/>
    <w:rsid w:val="00B90258"/>
    <w:rsid w:val="00B930BC"/>
    <w:rsid w:val="00B93379"/>
    <w:rsid w:val="00B93D15"/>
    <w:rsid w:val="00B94E33"/>
    <w:rsid w:val="00B96A66"/>
    <w:rsid w:val="00B97251"/>
    <w:rsid w:val="00BA0B28"/>
    <w:rsid w:val="00BA0C9A"/>
    <w:rsid w:val="00BA0E4C"/>
    <w:rsid w:val="00BA205C"/>
    <w:rsid w:val="00BA3591"/>
    <w:rsid w:val="00BA3A5F"/>
    <w:rsid w:val="00BA3E40"/>
    <w:rsid w:val="00BA3FB9"/>
    <w:rsid w:val="00BA4A51"/>
    <w:rsid w:val="00BA53E2"/>
    <w:rsid w:val="00BA5971"/>
    <w:rsid w:val="00BA5A4F"/>
    <w:rsid w:val="00BA5D15"/>
    <w:rsid w:val="00BA794F"/>
    <w:rsid w:val="00BA7A26"/>
    <w:rsid w:val="00BA7EAF"/>
    <w:rsid w:val="00BB06F0"/>
    <w:rsid w:val="00BB1A5D"/>
    <w:rsid w:val="00BB3299"/>
    <w:rsid w:val="00BB36E6"/>
    <w:rsid w:val="00BB3EFB"/>
    <w:rsid w:val="00BB4064"/>
    <w:rsid w:val="00BB453F"/>
    <w:rsid w:val="00BB46E3"/>
    <w:rsid w:val="00BB50E7"/>
    <w:rsid w:val="00BB5802"/>
    <w:rsid w:val="00BB586F"/>
    <w:rsid w:val="00BB591A"/>
    <w:rsid w:val="00BB6175"/>
    <w:rsid w:val="00BB6742"/>
    <w:rsid w:val="00BB6E71"/>
    <w:rsid w:val="00BB7891"/>
    <w:rsid w:val="00BC05ED"/>
    <w:rsid w:val="00BC0C14"/>
    <w:rsid w:val="00BC15EB"/>
    <w:rsid w:val="00BC2F61"/>
    <w:rsid w:val="00BC3816"/>
    <w:rsid w:val="00BC3E93"/>
    <w:rsid w:val="00BC4101"/>
    <w:rsid w:val="00BC4BB8"/>
    <w:rsid w:val="00BC5E6D"/>
    <w:rsid w:val="00BC6E39"/>
    <w:rsid w:val="00BC7BE4"/>
    <w:rsid w:val="00BD051C"/>
    <w:rsid w:val="00BD05A6"/>
    <w:rsid w:val="00BD16D3"/>
    <w:rsid w:val="00BD2236"/>
    <w:rsid w:val="00BD28D7"/>
    <w:rsid w:val="00BD3AA0"/>
    <w:rsid w:val="00BD3F29"/>
    <w:rsid w:val="00BD5083"/>
    <w:rsid w:val="00BD511B"/>
    <w:rsid w:val="00BD5726"/>
    <w:rsid w:val="00BD5878"/>
    <w:rsid w:val="00BD5968"/>
    <w:rsid w:val="00BD5F7D"/>
    <w:rsid w:val="00BD7644"/>
    <w:rsid w:val="00BD7B04"/>
    <w:rsid w:val="00BD7B1F"/>
    <w:rsid w:val="00BD7FCB"/>
    <w:rsid w:val="00BE0750"/>
    <w:rsid w:val="00BE0B77"/>
    <w:rsid w:val="00BE0E09"/>
    <w:rsid w:val="00BE1759"/>
    <w:rsid w:val="00BE19C0"/>
    <w:rsid w:val="00BE3C71"/>
    <w:rsid w:val="00BE4612"/>
    <w:rsid w:val="00BE56D2"/>
    <w:rsid w:val="00BE596D"/>
    <w:rsid w:val="00BE5C22"/>
    <w:rsid w:val="00BE6287"/>
    <w:rsid w:val="00BE6DAA"/>
    <w:rsid w:val="00BF0056"/>
    <w:rsid w:val="00BF02D4"/>
    <w:rsid w:val="00BF089A"/>
    <w:rsid w:val="00BF145F"/>
    <w:rsid w:val="00BF1746"/>
    <w:rsid w:val="00BF2023"/>
    <w:rsid w:val="00BF341D"/>
    <w:rsid w:val="00BF38B3"/>
    <w:rsid w:val="00BF4281"/>
    <w:rsid w:val="00BF4471"/>
    <w:rsid w:val="00BF4F0F"/>
    <w:rsid w:val="00BF5481"/>
    <w:rsid w:val="00BF5F13"/>
    <w:rsid w:val="00BF5FF0"/>
    <w:rsid w:val="00BF619D"/>
    <w:rsid w:val="00BF7252"/>
    <w:rsid w:val="00BF7B5A"/>
    <w:rsid w:val="00BF7B83"/>
    <w:rsid w:val="00C02081"/>
    <w:rsid w:val="00C02A17"/>
    <w:rsid w:val="00C0487D"/>
    <w:rsid w:val="00C059D4"/>
    <w:rsid w:val="00C05D0B"/>
    <w:rsid w:val="00C06CDB"/>
    <w:rsid w:val="00C0706D"/>
    <w:rsid w:val="00C10CD1"/>
    <w:rsid w:val="00C111B3"/>
    <w:rsid w:val="00C118A4"/>
    <w:rsid w:val="00C14070"/>
    <w:rsid w:val="00C14BCD"/>
    <w:rsid w:val="00C155FC"/>
    <w:rsid w:val="00C15B88"/>
    <w:rsid w:val="00C169FF"/>
    <w:rsid w:val="00C16B64"/>
    <w:rsid w:val="00C20029"/>
    <w:rsid w:val="00C2077B"/>
    <w:rsid w:val="00C2087D"/>
    <w:rsid w:val="00C20C37"/>
    <w:rsid w:val="00C20E0C"/>
    <w:rsid w:val="00C2174E"/>
    <w:rsid w:val="00C21C70"/>
    <w:rsid w:val="00C21CA2"/>
    <w:rsid w:val="00C22EB0"/>
    <w:rsid w:val="00C2316E"/>
    <w:rsid w:val="00C246BF"/>
    <w:rsid w:val="00C24E5B"/>
    <w:rsid w:val="00C26AFA"/>
    <w:rsid w:val="00C26E79"/>
    <w:rsid w:val="00C27493"/>
    <w:rsid w:val="00C27AAD"/>
    <w:rsid w:val="00C27DCD"/>
    <w:rsid w:val="00C30689"/>
    <w:rsid w:val="00C309A9"/>
    <w:rsid w:val="00C318C2"/>
    <w:rsid w:val="00C32B30"/>
    <w:rsid w:val="00C33966"/>
    <w:rsid w:val="00C3403D"/>
    <w:rsid w:val="00C34DA1"/>
    <w:rsid w:val="00C3506A"/>
    <w:rsid w:val="00C4061C"/>
    <w:rsid w:val="00C40F86"/>
    <w:rsid w:val="00C4133D"/>
    <w:rsid w:val="00C42979"/>
    <w:rsid w:val="00C42E03"/>
    <w:rsid w:val="00C433B4"/>
    <w:rsid w:val="00C4419F"/>
    <w:rsid w:val="00C45202"/>
    <w:rsid w:val="00C45679"/>
    <w:rsid w:val="00C45808"/>
    <w:rsid w:val="00C46003"/>
    <w:rsid w:val="00C467DD"/>
    <w:rsid w:val="00C4689A"/>
    <w:rsid w:val="00C46B5A"/>
    <w:rsid w:val="00C507C7"/>
    <w:rsid w:val="00C50EB4"/>
    <w:rsid w:val="00C51D34"/>
    <w:rsid w:val="00C52607"/>
    <w:rsid w:val="00C52A6A"/>
    <w:rsid w:val="00C53D5B"/>
    <w:rsid w:val="00C53F79"/>
    <w:rsid w:val="00C53FB7"/>
    <w:rsid w:val="00C54EE1"/>
    <w:rsid w:val="00C55576"/>
    <w:rsid w:val="00C564C5"/>
    <w:rsid w:val="00C57F07"/>
    <w:rsid w:val="00C61CB1"/>
    <w:rsid w:val="00C620B2"/>
    <w:rsid w:val="00C623C9"/>
    <w:rsid w:val="00C62A39"/>
    <w:rsid w:val="00C6368D"/>
    <w:rsid w:val="00C638F8"/>
    <w:rsid w:val="00C643C6"/>
    <w:rsid w:val="00C64D01"/>
    <w:rsid w:val="00C65C82"/>
    <w:rsid w:val="00C66DB5"/>
    <w:rsid w:val="00C670DA"/>
    <w:rsid w:val="00C67346"/>
    <w:rsid w:val="00C67CA0"/>
    <w:rsid w:val="00C71C2B"/>
    <w:rsid w:val="00C71F01"/>
    <w:rsid w:val="00C722E3"/>
    <w:rsid w:val="00C72E8A"/>
    <w:rsid w:val="00C733AD"/>
    <w:rsid w:val="00C738CF"/>
    <w:rsid w:val="00C73EDF"/>
    <w:rsid w:val="00C746CB"/>
    <w:rsid w:val="00C74932"/>
    <w:rsid w:val="00C74FF6"/>
    <w:rsid w:val="00C75047"/>
    <w:rsid w:val="00C7582F"/>
    <w:rsid w:val="00C75F19"/>
    <w:rsid w:val="00C766BE"/>
    <w:rsid w:val="00C776EE"/>
    <w:rsid w:val="00C80618"/>
    <w:rsid w:val="00C809F2"/>
    <w:rsid w:val="00C8147B"/>
    <w:rsid w:val="00C81837"/>
    <w:rsid w:val="00C82971"/>
    <w:rsid w:val="00C82FEC"/>
    <w:rsid w:val="00C83387"/>
    <w:rsid w:val="00C8458F"/>
    <w:rsid w:val="00C84D8F"/>
    <w:rsid w:val="00C84F1D"/>
    <w:rsid w:val="00C84F6E"/>
    <w:rsid w:val="00C85214"/>
    <w:rsid w:val="00C8557A"/>
    <w:rsid w:val="00C86AE6"/>
    <w:rsid w:val="00C87C9E"/>
    <w:rsid w:val="00C87ED2"/>
    <w:rsid w:val="00C9131B"/>
    <w:rsid w:val="00C913BE"/>
    <w:rsid w:val="00C917A3"/>
    <w:rsid w:val="00C946DA"/>
    <w:rsid w:val="00C95BFC"/>
    <w:rsid w:val="00C96132"/>
    <w:rsid w:val="00CA0C0B"/>
    <w:rsid w:val="00CA0CD8"/>
    <w:rsid w:val="00CA1C81"/>
    <w:rsid w:val="00CA21BD"/>
    <w:rsid w:val="00CA57A3"/>
    <w:rsid w:val="00CA6E8E"/>
    <w:rsid w:val="00CA7CC0"/>
    <w:rsid w:val="00CB0A52"/>
    <w:rsid w:val="00CB1020"/>
    <w:rsid w:val="00CB1174"/>
    <w:rsid w:val="00CB24CB"/>
    <w:rsid w:val="00CB2AA6"/>
    <w:rsid w:val="00CB3705"/>
    <w:rsid w:val="00CB3E0B"/>
    <w:rsid w:val="00CB3E41"/>
    <w:rsid w:val="00CB4F88"/>
    <w:rsid w:val="00CB54A1"/>
    <w:rsid w:val="00CB6EF6"/>
    <w:rsid w:val="00CB74C7"/>
    <w:rsid w:val="00CB79CF"/>
    <w:rsid w:val="00CC0670"/>
    <w:rsid w:val="00CC41FF"/>
    <w:rsid w:val="00CC5A92"/>
    <w:rsid w:val="00CC63B5"/>
    <w:rsid w:val="00CC6B6C"/>
    <w:rsid w:val="00CC72A3"/>
    <w:rsid w:val="00CC7334"/>
    <w:rsid w:val="00CC7D60"/>
    <w:rsid w:val="00CD03E8"/>
    <w:rsid w:val="00CD0455"/>
    <w:rsid w:val="00CD064D"/>
    <w:rsid w:val="00CD093A"/>
    <w:rsid w:val="00CD1EA1"/>
    <w:rsid w:val="00CD1F36"/>
    <w:rsid w:val="00CD2621"/>
    <w:rsid w:val="00CD3B89"/>
    <w:rsid w:val="00CD3DEA"/>
    <w:rsid w:val="00CD4786"/>
    <w:rsid w:val="00CD48B6"/>
    <w:rsid w:val="00CD5531"/>
    <w:rsid w:val="00CD6CC7"/>
    <w:rsid w:val="00CD7E3A"/>
    <w:rsid w:val="00CE0DEF"/>
    <w:rsid w:val="00CE3D23"/>
    <w:rsid w:val="00CE3D59"/>
    <w:rsid w:val="00CE3E0E"/>
    <w:rsid w:val="00CE47E8"/>
    <w:rsid w:val="00CE58E8"/>
    <w:rsid w:val="00CE591F"/>
    <w:rsid w:val="00CE5DBA"/>
    <w:rsid w:val="00CE5EEE"/>
    <w:rsid w:val="00CE6B52"/>
    <w:rsid w:val="00CE790B"/>
    <w:rsid w:val="00CE7E39"/>
    <w:rsid w:val="00CF09B8"/>
    <w:rsid w:val="00CF0E03"/>
    <w:rsid w:val="00CF1055"/>
    <w:rsid w:val="00CF18FE"/>
    <w:rsid w:val="00CF205A"/>
    <w:rsid w:val="00CF2900"/>
    <w:rsid w:val="00CF2FBC"/>
    <w:rsid w:val="00CF34EF"/>
    <w:rsid w:val="00CF4C33"/>
    <w:rsid w:val="00CF4D05"/>
    <w:rsid w:val="00CF5001"/>
    <w:rsid w:val="00CF5827"/>
    <w:rsid w:val="00CF5A71"/>
    <w:rsid w:val="00CF6574"/>
    <w:rsid w:val="00CF67E4"/>
    <w:rsid w:val="00CF73A1"/>
    <w:rsid w:val="00D00000"/>
    <w:rsid w:val="00D003CE"/>
    <w:rsid w:val="00D00A48"/>
    <w:rsid w:val="00D0111F"/>
    <w:rsid w:val="00D01273"/>
    <w:rsid w:val="00D0199B"/>
    <w:rsid w:val="00D0250F"/>
    <w:rsid w:val="00D02CE1"/>
    <w:rsid w:val="00D03610"/>
    <w:rsid w:val="00D0367C"/>
    <w:rsid w:val="00D0429A"/>
    <w:rsid w:val="00D047FF"/>
    <w:rsid w:val="00D04A4A"/>
    <w:rsid w:val="00D04E3B"/>
    <w:rsid w:val="00D050B9"/>
    <w:rsid w:val="00D06528"/>
    <w:rsid w:val="00D07054"/>
    <w:rsid w:val="00D11DCD"/>
    <w:rsid w:val="00D12457"/>
    <w:rsid w:val="00D1271F"/>
    <w:rsid w:val="00D12E6D"/>
    <w:rsid w:val="00D139BD"/>
    <w:rsid w:val="00D13BBA"/>
    <w:rsid w:val="00D14884"/>
    <w:rsid w:val="00D14B7E"/>
    <w:rsid w:val="00D15078"/>
    <w:rsid w:val="00D159BA"/>
    <w:rsid w:val="00D175DF"/>
    <w:rsid w:val="00D2012F"/>
    <w:rsid w:val="00D209DA"/>
    <w:rsid w:val="00D20D75"/>
    <w:rsid w:val="00D20FDB"/>
    <w:rsid w:val="00D21674"/>
    <w:rsid w:val="00D225C6"/>
    <w:rsid w:val="00D22D6A"/>
    <w:rsid w:val="00D239C4"/>
    <w:rsid w:val="00D2433A"/>
    <w:rsid w:val="00D267C2"/>
    <w:rsid w:val="00D26B28"/>
    <w:rsid w:val="00D27996"/>
    <w:rsid w:val="00D31E0E"/>
    <w:rsid w:val="00D35BB0"/>
    <w:rsid w:val="00D360F1"/>
    <w:rsid w:val="00D36385"/>
    <w:rsid w:val="00D3690B"/>
    <w:rsid w:val="00D37476"/>
    <w:rsid w:val="00D374A4"/>
    <w:rsid w:val="00D37859"/>
    <w:rsid w:val="00D37B38"/>
    <w:rsid w:val="00D37F89"/>
    <w:rsid w:val="00D412C4"/>
    <w:rsid w:val="00D41C9F"/>
    <w:rsid w:val="00D41E24"/>
    <w:rsid w:val="00D424E4"/>
    <w:rsid w:val="00D42505"/>
    <w:rsid w:val="00D4261F"/>
    <w:rsid w:val="00D43781"/>
    <w:rsid w:val="00D44F6D"/>
    <w:rsid w:val="00D454E6"/>
    <w:rsid w:val="00D462D5"/>
    <w:rsid w:val="00D46B25"/>
    <w:rsid w:val="00D47139"/>
    <w:rsid w:val="00D47C42"/>
    <w:rsid w:val="00D50021"/>
    <w:rsid w:val="00D507A6"/>
    <w:rsid w:val="00D50929"/>
    <w:rsid w:val="00D50DD7"/>
    <w:rsid w:val="00D5179D"/>
    <w:rsid w:val="00D52417"/>
    <w:rsid w:val="00D53190"/>
    <w:rsid w:val="00D533B4"/>
    <w:rsid w:val="00D53A39"/>
    <w:rsid w:val="00D546D5"/>
    <w:rsid w:val="00D548C9"/>
    <w:rsid w:val="00D54DB1"/>
    <w:rsid w:val="00D55A91"/>
    <w:rsid w:val="00D567B5"/>
    <w:rsid w:val="00D56817"/>
    <w:rsid w:val="00D57118"/>
    <w:rsid w:val="00D57788"/>
    <w:rsid w:val="00D57BCF"/>
    <w:rsid w:val="00D62221"/>
    <w:rsid w:val="00D63A46"/>
    <w:rsid w:val="00D67DCC"/>
    <w:rsid w:val="00D67E41"/>
    <w:rsid w:val="00D72216"/>
    <w:rsid w:val="00D737FF"/>
    <w:rsid w:val="00D73F6E"/>
    <w:rsid w:val="00D7416E"/>
    <w:rsid w:val="00D74A58"/>
    <w:rsid w:val="00D74B6A"/>
    <w:rsid w:val="00D74E24"/>
    <w:rsid w:val="00D752DB"/>
    <w:rsid w:val="00D76ED9"/>
    <w:rsid w:val="00D773F2"/>
    <w:rsid w:val="00D77EF2"/>
    <w:rsid w:val="00D809FA"/>
    <w:rsid w:val="00D80DEF"/>
    <w:rsid w:val="00D820B4"/>
    <w:rsid w:val="00D825DC"/>
    <w:rsid w:val="00D82851"/>
    <w:rsid w:val="00D82903"/>
    <w:rsid w:val="00D842AF"/>
    <w:rsid w:val="00D85889"/>
    <w:rsid w:val="00D85A30"/>
    <w:rsid w:val="00D86284"/>
    <w:rsid w:val="00D872DD"/>
    <w:rsid w:val="00D874B4"/>
    <w:rsid w:val="00D90C70"/>
    <w:rsid w:val="00D91593"/>
    <w:rsid w:val="00D92674"/>
    <w:rsid w:val="00D9392F"/>
    <w:rsid w:val="00D952FC"/>
    <w:rsid w:val="00D95F74"/>
    <w:rsid w:val="00D9642E"/>
    <w:rsid w:val="00D96A8C"/>
    <w:rsid w:val="00D97132"/>
    <w:rsid w:val="00DA0380"/>
    <w:rsid w:val="00DA07F9"/>
    <w:rsid w:val="00DA3D1F"/>
    <w:rsid w:val="00DA4CAC"/>
    <w:rsid w:val="00DA50C4"/>
    <w:rsid w:val="00DA5F7D"/>
    <w:rsid w:val="00DA6A04"/>
    <w:rsid w:val="00DA6CDD"/>
    <w:rsid w:val="00DA716B"/>
    <w:rsid w:val="00DA7AF3"/>
    <w:rsid w:val="00DB018F"/>
    <w:rsid w:val="00DB1203"/>
    <w:rsid w:val="00DB12A0"/>
    <w:rsid w:val="00DB1556"/>
    <w:rsid w:val="00DB238B"/>
    <w:rsid w:val="00DB2836"/>
    <w:rsid w:val="00DB340F"/>
    <w:rsid w:val="00DB37D0"/>
    <w:rsid w:val="00DB3EC1"/>
    <w:rsid w:val="00DB526E"/>
    <w:rsid w:val="00DB56F4"/>
    <w:rsid w:val="00DB5DE6"/>
    <w:rsid w:val="00DB6110"/>
    <w:rsid w:val="00DB6298"/>
    <w:rsid w:val="00DB6566"/>
    <w:rsid w:val="00DB665E"/>
    <w:rsid w:val="00DB73C8"/>
    <w:rsid w:val="00DB7E03"/>
    <w:rsid w:val="00DC0F26"/>
    <w:rsid w:val="00DC104E"/>
    <w:rsid w:val="00DC3B21"/>
    <w:rsid w:val="00DC4679"/>
    <w:rsid w:val="00DC4A06"/>
    <w:rsid w:val="00DC60EA"/>
    <w:rsid w:val="00DC6AAC"/>
    <w:rsid w:val="00DC7147"/>
    <w:rsid w:val="00DD0792"/>
    <w:rsid w:val="00DD09E1"/>
    <w:rsid w:val="00DD0CA2"/>
    <w:rsid w:val="00DD1150"/>
    <w:rsid w:val="00DD1A54"/>
    <w:rsid w:val="00DD259A"/>
    <w:rsid w:val="00DD3584"/>
    <w:rsid w:val="00DD3C07"/>
    <w:rsid w:val="00DD4EC4"/>
    <w:rsid w:val="00DD5599"/>
    <w:rsid w:val="00DD565A"/>
    <w:rsid w:val="00DD5DA5"/>
    <w:rsid w:val="00DD5E16"/>
    <w:rsid w:val="00DD5F6D"/>
    <w:rsid w:val="00DD5F72"/>
    <w:rsid w:val="00DD60FD"/>
    <w:rsid w:val="00DD6A69"/>
    <w:rsid w:val="00DD6BFE"/>
    <w:rsid w:val="00DD7B6A"/>
    <w:rsid w:val="00DE1C10"/>
    <w:rsid w:val="00DE1EC6"/>
    <w:rsid w:val="00DE2409"/>
    <w:rsid w:val="00DE2718"/>
    <w:rsid w:val="00DE2940"/>
    <w:rsid w:val="00DE2FDC"/>
    <w:rsid w:val="00DE30D9"/>
    <w:rsid w:val="00DE4C0B"/>
    <w:rsid w:val="00DE4E99"/>
    <w:rsid w:val="00DE55C7"/>
    <w:rsid w:val="00DE5980"/>
    <w:rsid w:val="00DE5ECF"/>
    <w:rsid w:val="00DE6BA2"/>
    <w:rsid w:val="00DE794E"/>
    <w:rsid w:val="00DE7E93"/>
    <w:rsid w:val="00DF11BD"/>
    <w:rsid w:val="00DF25F1"/>
    <w:rsid w:val="00DF3CEB"/>
    <w:rsid w:val="00DF4EBA"/>
    <w:rsid w:val="00DF5703"/>
    <w:rsid w:val="00DF6A82"/>
    <w:rsid w:val="00DF6E96"/>
    <w:rsid w:val="00DF718E"/>
    <w:rsid w:val="00DF7431"/>
    <w:rsid w:val="00E00E26"/>
    <w:rsid w:val="00E01033"/>
    <w:rsid w:val="00E01CCF"/>
    <w:rsid w:val="00E02F62"/>
    <w:rsid w:val="00E032BD"/>
    <w:rsid w:val="00E036C4"/>
    <w:rsid w:val="00E03797"/>
    <w:rsid w:val="00E0667B"/>
    <w:rsid w:val="00E101A2"/>
    <w:rsid w:val="00E10319"/>
    <w:rsid w:val="00E11665"/>
    <w:rsid w:val="00E1167A"/>
    <w:rsid w:val="00E11E43"/>
    <w:rsid w:val="00E12AAA"/>
    <w:rsid w:val="00E12EE5"/>
    <w:rsid w:val="00E1400D"/>
    <w:rsid w:val="00E147BD"/>
    <w:rsid w:val="00E1555E"/>
    <w:rsid w:val="00E16544"/>
    <w:rsid w:val="00E16792"/>
    <w:rsid w:val="00E16974"/>
    <w:rsid w:val="00E16A94"/>
    <w:rsid w:val="00E16E08"/>
    <w:rsid w:val="00E174AA"/>
    <w:rsid w:val="00E17B5E"/>
    <w:rsid w:val="00E201EA"/>
    <w:rsid w:val="00E20D25"/>
    <w:rsid w:val="00E2171D"/>
    <w:rsid w:val="00E21905"/>
    <w:rsid w:val="00E21A95"/>
    <w:rsid w:val="00E22553"/>
    <w:rsid w:val="00E229BE"/>
    <w:rsid w:val="00E229F6"/>
    <w:rsid w:val="00E23901"/>
    <w:rsid w:val="00E23E4C"/>
    <w:rsid w:val="00E25525"/>
    <w:rsid w:val="00E260A5"/>
    <w:rsid w:val="00E265C3"/>
    <w:rsid w:val="00E26ED0"/>
    <w:rsid w:val="00E26FA3"/>
    <w:rsid w:val="00E2753A"/>
    <w:rsid w:val="00E27D4D"/>
    <w:rsid w:val="00E27FD7"/>
    <w:rsid w:val="00E318E4"/>
    <w:rsid w:val="00E3261A"/>
    <w:rsid w:val="00E341DD"/>
    <w:rsid w:val="00E346ED"/>
    <w:rsid w:val="00E368C7"/>
    <w:rsid w:val="00E4060C"/>
    <w:rsid w:val="00E40868"/>
    <w:rsid w:val="00E40AD3"/>
    <w:rsid w:val="00E40DBD"/>
    <w:rsid w:val="00E412BA"/>
    <w:rsid w:val="00E41671"/>
    <w:rsid w:val="00E41706"/>
    <w:rsid w:val="00E41A09"/>
    <w:rsid w:val="00E41B8B"/>
    <w:rsid w:val="00E42658"/>
    <w:rsid w:val="00E43251"/>
    <w:rsid w:val="00E4392A"/>
    <w:rsid w:val="00E46467"/>
    <w:rsid w:val="00E4647D"/>
    <w:rsid w:val="00E46632"/>
    <w:rsid w:val="00E47297"/>
    <w:rsid w:val="00E50B50"/>
    <w:rsid w:val="00E50D3C"/>
    <w:rsid w:val="00E51978"/>
    <w:rsid w:val="00E51BFC"/>
    <w:rsid w:val="00E5288B"/>
    <w:rsid w:val="00E52DD1"/>
    <w:rsid w:val="00E53A4A"/>
    <w:rsid w:val="00E54394"/>
    <w:rsid w:val="00E5482C"/>
    <w:rsid w:val="00E5522F"/>
    <w:rsid w:val="00E55341"/>
    <w:rsid w:val="00E55806"/>
    <w:rsid w:val="00E60136"/>
    <w:rsid w:val="00E6056F"/>
    <w:rsid w:val="00E60D87"/>
    <w:rsid w:val="00E611E6"/>
    <w:rsid w:val="00E6121C"/>
    <w:rsid w:val="00E6155D"/>
    <w:rsid w:val="00E61965"/>
    <w:rsid w:val="00E622B7"/>
    <w:rsid w:val="00E63512"/>
    <w:rsid w:val="00E63DD4"/>
    <w:rsid w:val="00E6463B"/>
    <w:rsid w:val="00E64674"/>
    <w:rsid w:val="00E64D6D"/>
    <w:rsid w:val="00E659CB"/>
    <w:rsid w:val="00E662D9"/>
    <w:rsid w:val="00E665A4"/>
    <w:rsid w:val="00E66D1C"/>
    <w:rsid w:val="00E67A37"/>
    <w:rsid w:val="00E67D49"/>
    <w:rsid w:val="00E70B97"/>
    <w:rsid w:val="00E7109D"/>
    <w:rsid w:val="00E71572"/>
    <w:rsid w:val="00E715C1"/>
    <w:rsid w:val="00E716FC"/>
    <w:rsid w:val="00E7230E"/>
    <w:rsid w:val="00E726F4"/>
    <w:rsid w:val="00E729C6"/>
    <w:rsid w:val="00E72DC1"/>
    <w:rsid w:val="00E72EC1"/>
    <w:rsid w:val="00E731E4"/>
    <w:rsid w:val="00E734C1"/>
    <w:rsid w:val="00E7365C"/>
    <w:rsid w:val="00E74E22"/>
    <w:rsid w:val="00E74F3A"/>
    <w:rsid w:val="00E76C91"/>
    <w:rsid w:val="00E770D3"/>
    <w:rsid w:val="00E77D52"/>
    <w:rsid w:val="00E80E36"/>
    <w:rsid w:val="00E81302"/>
    <w:rsid w:val="00E82A0A"/>
    <w:rsid w:val="00E82E7F"/>
    <w:rsid w:val="00E8321E"/>
    <w:rsid w:val="00E83B80"/>
    <w:rsid w:val="00E845AE"/>
    <w:rsid w:val="00E846F9"/>
    <w:rsid w:val="00E84DDB"/>
    <w:rsid w:val="00E86D46"/>
    <w:rsid w:val="00E87415"/>
    <w:rsid w:val="00E874EF"/>
    <w:rsid w:val="00E87806"/>
    <w:rsid w:val="00E905A0"/>
    <w:rsid w:val="00E90840"/>
    <w:rsid w:val="00E90D0B"/>
    <w:rsid w:val="00E91331"/>
    <w:rsid w:val="00E91B43"/>
    <w:rsid w:val="00E924A1"/>
    <w:rsid w:val="00E93D42"/>
    <w:rsid w:val="00E93DDE"/>
    <w:rsid w:val="00E93F09"/>
    <w:rsid w:val="00E93F87"/>
    <w:rsid w:val="00E9647E"/>
    <w:rsid w:val="00E96665"/>
    <w:rsid w:val="00E96AED"/>
    <w:rsid w:val="00E96CEE"/>
    <w:rsid w:val="00EA04A5"/>
    <w:rsid w:val="00EA1331"/>
    <w:rsid w:val="00EA21C7"/>
    <w:rsid w:val="00EA245B"/>
    <w:rsid w:val="00EA2CE1"/>
    <w:rsid w:val="00EA4034"/>
    <w:rsid w:val="00EA4ED9"/>
    <w:rsid w:val="00EA6F27"/>
    <w:rsid w:val="00EA740A"/>
    <w:rsid w:val="00EB210C"/>
    <w:rsid w:val="00EB3A78"/>
    <w:rsid w:val="00EB3CBE"/>
    <w:rsid w:val="00EB3D2D"/>
    <w:rsid w:val="00EB4A31"/>
    <w:rsid w:val="00EB4BD8"/>
    <w:rsid w:val="00EB5048"/>
    <w:rsid w:val="00EB6469"/>
    <w:rsid w:val="00EB6A76"/>
    <w:rsid w:val="00EB77C2"/>
    <w:rsid w:val="00EB7EB4"/>
    <w:rsid w:val="00EC1094"/>
    <w:rsid w:val="00EC174A"/>
    <w:rsid w:val="00EC3F9F"/>
    <w:rsid w:val="00EC3FB7"/>
    <w:rsid w:val="00EC4448"/>
    <w:rsid w:val="00EC545A"/>
    <w:rsid w:val="00EC5A75"/>
    <w:rsid w:val="00EC5DCD"/>
    <w:rsid w:val="00EC6A30"/>
    <w:rsid w:val="00EC6A50"/>
    <w:rsid w:val="00EC7C6E"/>
    <w:rsid w:val="00EC7F1A"/>
    <w:rsid w:val="00ED0D11"/>
    <w:rsid w:val="00ED1226"/>
    <w:rsid w:val="00ED1315"/>
    <w:rsid w:val="00ED2219"/>
    <w:rsid w:val="00ED22A2"/>
    <w:rsid w:val="00ED3501"/>
    <w:rsid w:val="00ED4C32"/>
    <w:rsid w:val="00ED63DB"/>
    <w:rsid w:val="00ED649E"/>
    <w:rsid w:val="00ED64A1"/>
    <w:rsid w:val="00EE1AB7"/>
    <w:rsid w:val="00EE1BD7"/>
    <w:rsid w:val="00EE2213"/>
    <w:rsid w:val="00EE2982"/>
    <w:rsid w:val="00EE30C9"/>
    <w:rsid w:val="00EE33F1"/>
    <w:rsid w:val="00EE42F4"/>
    <w:rsid w:val="00EE492B"/>
    <w:rsid w:val="00EE619B"/>
    <w:rsid w:val="00EE6817"/>
    <w:rsid w:val="00EE707E"/>
    <w:rsid w:val="00EE7492"/>
    <w:rsid w:val="00EE7666"/>
    <w:rsid w:val="00EF0CFF"/>
    <w:rsid w:val="00EF0E91"/>
    <w:rsid w:val="00EF2B4D"/>
    <w:rsid w:val="00EF2B4E"/>
    <w:rsid w:val="00EF325E"/>
    <w:rsid w:val="00EF456E"/>
    <w:rsid w:val="00EF45DC"/>
    <w:rsid w:val="00EF4615"/>
    <w:rsid w:val="00EF4AE1"/>
    <w:rsid w:val="00EF6034"/>
    <w:rsid w:val="00EF771B"/>
    <w:rsid w:val="00F00313"/>
    <w:rsid w:val="00F009BD"/>
    <w:rsid w:val="00F0127A"/>
    <w:rsid w:val="00F02950"/>
    <w:rsid w:val="00F02F6B"/>
    <w:rsid w:val="00F048E7"/>
    <w:rsid w:val="00F0498B"/>
    <w:rsid w:val="00F0498C"/>
    <w:rsid w:val="00F04E51"/>
    <w:rsid w:val="00F056E4"/>
    <w:rsid w:val="00F06127"/>
    <w:rsid w:val="00F063AE"/>
    <w:rsid w:val="00F06F94"/>
    <w:rsid w:val="00F070BE"/>
    <w:rsid w:val="00F10103"/>
    <w:rsid w:val="00F10167"/>
    <w:rsid w:val="00F11C29"/>
    <w:rsid w:val="00F140C3"/>
    <w:rsid w:val="00F14B41"/>
    <w:rsid w:val="00F1514A"/>
    <w:rsid w:val="00F155D0"/>
    <w:rsid w:val="00F15BC5"/>
    <w:rsid w:val="00F15DD7"/>
    <w:rsid w:val="00F17DBE"/>
    <w:rsid w:val="00F2259D"/>
    <w:rsid w:val="00F233F0"/>
    <w:rsid w:val="00F23B30"/>
    <w:rsid w:val="00F2419E"/>
    <w:rsid w:val="00F244BB"/>
    <w:rsid w:val="00F246C6"/>
    <w:rsid w:val="00F24B89"/>
    <w:rsid w:val="00F24DFE"/>
    <w:rsid w:val="00F25409"/>
    <w:rsid w:val="00F25D80"/>
    <w:rsid w:val="00F26A4C"/>
    <w:rsid w:val="00F271A1"/>
    <w:rsid w:val="00F27570"/>
    <w:rsid w:val="00F27926"/>
    <w:rsid w:val="00F30D3F"/>
    <w:rsid w:val="00F310FD"/>
    <w:rsid w:val="00F3267D"/>
    <w:rsid w:val="00F32A1B"/>
    <w:rsid w:val="00F341CE"/>
    <w:rsid w:val="00F34704"/>
    <w:rsid w:val="00F34BE4"/>
    <w:rsid w:val="00F379BE"/>
    <w:rsid w:val="00F37B84"/>
    <w:rsid w:val="00F40595"/>
    <w:rsid w:val="00F41807"/>
    <w:rsid w:val="00F41BA0"/>
    <w:rsid w:val="00F41CA0"/>
    <w:rsid w:val="00F4353C"/>
    <w:rsid w:val="00F4448D"/>
    <w:rsid w:val="00F458A3"/>
    <w:rsid w:val="00F4603C"/>
    <w:rsid w:val="00F4676A"/>
    <w:rsid w:val="00F467A6"/>
    <w:rsid w:val="00F46B7D"/>
    <w:rsid w:val="00F46F2D"/>
    <w:rsid w:val="00F47DC9"/>
    <w:rsid w:val="00F5009E"/>
    <w:rsid w:val="00F50390"/>
    <w:rsid w:val="00F51AF2"/>
    <w:rsid w:val="00F52C8D"/>
    <w:rsid w:val="00F52CE4"/>
    <w:rsid w:val="00F5333C"/>
    <w:rsid w:val="00F545B7"/>
    <w:rsid w:val="00F563F1"/>
    <w:rsid w:val="00F574C4"/>
    <w:rsid w:val="00F5755A"/>
    <w:rsid w:val="00F60505"/>
    <w:rsid w:val="00F607E4"/>
    <w:rsid w:val="00F6133A"/>
    <w:rsid w:val="00F61813"/>
    <w:rsid w:val="00F634BF"/>
    <w:rsid w:val="00F63DBD"/>
    <w:rsid w:val="00F64353"/>
    <w:rsid w:val="00F6443B"/>
    <w:rsid w:val="00F65446"/>
    <w:rsid w:val="00F65D2A"/>
    <w:rsid w:val="00F66BD1"/>
    <w:rsid w:val="00F70CB5"/>
    <w:rsid w:val="00F7100C"/>
    <w:rsid w:val="00F7261F"/>
    <w:rsid w:val="00F73801"/>
    <w:rsid w:val="00F73B3E"/>
    <w:rsid w:val="00F73D32"/>
    <w:rsid w:val="00F74295"/>
    <w:rsid w:val="00F768A7"/>
    <w:rsid w:val="00F769C5"/>
    <w:rsid w:val="00F775E2"/>
    <w:rsid w:val="00F778AA"/>
    <w:rsid w:val="00F77D77"/>
    <w:rsid w:val="00F77E4A"/>
    <w:rsid w:val="00F8021B"/>
    <w:rsid w:val="00F8050E"/>
    <w:rsid w:val="00F80A8A"/>
    <w:rsid w:val="00F81145"/>
    <w:rsid w:val="00F81242"/>
    <w:rsid w:val="00F81251"/>
    <w:rsid w:val="00F812EB"/>
    <w:rsid w:val="00F81899"/>
    <w:rsid w:val="00F8264C"/>
    <w:rsid w:val="00F82F76"/>
    <w:rsid w:val="00F83135"/>
    <w:rsid w:val="00F83971"/>
    <w:rsid w:val="00F8464C"/>
    <w:rsid w:val="00F850AB"/>
    <w:rsid w:val="00F850DF"/>
    <w:rsid w:val="00F872C0"/>
    <w:rsid w:val="00F91A04"/>
    <w:rsid w:val="00F93A51"/>
    <w:rsid w:val="00F94219"/>
    <w:rsid w:val="00F95F82"/>
    <w:rsid w:val="00F96276"/>
    <w:rsid w:val="00F9657B"/>
    <w:rsid w:val="00F96E79"/>
    <w:rsid w:val="00F9726C"/>
    <w:rsid w:val="00F97ADC"/>
    <w:rsid w:val="00FA2949"/>
    <w:rsid w:val="00FB06F8"/>
    <w:rsid w:val="00FB1BB3"/>
    <w:rsid w:val="00FB2DCD"/>
    <w:rsid w:val="00FB2DEC"/>
    <w:rsid w:val="00FB3DFD"/>
    <w:rsid w:val="00FB5593"/>
    <w:rsid w:val="00FB562B"/>
    <w:rsid w:val="00FC0546"/>
    <w:rsid w:val="00FC169A"/>
    <w:rsid w:val="00FC1A2D"/>
    <w:rsid w:val="00FC1F21"/>
    <w:rsid w:val="00FC494F"/>
    <w:rsid w:val="00FC5511"/>
    <w:rsid w:val="00FC5783"/>
    <w:rsid w:val="00FC597D"/>
    <w:rsid w:val="00FC6F1E"/>
    <w:rsid w:val="00FC76F9"/>
    <w:rsid w:val="00FD02BA"/>
    <w:rsid w:val="00FD0458"/>
    <w:rsid w:val="00FD05D8"/>
    <w:rsid w:val="00FD0B14"/>
    <w:rsid w:val="00FD11EE"/>
    <w:rsid w:val="00FD25B6"/>
    <w:rsid w:val="00FD489F"/>
    <w:rsid w:val="00FD4A5D"/>
    <w:rsid w:val="00FD578C"/>
    <w:rsid w:val="00FD5A30"/>
    <w:rsid w:val="00FD6643"/>
    <w:rsid w:val="00FD6805"/>
    <w:rsid w:val="00FD7053"/>
    <w:rsid w:val="00FD7BCD"/>
    <w:rsid w:val="00FE06BA"/>
    <w:rsid w:val="00FE17AE"/>
    <w:rsid w:val="00FE2B5C"/>
    <w:rsid w:val="00FE2DDD"/>
    <w:rsid w:val="00FE4AC6"/>
    <w:rsid w:val="00FE4C95"/>
    <w:rsid w:val="00FE61AC"/>
    <w:rsid w:val="00FE6F6B"/>
    <w:rsid w:val="00FE7447"/>
    <w:rsid w:val="00FE7663"/>
    <w:rsid w:val="00FE7A7E"/>
    <w:rsid w:val="00FF04F4"/>
    <w:rsid w:val="00FF0A72"/>
    <w:rsid w:val="00FF0C87"/>
    <w:rsid w:val="00FF127D"/>
    <w:rsid w:val="00FF1866"/>
    <w:rsid w:val="00FF1BE8"/>
    <w:rsid w:val="00FF2428"/>
    <w:rsid w:val="00FF26AD"/>
    <w:rsid w:val="00FF4B25"/>
    <w:rsid w:val="00FF4CE8"/>
    <w:rsid w:val="00FF55A6"/>
    <w:rsid w:val="00FF624B"/>
    <w:rsid w:val="00FF65BE"/>
    <w:rsid w:val="00FF68DD"/>
    <w:rsid w:val="00FF70A4"/>
    <w:rsid w:val="00FF73FF"/>
    <w:rsid w:val="00FF741B"/>
    <w:rsid w:val="00FF7502"/>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uiPriority="0"/>
    <w:lsdException w:name="footer" w:uiPriority="0"/>
    <w:lsdException w:name="caption" w:uiPriority="0" w:qFormat="1"/>
    <w:lsdException w:name="table of figures" w:qFormat="1"/>
    <w:lsdException w:name="List Bullet" w:uiPriority="0" w:qFormat="1"/>
    <w:lsdException w:name="List Number" w:qFormat="1"/>
    <w:lsdException w:name="List Bullet 2" w:uiPriority="0" w:qFormat="1"/>
    <w:lsdException w:name="List Bullet 3" w:uiPriority="0" w:qFormat="1"/>
    <w:lsdException w:name="List Number 2" w:qFormat="1"/>
    <w:lsdException w:name="List Number 3" w:uiPriority="0" w:qFormat="1"/>
    <w:lsdException w:name="List Number 4"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EDF"/>
    <w:pPr>
      <w:spacing w:after="200" w:line="276" w:lineRule="auto"/>
    </w:pPr>
    <w:rPr>
      <w:sz w:val="22"/>
      <w:szCs w:val="22"/>
    </w:rPr>
  </w:style>
  <w:style w:type="paragraph" w:styleId="Heading1">
    <w:name w:val="heading 1"/>
    <w:aliases w:val="1 NoNum"/>
    <w:next w:val="bt"/>
    <w:link w:val="Heading1Char"/>
    <w:qFormat/>
    <w:rsid w:val="00114A93"/>
    <w:pPr>
      <w:keepNext/>
      <w:tabs>
        <w:tab w:val="left" w:pos="851"/>
      </w:tabs>
      <w:spacing w:after="120"/>
      <w:outlineLvl w:val="0"/>
    </w:pPr>
    <w:rPr>
      <w:b/>
      <w:bCs/>
      <w:sz w:val="34"/>
      <w:szCs w:val="28"/>
    </w:rPr>
  </w:style>
  <w:style w:type="paragraph" w:styleId="Heading2">
    <w:name w:val="heading 2"/>
    <w:next w:val="bt"/>
    <w:link w:val="Heading2Char"/>
    <w:qFormat/>
    <w:rsid w:val="00961D6F"/>
    <w:pPr>
      <w:keepNext/>
      <w:numPr>
        <w:ilvl w:val="1"/>
        <w:numId w:val="1"/>
      </w:numPr>
      <w:tabs>
        <w:tab w:val="left" w:pos="851"/>
      </w:tabs>
      <w:spacing w:before="360" w:after="240"/>
      <w:outlineLvl w:val="1"/>
    </w:pPr>
    <w:rPr>
      <w:rFonts w:cs="Arial"/>
      <w:b/>
      <w:bCs/>
      <w:iCs/>
      <w:color w:val="595959"/>
      <w:sz w:val="28"/>
      <w:szCs w:val="28"/>
    </w:rPr>
  </w:style>
  <w:style w:type="paragraph" w:styleId="Heading3">
    <w:name w:val="heading 3"/>
    <w:basedOn w:val="bt"/>
    <w:next w:val="bt"/>
    <w:link w:val="Heading3Char"/>
    <w:uiPriority w:val="9"/>
    <w:qFormat/>
    <w:rsid w:val="00B422FA"/>
    <w:pPr>
      <w:outlineLvl w:val="2"/>
    </w:pPr>
    <w:rPr>
      <w:b/>
    </w:rPr>
  </w:style>
  <w:style w:type="paragraph" w:styleId="Heading4">
    <w:name w:val="heading 4"/>
    <w:basedOn w:val="bt"/>
    <w:next w:val="bt"/>
    <w:link w:val="Heading4Char"/>
    <w:qFormat/>
    <w:rsid w:val="00911DD2"/>
    <w:pPr>
      <w:outlineLvl w:val="3"/>
    </w:pPr>
    <w:rPr>
      <w:u w:val="single"/>
    </w:rPr>
  </w:style>
  <w:style w:type="paragraph" w:styleId="Heading5">
    <w:name w:val="heading 5"/>
    <w:basedOn w:val="Normal"/>
    <w:next w:val="Normal"/>
    <w:link w:val="Heading5Char"/>
    <w:uiPriority w:val="9"/>
    <w:unhideWhenUsed/>
    <w:qFormat/>
    <w:rsid w:val="002A1891"/>
    <w:pPr>
      <w:keepNext/>
      <w:keepLines/>
      <w:spacing w:before="200" w:after="0"/>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link w:val="btChar"/>
    <w:qFormat/>
    <w:rsid w:val="002A5AE6"/>
    <w:pPr>
      <w:spacing w:before="180" w:after="240" w:line="270" w:lineRule="exact"/>
    </w:pPr>
    <w:rPr>
      <w:szCs w:val="24"/>
    </w:rPr>
  </w:style>
  <w:style w:type="character" w:customStyle="1" w:styleId="Heading1Char">
    <w:name w:val="Heading 1 Char"/>
    <w:aliases w:val="1 NoNum Char"/>
    <w:basedOn w:val="DefaultParagraphFont"/>
    <w:link w:val="Heading1"/>
    <w:rsid w:val="00114A93"/>
    <w:rPr>
      <w:b/>
      <w:bCs/>
      <w:sz w:val="34"/>
      <w:szCs w:val="28"/>
    </w:rPr>
  </w:style>
  <w:style w:type="character" w:customStyle="1" w:styleId="Heading2Char">
    <w:name w:val="Heading 2 Char"/>
    <w:basedOn w:val="DefaultParagraphFont"/>
    <w:link w:val="Heading2"/>
    <w:rsid w:val="00961D6F"/>
    <w:rPr>
      <w:rFonts w:cs="Arial"/>
      <w:b/>
      <w:bCs/>
      <w:iCs/>
      <w:color w:val="595959"/>
      <w:sz w:val="28"/>
      <w:szCs w:val="28"/>
    </w:rPr>
  </w:style>
  <w:style w:type="character" w:customStyle="1" w:styleId="Heading3Char">
    <w:name w:val="Heading 3 Char"/>
    <w:basedOn w:val="DefaultParagraphFont"/>
    <w:link w:val="Heading3"/>
    <w:uiPriority w:val="9"/>
    <w:rsid w:val="00B422FA"/>
    <w:rPr>
      <w:rFonts w:ascii="Calibri" w:eastAsia="Times New Roman" w:hAnsi="Calibri" w:cs="Times New Roman"/>
      <w:b/>
      <w:sz w:val="20"/>
      <w:szCs w:val="24"/>
    </w:rPr>
  </w:style>
  <w:style w:type="character" w:customStyle="1" w:styleId="Heading4Char">
    <w:name w:val="Heading 4 Char"/>
    <w:basedOn w:val="DefaultParagraphFont"/>
    <w:link w:val="Heading4"/>
    <w:rsid w:val="00911DD2"/>
    <w:rPr>
      <w:rFonts w:ascii="Calibri" w:eastAsia="Times New Roman" w:hAnsi="Calibri" w:cs="Times New Roman"/>
      <w:sz w:val="20"/>
      <w:szCs w:val="24"/>
      <w:u w:val="single"/>
    </w:rPr>
  </w:style>
  <w:style w:type="paragraph" w:styleId="BalloonText">
    <w:name w:val="Balloon Text"/>
    <w:basedOn w:val="Normal"/>
    <w:link w:val="BalloonTextChar"/>
    <w:uiPriority w:val="99"/>
    <w:semiHidden/>
    <w:unhideWhenUsed/>
    <w:rsid w:val="00E02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62"/>
    <w:rPr>
      <w:rFonts w:ascii="Tahoma" w:hAnsi="Tahoma" w:cs="Tahoma"/>
      <w:sz w:val="16"/>
      <w:szCs w:val="16"/>
    </w:rPr>
  </w:style>
  <w:style w:type="paragraph" w:styleId="NoSpacing">
    <w:name w:val="No Spacing"/>
    <w:link w:val="NoSpacingChar"/>
    <w:uiPriority w:val="1"/>
    <w:qFormat/>
    <w:rsid w:val="00E02F62"/>
    <w:rPr>
      <w:sz w:val="22"/>
      <w:szCs w:val="22"/>
      <w:lang w:val="en-US"/>
    </w:rPr>
  </w:style>
  <w:style w:type="character" w:customStyle="1" w:styleId="NoSpacingChar">
    <w:name w:val="No Spacing Char"/>
    <w:basedOn w:val="DefaultParagraphFont"/>
    <w:link w:val="NoSpacing"/>
    <w:uiPriority w:val="1"/>
    <w:rsid w:val="00E02F62"/>
    <w:rPr>
      <w:sz w:val="22"/>
      <w:szCs w:val="22"/>
      <w:lang w:val="en-US" w:eastAsia="en-AU" w:bidi="ar-SA"/>
    </w:rPr>
  </w:style>
  <w:style w:type="paragraph" w:styleId="TOCHeading">
    <w:name w:val="TOC Heading"/>
    <w:basedOn w:val="Heading1"/>
    <w:next w:val="Normal"/>
    <w:link w:val="TOCHeadingChar"/>
    <w:uiPriority w:val="39"/>
    <w:semiHidden/>
    <w:unhideWhenUsed/>
    <w:qFormat/>
    <w:rsid w:val="00E02F62"/>
    <w:pPr>
      <w:outlineLvl w:val="9"/>
    </w:pPr>
    <w:rPr>
      <w:lang w:val="en-US"/>
    </w:rPr>
  </w:style>
  <w:style w:type="paragraph" w:styleId="Header">
    <w:name w:val="header"/>
    <w:basedOn w:val="Normal"/>
    <w:link w:val="HeaderChar"/>
    <w:unhideWhenUsed/>
    <w:rsid w:val="00E02F62"/>
    <w:pPr>
      <w:tabs>
        <w:tab w:val="center" w:pos="4513"/>
        <w:tab w:val="right" w:pos="9026"/>
      </w:tabs>
      <w:spacing w:after="0" w:line="240" w:lineRule="auto"/>
    </w:pPr>
  </w:style>
  <w:style w:type="character" w:customStyle="1" w:styleId="HeaderChar">
    <w:name w:val="Header Char"/>
    <w:basedOn w:val="DefaultParagraphFont"/>
    <w:link w:val="Header"/>
    <w:rsid w:val="00E02F62"/>
  </w:style>
  <w:style w:type="paragraph" w:styleId="Footer">
    <w:name w:val="footer"/>
    <w:basedOn w:val="Normal"/>
    <w:link w:val="FooterChar"/>
    <w:unhideWhenUsed/>
    <w:rsid w:val="00E02F62"/>
    <w:pPr>
      <w:tabs>
        <w:tab w:val="center" w:pos="4513"/>
        <w:tab w:val="right" w:pos="9026"/>
      </w:tabs>
      <w:spacing w:after="0" w:line="240" w:lineRule="auto"/>
    </w:pPr>
  </w:style>
  <w:style w:type="character" w:customStyle="1" w:styleId="FooterChar">
    <w:name w:val="Footer Char"/>
    <w:basedOn w:val="DefaultParagraphFont"/>
    <w:link w:val="Footer"/>
    <w:rsid w:val="00E02F62"/>
  </w:style>
  <w:style w:type="paragraph" w:customStyle="1" w:styleId="btbold">
    <w:name w:val="bt_bold"/>
    <w:basedOn w:val="bt"/>
    <w:next w:val="bt"/>
    <w:qFormat/>
    <w:rsid w:val="00564530"/>
    <w:pPr>
      <w:spacing w:after="120"/>
    </w:pPr>
    <w:rPr>
      <w:b/>
    </w:rPr>
  </w:style>
  <w:style w:type="paragraph" w:customStyle="1" w:styleId="btindent">
    <w:name w:val="bt_indent"/>
    <w:basedOn w:val="bt"/>
    <w:next w:val="bt"/>
    <w:qFormat/>
    <w:rsid w:val="00DD1150"/>
    <w:pPr>
      <w:ind w:left="709"/>
    </w:pPr>
  </w:style>
  <w:style w:type="paragraph" w:customStyle="1" w:styleId="btitalics">
    <w:name w:val="bt_italics"/>
    <w:basedOn w:val="bt"/>
    <w:next w:val="bt"/>
    <w:qFormat/>
    <w:rsid w:val="00564530"/>
    <w:rPr>
      <w:i/>
    </w:rPr>
  </w:style>
  <w:style w:type="character" w:customStyle="1" w:styleId="bt-highlighttext">
    <w:name w:val="bt-highlight text"/>
    <w:basedOn w:val="DefaultParagraphFont"/>
    <w:qFormat/>
    <w:rsid w:val="00564530"/>
    <w:rPr>
      <w:rFonts w:ascii="Calibri" w:hAnsi="Calibri"/>
      <w:color w:val="0000FF"/>
      <w:sz w:val="24"/>
      <w:lang w:eastAsia="en-US"/>
    </w:rPr>
  </w:style>
  <w:style w:type="paragraph" w:styleId="Caption">
    <w:name w:val="caption"/>
    <w:basedOn w:val="bt"/>
    <w:next w:val="bt"/>
    <w:qFormat/>
    <w:rsid w:val="00674FA7"/>
    <w:pPr>
      <w:keepNext/>
      <w:spacing w:after="180" w:line="240" w:lineRule="auto"/>
      <w:ind w:left="28" w:hanging="28"/>
    </w:pPr>
    <w:rPr>
      <w:rFonts w:cs="Calibri"/>
      <w:b/>
      <w:bCs/>
      <w:i/>
      <w:noProof/>
      <w:color w:val="333333"/>
      <w:szCs w:val="20"/>
    </w:rPr>
  </w:style>
  <w:style w:type="paragraph" w:styleId="CommentText">
    <w:name w:val="annotation text"/>
    <w:basedOn w:val="Normal"/>
    <w:link w:val="CommentTextChar"/>
    <w:semiHidden/>
    <w:rsid w:val="00564530"/>
    <w:pPr>
      <w:spacing w:after="0" w:line="240" w:lineRule="auto"/>
    </w:pPr>
    <w:rPr>
      <w:rFonts w:ascii="Arial" w:hAnsi="Arial"/>
      <w:sz w:val="20"/>
      <w:szCs w:val="20"/>
    </w:rPr>
  </w:style>
  <w:style w:type="character" w:customStyle="1" w:styleId="CommentTextChar">
    <w:name w:val="Comment Text Char"/>
    <w:basedOn w:val="DefaultParagraphFont"/>
    <w:link w:val="CommentText"/>
    <w:semiHidden/>
    <w:rsid w:val="00564530"/>
    <w:rPr>
      <w:rFonts w:ascii="Arial" w:eastAsia="Times New Roman" w:hAnsi="Arial" w:cs="Times New Roman"/>
      <w:sz w:val="20"/>
      <w:szCs w:val="20"/>
      <w:lang w:eastAsia="en-AU"/>
    </w:rPr>
  </w:style>
  <w:style w:type="character" w:styleId="Emphasis">
    <w:name w:val="Emphasis"/>
    <w:basedOn w:val="DefaultParagraphFont"/>
    <w:qFormat/>
    <w:rsid w:val="004D781F"/>
    <w:rPr>
      <w:rFonts w:ascii="Calibri" w:hAnsi="Calibri"/>
      <w:i/>
      <w:iCs/>
      <w:sz w:val="20"/>
    </w:rPr>
  </w:style>
  <w:style w:type="paragraph" w:customStyle="1" w:styleId="Heading11">
    <w:name w:val="Heading 1_1"/>
    <w:basedOn w:val="Heading1"/>
    <w:next w:val="bt"/>
    <w:qFormat/>
    <w:rsid w:val="00CB54A1"/>
    <w:pPr>
      <w:numPr>
        <w:numId w:val="1"/>
      </w:numPr>
      <w:tabs>
        <w:tab w:val="clear" w:pos="432"/>
        <w:tab w:val="num" w:pos="851"/>
      </w:tabs>
      <w:spacing w:after="240"/>
      <w:ind w:left="851" w:hanging="851"/>
    </w:pPr>
  </w:style>
  <w:style w:type="paragraph" w:customStyle="1" w:styleId="Heading2nonum">
    <w:name w:val="Heading 2_no num"/>
    <w:basedOn w:val="Heading2"/>
    <w:next w:val="bt"/>
    <w:qFormat/>
    <w:rsid w:val="00564530"/>
    <w:pPr>
      <w:numPr>
        <w:ilvl w:val="0"/>
        <w:numId w:val="0"/>
      </w:numPr>
    </w:pPr>
    <w:rPr>
      <w:b w:val="0"/>
      <w:lang w:eastAsia="en-US"/>
    </w:rPr>
  </w:style>
  <w:style w:type="paragraph" w:styleId="ListBullet">
    <w:name w:val="List Bullet"/>
    <w:basedOn w:val="bt"/>
    <w:qFormat/>
    <w:rsid w:val="00962BE2"/>
    <w:pPr>
      <w:numPr>
        <w:numId w:val="5"/>
      </w:numPr>
      <w:ind w:left="709"/>
    </w:pPr>
  </w:style>
  <w:style w:type="paragraph" w:styleId="ListBullet2">
    <w:name w:val="List Bullet 2"/>
    <w:basedOn w:val="bt"/>
    <w:qFormat/>
    <w:rsid w:val="001E7C00"/>
    <w:pPr>
      <w:numPr>
        <w:numId w:val="2"/>
      </w:numPr>
    </w:pPr>
  </w:style>
  <w:style w:type="paragraph" w:styleId="ListBullet3">
    <w:name w:val="List Bullet 3"/>
    <w:basedOn w:val="bt"/>
    <w:qFormat/>
    <w:rsid w:val="00961D6F"/>
    <w:pPr>
      <w:numPr>
        <w:numId w:val="3"/>
      </w:numPr>
      <w:tabs>
        <w:tab w:val="clear" w:pos="1077"/>
        <w:tab w:val="num" w:pos="1418"/>
      </w:tabs>
      <w:ind w:left="1418" w:hanging="284"/>
    </w:pPr>
  </w:style>
  <w:style w:type="paragraph" w:styleId="ListContinue">
    <w:name w:val="List Continue"/>
    <w:basedOn w:val="Normal"/>
    <w:qFormat/>
    <w:rsid w:val="00564530"/>
    <w:pPr>
      <w:spacing w:after="120" w:line="240" w:lineRule="auto"/>
      <w:ind w:left="283"/>
    </w:pPr>
    <w:rPr>
      <w:rFonts w:ascii="Arial" w:hAnsi="Arial"/>
      <w:sz w:val="20"/>
      <w:szCs w:val="24"/>
    </w:rPr>
  </w:style>
  <w:style w:type="paragraph" w:styleId="ListContinue2">
    <w:name w:val="List Continue 2"/>
    <w:basedOn w:val="Normal"/>
    <w:qFormat/>
    <w:rsid w:val="00564530"/>
    <w:pPr>
      <w:spacing w:after="120" w:line="240" w:lineRule="auto"/>
      <w:ind w:left="566"/>
    </w:pPr>
    <w:rPr>
      <w:rFonts w:ascii="Arial" w:hAnsi="Arial"/>
      <w:sz w:val="20"/>
      <w:szCs w:val="24"/>
    </w:rPr>
  </w:style>
  <w:style w:type="paragraph" w:styleId="ListContinue3">
    <w:name w:val="List Continue 3"/>
    <w:basedOn w:val="Normal"/>
    <w:qFormat/>
    <w:rsid w:val="00564530"/>
    <w:pPr>
      <w:spacing w:after="120" w:line="240" w:lineRule="auto"/>
      <w:ind w:left="849"/>
    </w:pPr>
    <w:rPr>
      <w:rFonts w:ascii="Arial" w:hAnsi="Arial"/>
      <w:sz w:val="20"/>
      <w:szCs w:val="24"/>
    </w:rPr>
  </w:style>
  <w:style w:type="character" w:styleId="Strong">
    <w:name w:val="Strong"/>
    <w:basedOn w:val="BodytextChar"/>
    <w:qFormat/>
    <w:rsid w:val="00966F98"/>
    <w:rPr>
      <w:rFonts w:asciiTheme="minorHAnsi" w:hAnsiTheme="minorHAnsi" w:cstheme="minorHAnsi"/>
      <w:b/>
      <w:bCs/>
    </w:rPr>
  </w:style>
  <w:style w:type="paragraph" w:customStyle="1" w:styleId="Tabletext">
    <w:name w:val="Table text"/>
    <w:basedOn w:val="bt"/>
    <w:autoRedefine/>
    <w:qFormat/>
    <w:rsid w:val="00BF145F"/>
    <w:pPr>
      <w:spacing w:before="60" w:after="60" w:line="240" w:lineRule="auto"/>
    </w:pPr>
    <w:rPr>
      <w:rFonts w:ascii="Arial Narrow" w:eastAsia="Calibri" w:hAnsi="Arial Narrow"/>
      <w:szCs w:val="18"/>
    </w:rPr>
  </w:style>
  <w:style w:type="paragraph" w:customStyle="1" w:styleId="TabletextBold">
    <w:name w:val="Table text Bold"/>
    <w:basedOn w:val="Tabletext"/>
    <w:next w:val="Tabletext"/>
    <w:qFormat/>
    <w:rsid w:val="00564530"/>
    <w:pPr>
      <w:framePr w:wrap="around" w:hAnchor="text"/>
    </w:pPr>
    <w:rPr>
      <w:b/>
      <w:bCs/>
    </w:rPr>
  </w:style>
  <w:style w:type="paragraph" w:customStyle="1" w:styleId="tabletextbullet">
    <w:name w:val="table text bullet"/>
    <w:basedOn w:val="Normal"/>
    <w:qFormat/>
    <w:rsid w:val="00B81F46"/>
    <w:pPr>
      <w:numPr>
        <w:numId w:val="10"/>
      </w:numPr>
      <w:spacing w:before="60" w:after="60" w:line="270" w:lineRule="exact"/>
    </w:pPr>
    <w:rPr>
      <w:sz w:val="20"/>
      <w:szCs w:val="20"/>
    </w:rPr>
  </w:style>
  <w:style w:type="paragraph" w:customStyle="1" w:styleId="tableheaderrow">
    <w:name w:val="table_header row"/>
    <w:basedOn w:val="Tabletext"/>
    <w:qFormat/>
    <w:rsid w:val="001914E8"/>
    <w:pPr>
      <w:framePr w:wrap="around" w:hAnchor="text"/>
    </w:pPr>
    <w:rPr>
      <w:b/>
    </w:rPr>
  </w:style>
  <w:style w:type="paragraph" w:styleId="IntenseQuote">
    <w:name w:val="Intense Quote"/>
    <w:basedOn w:val="bt"/>
    <w:next w:val="bt"/>
    <w:link w:val="IntenseQuoteChar"/>
    <w:autoRedefine/>
    <w:uiPriority w:val="30"/>
    <w:qFormat/>
    <w:rsid w:val="009320D2"/>
    <w:pPr>
      <w:pBdr>
        <w:bottom w:val="single" w:sz="4" w:space="4" w:color="76923C"/>
      </w:pBdr>
      <w:spacing w:before="200" w:after="280"/>
      <w:ind w:left="936" w:right="936"/>
    </w:pPr>
    <w:rPr>
      <w:bCs/>
      <w:i/>
      <w:iCs/>
      <w:color w:val="404040"/>
    </w:rPr>
  </w:style>
  <w:style w:type="character" w:customStyle="1" w:styleId="IntenseQuoteChar">
    <w:name w:val="Intense Quote Char"/>
    <w:basedOn w:val="DefaultParagraphFont"/>
    <w:link w:val="IntenseQuote"/>
    <w:uiPriority w:val="30"/>
    <w:rsid w:val="009320D2"/>
    <w:rPr>
      <w:rFonts w:ascii="Calibri" w:eastAsia="Times New Roman" w:hAnsi="Calibri" w:cs="Times New Roman"/>
      <w:bCs/>
      <w:i/>
      <w:iCs/>
      <w:color w:val="404040"/>
      <w:sz w:val="24"/>
      <w:szCs w:val="24"/>
      <w:lang w:eastAsia="en-AU"/>
    </w:rPr>
  </w:style>
  <w:style w:type="paragraph" w:customStyle="1" w:styleId="btbullet">
    <w:name w:val="bt_bullet"/>
    <w:basedOn w:val="bt"/>
    <w:qFormat/>
    <w:rsid w:val="00A14432"/>
    <w:pPr>
      <w:numPr>
        <w:numId w:val="4"/>
      </w:numPr>
      <w:spacing w:before="60" w:after="60" w:line="264" w:lineRule="auto"/>
      <w:ind w:left="714" w:hanging="357"/>
    </w:pPr>
  </w:style>
  <w:style w:type="table" w:styleId="TableGrid">
    <w:name w:val="Table Grid"/>
    <w:basedOn w:val="TableNormal"/>
    <w:uiPriority w:val="59"/>
    <w:rsid w:val="002F1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2F16A5"/>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1914E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1914E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IntenseEmphasis">
    <w:name w:val="Intense Emphasis"/>
    <w:basedOn w:val="DefaultParagraphFont"/>
    <w:uiPriority w:val="21"/>
    <w:qFormat/>
    <w:rsid w:val="00FF741B"/>
    <w:rPr>
      <w:b/>
      <w:bCs/>
      <w:i/>
      <w:iCs/>
      <w:color w:val="262626"/>
    </w:rPr>
  </w:style>
  <w:style w:type="paragraph" w:customStyle="1" w:styleId="source">
    <w:name w:val="source"/>
    <w:basedOn w:val="bt"/>
    <w:next w:val="bt"/>
    <w:qFormat/>
    <w:rsid w:val="00F25409"/>
    <w:pPr>
      <w:spacing w:before="0" w:after="0" w:line="240" w:lineRule="auto"/>
    </w:pPr>
    <w:rPr>
      <w:i/>
      <w:sz w:val="18"/>
    </w:rPr>
  </w:style>
  <w:style w:type="paragraph" w:styleId="TOC1">
    <w:name w:val="toc 1"/>
    <w:basedOn w:val="Normal"/>
    <w:next w:val="Normal"/>
    <w:autoRedefine/>
    <w:uiPriority w:val="39"/>
    <w:unhideWhenUsed/>
    <w:rsid w:val="005E33B8"/>
    <w:pPr>
      <w:tabs>
        <w:tab w:val="left" w:pos="284"/>
        <w:tab w:val="left" w:pos="851"/>
        <w:tab w:val="right" w:leader="dot" w:pos="9016"/>
      </w:tabs>
      <w:spacing w:after="100"/>
    </w:pPr>
  </w:style>
  <w:style w:type="paragraph" w:styleId="TOC2">
    <w:name w:val="toc 2"/>
    <w:basedOn w:val="Normal"/>
    <w:next w:val="Normal"/>
    <w:autoRedefine/>
    <w:uiPriority w:val="39"/>
    <w:unhideWhenUsed/>
    <w:rsid w:val="00164650"/>
    <w:pPr>
      <w:tabs>
        <w:tab w:val="left" w:pos="567"/>
        <w:tab w:val="left" w:pos="993"/>
        <w:tab w:val="right" w:leader="dot" w:pos="9016"/>
      </w:tabs>
      <w:spacing w:after="100"/>
      <w:ind w:left="567"/>
    </w:pPr>
  </w:style>
  <w:style w:type="character" w:styleId="Hyperlink">
    <w:name w:val="Hyperlink"/>
    <w:basedOn w:val="DefaultParagraphFont"/>
    <w:uiPriority w:val="99"/>
    <w:unhideWhenUsed/>
    <w:rsid w:val="007E5259"/>
    <w:rPr>
      <w:color w:val="0000FF"/>
      <w:u w:val="single"/>
    </w:rPr>
  </w:style>
  <w:style w:type="paragraph" w:styleId="TableofFigures">
    <w:name w:val="table of figures"/>
    <w:basedOn w:val="Normal"/>
    <w:next w:val="Normal"/>
    <w:uiPriority w:val="99"/>
    <w:unhideWhenUsed/>
    <w:qFormat/>
    <w:rsid w:val="005E33B8"/>
    <w:pPr>
      <w:spacing w:before="120" w:after="120"/>
    </w:pPr>
    <w:rPr>
      <w:rFonts w:asciiTheme="minorHAnsi" w:hAnsiTheme="minorHAnsi"/>
    </w:rPr>
  </w:style>
  <w:style w:type="paragraph" w:styleId="Title">
    <w:name w:val="Title"/>
    <w:basedOn w:val="bt"/>
    <w:next w:val="Subtitle"/>
    <w:link w:val="TitleChar"/>
    <w:uiPriority w:val="10"/>
    <w:qFormat/>
    <w:rsid w:val="00C8557A"/>
    <w:pPr>
      <w:spacing w:after="300" w:line="240" w:lineRule="auto"/>
      <w:contextualSpacing/>
    </w:pPr>
    <w:rPr>
      <w:spacing w:val="5"/>
      <w:kern w:val="28"/>
      <w:sz w:val="52"/>
      <w:szCs w:val="52"/>
    </w:rPr>
  </w:style>
  <w:style w:type="paragraph" w:styleId="Subtitle">
    <w:name w:val="Subtitle"/>
    <w:basedOn w:val="bt"/>
    <w:next w:val="bt"/>
    <w:link w:val="SubtitleChar"/>
    <w:uiPriority w:val="11"/>
    <w:qFormat/>
    <w:rsid w:val="00E93DDE"/>
    <w:pPr>
      <w:numPr>
        <w:ilvl w:val="1"/>
      </w:numPr>
    </w:pPr>
    <w:rPr>
      <w:i/>
      <w:iCs/>
      <w:spacing w:val="15"/>
      <w:sz w:val="24"/>
    </w:rPr>
  </w:style>
  <w:style w:type="character" w:customStyle="1" w:styleId="SubtitleChar">
    <w:name w:val="Subtitle Char"/>
    <w:basedOn w:val="DefaultParagraphFont"/>
    <w:link w:val="Subtitle"/>
    <w:uiPriority w:val="11"/>
    <w:rsid w:val="00E93DDE"/>
    <w:rPr>
      <w:rFonts w:ascii="Calibri" w:eastAsia="Times New Roman" w:hAnsi="Calibri" w:cs="Times New Roman"/>
      <w:i/>
      <w:iCs/>
      <w:spacing w:val="15"/>
      <w:sz w:val="24"/>
      <w:szCs w:val="24"/>
      <w:lang w:eastAsia="en-AU"/>
    </w:rPr>
  </w:style>
  <w:style w:type="character" w:customStyle="1" w:styleId="TitleChar">
    <w:name w:val="Title Char"/>
    <w:basedOn w:val="DefaultParagraphFont"/>
    <w:link w:val="Title"/>
    <w:uiPriority w:val="10"/>
    <w:rsid w:val="00C8557A"/>
    <w:rPr>
      <w:rFonts w:ascii="Calibri" w:eastAsia="Times New Roman" w:hAnsi="Calibri" w:cs="Times New Roman"/>
      <w:spacing w:val="5"/>
      <w:kern w:val="28"/>
      <w:sz w:val="52"/>
      <w:szCs w:val="52"/>
      <w:lang w:eastAsia="en-AU"/>
    </w:rPr>
  </w:style>
  <w:style w:type="paragraph" w:styleId="TOC3">
    <w:name w:val="toc 3"/>
    <w:basedOn w:val="Normal"/>
    <w:next w:val="Normal"/>
    <w:autoRedefine/>
    <w:uiPriority w:val="39"/>
    <w:unhideWhenUsed/>
    <w:rsid w:val="00354765"/>
    <w:pPr>
      <w:tabs>
        <w:tab w:val="right" w:leader="dot" w:pos="9016"/>
      </w:tabs>
      <w:spacing w:after="100"/>
      <w:ind w:left="851"/>
    </w:pPr>
  </w:style>
  <w:style w:type="table" w:styleId="MediumShading1-Accent3">
    <w:name w:val="Medium Shading 1 Accent 3"/>
    <w:basedOn w:val="TableNormal"/>
    <w:uiPriority w:val="63"/>
    <w:rsid w:val="00AB1161"/>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Grid3-Accent3">
    <w:name w:val="Medium Grid 3 Accent 3"/>
    <w:basedOn w:val="TableNormal"/>
    <w:uiPriority w:val="69"/>
    <w:rsid w:val="00D5002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FollowedHyperlink">
    <w:name w:val="FollowedHyperlink"/>
    <w:basedOn w:val="DefaultParagraphFont"/>
    <w:uiPriority w:val="99"/>
    <w:semiHidden/>
    <w:unhideWhenUsed/>
    <w:rsid w:val="0045654E"/>
    <w:rPr>
      <w:color w:val="800080"/>
      <w:u w:val="single"/>
    </w:rPr>
  </w:style>
  <w:style w:type="paragraph" w:customStyle="1" w:styleId="btpicture">
    <w:name w:val="bt_picture"/>
    <w:basedOn w:val="bt"/>
    <w:next w:val="bt"/>
    <w:qFormat/>
    <w:rsid w:val="00217C6E"/>
    <w:pPr>
      <w:spacing w:after="0" w:line="240" w:lineRule="auto"/>
    </w:pPr>
    <w:rPr>
      <w:sz w:val="18"/>
    </w:rPr>
  </w:style>
  <w:style w:type="paragraph" w:styleId="FootnoteText">
    <w:name w:val="footnote text"/>
    <w:basedOn w:val="Normal"/>
    <w:link w:val="FootnoteTextChar"/>
    <w:uiPriority w:val="99"/>
    <w:unhideWhenUsed/>
    <w:qFormat/>
    <w:rsid w:val="00666BAF"/>
    <w:pPr>
      <w:spacing w:after="0" w:line="240" w:lineRule="auto"/>
    </w:pPr>
    <w:rPr>
      <w:rFonts w:asciiTheme="minorHAnsi" w:hAnsiTheme="minorHAnsi"/>
      <w:sz w:val="16"/>
      <w:szCs w:val="12"/>
      <w:lang w:val="en-US"/>
    </w:rPr>
  </w:style>
  <w:style w:type="character" w:customStyle="1" w:styleId="FootnoteTextChar">
    <w:name w:val="Footnote Text Char"/>
    <w:basedOn w:val="DefaultParagraphFont"/>
    <w:link w:val="FootnoteText"/>
    <w:uiPriority w:val="99"/>
    <w:rsid w:val="00666BAF"/>
    <w:rPr>
      <w:rFonts w:asciiTheme="minorHAnsi" w:hAnsiTheme="minorHAnsi"/>
      <w:sz w:val="16"/>
      <w:szCs w:val="12"/>
      <w:lang w:val="en-US"/>
    </w:rPr>
  </w:style>
  <w:style w:type="character" w:styleId="SubtleEmphasis">
    <w:name w:val="Subtle Emphasis"/>
    <w:basedOn w:val="DefaultParagraphFont"/>
    <w:uiPriority w:val="19"/>
    <w:qFormat/>
    <w:rsid w:val="00DD1150"/>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DD1150"/>
    <w:rPr>
      <w:color w:val="365F91"/>
      <w:lang w:val="en-US"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Quote">
    <w:name w:val="Quote"/>
    <w:basedOn w:val="Normal"/>
    <w:next w:val="Normal"/>
    <w:link w:val="QuoteChar"/>
    <w:uiPriority w:val="29"/>
    <w:qFormat/>
    <w:rsid w:val="00803BD6"/>
    <w:rPr>
      <w:i/>
      <w:iCs/>
      <w:color w:val="000000"/>
    </w:rPr>
  </w:style>
  <w:style w:type="character" w:customStyle="1" w:styleId="QuoteChar">
    <w:name w:val="Quote Char"/>
    <w:basedOn w:val="DefaultParagraphFont"/>
    <w:link w:val="Quote"/>
    <w:uiPriority w:val="29"/>
    <w:rsid w:val="00803BD6"/>
    <w:rPr>
      <w:i/>
      <w:iCs/>
      <w:color w:val="000000"/>
    </w:rPr>
  </w:style>
  <w:style w:type="paragraph" w:styleId="ListParagraph">
    <w:name w:val="List Paragraph"/>
    <w:basedOn w:val="Normal"/>
    <w:uiPriority w:val="34"/>
    <w:qFormat/>
    <w:rsid w:val="00803BD6"/>
    <w:pPr>
      <w:ind w:left="720"/>
      <w:contextualSpacing/>
    </w:pPr>
  </w:style>
  <w:style w:type="character" w:styleId="SubtleReference">
    <w:name w:val="Subtle Reference"/>
    <w:basedOn w:val="DefaultParagraphFont"/>
    <w:uiPriority w:val="31"/>
    <w:qFormat/>
    <w:rsid w:val="00803BD6"/>
    <w:rPr>
      <w:smallCaps/>
      <w:color w:val="C0504D"/>
      <w:u w:val="single"/>
    </w:rPr>
  </w:style>
  <w:style w:type="character" w:styleId="IntenseReference">
    <w:name w:val="Intense Reference"/>
    <w:basedOn w:val="DefaultParagraphFont"/>
    <w:uiPriority w:val="32"/>
    <w:qFormat/>
    <w:rsid w:val="00803BD6"/>
    <w:rPr>
      <w:b/>
      <w:bCs/>
      <w:smallCaps/>
      <w:color w:val="C0504D"/>
      <w:spacing w:val="5"/>
      <w:u w:val="single"/>
    </w:rPr>
  </w:style>
  <w:style w:type="table" w:styleId="LightShading-Accent5">
    <w:name w:val="Light Shading Accent 5"/>
    <w:basedOn w:val="TableNormal"/>
    <w:uiPriority w:val="60"/>
    <w:rsid w:val="00803BD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803BD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803BD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Shading-Accent4">
    <w:name w:val="Light Shading Accent 4"/>
    <w:basedOn w:val="TableNormal"/>
    <w:uiPriority w:val="60"/>
    <w:rsid w:val="00803BD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2">
    <w:name w:val="Light Shading Accent 2"/>
    <w:basedOn w:val="TableNormal"/>
    <w:uiPriority w:val="60"/>
    <w:rsid w:val="00803BD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Number">
    <w:name w:val="List Number"/>
    <w:basedOn w:val="bt"/>
    <w:uiPriority w:val="99"/>
    <w:unhideWhenUsed/>
    <w:qFormat/>
    <w:rsid w:val="00E66D1C"/>
    <w:pPr>
      <w:numPr>
        <w:numId w:val="6"/>
      </w:numPr>
      <w:tabs>
        <w:tab w:val="clear" w:pos="360"/>
        <w:tab w:val="num" w:pos="851"/>
      </w:tabs>
      <w:ind w:left="851" w:hanging="284"/>
      <w:contextualSpacing/>
    </w:pPr>
  </w:style>
  <w:style w:type="paragraph" w:styleId="ListNumber2">
    <w:name w:val="List Number 2"/>
    <w:basedOn w:val="bt"/>
    <w:uiPriority w:val="99"/>
    <w:unhideWhenUsed/>
    <w:qFormat/>
    <w:rsid w:val="00E66D1C"/>
    <w:pPr>
      <w:numPr>
        <w:numId w:val="7"/>
      </w:numPr>
      <w:tabs>
        <w:tab w:val="clear" w:pos="643"/>
        <w:tab w:val="num" w:pos="1134"/>
      </w:tabs>
      <w:ind w:left="1134" w:hanging="283"/>
      <w:contextualSpacing/>
    </w:pPr>
  </w:style>
  <w:style w:type="paragraph" w:styleId="ListNumber3">
    <w:name w:val="List Number 3"/>
    <w:basedOn w:val="bt"/>
    <w:unhideWhenUsed/>
    <w:qFormat/>
    <w:rsid w:val="00E66D1C"/>
    <w:pPr>
      <w:numPr>
        <w:numId w:val="8"/>
      </w:numPr>
      <w:tabs>
        <w:tab w:val="clear" w:pos="926"/>
        <w:tab w:val="num" w:pos="1418"/>
      </w:tabs>
      <w:ind w:left="1418" w:hanging="284"/>
      <w:contextualSpacing/>
    </w:pPr>
  </w:style>
  <w:style w:type="paragraph" w:styleId="ListNumber4">
    <w:name w:val="List Number 4"/>
    <w:basedOn w:val="bt"/>
    <w:uiPriority w:val="99"/>
    <w:unhideWhenUsed/>
    <w:qFormat/>
    <w:rsid w:val="00E66D1C"/>
    <w:pPr>
      <w:numPr>
        <w:numId w:val="9"/>
      </w:numPr>
      <w:tabs>
        <w:tab w:val="clear" w:pos="1209"/>
        <w:tab w:val="left" w:pos="1701"/>
      </w:tabs>
      <w:ind w:left="1701" w:hanging="283"/>
      <w:contextualSpacing/>
    </w:pPr>
  </w:style>
  <w:style w:type="table" w:customStyle="1" w:styleId="MediumGrid31">
    <w:name w:val="Medium Grid 31"/>
    <w:basedOn w:val="TableNormal"/>
    <w:uiPriority w:val="69"/>
    <w:rsid w:val="00E66D1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1-Accent5">
    <w:name w:val="Medium Shading 1 Accent 5"/>
    <w:basedOn w:val="TableNormal"/>
    <w:uiPriority w:val="63"/>
    <w:rsid w:val="00E66D1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bttextbox">
    <w:name w:val="bt_textbox"/>
    <w:basedOn w:val="bt"/>
    <w:qFormat/>
    <w:rsid w:val="00F379BE"/>
  </w:style>
  <w:style w:type="paragraph" w:customStyle="1" w:styleId="Default">
    <w:name w:val="Default"/>
    <w:rsid w:val="00A14432"/>
    <w:pPr>
      <w:autoSpaceDE w:val="0"/>
      <w:autoSpaceDN w:val="0"/>
      <w:adjustRightInd w:val="0"/>
    </w:pPr>
    <w:rPr>
      <w:rFonts w:ascii="DIN" w:hAnsi="DIN" w:cs="DIN"/>
      <w:color w:val="000000"/>
      <w:sz w:val="24"/>
      <w:szCs w:val="24"/>
    </w:rPr>
  </w:style>
  <w:style w:type="paragraph" w:styleId="TOC4">
    <w:name w:val="toc 4"/>
    <w:basedOn w:val="Normal"/>
    <w:next w:val="Normal"/>
    <w:autoRedefine/>
    <w:uiPriority w:val="39"/>
    <w:unhideWhenUsed/>
    <w:rsid w:val="00032955"/>
    <w:pPr>
      <w:spacing w:after="100"/>
      <w:ind w:left="660"/>
    </w:pPr>
  </w:style>
  <w:style w:type="paragraph" w:styleId="TOC5">
    <w:name w:val="toc 5"/>
    <w:basedOn w:val="Normal"/>
    <w:next w:val="Normal"/>
    <w:autoRedefine/>
    <w:uiPriority w:val="39"/>
    <w:unhideWhenUsed/>
    <w:rsid w:val="00032955"/>
    <w:pPr>
      <w:spacing w:after="100"/>
      <w:ind w:left="880"/>
    </w:pPr>
  </w:style>
  <w:style w:type="paragraph" w:styleId="TOC6">
    <w:name w:val="toc 6"/>
    <w:basedOn w:val="Normal"/>
    <w:next w:val="Normal"/>
    <w:autoRedefine/>
    <w:uiPriority w:val="39"/>
    <w:unhideWhenUsed/>
    <w:rsid w:val="00032955"/>
    <w:pPr>
      <w:spacing w:after="100"/>
      <w:ind w:left="1100"/>
    </w:pPr>
  </w:style>
  <w:style w:type="paragraph" w:styleId="TOC7">
    <w:name w:val="toc 7"/>
    <w:basedOn w:val="Normal"/>
    <w:next w:val="Normal"/>
    <w:autoRedefine/>
    <w:uiPriority w:val="39"/>
    <w:unhideWhenUsed/>
    <w:rsid w:val="00032955"/>
    <w:pPr>
      <w:spacing w:after="100"/>
      <w:ind w:left="1320"/>
    </w:pPr>
  </w:style>
  <w:style w:type="paragraph" w:styleId="TOC8">
    <w:name w:val="toc 8"/>
    <w:basedOn w:val="Normal"/>
    <w:next w:val="Normal"/>
    <w:autoRedefine/>
    <w:uiPriority w:val="39"/>
    <w:unhideWhenUsed/>
    <w:rsid w:val="00032955"/>
    <w:pPr>
      <w:spacing w:after="100"/>
      <w:ind w:left="1540"/>
    </w:pPr>
  </w:style>
  <w:style w:type="paragraph" w:styleId="TOC9">
    <w:name w:val="toc 9"/>
    <w:basedOn w:val="Normal"/>
    <w:next w:val="Normal"/>
    <w:autoRedefine/>
    <w:uiPriority w:val="39"/>
    <w:unhideWhenUsed/>
    <w:rsid w:val="00032955"/>
    <w:pPr>
      <w:spacing w:after="100"/>
      <w:ind w:left="1760"/>
    </w:pPr>
  </w:style>
  <w:style w:type="paragraph" w:styleId="NormalWeb">
    <w:name w:val="Normal (Web)"/>
    <w:basedOn w:val="Normal"/>
    <w:uiPriority w:val="99"/>
    <w:semiHidden/>
    <w:unhideWhenUsed/>
    <w:rsid w:val="00842BDD"/>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C507C7"/>
    <w:rPr>
      <w:sz w:val="16"/>
      <w:szCs w:val="16"/>
    </w:rPr>
  </w:style>
  <w:style w:type="paragraph" w:styleId="CommentSubject">
    <w:name w:val="annotation subject"/>
    <w:basedOn w:val="CommentText"/>
    <w:next w:val="CommentText"/>
    <w:link w:val="CommentSubjectChar"/>
    <w:uiPriority w:val="99"/>
    <w:semiHidden/>
    <w:unhideWhenUsed/>
    <w:rsid w:val="00B67FA4"/>
    <w:pPr>
      <w:spacing w:after="200"/>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B67FA4"/>
    <w:rPr>
      <w:rFonts w:ascii="Arial" w:eastAsia="Times New Roman" w:hAnsi="Arial" w:cs="Times New Roman"/>
      <w:b/>
      <w:bCs/>
      <w:sz w:val="20"/>
      <w:szCs w:val="20"/>
      <w:lang w:eastAsia="en-AU"/>
    </w:rPr>
  </w:style>
  <w:style w:type="character" w:styleId="PlaceholderText">
    <w:name w:val="Placeholder Text"/>
    <w:basedOn w:val="DefaultParagraphFont"/>
    <w:uiPriority w:val="99"/>
    <w:semiHidden/>
    <w:rsid w:val="00C643C6"/>
    <w:rPr>
      <w:color w:val="808080"/>
    </w:rPr>
  </w:style>
  <w:style w:type="character" w:styleId="FootnoteReference">
    <w:name w:val="footnote reference"/>
    <w:basedOn w:val="DefaultParagraphFont"/>
    <w:uiPriority w:val="99"/>
    <w:unhideWhenUsed/>
    <w:rsid w:val="007A6808"/>
    <w:rPr>
      <w:vertAlign w:val="superscript"/>
    </w:rPr>
  </w:style>
  <w:style w:type="paragraph" w:styleId="EndnoteText">
    <w:name w:val="endnote text"/>
    <w:basedOn w:val="Normal"/>
    <w:link w:val="EndnoteTextChar"/>
    <w:uiPriority w:val="99"/>
    <w:semiHidden/>
    <w:unhideWhenUsed/>
    <w:rsid w:val="00741F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1F73"/>
    <w:rPr>
      <w:sz w:val="20"/>
      <w:szCs w:val="20"/>
    </w:rPr>
  </w:style>
  <w:style w:type="character" w:styleId="EndnoteReference">
    <w:name w:val="endnote reference"/>
    <w:basedOn w:val="DefaultParagraphFont"/>
    <w:uiPriority w:val="99"/>
    <w:semiHidden/>
    <w:unhideWhenUsed/>
    <w:rsid w:val="00741F73"/>
    <w:rPr>
      <w:vertAlign w:val="superscript"/>
    </w:rPr>
  </w:style>
  <w:style w:type="paragraph" w:styleId="Revision">
    <w:name w:val="Revision"/>
    <w:hidden/>
    <w:uiPriority w:val="99"/>
    <w:semiHidden/>
    <w:rsid w:val="00666E96"/>
    <w:rPr>
      <w:sz w:val="22"/>
      <w:szCs w:val="22"/>
    </w:rPr>
  </w:style>
  <w:style w:type="character" w:customStyle="1" w:styleId="btChar">
    <w:name w:val="bt Char"/>
    <w:basedOn w:val="DefaultParagraphFont"/>
    <w:link w:val="bt"/>
    <w:rsid w:val="007343BF"/>
    <w:rPr>
      <w:szCs w:val="24"/>
      <w:lang w:val="en-AU" w:eastAsia="en-AU" w:bidi="ar-SA"/>
    </w:rPr>
  </w:style>
  <w:style w:type="paragraph" w:customStyle="1" w:styleId="Headingorange">
    <w:name w:val="Heading orange"/>
    <w:basedOn w:val="TOCHeading"/>
    <w:link w:val="HeadingorangeChar"/>
    <w:qFormat/>
    <w:rsid w:val="006E3B97"/>
  </w:style>
  <w:style w:type="character" w:customStyle="1" w:styleId="TOCHeadingChar">
    <w:name w:val="TOC Heading Char"/>
    <w:basedOn w:val="Heading1Char"/>
    <w:link w:val="TOCHeading"/>
    <w:uiPriority w:val="39"/>
    <w:semiHidden/>
    <w:rsid w:val="0091402E"/>
    <w:rPr>
      <w:b/>
      <w:bCs/>
      <w:sz w:val="34"/>
      <w:szCs w:val="28"/>
      <w:lang w:val="en-US" w:eastAsia="en-AU" w:bidi="ar-SA"/>
    </w:rPr>
  </w:style>
  <w:style w:type="character" w:customStyle="1" w:styleId="HeadingorangeChar">
    <w:name w:val="Heading orange Char"/>
    <w:basedOn w:val="TOCHeadingChar"/>
    <w:link w:val="Headingorange"/>
    <w:rsid w:val="006E3B97"/>
    <w:rPr>
      <w:b/>
      <w:bCs/>
    </w:rPr>
  </w:style>
  <w:style w:type="paragraph" w:customStyle="1" w:styleId="Heading3-list">
    <w:name w:val="Heading 3 - list"/>
    <w:basedOn w:val="Heading3"/>
    <w:link w:val="Heading3-listChar"/>
    <w:qFormat/>
    <w:rsid w:val="0027751F"/>
    <w:pPr>
      <w:numPr>
        <w:numId w:val="32"/>
      </w:numPr>
      <w:ind w:left="360"/>
    </w:pPr>
    <w:rPr>
      <w:lang w:eastAsia="en-US"/>
    </w:rPr>
  </w:style>
  <w:style w:type="character" w:customStyle="1" w:styleId="Heading3-listChar">
    <w:name w:val="Heading 3 - list Char"/>
    <w:basedOn w:val="Heading3Char"/>
    <w:link w:val="Heading3-list"/>
    <w:rsid w:val="0027751F"/>
    <w:rPr>
      <w:b/>
      <w:lang w:eastAsia="en-US"/>
    </w:rPr>
  </w:style>
  <w:style w:type="paragraph" w:customStyle="1" w:styleId="BodyText1">
    <w:name w:val="Body Text1"/>
    <w:basedOn w:val="Normal"/>
    <w:link w:val="BodytextChar"/>
    <w:rsid w:val="002F3BB6"/>
    <w:pPr>
      <w:spacing w:line="240" w:lineRule="auto"/>
    </w:pPr>
    <w:rPr>
      <w:rFonts w:ascii="Arial" w:hAnsi="Arial"/>
      <w:sz w:val="20"/>
      <w:szCs w:val="24"/>
    </w:rPr>
  </w:style>
  <w:style w:type="character" w:customStyle="1" w:styleId="BodytextChar">
    <w:name w:val="Body text Char"/>
    <w:basedOn w:val="DefaultParagraphFont"/>
    <w:link w:val="BodyText1"/>
    <w:rsid w:val="002F3BB6"/>
    <w:rPr>
      <w:rFonts w:ascii="Arial" w:eastAsia="Times New Roman" w:hAnsi="Arial" w:cs="Times New Roman"/>
      <w:sz w:val="20"/>
      <w:szCs w:val="24"/>
    </w:rPr>
  </w:style>
  <w:style w:type="paragraph" w:customStyle="1" w:styleId="Tablebullet2">
    <w:name w:val="Table bullet 2"/>
    <w:basedOn w:val="tabletextbullet"/>
    <w:qFormat/>
    <w:rsid w:val="00243330"/>
    <w:pPr>
      <w:numPr>
        <w:numId w:val="0"/>
      </w:numPr>
      <w:tabs>
        <w:tab w:val="num" w:pos="643"/>
      </w:tabs>
      <w:spacing w:before="120"/>
      <w:ind w:left="754" w:hanging="357"/>
      <w:jc w:val="both"/>
    </w:pPr>
    <w:rPr>
      <w:rFonts w:eastAsia="Calibri"/>
    </w:rPr>
  </w:style>
  <w:style w:type="paragraph" w:customStyle="1" w:styleId="DOTBodyCopy">
    <w:name w:val="DOT Body Copy"/>
    <w:basedOn w:val="Normal"/>
    <w:rsid w:val="00201DD8"/>
    <w:pPr>
      <w:spacing w:before="120" w:after="120" w:line="240" w:lineRule="auto"/>
    </w:pPr>
    <w:rPr>
      <w:rFonts w:ascii="Arial" w:hAnsi="Arial"/>
      <w:color w:val="000000"/>
      <w:sz w:val="20"/>
      <w:szCs w:val="20"/>
      <w:lang w:eastAsia="en-US"/>
    </w:rPr>
  </w:style>
  <w:style w:type="paragraph" w:customStyle="1" w:styleId="Bodytext">
    <w:name w:val="Body text"/>
    <w:qFormat/>
    <w:rsid w:val="002778E2"/>
    <w:pPr>
      <w:spacing w:before="120" w:line="120" w:lineRule="atLeast"/>
    </w:pPr>
    <w:rPr>
      <w:rFonts w:ascii="Helvetica Light" w:eastAsiaTheme="minorEastAsia" w:hAnsi="Helvetica Light" w:cstheme="minorBidi"/>
      <w:lang w:val="en-US" w:eastAsia="en-US"/>
    </w:rPr>
  </w:style>
  <w:style w:type="character" w:customStyle="1" w:styleId="Heading5Char">
    <w:name w:val="Heading 5 Char"/>
    <w:basedOn w:val="DefaultParagraphFont"/>
    <w:link w:val="Heading5"/>
    <w:uiPriority w:val="9"/>
    <w:rsid w:val="002A1891"/>
    <w:rPr>
      <w:rFonts w:eastAsiaTheme="majorEastAsia" w:cstheme="majorBidi"/>
      <w:b/>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0" w:qFormat="1"/>
    <w:lsdException w:name="List Bullet" w:uiPriority="0" w:qFormat="1"/>
    <w:lsdException w:name="List Number" w:qFormat="1"/>
    <w:lsdException w:name="List Bullet 2" w:uiPriority="0" w:qFormat="1"/>
    <w:lsdException w:name="List Bullet 3" w:uiPriority="0" w:qFormat="1"/>
    <w:lsdException w:name="List Number 2" w:qFormat="1"/>
    <w:lsdException w:name="List Number 3" w:qFormat="1"/>
    <w:lsdException w:name="List Number 4"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3EDF"/>
    <w:pPr>
      <w:spacing w:after="200" w:line="276" w:lineRule="auto"/>
    </w:pPr>
    <w:rPr>
      <w:sz w:val="22"/>
      <w:szCs w:val="22"/>
    </w:rPr>
  </w:style>
  <w:style w:type="paragraph" w:styleId="Heading1">
    <w:name w:val="heading 1"/>
    <w:aliases w:val="1 NoNum"/>
    <w:next w:val="bt"/>
    <w:link w:val="Heading1Char"/>
    <w:qFormat/>
    <w:rsid w:val="00961D6F"/>
    <w:pPr>
      <w:keepNext/>
      <w:tabs>
        <w:tab w:val="left" w:pos="851"/>
      </w:tabs>
      <w:spacing w:after="120"/>
      <w:outlineLvl w:val="0"/>
    </w:pPr>
    <w:rPr>
      <w:b/>
      <w:bCs/>
      <w:sz w:val="34"/>
      <w:szCs w:val="28"/>
    </w:rPr>
  </w:style>
  <w:style w:type="paragraph" w:styleId="Heading2">
    <w:name w:val="heading 2"/>
    <w:next w:val="bt"/>
    <w:link w:val="Heading2Char"/>
    <w:qFormat/>
    <w:rsid w:val="00961D6F"/>
    <w:pPr>
      <w:keepNext/>
      <w:numPr>
        <w:ilvl w:val="1"/>
        <w:numId w:val="1"/>
      </w:numPr>
      <w:tabs>
        <w:tab w:val="left" w:pos="851"/>
      </w:tabs>
      <w:spacing w:before="360" w:after="240"/>
      <w:outlineLvl w:val="1"/>
    </w:pPr>
    <w:rPr>
      <w:rFonts w:cs="Arial"/>
      <w:b/>
      <w:bCs/>
      <w:iCs/>
      <w:color w:val="595959"/>
      <w:sz w:val="28"/>
      <w:szCs w:val="28"/>
    </w:rPr>
  </w:style>
  <w:style w:type="paragraph" w:styleId="Heading3">
    <w:name w:val="heading 3"/>
    <w:basedOn w:val="bt"/>
    <w:next w:val="bt"/>
    <w:link w:val="Heading3Char"/>
    <w:qFormat/>
    <w:rsid w:val="00B422FA"/>
    <w:pPr>
      <w:outlineLvl w:val="2"/>
    </w:pPr>
    <w:rPr>
      <w:b/>
    </w:rPr>
  </w:style>
  <w:style w:type="paragraph" w:styleId="Heading4">
    <w:name w:val="heading 4"/>
    <w:basedOn w:val="bt"/>
    <w:next w:val="bt"/>
    <w:link w:val="Heading4Char"/>
    <w:qFormat/>
    <w:rsid w:val="00911DD2"/>
    <w:pPr>
      <w:outlineLvl w:val="3"/>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link w:val="btChar"/>
    <w:qFormat/>
    <w:rsid w:val="002A5AE6"/>
    <w:pPr>
      <w:spacing w:before="180" w:after="240" w:line="270" w:lineRule="exact"/>
    </w:pPr>
    <w:rPr>
      <w:szCs w:val="24"/>
    </w:rPr>
  </w:style>
  <w:style w:type="character" w:customStyle="1" w:styleId="Heading1Char">
    <w:name w:val="Heading 1 Char"/>
    <w:aliases w:val="1 NoNum Char"/>
    <w:basedOn w:val="DefaultParagraphFont"/>
    <w:link w:val="Heading1"/>
    <w:rsid w:val="00961D6F"/>
    <w:rPr>
      <w:b/>
      <w:bCs/>
      <w:sz w:val="34"/>
      <w:szCs w:val="28"/>
      <w:lang w:val="en-AU" w:eastAsia="en-AU" w:bidi="ar-SA"/>
    </w:rPr>
  </w:style>
  <w:style w:type="character" w:customStyle="1" w:styleId="Heading2Char">
    <w:name w:val="Heading 2 Char"/>
    <w:basedOn w:val="DefaultParagraphFont"/>
    <w:link w:val="Heading2"/>
    <w:rsid w:val="00961D6F"/>
    <w:rPr>
      <w:rFonts w:cs="Arial"/>
      <w:b/>
      <w:bCs/>
      <w:iCs/>
      <w:color w:val="595959"/>
      <w:sz w:val="28"/>
      <w:szCs w:val="28"/>
    </w:rPr>
  </w:style>
  <w:style w:type="character" w:customStyle="1" w:styleId="Heading3Char">
    <w:name w:val="Heading 3 Char"/>
    <w:basedOn w:val="DefaultParagraphFont"/>
    <w:link w:val="Heading3"/>
    <w:rsid w:val="00B422FA"/>
    <w:rPr>
      <w:rFonts w:ascii="Calibri" w:eastAsia="Times New Roman" w:hAnsi="Calibri" w:cs="Times New Roman"/>
      <w:b/>
      <w:sz w:val="20"/>
      <w:szCs w:val="24"/>
    </w:rPr>
  </w:style>
  <w:style w:type="character" w:customStyle="1" w:styleId="Heading4Char">
    <w:name w:val="Heading 4 Char"/>
    <w:basedOn w:val="DefaultParagraphFont"/>
    <w:link w:val="Heading4"/>
    <w:rsid w:val="00911DD2"/>
    <w:rPr>
      <w:rFonts w:ascii="Calibri" w:eastAsia="Times New Roman" w:hAnsi="Calibri" w:cs="Times New Roman"/>
      <w:sz w:val="20"/>
      <w:szCs w:val="24"/>
      <w:u w:val="single"/>
    </w:rPr>
  </w:style>
  <w:style w:type="paragraph" w:styleId="BalloonText">
    <w:name w:val="Balloon Text"/>
    <w:basedOn w:val="Normal"/>
    <w:link w:val="BalloonTextChar"/>
    <w:uiPriority w:val="99"/>
    <w:semiHidden/>
    <w:unhideWhenUsed/>
    <w:rsid w:val="00E02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62"/>
    <w:rPr>
      <w:rFonts w:ascii="Tahoma" w:hAnsi="Tahoma" w:cs="Tahoma"/>
      <w:sz w:val="16"/>
      <w:szCs w:val="16"/>
    </w:rPr>
  </w:style>
  <w:style w:type="paragraph" w:styleId="NoSpacing">
    <w:name w:val="No Spacing"/>
    <w:link w:val="NoSpacingChar"/>
    <w:uiPriority w:val="1"/>
    <w:qFormat/>
    <w:rsid w:val="00E02F62"/>
    <w:rPr>
      <w:sz w:val="22"/>
      <w:szCs w:val="22"/>
      <w:lang w:val="en-US"/>
    </w:rPr>
  </w:style>
  <w:style w:type="character" w:customStyle="1" w:styleId="NoSpacingChar">
    <w:name w:val="No Spacing Char"/>
    <w:basedOn w:val="DefaultParagraphFont"/>
    <w:link w:val="NoSpacing"/>
    <w:uiPriority w:val="1"/>
    <w:rsid w:val="00E02F62"/>
    <w:rPr>
      <w:sz w:val="22"/>
      <w:szCs w:val="22"/>
      <w:lang w:val="en-US" w:eastAsia="en-AU" w:bidi="ar-SA"/>
    </w:rPr>
  </w:style>
  <w:style w:type="paragraph" w:styleId="TOCHeading">
    <w:name w:val="TOC Heading"/>
    <w:basedOn w:val="Heading1"/>
    <w:next w:val="Normal"/>
    <w:link w:val="TOCHeadingChar"/>
    <w:uiPriority w:val="39"/>
    <w:semiHidden/>
    <w:unhideWhenUsed/>
    <w:qFormat/>
    <w:rsid w:val="00E02F62"/>
    <w:pPr>
      <w:outlineLvl w:val="9"/>
    </w:pPr>
    <w:rPr>
      <w:lang w:val="en-US"/>
    </w:rPr>
  </w:style>
  <w:style w:type="paragraph" w:styleId="Header">
    <w:name w:val="header"/>
    <w:basedOn w:val="Normal"/>
    <w:link w:val="HeaderChar"/>
    <w:unhideWhenUsed/>
    <w:rsid w:val="00E02F62"/>
    <w:pPr>
      <w:tabs>
        <w:tab w:val="center" w:pos="4513"/>
        <w:tab w:val="right" w:pos="9026"/>
      </w:tabs>
      <w:spacing w:after="0" w:line="240" w:lineRule="auto"/>
    </w:pPr>
  </w:style>
  <w:style w:type="character" w:customStyle="1" w:styleId="HeaderChar">
    <w:name w:val="Header Char"/>
    <w:basedOn w:val="DefaultParagraphFont"/>
    <w:link w:val="Header"/>
    <w:rsid w:val="00E02F62"/>
  </w:style>
  <w:style w:type="paragraph" w:styleId="Footer">
    <w:name w:val="footer"/>
    <w:basedOn w:val="Normal"/>
    <w:link w:val="FooterChar"/>
    <w:unhideWhenUsed/>
    <w:rsid w:val="00E02F62"/>
    <w:pPr>
      <w:tabs>
        <w:tab w:val="center" w:pos="4513"/>
        <w:tab w:val="right" w:pos="9026"/>
      </w:tabs>
      <w:spacing w:after="0" w:line="240" w:lineRule="auto"/>
    </w:pPr>
  </w:style>
  <w:style w:type="character" w:customStyle="1" w:styleId="FooterChar">
    <w:name w:val="Footer Char"/>
    <w:basedOn w:val="DefaultParagraphFont"/>
    <w:link w:val="Footer"/>
    <w:rsid w:val="00E02F62"/>
  </w:style>
  <w:style w:type="paragraph" w:customStyle="1" w:styleId="btbold">
    <w:name w:val="bt_bold"/>
    <w:basedOn w:val="bt"/>
    <w:next w:val="bt"/>
    <w:qFormat/>
    <w:rsid w:val="00564530"/>
    <w:pPr>
      <w:spacing w:after="120"/>
    </w:pPr>
    <w:rPr>
      <w:b/>
    </w:rPr>
  </w:style>
  <w:style w:type="paragraph" w:customStyle="1" w:styleId="btindent">
    <w:name w:val="bt_indent"/>
    <w:basedOn w:val="bt"/>
    <w:next w:val="bt"/>
    <w:qFormat/>
    <w:rsid w:val="00DD1150"/>
    <w:pPr>
      <w:ind w:left="709"/>
    </w:pPr>
  </w:style>
  <w:style w:type="paragraph" w:customStyle="1" w:styleId="btitalics">
    <w:name w:val="bt_italics"/>
    <w:basedOn w:val="bt"/>
    <w:next w:val="bt"/>
    <w:qFormat/>
    <w:rsid w:val="00564530"/>
    <w:rPr>
      <w:i/>
    </w:rPr>
  </w:style>
  <w:style w:type="character" w:customStyle="1" w:styleId="bt-highlighttext">
    <w:name w:val="bt-highlight text"/>
    <w:basedOn w:val="DefaultParagraphFont"/>
    <w:qFormat/>
    <w:rsid w:val="00564530"/>
    <w:rPr>
      <w:rFonts w:ascii="Calibri" w:hAnsi="Calibri"/>
      <w:color w:val="0000FF"/>
      <w:sz w:val="24"/>
      <w:lang w:eastAsia="en-US"/>
    </w:rPr>
  </w:style>
  <w:style w:type="paragraph" w:styleId="Caption">
    <w:name w:val="caption"/>
    <w:basedOn w:val="bt"/>
    <w:next w:val="bt"/>
    <w:qFormat/>
    <w:rsid w:val="00903439"/>
    <w:pPr>
      <w:keepNext/>
      <w:spacing w:after="180" w:line="240" w:lineRule="auto"/>
      <w:ind w:left="28" w:hanging="28"/>
    </w:pPr>
    <w:rPr>
      <w:rFonts w:cs="Calibri"/>
      <w:bCs/>
      <w:color w:val="333333"/>
      <w:szCs w:val="20"/>
    </w:rPr>
  </w:style>
  <w:style w:type="paragraph" w:styleId="CommentText">
    <w:name w:val="annotation text"/>
    <w:basedOn w:val="Normal"/>
    <w:link w:val="CommentTextChar"/>
    <w:semiHidden/>
    <w:rsid w:val="00564530"/>
    <w:pPr>
      <w:spacing w:after="0" w:line="240" w:lineRule="auto"/>
    </w:pPr>
    <w:rPr>
      <w:rFonts w:ascii="Arial" w:hAnsi="Arial"/>
      <w:sz w:val="20"/>
      <w:szCs w:val="20"/>
    </w:rPr>
  </w:style>
  <w:style w:type="character" w:customStyle="1" w:styleId="CommentTextChar">
    <w:name w:val="Comment Text Char"/>
    <w:basedOn w:val="DefaultParagraphFont"/>
    <w:link w:val="CommentText"/>
    <w:semiHidden/>
    <w:rsid w:val="00564530"/>
    <w:rPr>
      <w:rFonts w:ascii="Arial" w:eastAsia="Times New Roman" w:hAnsi="Arial" w:cs="Times New Roman"/>
      <w:sz w:val="20"/>
      <w:szCs w:val="20"/>
      <w:lang w:eastAsia="en-AU"/>
    </w:rPr>
  </w:style>
  <w:style w:type="character" w:styleId="Emphasis">
    <w:name w:val="Emphasis"/>
    <w:basedOn w:val="DefaultParagraphFont"/>
    <w:qFormat/>
    <w:rsid w:val="004D781F"/>
    <w:rPr>
      <w:rFonts w:ascii="Calibri" w:hAnsi="Calibri"/>
      <w:i/>
      <w:iCs/>
      <w:sz w:val="20"/>
    </w:rPr>
  </w:style>
  <w:style w:type="paragraph" w:customStyle="1" w:styleId="Heading11">
    <w:name w:val="Heading 1_1"/>
    <w:basedOn w:val="Heading1"/>
    <w:next w:val="bt"/>
    <w:qFormat/>
    <w:rsid w:val="005D44DB"/>
    <w:pPr>
      <w:numPr>
        <w:numId w:val="1"/>
      </w:numPr>
      <w:tabs>
        <w:tab w:val="clear" w:pos="432"/>
        <w:tab w:val="num" w:pos="851"/>
      </w:tabs>
      <w:spacing w:after="240"/>
      <w:ind w:left="851" w:hanging="851"/>
    </w:pPr>
  </w:style>
  <w:style w:type="paragraph" w:customStyle="1" w:styleId="Heading2nonum">
    <w:name w:val="Heading 2_no num"/>
    <w:basedOn w:val="Heading2"/>
    <w:next w:val="bt"/>
    <w:qFormat/>
    <w:rsid w:val="00564530"/>
    <w:pPr>
      <w:numPr>
        <w:ilvl w:val="0"/>
        <w:numId w:val="0"/>
      </w:numPr>
    </w:pPr>
    <w:rPr>
      <w:b w:val="0"/>
      <w:lang w:eastAsia="en-US"/>
    </w:rPr>
  </w:style>
  <w:style w:type="paragraph" w:styleId="ListBullet">
    <w:name w:val="List Bullet"/>
    <w:basedOn w:val="bt"/>
    <w:qFormat/>
    <w:rsid w:val="00962BE2"/>
    <w:pPr>
      <w:numPr>
        <w:numId w:val="6"/>
      </w:numPr>
      <w:ind w:left="709"/>
    </w:pPr>
  </w:style>
  <w:style w:type="paragraph" w:styleId="ListBullet2">
    <w:name w:val="List Bullet 2"/>
    <w:basedOn w:val="bt"/>
    <w:qFormat/>
    <w:rsid w:val="001E7C00"/>
    <w:pPr>
      <w:numPr>
        <w:numId w:val="2"/>
      </w:numPr>
    </w:pPr>
  </w:style>
  <w:style w:type="paragraph" w:styleId="ListBullet3">
    <w:name w:val="List Bullet 3"/>
    <w:basedOn w:val="bt"/>
    <w:qFormat/>
    <w:rsid w:val="00961D6F"/>
    <w:pPr>
      <w:numPr>
        <w:numId w:val="3"/>
      </w:numPr>
      <w:tabs>
        <w:tab w:val="clear" w:pos="1077"/>
        <w:tab w:val="num" w:pos="1418"/>
      </w:tabs>
      <w:ind w:left="1418" w:hanging="284"/>
    </w:pPr>
  </w:style>
  <w:style w:type="paragraph" w:styleId="ListContinue">
    <w:name w:val="List Continue"/>
    <w:basedOn w:val="Normal"/>
    <w:qFormat/>
    <w:rsid w:val="00564530"/>
    <w:pPr>
      <w:spacing w:after="120" w:line="240" w:lineRule="auto"/>
      <w:ind w:left="283"/>
    </w:pPr>
    <w:rPr>
      <w:rFonts w:ascii="Arial" w:hAnsi="Arial"/>
      <w:sz w:val="20"/>
      <w:szCs w:val="24"/>
    </w:rPr>
  </w:style>
  <w:style w:type="paragraph" w:styleId="ListContinue2">
    <w:name w:val="List Continue 2"/>
    <w:basedOn w:val="Normal"/>
    <w:qFormat/>
    <w:rsid w:val="00564530"/>
    <w:pPr>
      <w:spacing w:after="120" w:line="240" w:lineRule="auto"/>
      <w:ind w:left="566"/>
    </w:pPr>
    <w:rPr>
      <w:rFonts w:ascii="Arial" w:hAnsi="Arial"/>
      <w:sz w:val="20"/>
      <w:szCs w:val="24"/>
    </w:rPr>
  </w:style>
  <w:style w:type="paragraph" w:styleId="ListContinue3">
    <w:name w:val="List Continue 3"/>
    <w:basedOn w:val="Normal"/>
    <w:qFormat/>
    <w:rsid w:val="00564530"/>
    <w:pPr>
      <w:spacing w:after="120" w:line="240" w:lineRule="auto"/>
      <w:ind w:left="849"/>
    </w:pPr>
    <w:rPr>
      <w:rFonts w:ascii="Arial" w:hAnsi="Arial"/>
      <w:sz w:val="20"/>
      <w:szCs w:val="24"/>
    </w:rPr>
  </w:style>
  <w:style w:type="character" w:styleId="Strong">
    <w:name w:val="Strong"/>
    <w:basedOn w:val="DefaultParagraphFont"/>
    <w:qFormat/>
    <w:rsid w:val="00564530"/>
    <w:rPr>
      <w:rFonts w:ascii="Calibri" w:hAnsi="Calibri"/>
      <w:b/>
      <w:bCs/>
    </w:rPr>
  </w:style>
  <w:style w:type="paragraph" w:customStyle="1" w:styleId="Tabletext">
    <w:name w:val="Table text"/>
    <w:basedOn w:val="bt"/>
    <w:autoRedefine/>
    <w:qFormat/>
    <w:rsid w:val="00BF145F"/>
    <w:pPr>
      <w:spacing w:before="60" w:after="60" w:line="240" w:lineRule="auto"/>
    </w:pPr>
    <w:rPr>
      <w:rFonts w:ascii="Arial Narrow" w:eastAsia="Calibri" w:hAnsi="Arial Narrow"/>
      <w:szCs w:val="18"/>
    </w:rPr>
  </w:style>
  <w:style w:type="paragraph" w:customStyle="1" w:styleId="TabletextBold">
    <w:name w:val="Table text Bold"/>
    <w:basedOn w:val="Tabletext"/>
    <w:next w:val="Tabletext"/>
    <w:qFormat/>
    <w:rsid w:val="00564530"/>
    <w:pPr>
      <w:framePr w:wrap="around" w:hAnchor="text"/>
    </w:pPr>
    <w:rPr>
      <w:b/>
      <w:bCs/>
    </w:rPr>
  </w:style>
  <w:style w:type="paragraph" w:customStyle="1" w:styleId="tabletextbullet">
    <w:name w:val="table text bullet"/>
    <w:basedOn w:val="Normal"/>
    <w:qFormat/>
    <w:rsid w:val="00B81F46"/>
    <w:pPr>
      <w:numPr>
        <w:numId w:val="4"/>
      </w:numPr>
      <w:spacing w:before="60" w:after="60" w:line="270" w:lineRule="exact"/>
    </w:pPr>
    <w:rPr>
      <w:sz w:val="20"/>
      <w:szCs w:val="20"/>
    </w:rPr>
  </w:style>
  <w:style w:type="paragraph" w:customStyle="1" w:styleId="tableheaderrow">
    <w:name w:val="table_header row"/>
    <w:basedOn w:val="Tabletext"/>
    <w:qFormat/>
    <w:rsid w:val="001914E8"/>
    <w:pPr>
      <w:framePr w:wrap="around" w:hAnchor="text"/>
    </w:pPr>
    <w:rPr>
      <w:b/>
    </w:rPr>
  </w:style>
  <w:style w:type="paragraph" w:styleId="IntenseQuote">
    <w:name w:val="Intense Quote"/>
    <w:basedOn w:val="bt"/>
    <w:next w:val="bt"/>
    <w:link w:val="IntenseQuoteChar"/>
    <w:autoRedefine/>
    <w:uiPriority w:val="30"/>
    <w:qFormat/>
    <w:rsid w:val="009320D2"/>
    <w:pPr>
      <w:pBdr>
        <w:bottom w:val="single" w:sz="4" w:space="4" w:color="76923C"/>
      </w:pBdr>
      <w:spacing w:before="200" w:after="280"/>
      <w:ind w:left="936" w:right="936"/>
    </w:pPr>
    <w:rPr>
      <w:bCs/>
      <w:i/>
      <w:iCs/>
      <w:color w:val="404040"/>
    </w:rPr>
  </w:style>
  <w:style w:type="character" w:customStyle="1" w:styleId="IntenseQuoteChar">
    <w:name w:val="Intense Quote Char"/>
    <w:basedOn w:val="DefaultParagraphFont"/>
    <w:link w:val="IntenseQuote"/>
    <w:uiPriority w:val="30"/>
    <w:rsid w:val="009320D2"/>
    <w:rPr>
      <w:rFonts w:ascii="Calibri" w:eastAsia="Times New Roman" w:hAnsi="Calibri" w:cs="Times New Roman"/>
      <w:bCs/>
      <w:i/>
      <w:iCs/>
      <w:color w:val="404040"/>
      <w:sz w:val="24"/>
      <w:szCs w:val="24"/>
      <w:lang w:eastAsia="en-AU"/>
    </w:rPr>
  </w:style>
  <w:style w:type="paragraph" w:customStyle="1" w:styleId="btbullet">
    <w:name w:val="bt_bullet"/>
    <w:basedOn w:val="bt"/>
    <w:rsid w:val="00A14432"/>
    <w:pPr>
      <w:numPr>
        <w:numId w:val="5"/>
      </w:numPr>
      <w:spacing w:before="60" w:after="60" w:line="264" w:lineRule="auto"/>
      <w:ind w:left="714" w:hanging="357"/>
    </w:pPr>
  </w:style>
  <w:style w:type="table" w:styleId="TableGrid">
    <w:name w:val="Table Grid"/>
    <w:basedOn w:val="TableNormal"/>
    <w:uiPriority w:val="59"/>
    <w:rsid w:val="002F1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2F16A5"/>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1914E8"/>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1914E8"/>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IntenseEmphasis">
    <w:name w:val="Intense Emphasis"/>
    <w:basedOn w:val="DefaultParagraphFont"/>
    <w:uiPriority w:val="21"/>
    <w:qFormat/>
    <w:rsid w:val="00FF741B"/>
    <w:rPr>
      <w:b/>
      <w:bCs/>
      <w:i/>
      <w:iCs/>
      <w:color w:val="262626"/>
    </w:rPr>
  </w:style>
  <w:style w:type="paragraph" w:customStyle="1" w:styleId="source">
    <w:name w:val="source"/>
    <w:basedOn w:val="bt"/>
    <w:next w:val="bt"/>
    <w:qFormat/>
    <w:rsid w:val="00F25409"/>
    <w:pPr>
      <w:spacing w:before="0" w:after="0" w:line="240" w:lineRule="auto"/>
    </w:pPr>
    <w:rPr>
      <w:i/>
      <w:sz w:val="18"/>
    </w:rPr>
  </w:style>
  <w:style w:type="paragraph" w:styleId="TOC1">
    <w:name w:val="toc 1"/>
    <w:basedOn w:val="Normal"/>
    <w:next w:val="Normal"/>
    <w:autoRedefine/>
    <w:uiPriority w:val="39"/>
    <w:unhideWhenUsed/>
    <w:rsid w:val="00387647"/>
    <w:pPr>
      <w:tabs>
        <w:tab w:val="left" w:pos="284"/>
        <w:tab w:val="left" w:pos="851"/>
        <w:tab w:val="right" w:leader="dot" w:pos="9016"/>
      </w:tabs>
      <w:spacing w:after="100"/>
    </w:pPr>
  </w:style>
  <w:style w:type="paragraph" w:styleId="TOC2">
    <w:name w:val="toc 2"/>
    <w:basedOn w:val="Normal"/>
    <w:next w:val="Normal"/>
    <w:autoRedefine/>
    <w:uiPriority w:val="39"/>
    <w:unhideWhenUsed/>
    <w:rsid w:val="00C46003"/>
    <w:pPr>
      <w:tabs>
        <w:tab w:val="left" w:pos="567"/>
        <w:tab w:val="left" w:pos="993"/>
        <w:tab w:val="right" w:leader="dot" w:pos="9016"/>
      </w:tabs>
      <w:spacing w:after="100"/>
      <w:ind w:left="567"/>
    </w:pPr>
  </w:style>
  <w:style w:type="character" w:styleId="Hyperlink">
    <w:name w:val="Hyperlink"/>
    <w:basedOn w:val="DefaultParagraphFont"/>
    <w:uiPriority w:val="99"/>
    <w:unhideWhenUsed/>
    <w:rsid w:val="007E5259"/>
    <w:rPr>
      <w:color w:val="0000FF"/>
      <w:u w:val="single"/>
    </w:rPr>
  </w:style>
  <w:style w:type="paragraph" w:styleId="TableofFigures">
    <w:name w:val="table of figures"/>
    <w:basedOn w:val="Normal"/>
    <w:next w:val="Normal"/>
    <w:uiPriority w:val="99"/>
    <w:unhideWhenUsed/>
    <w:rsid w:val="00481288"/>
    <w:pPr>
      <w:spacing w:after="0"/>
    </w:pPr>
  </w:style>
  <w:style w:type="paragraph" w:styleId="Title">
    <w:name w:val="Title"/>
    <w:basedOn w:val="bt"/>
    <w:next w:val="Subtitle"/>
    <w:link w:val="TitleChar"/>
    <w:uiPriority w:val="10"/>
    <w:qFormat/>
    <w:rsid w:val="00C8557A"/>
    <w:pPr>
      <w:spacing w:after="300" w:line="240" w:lineRule="auto"/>
      <w:contextualSpacing/>
    </w:pPr>
    <w:rPr>
      <w:spacing w:val="5"/>
      <w:kern w:val="28"/>
      <w:sz w:val="52"/>
      <w:szCs w:val="52"/>
    </w:rPr>
  </w:style>
  <w:style w:type="paragraph" w:styleId="Subtitle">
    <w:name w:val="Subtitle"/>
    <w:basedOn w:val="bt"/>
    <w:next w:val="bt"/>
    <w:link w:val="SubtitleChar"/>
    <w:uiPriority w:val="11"/>
    <w:qFormat/>
    <w:rsid w:val="00E93DDE"/>
    <w:pPr>
      <w:numPr>
        <w:ilvl w:val="1"/>
      </w:numPr>
    </w:pPr>
    <w:rPr>
      <w:i/>
      <w:iCs/>
      <w:spacing w:val="15"/>
      <w:sz w:val="24"/>
    </w:rPr>
  </w:style>
  <w:style w:type="character" w:customStyle="1" w:styleId="SubtitleChar">
    <w:name w:val="Subtitle Char"/>
    <w:basedOn w:val="DefaultParagraphFont"/>
    <w:link w:val="Subtitle"/>
    <w:uiPriority w:val="11"/>
    <w:rsid w:val="00E93DDE"/>
    <w:rPr>
      <w:rFonts w:ascii="Calibri" w:eastAsia="Times New Roman" w:hAnsi="Calibri" w:cs="Times New Roman"/>
      <w:i/>
      <w:iCs/>
      <w:spacing w:val="15"/>
      <w:sz w:val="24"/>
      <w:szCs w:val="24"/>
      <w:lang w:eastAsia="en-AU"/>
    </w:rPr>
  </w:style>
  <w:style w:type="character" w:customStyle="1" w:styleId="TitleChar">
    <w:name w:val="Title Char"/>
    <w:basedOn w:val="DefaultParagraphFont"/>
    <w:link w:val="Title"/>
    <w:uiPriority w:val="10"/>
    <w:rsid w:val="00C8557A"/>
    <w:rPr>
      <w:rFonts w:ascii="Calibri" w:eastAsia="Times New Roman" w:hAnsi="Calibri" w:cs="Times New Roman"/>
      <w:spacing w:val="5"/>
      <w:kern w:val="28"/>
      <w:sz w:val="52"/>
      <w:szCs w:val="52"/>
      <w:lang w:eastAsia="en-AU"/>
    </w:rPr>
  </w:style>
  <w:style w:type="paragraph" w:styleId="TOC3">
    <w:name w:val="toc 3"/>
    <w:basedOn w:val="Normal"/>
    <w:next w:val="Normal"/>
    <w:autoRedefine/>
    <w:uiPriority w:val="39"/>
    <w:unhideWhenUsed/>
    <w:rsid w:val="00354765"/>
    <w:pPr>
      <w:tabs>
        <w:tab w:val="right" w:leader="dot" w:pos="9016"/>
      </w:tabs>
      <w:spacing w:after="100"/>
      <w:ind w:left="851"/>
    </w:pPr>
  </w:style>
  <w:style w:type="table" w:styleId="MediumShading1-Accent3">
    <w:name w:val="Medium Shading 1 Accent 3"/>
    <w:basedOn w:val="TableNormal"/>
    <w:uiPriority w:val="63"/>
    <w:rsid w:val="00AB1161"/>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Grid3-Accent3">
    <w:name w:val="Medium Grid 3 Accent 3"/>
    <w:basedOn w:val="TableNormal"/>
    <w:uiPriority w:val="69"/>
    <w:rsid w:val="00D5002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FollowedHyperlink">
    <w:name w:val="FollowedHyperlink"/>
    <w:basedOn w:val="DefaultParagraphFont"/>
    <w:uiPriority w:val="99"/>
    <w:semiHidden/>
    <w:unhideWhenUsed/>
    <w:rsid w:val="0045654E"/>
    <w:rPr>
      <w:color w:val="800080"/>
      <w:u w:val="single"/>
    </w:rPr>
  </w:style>
  <w:style w:type="paragraph" w:customStyle="1" w:styleId="btpicture">
    <w:name w:val="bt_picture"/>
    <w:basedOn w:val="bt"/>
    <w:next w:val="bt"/>
    <w:qFormat/>
    <w:rsid w:val="00217C6E"/>
    <w:pPr>
      <w:spacing w:after="0" w:line="240" w:lineRule="auto"/>
    </w:pPr>
    <w:rPr>
      <w:sz w:val="18"/>
    </w:rPr>
  </w:style>
  <w:style w:type="paragraph" w:styleId="FootnoteText">
    <w:name w:val="footnote text"/>
    <w:basedOn w:val="Normal"/>
    <w:link w:val="FootnoteTextChar"/>
    <w:uiPriority w:val="99"/>
    <w:unhideWhenUsed/>
    <w:rsid w:val="00DD1150"/>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DD1150"/>
    <w:rPr>
      <w:rFonts w:eastAsia="Times New Roman"/>
      <w:sz w:val="20"/>
      <w:szCs w:val="20"/>
      <w:lang w:val="en-US"/>
    </w:rPr>
  </w:style>
  <w:style w:type="character" w:styleId="SubtleEmphasis">
    <w:name w:val="Subtle Emphasis"/>
    <w:basedOn w:val="DefaultParagraphFont"/>
    <w:uiPriority w:val="19"/>
    <w:qFormat/>
    <w:rsid w:val="00DD1150"/>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DD1150"/>
    <w:rPr>
      <w:color w:val="365F91"/>
      <w:lang w:val="en-US"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Quote">
    <w:name w:val="Quote"/>
    <w:basedOn w:val="Normal"/>
    <w:next w:val="Normal"/>
    <w:link w:val="QuoteChar"/>
    <w:uiPriority w:val="29"/>
    <w:qFormat/>
    <w:rsid w:val="00803BD6"/>
    <w:rPr>
      <w:i/>
      <w:iCs/>
      <w:color w:val="000000"/>
    </w:rPr>
  </w:style>
  <w:style w:type="character" w:customStyle="1" w:styleId="QuoteChar">
    <w:name w:val="Quote Char"/>
    <w:basedOn w:val="DefaultParagraphFont"/>
    <w:link w:val="Quote"/>
    <w:uiPriority w:val="29"/>
    <w:rsid w:val="00803BD6"/>
    <w:rPr>
      <w:i/>
      <w:iCs/>
      <w:color w:val="000000"/>
    </w:rPr>
  </w:style>
  <w:style w:type="paragraph" w:styleId="ListParagraph">
    <w:name w:val="List Paragraph"/>
    <w:basedOn w:val="Normal"/>
    <w:uiPriority w:val="34"/>
    <w:qFormat/>
    <w:rsid w:val="00803BD6"/>
    <w:pPr>
      <w:ind w:left="720"/>
      <w:contextualSpacing/>
    </w:pPr>
  </w:style>
  <w:style w:type="character" w:styleId="SubtleReference">
    <w:name w:val="Subtle Reference"/>
    <w:basedOn w:val="DefaultParagraphFont"/>
    <w:uiPriority w:val="31"/>
    <w:qFormat/>
    <w:rsid w:val="00803BD6"/>
    <w:rPr>
      <w:smallCaps/>
      <w:color w:val="C0504D"/>
      <w:u w:val="single"/>
    </w:rPr>
  </w:style>
  <w:style w:type="character" w:styleId="IntenseReference">
    <w:name w:val="Intense Reference"/>
    <w:basedOn w:val="DefaultParagraphFont"/>
    <w:uiPriority w:val="32"/>
    <w:qFormat/>
    <w:rsid w:val="00803BD6"/>
    <w:rPr>
      <w:b/>
      <w:bCs/>
      <w:smallCaps/>
      <w:color w:val="C0504D"/>
      <w:spacing w:val="5"/>
      <w:u w:val="single"/>
    </w:rPr>
  </w:style>
  <w:style w:type="table" w:styleId="LightShading-Accent5">
    <w:name w:val="Light Shading Accent 5"/>
    <w:basedOn w:val="TableNormal"/>
    <w:uiPriority w:val="60"/>
    <w:rsid w:val="00803BD6"/>
    <w:rPr>
      <w:color w:val="31849B"/>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803BD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803BD6"/>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Shading-Accent4">
    <w:name w:val="Light Shading Accent 4"/>
    <w:basedOn w:val="TableNormal"/>
    <w:uiPriority w:val="60"/>
    <w:rsid w:val="00803BD6"/>
    <w:rPr>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2">
    <w:name w:val="Light Shading Accent 2"/>
    <w:basedOn w:val="TableNormal"/>
    <w:uiPriority w:val="60"/>
    <w:rsid w:val="00803BD6"/>
    <w:rPr>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Number">
    <w:name w:val="List Number"/>
    <w:basedOn w:val="bt"/>
    <w:uiPriority w:val="99"/>
    <w:unhideWhenUsed/>
    <w:qFormat/>
    <w:rsid w:val="00E66D1C"/>
    <w:pPr>
      <w:numPr>
        <w:numId w:val="7"/>
      </w:numPr>
      <w:tabs>
        <w:tab w:val="clear" w:pos="360"/>
        <w:tab w:val="num" w:pos="851"/>
      </w:tabs>
      <w:ind w:left="851" w:hanging="284"/>
      <w:contextualSpacing/>
    </w:pPr>
  </w:style>
  <w:style w:type="paragraph" w:styleId="ListNumber2">
    <w:name w:val="List Number 2"/>
    <w:basedOn w:val="bt"/>
    <w:uiPriority w:val="99"/>
    <w:unhideWhenUsed/>
    <w:qFormat/>
    <w:rsid w:val="00E66D1C"/>
    <w:pPr>
      <w:numPr>
        <w:numId w:val="8"/>
      </w:numPr>
      <w:tabs>
        <w:tab w:val="clear" w:pos="643"/>
        <w:tab w:val="num" w:pos="1134"/>
      </w:tabs>
      <w:ind w:left="1134" w:hanging="283"/>
      <w:contextualSpacing/>
    </w:pPr>
  </w:style>
  <w:style w:type="paragraph" w:styleId="ListNumber3">
    <w:name w:val="List Number 3"/>
    <w:basedOn w:val="bt"/>
    <w:uiPriority w:val="99"/>
    <w:unhideWhenUsed/>
    <w:qFormat/>
    <w:rsid w:val="00E66D1C"/>
    <w:pPr>
      <w:numPr>
        <w:numId w:val="9"/>
      </w:numPr>
      <w:tabs>
        <w:tab w:val="clear" w:pos="926"/>
        <w:tab w:val="num" w:pos="1418"/>
      </w:tabs>
      <w:ind w:left="1418" w:hanging="284"/>
      <w:contextualSpacing/>
    </w:pPr>
  </w:style>
  <w:style w:type="paragraph" w:styleId="ListNumber4">
    <w:name w:val="List Number 4"/>
    <w:basedOn w:val="bt"/>
    <w:uiPriority w:val="99"/>
    <w:unhideWhenUsed/>
    <w:qFormat/>
    <w:rsid w:val="00E66D1C"/>
    <w:pPr>
      <w:numPr>
        <w:numId w:val="10"/>
      </w:numPr>
      <w:tabs>
        <w:tab w:val="clear" w:pos="1209"/>
        <w:tab w:val="left" w:pos="1701"/>
      </w:tabs>
      <w:ind w:left="1701" w:hanging="283"/>
      <w:contextualSpacing/>
    </w:pPr>
  </w:style>
  <w:style w:type="table" w:customStyle="1" w:styleId="MediumGrid31">
    <w:name w:val="Medium Grid 31"/>
    <w:basedOn w:val="TableNormal"/>
    <w:uiPriority w:val="69"/>
    <w:rsid w:val="00E66D1C"/>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1-Accent5">
    <w:name w:val="Medium Shading 1 Accent 5"/>
    <w:basedOn w:val="TableNormal"/>
    <w:uiPriority w:val="63"/>
    <w:rsid w:val="00E66D1C"/>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bttextbox">
    <w:name w:val="bt_textbox"/>
    <w:basedOn w:val="bt"/>
    <w:qFormat/>
    <w:rsid w:val="00F379BE"/>
  </w:style>
  <w:style w:type="paragraph" w:customStyle="1" w:styleId="Default">
    <w:name w:val="Default"/>
    <w:rsid w:val="00A14432"/>
    <w:pPr>
      <w:autoSpaceDE w:val="0"/>
      <w:autoSpaceDN w:val="0"/>
      <w:adjustRightInd w:val="0"/>
    </w:pPr>
    <w:rPr>
      <w:rFonts w:ascii="DIN" w:hAnsi="DIN" w:cs="DIN"/>
      <w:color w:val="000000"/>
      <w:sz w:val="24"/>
      <w:szCs w:val="24"/>
    </w:rPr>
  </w:style>
  <w:style w:type="paragraph" w:styleId="TOC4">
    <w:name w:val="toc 4"/>
    <w:basedOn w:val="Normal"/>
    <w:next w:val="Normal"/>
    <w:autoRedefine/>
    <w:uiPriority w:val="39"/>
    <w:unhideWhenUsed/>
    <w:rsid w:val="00032955"/>
    <w:pPr>
      <w:spacing w:after="100"/>
      <w:ind w:left="660"/>
    </w:pPr>
  </w:style>
  <w:style w:type="paragraph" w:styleId="TOC5">
    <w:name w:val="toc 5"/>
    <w:basedOn w:val="Normal"/>
    <w:next w:val="Normal"/>
    <w:autoRedefine/>
    <w:uiPriority w:val="39"/>
    <w:unhideWhenUsed/>
    <w:rsid w:val="00032955"/>
    <w:pPr>
      <w:spacing w:after="100"/>
      <w:ind w:left="880"/>
    </w:pPr>
  </w:style>
  <w:style w:type="paragraph" w:styleId="TOC6">
    <w:name w:val="toc 6"/>
    <w:basedOn w:val="Normal"/>
    <w:next w:val="Normal"/>
    <w:autoRedefine/>
    <w:uiPriority w:val="39"/>
    <w:unhideWhenUsed/>
    <w:rsid w:val="00032955"/>
    <w:pPr>
      <w:spacing w:after="100"/>
      <w:ind w:left="1100"/>
    </w:pPr>
  </w:style>
  <w:style w:type="paragraph" w:styleId="TOC7">
    <w:name w:val="toc 7"/>
    <w:basedOn w:val="Normal"/>
    <w:next w:val="Normal"/>
    <w:autoRedefine/>
    <w:uiPriority w:val="39"/>
    <w:unhideWhenUsed/>
    <w:rsid w:val="00032955"/>
    <w:pPr>
      <w:spacing w:after="100"/>
      <w:ind w:left="1320"/>
    </w:pPr>
  </w:style>
  <w:style w:type="paragraph" w:styleId="TOC8">
    <w:name w:val="toc 8"/>
    <w:basedOn w:val="Normal"/>
    <w:next w:val="Normal"/>
    <w:autoRedefine/>
    <w:uiPriority w:val="39"/>
    <w:unhideWhenUsed/>
    <w:rsid w:val="00032955"/>
    <w:pPr>
      <w:spacing w:after="100"/>
      <w:ind w:left="1540"/>
    </w:pPr>
  </w:style>
  <w:style w:type="paragraph" w:styleId="TOC9">
    <w:name w:val="toc 9"/>
    <w:basedOn w:val="Normal"/>
    <w:next w:val="Normal"/>
    <w:autoRedefine/>
    <w:uiPriority w:val="39"/>
    <w:unhideWhenUsed/>
    <w:rsid w:val="00032955"/>
    <w:pPr>
      <w:spacing w:after="100"/>
      <w:ind w:left="1760"/>
    </w:pPr>
  </w:style>
  <w:style w:type="paragraph" w:styleId="NormalWeb">
    <w:name w:val="Normal (Web)"/>
    <w:basedOn w:val="Normal"/>
    <w:uiPriority w:val="99"/>
    <w:semiHidden/>
    <w:unhideWhenUsed/>
    <w:rsid w:val="00842BDD"/>
    <w:pPr>
      <w:spacing w:before="100" w:beforeAutospacing="1" w:after="100" w:afterAutospacing="1" w:line="240" w:lineRule="auto"/>
    </w:pPr>
    <w:rPr>
      <w:rFonts w:ascii="Times New Roman" w:hAnsi="Times New Roman"/>
      <w:sz w:val="24"/>
      <w:szCs w:val="24"/>
    </w:rPr>
  </w:style>
  <w:style w:type="character" w:styleId="CommentReference">
    <w:name w:val="annotation reference"/>
    <w:basedOn w:val="DefaultParagraphFont"/>
    <w:uiPriority w:val="99"/>
    <w:semiHidden/>
    <w:unhideWhenUsed/>
    <w:rsid w:val="00C507C7"/>
    <w:rPr>
      <w:sz w:val="16"/>
      <w:szCs w:val="16"/>
    </w:rPr>
  </w:style>
  <w:style w:type="paragraph" w:styleId="CommentSubject">
    <w:name w:val="annotation subject"/>
    <w:basedOn w:val="CommentText"/>
    <w:next w:val="CommentText"/>
    <w:link w:val="CommentSubjectChar"/>
    <w:uiPriority w:val="99"/>
    <w:semiHidden/>
    <w:unhideWhenUsed/>
    <w:rsid w:val="00B67FA4"/>
    <w:pPr>
      <w:spacing w:after="200"/>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B67FA4"/>
    <w:rPr>
      <w:rFonts w:ascii="Arial" w:eastAsia="Times New Roman" w:hAnsi="Arial" w:cs="Times New Roman"/>
      <w:b/>
      <w:bCs/>
      <w:sz w:val="20"/>
      <w:szCs w:val="20"/>
      <w:lang w:eastAsia="en-AU"/>
    </w:rPr>
  </w:style>
  <w:style w:type="character" w:styleId="PlaceholderText">
    <w:name w:val="Placeholder Text"/>
    <w:basedOn w:val="DefaultParagraphFont"/>
    <w:uiPriority w:val="99"/>
    <w:semiHidden/>
    <w:rsid w:val="00C643C6"/>
    <w:rPr>
      <w:color w:val="808080"/>
    </w:rPr>
  </w:style>
  <w:style w:type="character" w:styleId="FootnoteReference">
    <w:name w:val="footnote reference"/>
    <w:basedOn w:val="DefaultParagraphFont"/>
    <w:uiPriority w:val="99"/>
    <w:semiHidden/>
    <w:unhideWhenUsed/>
    <w:rsid w:val="007A6808"/>
    <w:rPr>
      <w:vertAlign w:val="superscript"/>
    </w:rPr>
  </w:style>
  <w:style w:type="paragraph" w:styleId="EndnoteText">
    <w:name w:val="endnote text"/>
    <w:basedOn w:val="Normal"/>
    <w:link w:val="EndnoteTextChar"/>
    <w:uiPriority w:val="99"/>
    <w:semiHidden/>
    <w:unhideWhenUsed/>
    <w:rsid w:val="00741F7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41F73"/>
    <w:rPr>
      <w:sz w:val="20"/>
      <w:szCs w:val="20"/>
    </w:rPr>
  </w:style>
  <w:style w:type="character" w:styleId="EndnoteReference">
    <w:name w:val="endnote reference"/>
    <w:basedOn w:val="DefaultParagraphFont"/>
    <w:uiPriority w:val="99"/>
    <w:semiHidden/>
    <w:unhideWhenUsed/>
    <w:rsid w:val="00741F73"/>
    <w:rPr>
      <w:vertAlign w:val="superscript"/>
    </w:rPr>
  </w:style>
  <w:style w:type="paragraph" w:styleId="Revision">
    <w:name w:val="Revision"/>
    <w:hidden/>
    <w:uiPriority w:val="99"/>
    <w:semiHidden/>
    <w:rsid w:val="00666E96"/>
    <w:rPr>
      <w:sz w:val="22"/>
      <w:szCs w:val="22"/>
    </w:rPr>
  </w:style>
  <w:style w:type="character" w:customStyle="1" w:styleId="btChar">
    <w:name w:val="bt Char"/>
    <w:basedOn w:val="DefaultParagraphFont"/>
    <w:link w:val="bt"/>
    <w:rsid w:val="007343BF"/>
    <w:rPr>
      <w:szCs w:val="24"/>
      <w:lang w:val="en-AU" w:eastAsia="en-AU" w:bidi="ar-SA"/>
    </w:rPr>
  </w:style>
  <w:style w:type="paragraph" w:customStyle="1" w:styleId="Headingorange">
    <w:name w:val="Heading orange"/>
    <w:basedOn w:val="TOCHeading"/>
    <w:link w:val="HeadingorangeChar"/>
    <w:qFormat/>
    <w:rsid w:val="0091402E"/>
    <w:rPr>
      <w:color w:val="D46613"/>
    </w:rPr>
  </w:style>
  <w:style w:type="character" w:customStyle="1" w:styleId="TOCHeadingChar">
    <w:name w:val="TOC Heading Char"/>
    <w:basedOn w:val="Heading1Char"/>
    <w:link w:val="TOCHeading"/>
    <w:uiPriority w:val="39"/>
    <w:semiHidden/>
    <w:rsid w:val="0091402E"/>
    <w:rPr>
      <w:b/>
      <w:bCs/>
      <w:sz w:val="34"/>
      <w:szCs w:val="28"/>
      <w:lang w:val="en-US" w:eastAsia="en-AU" w:bidi="ar-SA"/>
    </w:rPr>
  </w:style>
  <w:style w:type="character" w:customStyle="1" w:styleId="HeadingorangeChar">
    <w:name w:val="Heading orange Char"/>
    <w:basedOn w:val="TOCHeadingChar"/>
    <w:link w:val="Headingorange"/>
    <w:rsid w:val="0091402E"/>
    <w:rPr>
      <w:b/>
      <w:bCs/>
      <w:color w:val="D46613"/>
      <w:sz w:val="34"/>
      <w:szCs w:val="28"/>
      <w:lang w:val="en-US" w:eastAsia="en-AU" w:bidi="ar-SA"/>
    </w:rPr>
  </w:style>
  <w:style w:type="paragraph" w:customStyle="1" w:styleId="Heading3-list">
    <w:name w:val="Heading 3 - list"/>
    <w:basedOn w:val="Heading3"/>
    <w:link w:val="Heading3-listChar"/>
    <w:qFormat/>
    <w:rsid w:val="00521CF7"/>
    <w:pPr>
      <w:numPr>
        <w:numId w:val="11"/>
      </w:numPr>
    </w:pPr>
    <w:rPr>
      <w:lang w:eastAsia="en-US"/>
    </w:rPr>
  </w:style>
  <w:style w:type="character" w:customStyle="1" w:styleId="Heading3-listChar">
    <w:name w:val="Heading 3 - list Char"/>
    <w:basedOn w:val="Heading3Char"/>
    <w:link w:val="Heading3-list"/>
    <w:rsid w:val="00521CF7"/>
    <w:rPr>
      <w:rFonts w:ascii="Calibri" w:eastAsia="Times New Roman" w:hAnsi="Calibri" w:cs="Times New Roman"/>
      <w:b/>
      <w:sz w:val="20"/>
      <w:szCs w:val="24"/>
      <w:lang w:eastAsia="en-US"/>
    </w:rPr>
  </w:style>
  <w:style w:type="paragraph" w:customStyle="1" w:styleId="BodyText1">
    <w:name w:val="Body Text1"/>
    <w:basedOn w:val="Normal"/>
    <w:link w:val="BodytextChar"/>
    <w:rsid w:val="002F3BB6"/>
    <w:pPr>
      <w:spacing w:line="240" w:lineRule="auto"/>
    </w:pPr>
    <w:rPr>
      <w:rFonts w:ascii="Arial" w:hAnsi="Arial"/>
      <w:sz w:val="20"/>
      <w:szCs w:val="24"/>
    </w:rPr>
  </w:style>
  <w:style w:type="character" w:customStyle="1" w:styleId="BodytextChar">
    <w:name w:val="Body text Char"/>
    <w:basedOn w:val="DefaultParagraphFont"/>
    <w:link w:val="BodyText1"/>
    <w:rsid w:val="002F3BB6"/>
    <w:rPr>
      <w:rFonts w:ascii="Arial" w:eastAsia="Times New Roman" w:hAnsi="Arial" w:cs="Times New Roman"/>
      <w:sz w:val="20"/>
      <w:szCs w:val="24"/>
    </w:rPr>
  </w:style>
  <w:style w:type="paragraph" w:customStyle="1" w:styleId="Tablebullet2">
    <w:name w:val="Table bullet 2"/>
    <w:basedOn w:val="tabletextbullet"/>
    <w:qFormat/>
    <w:rsid w:val="00243330"/>
    <w:pPr>
      <w:numPr>
        <w:numId w:val="0"/>
      </w:numPr>
      <w:tabs>
        <w:tab w:val="num" w:pos="643"/>
      </w:tabs>
      <w:spacing w:before="120"/>
      <w:ind w:left="754" w:hanging="357"/>
      <w:jc w:val="both"/>
    </w:pPr>
    <w:rPr>
      <w:rFonts w:eastAsia="Calibri"/>
    </w:rPr>
  </w:style>
</w:styles>
</file>

<file path=word/webSettings.xml><?xml version="1.0" encoding="utf-8"?>
<w:webSettings xmlns:r="http://schemas.openxmlformats.org/officeDocument/2006/relationships" xmlns:w="http://schemas.openxmlformats.org/wordprocessingml/2006/main">
  <w:divs>
    <w:div w:id="211235052">
      <w:bodyDiv w:val="1"/>
      <w:marLeft w:val="0"/>
      <w:marRight w:val="0"/>
      <w:marTop w:val="0"/>
      <w:marBottom w:val="0"/>
      <w:divBdr>
        <w:top w:val="none" w:sz="0" w:space="0" w:color="auto"/>
        <w:left w:val="none" w:sz="0" w:space="0" w:color="auto"/>
        <w:bottom w:val="none" w:sz="0" w:space="0" w:color="auto"/>
        <w:right w:val="none" w:sz="0" w:space="0" w:color="auto"/>
      </w:divBdr>
    </w:div>
    <w:div w:id="328212409">
      <w:bodyDiv w:val="1"/>
      <w:marLeft w:val="0"/>
      <w:marRight w:val="0"/>
      <w:marTop w:val="0"/>
      <w:marBottom w:val="0"/>
      <w:divBdr>
        <w:top w:val="none" w:sz="0" w:space="0" w:color="auto"/>
        <w:left w:val="none" w:sz="0" w:space="0" w:color="auto"/>
        <w:bottom w:val="none" w:sz="0" w:space="0" w:color="auto"/>
        <w:right w:val="none" w:sz="0" w:space="0" w:color="auto"/>
      </w:divBdr>
    </w:div>
    <w:div w:id="380636373">
      <w:bodyDiv w:val="1"/>
      <w:marLeft w:val="0"/>
      <w:marRight w:val="0"/>
      <w:marTop w:val="0"/>
      <w:marBottom w:val="0"/>
      <w:divBdr>
        <w:top w:val="none" w:sz="0" w:space="0" w:color="auto"/>
        <w:left w:val="none" w:sz="0" w:space="0" w:color="auto"/>
        <w:bottom w:val="none" w:sz="0" w:space="0" w:color="auto"/>
        <w:right w:val="none" w:sz="0" w:space="0" w:color="auto"/>
      </w:divBdr>
    </w:div>
    <w:div w:id="756947737">
      <w:bodyDiv w:val="1"/>
      <w:marLeft w:val="0"/>
      <w:marRight w:val="0"/>
      <w:marTop w:val="0"/>
      <w:marBottom w:val="0"/>
      <w:divBdr>
        <w:top w:val="none" w:sz="0" w:space="0" w:color="auto"/>
        <w:left w:val="none" w:sz="0" w:space="0" w:color="auto"/>
        <w:bottom w:val="none" w:sz="0" w:space="0" w:color="auto"/>
        <w:right w:val="none" w:sz="0" w:space="0" w:color="auto"/>
      </w:divBdr>
    </w:div>
    <w:div w:id="942688285">
      <w:bodyDiv w:val="1"/>
      <w:marLeft w:val="0"/>
      <w:marRight w:val="0"/>
      <w:marTop w:val="0"/>
      <w:marBottom w:val="0"/>
      <w:divBdr>
        <w:top w:val="none" w:sz="0" w:space="0" w:color="auto"/>
        <w:left w:val="none" w:sz="0" w:space="0" w:color="auto"/>
        <w:bottom w:val="none" w:sz="0" w:space="0" w:color="auto"/>
        <w:right w:val="none" w:sz="0" w:space="0" w:color="auto"/>
      </w:divBdr>
    </w:div>
    <w:div w:id="1165172242">
      <w:bodyDiv w:val="1"/>
      <w:marLeft w:val="0"/>
      <w:marRight w:val="0"/>
      <w:marTop w:val="0"/>
      <w:marBottom w:val="0"/>
      <w:divBdr>
        <w:top w:val="none" w:sz="0" w:space="0" w:color="auto"/>
        <w:left w:val="none" w:sz="0" w:space="0" w:color="auto"/>
        <w:bottom w:val="none" w:sz="0" w:space="0" w:color="auto"/>
        <w:right w:val="none" w:sz="0" w:space="0" w:color="auto"/>
      </w:divBdr>
    </w:div>
    <w:div w:id="1332223858">
      <w:bodyDiv w:val="1"/>
      <w:marLeft w:val="0"/>
      <w:marRight w:val="0"/>
      <w:marTop w:val="0"/>
      <w:marBottom w:val="0"/>
      <w:divBdr>
        <w:top w:val="none" w:sz="0" w:space="0" w:color="auto"/>
        <w:left w:val="none" w:sz="0" w:space="0" w:color="auto"/>
        <w:bottom w:val="none" w:sz="0" w:space="0" w:color="auto"/>
        <w:right w:val="none" w:sz="0" w:space="0" w:color="auto"/>
      </w:divBdr>
      <w:divsChild>
        <w:div w:id="759570249">
          <w:marLeft w:val="2504"/>
          <w:marRight w:val="0"/>
          <w:marTop w:val="0"/>
          <w:marBottom w:val="0"/>
          <w:divBdr>
            <w:top w:val="none" w:sz="0" w:space="0" w:color="auto"/>
            <w:left w:val="none" w:sz="0" w:space="0" w:color="auto"/>
            <w:bottom w:val="none" w:sz="0" w:space="0" w:color="auto"/>
            <w:right w:val="none" w:sz="0" w:space="0" w:color="auto"/>
          </w:divBdr>
          <w:divsChild>
            <w:div w:id="1072000763">
              <w:marLeft w:val="0"/>
              <w:marRight w:val="0"/>
              <w:marTop w:val="0"/>
              <w:marBottom w:val="0"/>
              <w:divBdr>
                <w:top w:val="none" w:sz="0" w:space="0" w:color="auto"/>
                <w:left w:val="none" w:sz="0" w:space="0" w:color="auto"/>
                <w:bottom w:val="none" w:sz="0" w:space="0" w:color="auto"/>
                <w:right w:val="none" w:sz="0" w:space="0" w:color="auto"/>
              </w:divBdr>
              <w:divsChild>
                <w:div w:id="1213808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7138523">
      <w:bodyDiv w:val="1"/>
      <w:marLeft w:val="0"/>
      <w:marRight w:val="0"/>
      <w:marTop w:val="0"/>
      <w:marBottom w:val="0"/>
      <w:divBdr>
        <w:top w:val="none" w:sz="0" w:space="0" w:color="auto"/>
        <w:left w:val="none" w:sz="0" w:space="0" w:color="auto"/>
        <w:bottom w:val="none" w:sz="0" w:space="0" w:color="auto"/>
        <w:right w:val="none" w:sz="0" w:space="0" w:color="auto"/>
      </w:divBdr>
    </w:div>
    <w:div w:id="1673025044">
      <w:bodyDiv w:val="1"/>
      <w:marLeft w:val="0"/>
      <w:marRight w:val="0"/>
      <w:marTop w:val="0"/>
      <w:marBottom w:val="0"/>
      <w:divBdr>
        <w:top w:val="none" w:sz="0" w:space="0" w:color="auto"/>
        <w:left w:val="none" w:sz="0" w:space="0" w:color="auto"/>
        <w:bottom w:val="none" w:sz="0" w:space="0" w:color="auto"/>
        <w:right w:val="none" w:sz="0" w:space="0" w:color="auto"/>
      </w:divBdr>
    </w:div>
    <w:div w:id="1723216432">
      <w:bodyDiv w:val="1"/>
      <w:marLeft w:val="0"/>
      <w:marRight w:val="0"/>
      <w:marTop w:val="0"/>
      <w:marBottom w:val="0"/>
      <w:divBdr>
        <w:top w:val="none" w:sz="0" w:space="0" w:color="auto"/>
        <w:left w:val="none" w:sz="0" w:space="0" w:color="auto"/>
        <w:bottom w:val="none" w:sz="0" w:space="0" w:color="auto"/>
        <w:right w:val="none" w:sz="0" w:space="0" w:color="auto"/>
      </w:divBdr>
    </w:div>
    <w:div w:id="1784416469">
      <w:bodyDiv w:val="1"/>
      <w:marLeft w:val="0"/>
      <w:marRight w:val="0"/>
      <w:marTop w:val="0"/>
      <w:marBottom w:val="0"/>
      <w:divBdr>
        <w:top w:val="none" w:sz="0" w:space="0" w:color="auto"/>
        <w:left w:val="none" w:sz="0" w:space="0" w:color="auto"/>
        <w:bottom w:val="none" w:sz="0" w:space="0" w:color="auto"/>
        <w:right w:val="none" w:sz="0" w:space="0" w:color="auto"/>
      </w:divBdr>
    </w:div>
    <w:div w:id="1961838748">
      <w:bodyDiv w:val="1"/>
      <w:marLeft w:val="0"/>
      <w:marRight w:val="0"/>
      <w:marTop w:val="0"/>
      <w:marBottom w:val="0"/>
      <w:divBdr>
        <w:top w:val="none" w:sz="0" w:space="0" w:color="auto"/>
        <w:left w:val="none" w:sz="0" w:space="0" w:color="auto"/>
        <w:bottom w:val="none" w:sz="0" w:space="0" w:color="auto"/>
        <w:right w:val="none" w:sz="0" w:space="0" w:color="auto"/>
      </w:divBdr>
    </w:div>
    <w:div w:id="1963806232">
      <w:bodyDiv w:val="1"/>
      <w:marLeft w:val="0"/>
      <w:marRight w:val="0"/>
      <w:marTop w:val="0"/>
      <w:marBottom w:val="0"/>
      <w:divBdr>
        <w:top w:val="none" w:sz="0" w:space="0" w:color="auto"/>
        <w:left w:val="none" w:sz="0" w:space="0" w:color="auto"/>
        <w:bottom w:val="none" w:sz="0" w:space="0" w:color="auto"/>
        <w:right w:val="none" w:sz="0" w:space="0" w:color="auto"/>
      </w:divBdr>
    </w:div>
    <w:div w:id="208942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header" Target="header9.xml"/><Relationship Id="rId51"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yperlink" Target="http://www.dtpli.vic.gov.au/regionalgrowthplans" TargetMode="External"/><Relationship Id="rId20" Type="http://schemas.openxmlformats.org/officeDocument/2006/relationships/header" Target="header6.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header" Target="header10.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yperlink" Target="http://www.dtpli.vic.gov.au/regionalgrowthplans" TargetMode="Externa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header" Target="header11.xml"/><Relationship Id="rId35"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AFFD00-24AE-434A-BA5E-53D00F1E8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80</Pages>
  <Words>34252</Words>
  <Characters>195243</Characters>
  <Application>Microsoft Office Word</Application>
  <DocSecurity>0</DocSecurity>
  <Lines>1627</Lines>
  <Paragraphs>458</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229037</CharactersWithSpaces>
  <SharedDoc>false</SharedDoc>
  <HLinks>
    <vt:vector size="228" baseType="variant">
      <vt:variant>
        <vt:i4>1376306</vt:i4>
      </vt:variant>
      <vt:variant>
        <vt:i4>221</vt:i4>
      </vt:variant>
      <vt:variant>
        <vt:i4>0</vt:i4>
      </vt:variant>
      <vt:variant>
        <vt:i4>5</vt:i4>
      </vt:variant>
      <vt:variant>
        <vt:lpwstr/>
      </vt:variant>
      <vt:variant>
        <vt:lpwstr>_Toc358213868</vt:lpwstr>
      </vt:variant>
      <vt:variant>
        <vt:i4>1376306</vt:i4>
      </vt:variant>
      <vt:variant>
        <vt:i4>215</vt:i4>
      </vt:variant>
      <vt:variant>
        <vt:i4>0</vt:i4>
      </vt:variant>
      <vt:variant>
        <vt:i4>5</vt:i4>
      </vt:variant>
      <vt:variant>
        <vt:lpwstr/>
      </vt:variant>
      <vt:variant>
        <vt:lpwstr>_Toc358213867</vt:lpwstr>
      </vt:variant>
      <vt:variant>
        <vt:i4>1376306</vt:i4>
      </vt:variant>
      <vt:variant>
        <vt:i4>209</vt:i4>
      </vt:variant>
      <vt:variant>
        <vt:i4>0</vt:i4>
      </vt:variant>
      <vt:variant>
        <vt:i4>5</vt:i4>
      </vt:variant>
      <vt:variant>
        <vt:lpwstr/>
      </vt:variant>
      <vt:variant>
        <vt:lpwstr>_Toc358213866</vt:lpwstr>
      </vt:variant>
      <vt:variant>
        <vt:i4>1376306</vt:i4>
      </vt:variant>
      <vt:variant>
        <vt:i4>203</vt:i4>
      </vt:variant>
      <vt:variant>
        <vt:i4>0</vt:i4>
      </vt:variant>
      <vt:variant>
        <vt:i4>5</vt:i4>
      </vt:variant>
      <vt:variant>
        <vt:lpwstr/>
      </vt:variant>
      <vt:variant>
        <vt:lpwstr>_Toc358213865</vt:lpwstr>
      </vt:variant>
      <vt:variant>
        <vt:i4>1376306</vt:i4>
      </vt:variant>
      <vt:variant>
        <vt:i4>197</vt:i4>
      </vt:variant>
      <vt:variant>
        <vt:i4>0</vt:i4>
      </vt:variant>
      <vt:variant>
        <vt:i4>5</vt:i4>
      </vt:variant>
      <vt:variant>
        <vt:lpwstr/>
      </vt:variant>
      <vt:variant>
        <vt:lpwstr>_Toc358213864</vt:lpwstr>
      </vt:variant>
      <vt:variant>
        <vt:i4>1376306</vt:i4>
      </vt:variant>
      <vt:variant>
        <vt:i4>191</vt:i4>
      </vt:variant>
      <vt:variant>
        <vt:i4>0</vt:i4>
      </vt:variant>
      <vt:variant>
        <vt:i4>5</vt:i4>
      </vt:variant>
      <vt:variant>
        <vt:lpwstr/>
      </vt:variant>
      <vt:variant>
        <vt:lpwstr>_Toc358213863</vt:lpwstr>
      </vt:variant>
      <vt:variant>
        <vt:i4>1376306</vt:i4>
      </vt:variant>
      <vt:variant>
        <vt:i4>185</vt:i4>
      </vt:variant>
      <vt:variant>
        <vt:i4>0</vt:i4>
      </vt:variant>
      <vt:variant>
        <vt:i4>5</vt:i4>
      </vt:variant>
      <vt:variant>
        <vt:lpwstr/>
      </vt:variant>
      <vt:variant>
        <vt:lpwstr>_Toc358213862</vt:lpwstr>
      </vt:variant>
      <vt:variant>
        <vt:i4>1376306</vt:i4>
      </vt:variant>
      <vt:variant>
        <vt:i4>179</vt:i4>
      </vt:variant>
      <vt:variant>
        <vt:i4>0</vt:i4>
      </vt:variant>
      <vt:variant>
        <vt:i4>5</vt:i4>
      </vt:variant>
      <vt:variant>
        <vt:lpwstr/>
      </vt:variant>
      <vt:variant>
        <vt:lpwstr>_Toc358213861</vt:lpwstr>
      </vt:variant>
      <vt:variant>
        <vt:i4>1376306</vt:i4>
      </vt:variant>
      <vt:variant>
        <vt:i4>173</vt:i4>
      </vt:variant>
      <vt:variant>
        <vt:i4>0</vt:i4>
      </vt:variant>
      <vt:variant>
        <vt:i4>5</vt:i4>
      </vt:variant>
      <vt:variant>
        <vt:lpwstr/>
      </vt:variant>
      <vt:variant>
        <vt:lpwstr>_Toc358213860</vt:lpwstr>
      </vt:variant>
      <vt:variant>
        <vt:i4>1441842</vt:i4>
      </vt:variant>
      <vt:variant>
        <vt:i4>167</vt:i4>
      </vt:variant>
      <vt:variant>
        <vt:i4>0</vt:i4>
      </vt:variant>
      <vt:variant>
        <vt:i4>5</vt:i4>
      </vt:variant>
      <vt:variant>
        <vt:lpwstr/>
      </vt:variant>
      <vt:variant>
        <vt:lpwstr>_Toc358213859</vt:lpwstr>
      </vt:variant>
      <vt:variant>
        <vt:i4>1441842</vt:i4>
      </vt:variant>
      <vt:variant>
        <vt:i4>161</vt:i4>
      </vt:variant>
      <vt:variant>
        <vt:i4>0</vt:i4>
      </vt:variant>
      <vt:variant>
        <vt:i4>5</vt:i4>
      </vt:variant>
      <vt:variant>
        <vt:lpwstr/>
      </vt:variant>
      <vt:variant>
        <vt:lpwstr>_Toc358213858</vt:lpwstr>
      </vt:variant>
      <vt:variant>
        <vt:i4>1441842</vt:i4>
      </vt:variant>
      <vt:variant>
        <vt:i4>155</vt:i4>
      </vt:variant>
      <vt:variant>
        <vt:i4>0</vt:i4>
      </vt:variant>
      <vt:variant>
        <vt:i4>5</vt:i4>
      </vt:variant>
      <vt:variant>
        <vt:lpwstr/>
      </vt:variant>
      <vt:variant>
        <vt:lpwstr>_Toc358213857</vt:lpwstr>
      </vt:variant>
      <vt:variant>
        <vt:i4>1441842</vt:i4>
      </vt:variant>
      <vt:variant>
        <vt:i4>149</vt:i4>
      </vt:variant>
      <vt:variant>
        <vt:i4>0</vt:i4>
      </vt:variant>
      <vt:variant>
        <vt:i4>5</vt:i4>
      </vt:variant>
      <vt:variant>
        <vt:lpwstr/>
      </vt:variant>
      <vt:variant>
        <vt:lpwstr>_Toc358213856</vt:lpwstr>
      </vt:variant>
      <vt:variant>
        <vt:i4>1441842</vt:i4>
      </vt:variant>
      <vt:variant>
        <vt:i4>143</vt:i4>
      </vt:variant>
      <vt:variant>
        <vt:i4>0</vt:i4>
      </vt:variant>
      <vt:variant>
        <vt:i4>5</vt:i4>
      </vt:variant>
      <vt:variant>
        <vt:lpwstr/>
      </vt:variant>
      <vt:variant>
        <vt:lpwstr>_Toc358213855</vt:lpwstr>
      </vt:variant>
      <vt:variant>
        <vt:i4>1441842</vt:i4>
      </vt:variant>
      <vt:variant>
        <vt:i4>137</vt:i4>
      </vt:variant>
      <vt:variant>
        <vt:i4>0</vt:i4>
      </vt:variant>
      <vt:variant>
        <vt:i4>5</vt:i4>
      </vt:variant>
      <vt:variant>
        <vt:lpwstr/>
      </vt:variant>
      <vt:variant>
        <vt:lpwstr>_Toc358213854</vt:lpwstr>
      </vt:variant>
      <vt:variant>
        <vt:i4>1441842</vt:i4>
      </vt:variant>
      <vt:variant>
        <vt:i4>131</vt:i4>
      </vt:variant>
      <vt:variant>
        <vt:i4>0</vt:i4>
      </vt:variant>
      <vt:variant>
        <vt:i4>5</vt:i4>
      </vt:variant>
      <vt:variant>
        <vt:lpwstr/>
      </vt:variant>
      <vt:variant>
        <vt:lpwstr>_Toc358213853</vt:lpwstr>
      </vt:variant>
      <vt:variant>
        <vt:i4>1441842</vt:i4>
      </vt:variant>
      <vt:variant>
        <vt:i4>125</vt:i4>
      </vt:variant>
      <vt:variant>
        <vt:i4>0</vt:i4>
      </vt:variant>
      <vt:variant>
        <vt:i4>5</vt:i4>
      </vt:variant>
      <vt:variant>
        <vt:lpwstr/>
      </vt:variant>
      <vt:variant>
        <vt:lpwstr>_Toc358213852</vt:lpwstr>
      </vt:variant>
      <vt:variant>
        <vt:i4>1441842</vt:i4>
      </vt:variant>
      <vt:variant>
        <vt:i4>119</vt:i4>
      </vt:variant>
      <vt:variant>
        <vt:i4>0</vt:i4>
      </vt:variant>
      <vt:variant>
        <vt:i4>5</vt:i4>
      </vt:variant>
      <vt:variant>
        <vt:lpwstr/>
      </vt:variant>
      <vt:variant>
        <vt:lpwstr>_Toc358213851</vt:lpwstr>
      </vt:variant>
      <vt:variant>
        <vt:i4>1441842</vt:i4>
      </vt:variant>
      <vt:variant>
        <vt:i4>113</vt:i4>
      </vt:variant>
      <vt:variant>
        <vt:i4>0</vt:i4>
      </vt:variant>
      <vt:variant>
        <vt:i4>5</vt:i4>
      </vt:variant>
      <vt:variant>
        <vt:lpwstr/>
      </vt:variant>
      <vt:variant>
        <vt:lpwstr>_Toc358213850</vt:lpwstr>
      </vt:variant>
      <vt:variant>
        <vt:i4>1507378</vt:i4>
      </vt:variant>
      <vt:variant>
        <vt:i4>107</vt:i4>
      </vt:variant>
      <vt:variant>
        <vt:i4>0</vt:i4>
      </vt:variant>
      <vt:variant>
        <vt:i4>5</vt:i4>
      </vt:variant>
      <vt:variant>
        <vt:lpwstr/>
      </vt:variant>
      <vt:variant>
        <vt:lpwstr>_Toc358213849</vt:lpwstr>
      </vt:variant>
      <vt:variant>
        <vt:i4>1507378</vt:i4>
      </vt:variant>
      <vt:variant>
        <vt:i4>101</vt:i4>
      </vt:variant>
      <vt:variant>
        <vt:i4>0</vt:i4>
      </vt:variant>
      <vt:variant>
        <vt:i4>5</vt:i4>
      </vt:variant>
      <vt:variant>
        <vt:lpwstr/>
      </vt:variant>
      <vt:variant>
        <vt:lpwstr>_Toc358213848</vt:lpwstr>
      </vt:variant>
      <vt:variant>
        <vt:i4>1507378</vt:i4>
      </vt:variant>
      <vt:variant>
        <vt:i4>95</vt:i4>
      </vt:variant>
      <vt:variant>
        <vt:i4>0</vt:i4>
      </vt:variant>
      <vt:variant>
        <vt:i4>5</vt:i4>
      </vt:variant>
      <vt:variant>
        <vt:lpwstr/>
      </vt:variant>
      <vt:variant>
        <vt:lpwstr>_Toc358213847</vt:lpwstr>
      </vt:variant>
      <vt:variant>
        <vt:i4>1507378</vt:i4>
      </vt:variant>
      <vt:variant>
        <vt:i4>89</vt:i4>
      </vt:variant>
      <vt:variant>
        <vt:i4>0</vt:i4>
      </vt:variant>
      <vt:variant>
        <vt:i4>5</vt:i4>
      </vt:variant>
      <vt:variant>
        <vt:lpwstr/>
      </vt:variant>
      <vt:variant>
        <vt:lpwstr>_Toc358213846</vt:lpwstr>
      </vt:variant>
      <vt:variant>
        <vt:i4>1507378</vt:i4>
      </vt:variant>
      <vt:variant>
        <vt:i4>83</vt:i4>
      </vt:variant>
      <vt:variant>
        <vt:i4>0</vt:i4>
      </vt:variant>
      <vt:variant>
        <vt:i4>5</vt:i4>
      </vt:variant>
      <vt:variant>
        <vt:lpwstr/>
      </vt:variant>
      <vt:variant>
        <vt:lpwstr>_Toc358213845</vt:lpwstr>
      </vt:variant>
      <vt:variant>
        <vt:i4>1507378</vt:i4>
      </vt:variant>
      <vt:variant>
        <vt:i4>77</vt:i4>
      </vt:variant>
      <vt:variant>
        <vt:i4>0</vt:i4>
      </vt:variant>
      <vt:variant>
        <vt:i4>5</vt:i4>
      </vt:variant>
      <vt:variant>
        <vt:lpwstr/>
      </vt:variant>
      <vt:variant>
        <vt:lpwstr>_Toc358213844</vt:lpwstr>
      </vt:variant>
      <vt:variant>
        <vt:i4>1507378</vt:i4>
      </vt:variant>
      <vt:variant>
        <vt:i4>71</vt:i4>
      </vt:variant>
      <vt:variant>
        <vt:i4>0</vt:i4>
      </vt:variant>
      <vt:variant>
        <vt:i4>5</vt:i4>
      </vt:variant>
      <vt:variant>
        <vt:lpwstr/>
      </vt:variant>
      <vt:variant>
        <vt:lpwstr>_Toc358213843</vt:lpwstr>
      </vt:variant>
      <vt:variant>
        <vt:i4>1507378</vt:i4>
      </vt:variant>
      <vt:variant>
        <vt:i4>65</vt:i4>
      </vt:variant>
      <vt:variant>
        <vt:i4>0</vt:i4>
      </vt:variant>
      <vt:variant>
        <vt:i4>5</vt:i4>
      </vt:variant>
      <vt:variant>
        <vt:lpwstr/>
      </vt:variant>
      <vt:variant>
        <vt:lpwstr>_Toc358213842</vt:lpwstr>
      </vt:variant>
      <vt:variant>
        <vt:i4>1507378</vt:i4>
      </vt:variant>
      <vt:variant>
        <vt:i4>59</vt:i4>
      </vt:variant>
      <vt:variant>
        <vt:i4>0</vt:i4>
      </vt:variant>
      <vt:variant>
        <vt:i4>5</vt:i4>
      </vt:variant>
      <vt:variant>
        <vt:lpwstr/>
      </vt:variant>
      <vt:variant>
        <vt:lpwstr>_Toc358213841</vt:lpwstr>
      </vt:variant>
      <vt:variant>
        <vt:i4>1507378</vt:i4>
      </vt:variant>
      <vt:variant>
        <vt:i4>53</vt:i4>
      </vt:variant>
      <vt:variant>
        <vt:i4>0</vt:i4>
      </vt:variant>
      <vt:variant>
        <vt:i4>5</vt:i4>
      </vt:variant>
      <vt:variant>
        <vt:lpwstr/>
      </vt:variant>
      <vt:variant>
        <vt:lpwstr>_Toc358213840</vt:lpwstr>
      </vt:variant>
      <vt:variant>
        <vt:i4>1048626</vt:i4>
      </vt:variant>
      <vt:variant>
        <vt:i4>47</vt:i4>
      </vt:variant>
      <vt:variant>
        <vt:i4>0</vt:i4>
      </vt:variant>
      <vt:variant>
        <vt:i4>5</vt:i4>
      </vt:variant>
      <vt:variant>
        <vt:lpwstr/>
      </vt:variant>
      <vt:variant>
        <vt:lpwstr>_Toc358213839</vt:lpwstr>
      </vt:variant>
      <vt:variant>
        <vt:i4>1048626</vt:i4>
      </vt:variant>
      <vt:variant>
        <vt:i4>41</vt:i4>
      </vt:variant>
      <vt:variant>
        <vt:i4>0</vt:i4>
      </vt:variant>
      <vt:variant>
        <vt:i4>5</vt:i4>
      </vt:variant>
      <vt:variant>
        <vt:lpwstr/>
      </vt:variant>
      <vt:variant>
        <vt:lpwstr>_Toc358213838</vt:lpwstr>
      </vt:variant>
      <vt:variant>
        <vt:i4>1048626</vt:i4>
      </vt:variant>
      <vt:variant>
        <vt:i4>35</vt:i4>
      </vt:variant>
      <vt:variant>
        <vt:i4>0</vt:i4>
      </vt:variant>
      <vt:variant>
        <vt:i4>5</vt:i4>
      </vt:variant>
      <vt:variant>
        <vt:lpwstr/>
      </vt:variant>
      <vt:variant>
        <vt:lpwstr>_Toc358213837</vt:lpwstr>
      </vt:variant>
      <vt:variant>
        <vt:i4>1048626</vt:i4>
      </vt:variant>
      <vt:variant>
        <vt:i4>29</vt:i4>
      </vt:variant>
      <vt:variant>
        <vt:i4>0</vt:i4>
      </vt:variant>
      <vt:variant>
        <vt:i4>5</vt:i4>
      </vt:variant>
      <vt:variant>
        <vt:lpwstr/>
      </vt:variant>
      <vt:variant>
        <vt:lpwstr>_Toc358213836</vt:lpwstr>
      </vt:variant>
      <vt:variant>
        <vt:i4>1048626</vt:i4>
      </vt:variant>
      <vt:variant>
        <vt:i4>23</vt:i4>
      </vt:variant>
      <vt:variant>
        <vt:i4>0</vt:i4>
      </vt:variant>
      <vt:variant>
        <vt:i4>5</vt:i4>
      </vt:variant>
      <vt:variant>
        <vt:lpwstr/>
      </vt:variant>
      <vt:variant>
        <vt:lpwstr>_Toc358213835</vt:lpwstr>
      </vt:variant>
      <vt:variant>
        <vt:i4>1048626</vt:i4>
      </vt:variant>
      <vt:variant>
        <vt:i4>17</vt:i4>
      </vt:variant>
      <vt:variant>
        <vt:i4>0</vt:i4>
      </vt:variant>
      <vt:variant>
        <vt:i4>5</vt:i4>
      </vt:variant>
      <vt:variant>
        <vt:lpwstr/>
      </vt:variant>
      <vt:variant>
        <vt:lpwstr>_Toc358213834</vt:lpwstr>
      </vt:variant>
      <vt:variant>
        <vt:i4>1048626</vt:i4>
      </vt:variant>
      <vt:variant>
        <vt:i4>11</vt:i4>
      </vt:variant>
      <vt:variant>
        <vt:i4>0</vt:i4>
      </vt:variant>
      <vt:variant>
        <vt:i4>5</vt:i4>
      </vt:variant>
      <vt:variant>
        <vt:lpwstr/>
      </vt:variant>
      <vt:variant>
        <vt:lpwstr>_Toc358213833</vt:lpwstr>
      </vt:variant>
      <vt:variant>
        <vt:i4>1048626</vt:i4>
      </vt:variant>
      <vt:variant>
        <vt:i4>5</vt:i4>
      </vt:variant>
      <vt:variant>
        <vt:i4>0</vt:i4>
      </vt:variant>
      <vt:variant>
        <vt:i4>5</vt:i4>
      </vt:variant>
      <vt:variant>
        <vt:lpwstr/>
      </vt:variant>
      <vt:variant>
        <vt:lpwstr>_Toc358213832</vt:lpwstr>
      </vt:variant>
      <vt:variant>
        <vt:i4>1048626</vt:i4>
      </vt:variant>
      <vt:variant>
        <vt:i4>2</vt:i4>
      </vt:variant>
      <vt:variant>
        <vt:i4>0</vt:i4>
      </vt:variant>
      <vt:variant>
        <vt:i4>5</vt:i4>
      </vt:variant>
      <vt:variant>
        <vt:lpwstr/>
      </vt:variant>
      <vt:variant>
        <vt:lpwstr>_Toc358213831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ss84</dc:creator>
  <cp:lastModifiedBy>vickry6</cp:lastModifiedBy>
  <cp:revision>5</cp:revision>
  <cp:lastPrinted>2014-02-20T03:07:00Z</cp:lastPrinted>
  <dcterms:created xsi:type="dcterms:W3CDTF">2014-05-23T04:21:00Z</dcterms:created>
  <dcterms:modified xsi:type="dcterms:W3CDTF">2014-05-23T04:50:00Z</dcterms:modified>
</cp:coreProperties>
</file>