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F12" w:rsidRPr="00094687" w:rsidRDefault="00D61F12" w:rsidP="00D61F12">
      <w:pPr>
        <w:pStyle w:val="Heading1"/>
      </w:pPr>
      <w:bookmarkStart w:id="0" w:name="_Toc463624263"/>
      <w:bookmarkStart w:id="1" w:name="_Toc473109631"/>
      <w:bookmarkStart w:id="2" w:name="_Toc452983063"/>
      <w:bookmarkStart w:id="3" w:name="_Toc455736244"/>
      <w:bookmarkStart w:id="4" w:name="_Toc456272049"/>
      <w:r>
        <w:t>Outcome 2</w:t>
      </w:r>
      <w:bookmarkEnd w:id="0"/>
      <w:bookmarkEnd w:id="1"/>
      <w:r>
        <w:t xml:space="preserve"> </w:t>
      </w:r>
      <w:bookmarkEnd w:id="2"/>
      <w:bookmarkEnd w:id="3"/>
      <w:bookmarkEnd w:id="4"/>
    </w:p>
    <w:p w:rsidR="00D61F12" w:rsidRPr="00094687" w:rsidRDefault="00D61F12" w:rsidP="00D61F12">
      <w:pPr>
        <w:pStyle w:val="Heading1"/>
      </w:pPr>
      <w:bookmarkStart w:id="5" w:name="_Toc463624264"/>
      <w:bookmarkStart w:id="6" w:name="_Toc473109632"/>
      <w:r w:rsidRPr="00BC221F">
        <w:t>MELBOURNE PROVIDES HOUSING CHOICE IN LOCATIONS CLOSE TO JOBS AND SERVICES</w:t>
      </w:r>
      <w:bookmarkEnd w:id="5"/>
      <w:bookmarkEnd w:id="6"/>
    </w:p>
    <w:p w:rsidR="00D61F12" w:rsidRDefault="00D61F12" w:rsidP="00D61F12">
      <w:pPr>
        <w:pStyle w:val="body"/>
      </w:pPr>
      <w:bookmarkStart w:id="7" w:name="_Toc447119864"/>
      <w:bookmarkStart w:id="8" w:name="_Toc388869147"/>
      <w:r>
        <w:t>Melbourne will need 1.6 million new homes over the next 35 years.</w:t>
      </w:r>
    </w:p>
    <w:p w:rsidR="00D61F12" w:rsidRDefault="00D61F12" w:rsidP="00D61F12">
      <w:pPr>
        <w:pStyle w:val="body"/>
      </w:pPr>
      <w:r>
        <w:t xml:space="preserve">Issues that need to be addressed include: housing affordability, </w:t>
      </w:r>
      <w:r w:rsidRPr="009A2EF4">
        <w:t xml:space="preserve">the types of housing available to cater for different household needs and lifestyles, and </w:t>
      </w:r>
      <w:r>
        <w:t xml:space="preserve">the provision of </w:t>
      </w:r>
      <w:r w:rsidRPr="009A2EF4">
        <w:t>medium</w:t>
      </w:r>
      <w:r>
        <w:t>-</w:t>
      </w:r>
      <w:r w:rsidRPr="009A2EF4">
        <w:t xml:space="preserve"> and higher</w:t>
      </w:r>
      <w:r>
        <w:t xml:space="preserve">-density housing </w:t>
      </w:r>
      <w:r w:rsidRPr="009A2EF4">
        <w:t xml:space="preserve">close to jobs and services. </w:t>
      </w:r>
      <w:r>
        <w:t>Another pressing issue is the growing number of homeless people and households waiting for public housing</w:t>
      </w:r>
      <w:r w:rsidRPr="009A2EF4">
        <w:t>.</w:t>
      </w:r>
      <w:r w:rsidRPr="00631571">
        <w:t xml:space="preserve"> </w:t>
      </w:r>
    </w:p>
    <w:p w:rsidR="00D61F12" w:rsidRPr="009A2EF4" w:rsidRDefault="00D61F12" w:rsidP="00D61F12">
      <w:pPr>
        <w:pStyle w:val="body"/>
      </w:pPr>
      <w:r>
        <w:t xml:space="preserve">To grow strong and healthy communities, Melbourne must </w:t>
      </w:r>
      <w:r w:rsidRPr="009A2EF4">
        <w:t>r</w:t>
      </w:r>
      <w:r>
        <w:t>emain</w:t>
      </w:r>
      <w:r w:rsidRPr="009A2EF4">
        <w:t xml:space="preserve"> affordable and accessible. </w:t>
      </w:r>
      <w:r>
        <w:t xml:space="preserve">That will require building </w:t>
      </w:r>
      <w:r w:rsidRPr="009A2EF4">
        <w:t>the type</w:t>
      </w:r>
      <w:r>
        <w:t>s</w:t>
      </w:r>
      <w:r w:rsidRPr="009A2EF4">
        <w:t xml:space="preserve"> of</w:t>
      </w:r>
      <w:r>
        <w:t xml:space="preserve"> dwellings</w:t>
      </w:r>
      <w:r w:rsidRPr="009A2EF4">
        <w:t xml:space="preserve"> people want and need in location</w:t>
      </w:r>
      <w:r>
        <w:t>s</w:t>
      </w:r>
      <w:r w:rsidRPr="009A2EF4">
        <w:t xml:space="preserve"> where they want to live.</w:t>
      </w:r>
    </w:p>
    <w:p w:rsidR="00D61F12" w:rsidRDefault="00D61F12" w:rsidP="00D61F12">
      <w:pPr>
        <w:pStyle w:val="body"/>
      </w:pPr>
      <w:r w:rsidRPr="009A2EF4">
        <w:t>Melbourne’s housing stock is made up mainly of detached housing</w:t>
      </w:r>
      <w:r>
        <w:t>.</w:t>
      </w:r>
      <w:r w:rsidRPr="009A2EF4">
        <w:t xml:space="preserve"> </w:t>
      </w:r>
      <w:r>
        <w:t>However, t</w:t>
      </w:r>
      <w:r w:rsidRPr="009A2EF4">
        <w:t xml:space="preserve">here has been a significant shift in </w:t>
      </w:r>
      <w:r>
        <w:t xml:space="preserve">the </w:t>
      </w:r>
      <w:r w:rsidRPr="009A2EF4">
        <w:t>type of housing built across Melbourne in recent years, with an increase in the proportion of medium</w:t>
      </w:r>
      <w:r>
        <w:t>-</w:t>
      </w:r>
      <w:r w:rsidRPr="009A2EF4">
        <w:t xml:space="preserve"> and higher</w:t>
      </w:r>
      <w:r>
        <w:t>-</w:t>
      </w:r>
      <w:r w:rsidRPr="009A2EF4">
        <w:t>density housing</w:t>
      </w:r>
      <w:r>
        <w:t xml:space="preserve">, particularly </w:t>
      </w:r>
      <w:r w:rsidRPr="009A2EF4">
        <w:t>in middle-ring suburbs such as Doncaster and Box Hill</w:t>
      </w:r>
      <w:r>
        <w:t>.</w:t>
      </w:r>
    </w:p>
    <w:p w:rsidR="00D61F12" w:rsidRPr="0016252F" w:rsidRDefault="00D61F12" w:rsidP="00D61F12">
      <w:pPr>
        <w:pStyle w:val="Figurehead"/>
        <w:rPr>
          <w:b/>
        </w:rPr>
      </w:pPr>
      <w:bookmarkStart w:id="9" w:name="_Toc462149297"/>
      <w:bookmarkStart w:id="10" w:name="_Toc473109601"/>
      <w:r w:rsidRPr="0016252F">
        <w:t xml:space="preserve">Figure </w:t>
      </w:r>
      <w:r w:rsidRPr="0016252F">
        <w:fldChar w:fldCharType="begin"/>
      </w:r>
      <w:r w:rsidRPr="0016252F">
        <w:instrText xml:space="preserve"> SEQ Figure \* ARABIC </w:instrText>
      </w:r>
      <w:r w:rsidRPr="0016252F">
        <w:fldChar w:fldCharType="separate"/>
      </w:r>
      <w:r>
        <w:rPr>
          <w:noProof/>
        </w:rPr>
        <w:t>6</w:t>
      </w:r>
      <w:r w:rsidRPr="0016252F">
        <w:rPr>
          <w:noProof/>
        </w:rPr>
        <w:fldChar w:fldCharType="end"/>
      </w:r>
      <w:r w:rsidRPr="0016252F">
        <w:t xml:space="preserve"> Annual building approvals by selected type and location, metropolitan Melbourne (year ending March)</w:t>
      </w:r>
      <w:bookmarkEnd w:id="9"/>
      <w:bookmarkEnd w:id="10"/>
    </w:p>
    <w:p w:rsidR="00D61F12" w:rsidRPr="009A2EF4" w:rsidRDefault="00D61F12" w:rsidP="00D61F12">
      <w:r w:rsidRPr="002E51D2">
        <w:rPr>
          <w:noProof/>
        </w:rPr>
        <w:drawing>
          <wp:inline distT="0" distB="0" distL="0" distR="0" wp14:anchorId="1CAFD079" wp14:editId="1FDD697B">
            <wp:extent cx="5565775" cy="3163453"/>
            <wp:effectExtent l="0" t="0" r="0" b="0"/>
            <wp:docPr id="329" name="Picture 329" descr="Annual building approvals by selected type and location, metropolitan Melbourne (year ending March)"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65775" cy="3163453"/>
                    </a:xfrm>
                    <a:prstGeom prst="rect">
                      <a:avLst/>
                    </a:prstGeom>
                  </pic:spPr>
                </pic:pic>
              </a:graphicData>
            </a:graphic>
          </wp:inline>
        </w:drawing>
      </w:r>
    </w:p>
    <w:p w:rsidR="00D61F12" w:rsidRDefault="00D61F12" w:rsidP="00D61F12">
      <w:pPr>
        <w:pStyle w:val="body"/>
      </w:pPr>
      <w:r w:rsidRPr="00AE32F7">
        <w:t>Source: DELWP analysis of ABS Buil</w:t>
      </w:r>
      <w:r>
        <w:t>ding approvals, cat. no. 8731.0</w:t>
      </w:r>
    </w:p>
    <w:p w:rsidR="00D61F12" w:rsidRDefault="00D61F12" w:rsidP="00D61F12">
      <w:pPr>
        <w:pStyle w:val="body"/>
      </w:pPr>
      <w:r>
        <w:lastRenderedPageBreak/>
        <w:t xml:space="preserve">For Melbourne to become more equitable and accessible, </w:t>
      </w:r>
      <w:r w:rsidRPr="009A2EF4">
        <w:t xml:space="preserve">local residents </w:t>
      </w:r>
      <w:r>
        <w:t xml:space="preserve">need to </w:t>
      </w:r>
      <w:r w:rsidRPr="009A2EF4">
        <w:t xml:space="preserve">have a choice of housing </w:t>
      </w:r>
      <w:r>
        <w:t>within</w:t>
      </w:r>
      <w:r w:rsidRPr="009A2EF4">
        <w:t xml:space="preserve"> their neighbourhood.</w:t>
      </w:r>
    </w:p>
    <w:p w:rsidR="00D61F12" w:rsidRDefault="00D61F12" w:rsidP="00D61F12">
      <w:pPr>
        <w:pStyle w:val="body"/>
      </w:pPr>
      <w:r>
        <w:t xml:space="preserve">Growth needs to be planned and managed in a way that maintains the city’s liveability. Growth areas require public transport, schools, roads, hospitals and jobs. Middle-ring suburbs are well served with jobs and services and can provide greater housing choices in these locations, but development must be carefully managed. Areas in and around the central city offer significant urban renewal opportunities to develop as new places for people to live and work but need supporting community infrastructure and public spaces.  </w:t>
      </w:r>
    </w:p>
    <w:p w:rsidR="00D61F12" w:rsidRDefault="00D61F12" w:rsidP="00D61F12">
      <w:pPr>
        <w:pStyle w:val="body"/>
      </w:pPr>
      <w:r>
        <w:t>M</w:t>
      </w:r>
      <w:r w:rsidRPr="009A2EF4">
        <w:t>etropolitan Melbourne</w:t>
      </w:r>
      <w:r>
        <w:t xml:space="preserve"> has at least </w:t>
      </w:r>
      <w:r w:rsidRPr="009A2EF4">
        <w:t xml:space="preserve">a </w:t>
      </w:r>
      <w:r w:rsidRPr="008B69FE">
        <w:t>25-year supply</w:t>
      </w:r>
      <w:r w:rsidRPr="009A2EF4">
        <w:t xml:space="preserve"> of </w:t>
      </w:r>
      <w:r>
        <w:t xml:space="preserve">greenfield </w:t>
      </w:r>
      <w:r w:rsidRPr="009A2EF4">
        <w:t xml:space="preserve">land available for residential development on </w:t>
      </w:r>
      <w:r>
        <w:t xml:space="preserve">its urban fringe. It is unsustainable to keep expanding Melbourne’s outer-urban growth areas. If the city continues to expand, the </w:t>
      </w:r>
      <w:r w:rsidRPr="009A2EF4">
        <w:t>natural environment</w:t>
      </w:r>
      <w:r>
        <w:t xml:space="preserve"> will be impacted</w:t>
      </w:r>
      <w:r w:rsidRPr="009A2EF4">
        <w:t xml:space="preserve">, </w:t>
      </w:r>
      <w:r>
        <w:t xml:space="preserve">commute times to employment and </w:t>
      </w:r>
      <w:r w:rsidRPr="009A2EF4">
        <w:t xml:space="preserve">services </w:t>
      </w:r>
      <w:r>
        <w:t xml:space="preserve">will grow longer, </w:t>
      </w:r>
      <w:r w:rsidRPr="009A2EF4">
        <w:t>and soci</w:t>
      </w:r>
      <w:r>
        <w:t>o</w:t>
      </w:r>
      <w:r w:rsidRPr="009A2EF4">
        <w:t xml:space="preserve">economic disparities across </w:t>
      </w:r>
      <w:r>
        <w:t>the city will increase</w:t>
      </w:r>
      <w:r w:rsidRPr="009A2EF4">
        <w:t>.</w:t>
      </w:r>
    </w:p>
    <w:p w:rsidR="00D61F12" w:rsidRDefault="00D61F12" w:rsidP="00D61F12">
      <w:pPr>
        <w:pStyle w:val="body"/>
      </w:pPr>
      <w:r>
        <w:t xml:space="preserve">The new residential suburbs being created in growth areas are guided by the Precinct Structure Planning Guidelines. To ensure Melbourne does not recreate the ‘dormitory’ suburbs of the post-War boom the guidelines support planning for local jobs, local town centres rather than car-based shopping centres, better access by walking and bikes, and a healthy environment. </w:t>
      </w:r>
    </w:p>
    <w:p w:rsidR="00D61F12" w:rsidRPr="009A2EF4" w:rsidRDefault="00D61F12" w:rsidP="00D61F12">
      <w:pPr>
        <w:pStyle w:val="body"/>
      </w:pPr>
      <w:r>
        <w:t xml:space="preserve">Melbourne will benefit from population growth—if plans are made and actions are taken. Without adequate planning, the city </w:t>
      </w:r>
      <w:r w:rsidRPr="009A2EF4">
        <w:t xml:space="preserve">will become less affordable and liveable—risking social </w:t>
      </w:r>
      <w:r>
        <w:t xml:space="preserve">cohesion </w:t>
      </w:r>
      <w:r w:rsidRPr="009A2EF4">
        <w:t>and economic growth.</w:t>
      </w:r>
    </w:p>
    <w:p w:rsidR="00D61F12" w:rsidRDefault="00D61F12" w:rsidP="00D61F12">
      <w:pPr>
        <w:spacing w:after="200" w:line="276" w:lineRule="auto"/>
        <w:rPr>
          <w:rFonts w:ascii="Calibri" w:eastAsiaTheme="majorEastAsia" w:hAnsi="Calibri" w:cstheme="majorBidi"/>
          <w:b/>
          <w:bCs/>
          <w:sz w:val="32"/>
          <w:szCs w:val="26"/>
        </w:rPr>
      </w:pPr>
      <w:bookmarkStart w:id="11" w:name="_Toc447119850"/>
      <w:bookmarkStart w:id="12" w:name="_Toc452983065"/>
      <w:bookmarkStart w:id="13" w:name="_Toc455736251"/>
      <w:bookmarkStart w:id="14" w:name="_Toc456272056"/>
      <w:bookmarkStart w:id="15" w:name="_Toc462399422"/>
      <w:bookmarkStart w:id="16" w:name="_Toc463624265"/>
      <w:bookmarkStart w:id="17" w:name="_Toc467512420"/>
      <w:bookmarkStart w:id="18" w:name="_Toc467512670"/>
      <w:bookmarkStart w:id="19" w:name="_Toc473041516"/>
      <w:bookmarkStart w:id="20" w:name="_Toc473109633"/>
      <w:r>
        <w:br w:type="page"/>
      </w:r>
    </w:p>
    <w:p w:rsidR="00D61F12" w:rsidRPr="004D5578" w:rsidRDefault="00D61F12" w:rsidP="00D61F12">
      <w:pPr>
        <w:pStyle w:val="Heading2"/>
      </w:pPr>
      <w:r w:rsidRPr="004D5578">
        <w:lastRenderedPageBreak/>
        <w:t>Melbourne’s plan</w:t>
      </w:r>
      <w:bookmarkEnd w:id="11"/>
      <w:bookmarkEnd w:id="12"/>
      <w:bookmarkEnd w:id="13"/>
      <w:bookmarkEnd w:id="14"/>
      <w:bookmarkEnd w:id="15"/>
      <w:bookmarkEnd w:id="16"/>
      <w:bookmarkEnd w:id="17"/>
      <w:bookmarkEnd w:id="18"/>
      <w:bookmarkEnd w:id="19"/>
      <w:bookmarkEnd w:id="20"/>
    </w:p>
    <w:p w:rsidR="00D61F12" w:rsidRPr="009A2EF4" w:rsidRDefault="00D61F12" w:rsidP="00D61F12">
      <w:pPr>
        <w:pStyle w:val="Heading2"/>
      </w:pPr>
      <w:bookmarkStart w:id="21" w:name="_Toc452983066"/>
      <w:bookmarkStart w:id="22" w:name="_Toc455736252"/>
      <w:bookmarkStart w:id="23" w:name="_Toc456272057"/>
      <w:bookmarkStart w:id="24" w:name="_Toc462399423"/>
      <w:bookmarkStart w:id="25" w:name="_Toc463624266"/>
      <w:bookmarkStart w:id="26" w:name="_Toc467512421"/>
      <w:bookmarkStart w:id="27" w:name="_Toc467512671"/>
      <w:bookmarkStart w:id="28" w:name="_Toc469650155"/>
      <w:bookmarkStart w:id="29" w:name="_Toc473041517"/>
      <w:bookmarkStart w:id="30" w:name="_Toc473109634"/>
      <w:r w:rsidRPr="009A2EF4">
        <w:t xml:space="preserve">Direction </w:t>
      </w:r>
      <w:r>
        <w:t>2.1</w:t>
      </w:r>
      <w:r w:rsidRPr="009A2EF4">
        <w:tab/>
      </w:r>
      <w:r>
        <w:t>Manage the supply of new housing in the right locations to meet</w:t>
      </w:r>
      <w:r w:rsidRPr="009A2EF4">
        <w:t xml:space="preserve"> population growth </w:t>
      </w:r>
      <w:r>
        <w:t>and create a</w:t>
      </w:r>
      <w:r w:rsidRPr="009A2EF4">
        <w:t xml:space="preserve"> sustainable </w:t>
      </w:r>
      <w:r>
        <w:t>city</w:t>
      </w:r>
      <w:bookmarkEnd w:id="21"/>
      <w:bookmarkEnd w:id="22"/>
      <w:bookmarkEnd w:id="23"/>
      <w:bookmarkEnd w:id="24"/>
      <w:bookmarkEnd w:id="25"/>
      <w:bookmarkEnd w:id="26"/>
      <w:bookmarkEnd w:id="27"/>
      <w:bookmarkEnd w:id="28"/>
      <w:bookmarkEnd w:id="29"/>
      <w:bookmarkEnd w:id="30"/>
    </w:p>
    <w:p w:rsidR="00D61F12" w:rsidRPr="009A2EF4" w:rsidRDefault="00D61F12" w:rsidP="00D61F12">
      <w:pPr>
        <w:pStyle w:val="body"/>
      </w:pPr>
      <w:r>
        <w:t>T</w:t>
      </w:r>
      <w:r w:rsidRPr="009A2EF4">
        <w:t xml:space="preserve">he social, economic and environmental benefits </w:t>
      </w:r>
      <w:r>
        <w:t>of creating</w:t>
      </w:r>
      <w:r w:rsidRPr="009A2EF4">
        <w:t xml:space="preserve"> a more compact, sustainable city </w:t>
      </w:r>
      <w:r>
        <w:t xml:space="preserve">are profound. Some </w:t>
      </w:r>
      <w:r w:rsidRPr="009A2EF4">
        <w:t>of the benefits of compact, higher-density neighbourhoods</w:t>
      </w:r>
      <w:r>
        <w:t xml:space="preserve"> are as follows:</w:t>
      </w:r>
    </w:p>
    <w:p w:rsidR="00D61F12" w:rsidRPr="009A2EF4" w:rsidRDefault="00D61F12" w:rsidP="00D61F12">
      <w:pPr>
        <w:pStyle w:val="body"/>
      </w:pPr>
      <w:r w:rsidRPr="009A2EF4">
        <w:rPr>
          <w:b/>
          <w:caps/>
        </w:rPr>
        <w:t>Social</w:t>
      </w:r>
      <w:r>
        <w:rPr>
          <w:b/>
          <w:caps/>
        </w:rPr>
        <w:t>:</w:t>
      </w:r>
      <w:r w:rsidRPr="009A2EF4">
        <w:t xml:space="preserve"> </w:t>
      </w:r>
      <w:r>
        <w:t xml:space="preserve">It </w:t>
      </w:r>
      <w:r w:rsidRPr="009A2EF4">
        <w:t>encourages positive social interaction and diversity, improves the viability of (and access to) community services and enables more (and better integrated) housing.</w:t>
      </w:r>
    </w:p>
    <w:p w:rsidR="00D61F12" w:rsidRPr="009A2EF4" w:rsidRDefault="00D61F12" w:rsidP="00D61F12">
      <w:pPr>
        <w:pStyle w:val="body"/>
      </w:pPr>
      <w:r w:rsidRPr="009A2EF4">
        <w:rPr>
          <w:b/>
          <w:caps/>
        </w:rPr>
        <w:t>Economic</w:t>
      </w:r>
      <w:r>
        <w:t xml:space="preserve">: It </w:t>
      </w:r>
      <w:r w:rsidRPr="009A2EF4">
        <w:t>enhances the economic viability of development, improves the economic viability of infrastructure delivery and utilises existing infrastructure.</w:t>
      </w:r>
    </w:p>
    <w:p w:rsidR="00D61F12" w:rsidRPr="009A2EF4" w:rsidRDefault="00D61F12" w:rsidP="00D61F12">
      <w:pPr>
        <w:pStyle w:val="body"/>
      </w:pPr>
      <w:r w:rsidRPr="009A2EF4">
        <w:rPr>
          <w:b/>
          <w:caps/>
        </w:rPr>
        <w:t>Transport</w:t>
      </w:r>
      <w:r>
        <w:t>:</w:t>
      </w:r>
      <w:r w:rsidRPr="009A2EF4">
        <w:t xml:space="preserve"> </w:t>
      </w:r>
      <w:r>
        <w:t xml:space="preserve">It </w:t>
      </w:r>
      <w:r w:rsidRPr="009A2EF4">
        <w:t>creates sustainable demand for more transport options</w:t>
      </w:r>
      <w:r>
        <w:t>—</w:t>
      </w:r>
      <w:r w:rsidRPr="009A2EF4">
        <w:t>including public transport, walking and cycling</w:t>
      </w:r>
      <w:r>
        <w:t>—and can reduce overall travel time</w:t>
      </w:r>
      <w:r w:rsidRPr="009A2EF4">
        <w:t>.</w:t>
      </w:r>
    </w:p>
    <w:p w:rsidR="00D61F12" w:rsidRPr="009A2EF4" w:rsidRDefault="00D61F12" w:rsidP="00D61F12">
      <w:pPr>
        <w:pStyle w:val="body"/>
      </w:pPr>
      <w:r w:rsidRPr="009A2EF4">
        <w:rPr>
          <w:b/>
          <w:caps/>
        </w:rPr>
        <w:t>Environmental</w:t>
      </w:r>
      <w:r>
        <w:t>:</w:t>
      </w:r>
      <w:r w:rsidRPr="009A2EF4">
        <w:t xml:space="preserve"> </w:t>
      </w:r>
      <w:r>
        <w:t xml:space="preserve">It </w:t>
      </w:r>
      <w:r w:rsidRPr="009A2EF4">
        <w:t>creates opportunities for efficient use of resources and materials</w:t>
      </w:r>
      <w:r>
        <w:t>,</w:t>
      </w:r>
      <w:r w:rsidRPr="009A2EF4">
        <w:t xml:space="preserve"> creates less pollution through </w:t>
      </w:r>
      <w:r>
        <w:t xml:space="preserve">the </w:t>
      </w:r>
      <w:r w:rsidRPr="009A2EF4">
        <w:t>promotion of sustainable transport</w:t>
      </w:r>
      <w:r>
        <w:t>,</w:t>
      </w:r>
      <w:r w:rsidRPr="009A2EF4">
        <w:t xml:space="preserve"> preserves and helps fund </w:t>
      </w:r>
      <w:r>
        <w:t xml:space="preserve">the </w:t>
      </w:r>
      <w:r w:rsidRPr="009A2EF4">
        <w:t>maintenance of public open space</w:t>
      </w:r>
      <w:r>
        <w:t xml:space="preserve">, </w:t>
      </w:r>
      <w:r w:rsidRPr="009A2EF4">
        <w:t>creates new public open space</w:t>
      </w:r>
      <w:r>
        <w:t>,</w:t>
      </w:r>
      <w:r w:rsidRPr="009A2EF4">
        <w:t xml:space="preserve"> reduces overall demand for development land</w:t>
      </w:r>
      <w:r>
        <w:t>,</w:t>
      </w:r>
      <w:r w:rsidRPr="009A2EF4">
        <w:t xml:space="preserve"> and avoids expanding suburbs without supporting services</w:t>
      </w:r>
      <w:r>
        <w:t>.</w:t>
      </w:r>
      <w:r>
        <w:rPr>
          <w:rStyle w:val="EndnoteReference"/>
        </w:rPr>
        <w:endnoteReference w:id="1"/>
      </w:r>
    </w:p>
    <w:p w:rsidR="00D61F12" w:rsidRPr="009A2EF4" w:rsidDel="00CC7740" w:rsidRDefault="00D61F12" w:rsidP="00D61F12">
      <w:pPr>
        <w:pStyle w:val="body"/>
      </w:pPr>
      <w:r>
        <w:t>S</w:t>
      </w:r>
      <w:r w:rsidRPr="009A2EF4" w:rsidDel="00CC7740">
        <w:t>trategies need to be put in place that</w:t>
      </w:r>
      <w:r w:rsidRPr="009A2EF4" w:rsidDel="00CC7740">
        <w:rPr>
          <w:spacing w:val="-1"/>
        </w:rPr>
        <w:t xml:space="preserve"> articulate</w:t>
      </w:r>
      <w:r w:rsidRPr="009A2EF4" w:rsidDel="00CC7740">
        <w:t xml:space="preserve"> </w:t>
      </w:r>
      <w:r w:rsidRPr="009A2EF4" w:rsidDel="00CC7740">
        <w:rPr>
          <w:spacing w:val="-1"/>
        </w:rPr>
        <w:t>clear goals</w:t>
      </w:r>
      <w:r w:rsidRPr="009A2EF4" w:rsidDel="00CC7740">
        <w:t xml:space="preserve"> </w:t>
      </w:r>
      <w:r w:rsidRPr="009A2EF4" w:rsidDel="00CC7740">
        <w:rPr>
          <w:spacing w:val="-2"/>
        </w:rPr>
        <w:t>and</w:t>
      </w:r>
      <w:r w:rsidRPr="009A2EF4" w:rsidDel="00CC7740">
        <w:rPr>
          <w:spacing w:val="-1"/>
        </w:rPr>
        <w:t xml:space="preserve"> objectives</w:t>
      </w:r>
      <w:r w:rsidRPr="009A2EF4" w:rsidDel="00CC7740">
        <w:t xml:space="preserve"> </w:t>
      </w:r>
      <w:r w:rsidRPr="009A2EF4" w:rsidDel="00CC7740">
        <w:rPr>
          <w:spacing w:val="-1"/>
        </w:rPr>
        <w:t>for</w:t>
      </w:r>
      <w:r w:rsidRPr="009A2EF4" w:rsidDel="00CC7740">
        <w:t xml:space="preserve"> </w:t>
      </w:r>
      <w:r w:rsidRPr="009A2EF4" w:rsidDel="00CC7740">
        <w:rPr>
          <w:spacing w:val="-1"/>
        </w:rPr>
        <w:t>housing and</w:t>
      </w:r>
      <w:r w:rsidRPr="009A2EF4" w:rsidDel="00CC7740">
        <w:t>:</w:t>
      </w:r>
    </w:p>
    <w:p w:rsidR="00D61F12" w:rsidRPr="009A2EF4" w:rsidDel="00CC7740" w:rsidRDefault="00D61F12" w:rsidP="00D61F12">
      <w:pPr>
        <w:pStyle w:val="body"/>
        <w:numPr>
          <w:ilvl w:val="0"/>
          <w:numId w:val="20"/>
        </w:numPr>
      </w:pPr>
      <w:r w:rsidRPr="009A2EF4" w:rsidDel="00CC7740">
        <w:t>outline the needs</w:t>
      </w:r>
      <w:r w:rsidRPr="009A2EF4" w:rsidDel="00CC7740">
        <w:rPr>
          <w:spacing w:val="-3"/>
        </w:rPr>
        <w:t xml:space="preserve"> </w:t>
      </w:r>
      <w:r w:rsidRPr="009A2EF4" w:rsidDel="00CC7740">
        <w:t>of</w:t>
      </w:r>
      <w:r w:rsidRPr="009A2EF4" w:rsidDel="00CC7740">
        <w:rPr>
          <w:spacing w:val="-3"/>
        </w:rPr>
        <w:t xml:space="preserve"> </w:t>
      </w:r>
      <w:r w:rsidRPr="009A2EF4" w:rsidDel="00CC7740">
        <w:t>different</w:t>
      </w:r>
      <w:r w:rsidRPr="009A2EF4" w:rsidDel="00CC7740">
        <w:rPr>
          <w:spacing w:val="-2"/>
        </w:rPr>
        <w:t xml:space="preserve"> </w:t>
      </w:r>
      <w:r w:rsidRPr="009A2EF4" w:rsidDel="00CC7740">
        <w:t>household</w:t>
      </w:r>
      <w:r>
        <w:t xml:space="preserve"> type</w:t>
      </w:r>
      <w:r w:rsidRPr="009A2EF4" w:rsidDel="00CC7740">
        <w:t>s</w:t>
      </w:r>
    </w:p>
    <w:p w:rsidR="00D61F12" w:rsidRPr="009A2EF4" w:rsidDel="00CC7740" w:rsidRDefault="00D61F12" w:rsidP="00D61F12">
      <w:pPr>
        <w:pStyle w:val="body"/>
        <w:numPr>
          <w:ilvl w:val="0"/>
          <w:numId w:val="20"/>
        </w:numPr>
      </w:pPr>
      <w:r w:rsidRPr="009A2EF4" w:rsidDel="00CC7740">
        <w:t>provide a greater understanding of the range of housing needed</w:t>
      </w:r>
    </w:p>
    <w:p w:rsidR="00D61F12" w:rsidRPr="009A2EF4" w:rsidDel="00CC7740" w:rsidRDefault="00D61F12" w:rsidP="00D61F12">
      <w:pPr>
        <w:pStyle w:val="body"/>
        <w:numPr>
          <w:ilvl w:val="0"/>
          <w:numId w:val="20"/>
        </w:numPr>
      </w:pPr>
      <w:r w:rsidRPr="009A2EF4" w:rsidDel="00CC7740">
        <w:t>provide a stronger understanding of opportunities and constraints</w:t>
      </w:r>
    </w:p>
    <w:p w:rsidR="00D61F12" w:rsidRPr="009A2EF4" w:rsidDel="00CC7740" w:rsidRDefault="00D61F12" w:rsidP="00D61F12">
      <w:pPr>
        <w:pStyle w:val="body"/>
        <w:numPr>
          <w:ilvl w:val="0"/>
          <w:numId w:val="20"/>
        </w:numPr>
      </w:pPr>
      <w:r w:rsidRPr="009A2EF4" w:rsidDel="00CC7740">
        <w:t>identify preferred housing outcomes</w:t>
      </w:r>
    </w:p>
    <w:p w:rsidR="00D61F12" w:rsidRPr="009A2EF4" w:rsidDel="00CC7740" w:rsidRDefault="00D61F12" w:rsidP="00D61F12">
      <w:pPr>
        <w:pStyle w:val="body"/>
        <w:numPr>
          <w:ilvl w:val="0"/>
          <w:numId w:val="20"/>
        </w:numPr>
      </w:pPr>
      <w:r w:rsidRPr="009A2EF4" w:rsidDel="00CC7740">
        <w:t xml:space="preserve">help clarify and communicate housing required across metropolitan Melbourne and its </w:t>
      </w:r>
      <w:r>
        <w:t>metropolitan regions</w:t>
      </w:r>
    </w:p>
    <w:p w:rsidR="00D61F12" w:rsidRPr="009A2EF4" w:rsidDel="00CC7740" w:rsidRDefault="00D61F12" w:rsidP="00D61F12">
      <w:pPr>
        <w:pStyle w:val="body"/>
        <w:numPr>
          <w:ilvl w:val="0"/>
          <w:numId w:val="20"/>
        </w:numPr>
      </w:pPr>
      <w:r w:rsidRPr="009A2EF4" w:rsidDel="00CC7740">
        <w:t>address housing diversity,</w:t>
      </w:r>
      <w:r w:rsidRPr="009A2EF4" w:rsidDel="00CC7740">
        <w:rPr>
          <w:spacing w:val="-3"/>
        </w:rPr>
        <w:t xml:space="preserve"> </w:t>
      </w:r>
      <w:r w:rsidRPr="009A2EF4" w:rsidDel="00CC7740">
        <w:t>design, quality</w:t>
      </w:r>
      <w:r w:rsidRPr="009A2EF4" w:rsidDel="00CC7740">
        <w:rPr>
          <w:spacing w:val="1"/>
        </w:rPr>
        <w:t xml:space="preserve"> </w:t>
      </w:r>
      <w:r w:rsidRPr="009A2EF4" w:rsidDel="00CC7740">
        <w:t>and</w:t>
      </w:r>
      <w:r w:rsidRPr="009A2EF4" w:rsidDel="00CC7740">
        <w:rPr>
          <w:spacing w:val="-2"/>
        </w:rPr>
        <w:t xml:space="preserve"> </w:t>
      </w:r>
      <w:r w:rsidRPr="009A2EF4" w:rsidDel="00CC7740">
        <w:t>energy</w:t>
      </w:r>
      <w:r w:rsidRPr="009A2EF4" w:rsidDel="00CC7740">
        <w:rPr>
          <w:spacing w:val="-2"/>
        </w:rPr>
        <w:t xml:space="preserve"> </w:t>
      </w:r>
      <w:r w:rsidRPr="009A2EF4" w:rsidDel="00CC7740">
        <w:t>efficiency</w:t>
      </w:r>
    </w:p>
    <w:p w:rsidR="00D61F12" w:rsidRPr="009A2EF4" w:rsidRDefault="00D61F12" w:rsidP="00D61F12">
      <w:pPr>
        <w:pStyle w:val="body"/>
        <w:numPr>
          <w:ilvl w:val="0"/>
          <w:numId w:val="20"/>
        </w:numPr>
      </w:pPr>
      <w:r w:rsidRPr="009A2EF4">
        <w:t xml:space="preserve">seek to locate </w:t>
      </w:r>
      <w:r>
        <w:t xml:space="preserve">at least 65 per cent </w:t>
      </w:r>
      <w:r w:rsidRPr="009A2EF4">
        <w:t>of new housing in established areas of Melbourne</w:t>
      </w:r>
      <w:r>
        <w:t xml:space="preserve"> and no more than 35 per cent in growth areas in line with current levels of development and </w:t>
      </w:r>
      <w:r w:rsidRPr="00731905">
        <w:t>Victoria in Future</w:t>
      </w:r>
      <w:r>
        <w:t xml:space="preserve"> projections</w:t>
      </w:r>
      <w:r w:rsidRPr="009A2EF4" w:rsidDel="00CC7740">
        <w:t>.</w:t>
      </w:r>
    </w:p>
    <w:p w:rsidR="00D61F12" w:rsidRDefault="00D61F12" w:rsidP="00D61F12">
      <w:pPr>
        <w:pStyle w:val="Dotpoint"/>
        <w:numPr>
          <w:ilvl w:val="0"/>
          <w:numId w:val="0"/>
        </w:numPr>
        <w:rPr>
          <w:rFonts w:asciiTheme="minorHAnsi" w:hAnsiTheme="minorHAnsi"/>
        </w:rPr>
      </w:pPr>
    </w:p>
    <w:p w:rsidR="00D61F12" w:rsidRPr="009A2EF4" w:rsidRDefault="00D61F12" w:rsidP="00D61F12">
      <w:pPr>
        <w:pStyle w:val="Heading3"/>
      </w:pPr>
      <w:bookmarkStart w:id="31" w:name="_Toc455736254"/>
      <w:bookmarkStart w:id="32" w:name="_Toc456272059"/>
      <w:r w:rsidRPr="009A2EF4">
        <w:lastRenderedPageBreak/>
        <w:t xml:space="preserve">Policy </w:t>
      </w:r>
      <w:r>
        <w:t>2</w:t>
      </w:r>
      <w:r w:rsidRPr="009A2EF4">
        <w:t>.</w:t>
      </w:r>
      <w:r>
        <w:t>1</w:t>
      </w:r>
      <w:r w:rsidRPr="009A2EF4">
        <w:t>.1</w:t>
      </w:r>
      <w:r w:rsidRPr="009A2EF4">
        <w:tab/>
        <w:t xml:space="preserve">Maintain a permanent urban growth boundary around Melbourne to </w:t>
      </w:r>
      <w:r>
        <w:t>create a more consolidated, sustainable city</w:t>
      </w:r>
    </w:p>
    <w:p w:rsidR="00D61F12" w:rsidRPr="009A2EF4" w:rsidRDefault="00D61F12" w:rsidP="00D61F12">
      <w:pPr>
        <w:pStyle w:val="body"/>
      </w:pPr>
      <w:r>
        <w:t>Maintaining a</w:t>
      </w:r>
      <w:r w:rsidRPr="009A2EF4">
        <w:t xml:space="preserve"> permanent urban growth boundary </w:t>
      </w:r>
      <w:r>
        <w:t xml:space="preserve">sends </w:t>
      </w:r>
      <w:r w:rsidRPr="009A2EF4">
        <w:t xml:space="preserve">a clear </w:t>
      </w:r>
      <w:r>
        <w:t xml:space="preserve">message </w:t>
      </w:r>
      <w:r w:rsidRPr="009A2EF4">
        <w:t xml:space="preserve">about </w:t>
      </w:r>
      <w:r>
        <w:t xml:space="preserve">the </w:t>
      </w:r>
      <w:r w:rsidRPr="009A2EF4">
        <w:t xml:space="preserve">long-term development </w:t>
      </w:r>
      <w:r>
        <w:t xml:space="preserve">priorities </w:t>
      </w:r>
      <w:r w:rsidRPr="009A2EF4">
        <w:t>for Melbourne and Victoria</w:t>
      </w:r>
      <w:r>
        <w:t>. Those priorities</w:t>
      </w:r>
      <w:r w:rsidRPr="009A2EF4">
        <w:t xml:space="preserve"> includ</w:t>
      </w:r>
      <w:r>
        <w:t>e</w:t>
      </w:r>
      <w:r w:rsidRPr="009A2EF4">
        <w:t>:</w:t>
      </w:r>
    </w:p>
    <w:p w:rsidR="00D61F12" w:rsidRPr="009A2EF4" w:rsidRDefault="00D61F12" w:rsidP="00D61F12">
      <w:pPr>
        <w:pStyle w:val="body"/>
        <w:numPr>
          <w:ilvl w:val="0"/>
          <w:numId w:val="21"/>
        </w:numPr>
      </w:pPr>
      <w:r w:rsidRPr="009A2EF4">
        <w:t>reducing urban sprawl</w:t>
      </w:r>
    </w:p>
    <w:p w:rsidR="00D61F12" w:rsidRPr="009A2EF4" w:rsidRDefault="00D61F12" w:rsidP="00D61F12">
      <w:pPr>
        <w:pStyle w:val="body"/>
        <w:numPr>
          <w:ilvl w:val="0"/>
          <w:numId w:val="21"/>
        </w:numPr>
      </w:pPr>
      <w:r w:rsidRPr="009A2EF4">
        <w:t>increasing metropolitan housing densities in the right places</w:t>
      </w:r>
    </w:p>
    <w:p w:rsidR="00D61F12" w:rsidRDefault="00D61F12" w:rsidP="00D61F12">
      <w:pPr>
        <w:pStyle w:val="body"/>
        <w:numPr>
          <w:ilvl w:val="0"/>
          <w:numId w:val="21"/>
        </w:numPr>
      </w:pPr>
      <w:r w:rsidRPr="009A2EF4">
        <w:t>ensuring Melbourne’s established suburbs accommodate a greater share of Melbourne’s growth</w:t>
      </w:r>
    </w:p>
    <w:p w:rsidR="00D61F12" w:rsidRPr="009A2EF4" w:rsidRDefault="00D61F12" w:rsidP="00D61F12">
      <w:pPr>
        <w:pStyle w:val="body"/>
        <w:numPr>
          <w:ilvl w:val="0"/>
          <w:numId w:val="21"/>
        </w:numPr>
      </w:pPr>
      <w:r>
        <w:t>creating a more consolidated city of 20-minute neighbourhoods with good access to public transport and services</w:t>
      </w:r>
    </w:p>
    <w:p w:rsidR="00D61F12" w:rsidRPr="009A2EF4" w:rsidRDefault="00D61F12" w:rsidP="00D61F12">
      <w:pPr>
        <w:pStyle w:val="body"/>
        <w:numPr>
          <w:ilvl w:val="0"/>
          <w:numId w:val="21"/>
        </w:numPr>
      </w:pPr>
      <w:r w:rsidRPr="009A2EF4">
        <w:t>protecting the values of non-urban land, opportunities for productive agricultural land and significant landscapes</w:t>
      </w:r>
      <w:r>
        <w:t>.</w:t>
      </w:r>
    </w:p>
    <w:p w:rsidR="00D61F12" w:rsidRPr="009A2EF4" w:rsidDel="00CC7740" w:rsidRDefault="00D61F12" w:rsidP="00D61F12">
      <w:pPr>
        <w:pStyle w:val="body"/>
      </w:pPr>
      <w:r w:rsidRPr="009A2EF4">
        <w:t>A permanent urban growth boundary will be maintained to contain Melbourne’s outward growth.</w:t>
      </w:r>
    </w:p>
    <w:p w:rsidR="00D61F12" w:rsidRDefault="00D61F12" w:rsidP="00D61F12">
      <w:pPr>
        <w:pStyle w:val="Heading3"/>
      </w:pPr>
      <w:r>
        <w:t>Policy 2.1.2</w:t>
      </w:r>
      <w:r>
        <w:tab/>
        <w:t>Facilitate an increased percentage of new housing in established areas to create a city of 20-minute neighbourhoods close to existing services, jobs and public transport</w:t>
      </w:r>
    </w:p>
    <w:p w:rsidR="00D61F12" w:rsidRDefault="00D61F12" w:rsidP="00D61F12">
      <w:pPr>
        <w:pStyle w:val="body"/>
      </w:pPr>
      <w:r w:rsidRPr="00731905">
        <w:t>Victoria in Future</w:t>
      </w:r>
      <w:r>
        <w:t xml:space="preserve"> projections indicate that around 65 per cent of all new dwellings will be in Melbourne’s established areas, with 35 per cent in growth area greenfield sites. Figure 7 provides likely housing distribution figures from </w:t>
      </w:r>
      <w:r w:rsidRPr="00EC1945">
        <w:t>2015</w:t>
      </w:r>
      <w:r>
        <w:t>–</w:t>
      </w:r>
      <w:r w:rsidRPr="00EC1945">
        <w:t>2051</w:t>
      </w:r>
      <w:r>
        <w:t xml:space="preserve"> based on </w:t>
      </w:r>
      <w:r w:rsidRPr="00094687">
        <w:rPr>
          <w:i/>
        </w:rPr>
        <w:t>Victoria in Future 2016</w:t>
      </w:r>
      <w:r>
        <w:t>. It also provides an alternate aspirational scenario of housing distribution if 70 per cent of new housing was to be provided within Melbourne’s established areas.</w:t>
      </w:r>
    </w:p>
    <w:p w:rsidR="00D61F12" w:rsidRDefault="00D61F12" w:rsidP="00D61F12">
      <w:pPr>
        <w:pStyle w:val="body"/>
      </w:pPr>
      <w:r>
        <w:t xml:space="preserve">To remain liveable and become more productive and sustainable, Melbourne must build on this current trend. </w:t>
      </w:r>
    </w:p>
    <w:p w:rsidR="00D61F12" w:rsidRDefault="00D61F12" w:rsidP="00D61F12">
      <w:pPr>
        <w:pStyle w:val="body"/>
      </w:pPr>
      <w:r>
        <w:t xml:space="preserve">Since 2014 around 70 per cent of all new housing built has been in established areas. </w:t>
      </w:r>
    </w:p>
    <w:p w:rsidR="00D61F12" w:rsidRDefault="00D61F12" w:rsidP="00D61F12">
      <w:pPr>
        <w:pStyle w:val="body"/>
      </w:pPr>
      <w:r>
        <w:t xml:space="preserve">Planning will be undertaken to ensure that the best parts of Melbourne are maintained and the benefits experienced in established inner and middle suburbs of Melbourne from compact, walkable neighbourhoods can also be realised in middle and outer areas. </w:t>
      </w:r>
    </w:p>
    <w:p w:rsidR="00D61F12" w:rsidRDefault="00D61F12" w:rsidP="00D61F12">
      <w:pPr>
        <w:pStyle w:val="body"/>
      </w:pPr>
      <w:r>
        <w:t>This approach will support greater housing diversity and offer better access to services and jobs. It will also encourage the right mix of housing by enabling local residents to downsize or upsize without leaving their neighbourhood.</w:t>
      </w:r>
    </w:p>
    <w:p w:rsidR="00D61F12" w:rsidRDefault="00D61F12" w:rsidP="00D61F12">
      <w:pPr>
        <w:spacing w:after="200" w:line="276" w:lineRule="auto"/>
        <w:rPr>
          <w:rFonts w:ascii="Calibri" w:eastAsia="Times New Roman" w:hAnsi="Calibri" w:cs="Times New Roman"/>
          <w:szCs w:val="20"/>
          <w:lang w:eastAsia="en-US"/>
        </w:rPr>
      </w:pPr>
      <w:bookmarkStart w:id="33" w:name="_Toc462149298"/>
      <w:r>
        <w:br w:type="page"/>
      </w:r>
    </w:p>
    <w:p w:rsidR="00D61F12" w:rsidRDefault="00D61F12" w:rsidP="00D61F12">
      <w:pPr>
        <w:pStyle w:val="Figurehead"/>
        <w:rPr>
          <w:i/>
          <w:highlight w:val="yellow"/>
        </w:rPr>
      </w:pPr>
      <w:bookmarkStart w:id="34" w:name="_Toc473109602"/>
      <w:r>
        <w:lastRenderedPageBreak/>
        <w:t xml:space="preserve">Figure </w:t>
      </w:r>
      <w:r>
        <w:fldChar w:fldCharType="begin"/>
      </w:r>
      <w:r>
        <w:instrText xml:space="preserve"> SEQ Figure \* ARABIC </w:instrText>
      </w:r>
      <w:r>
        <w:fldChar w:fldCharType="separate"/>
      </w:r>
      <w:r>
        <w:rPr>
          <w:noProof/>
        </w:rPr>
        <w:t>7</w:t>
      </w:r>
      <w:r>
        <w:rPr>
          <w:noProof/>
        </w:rPr>
        <w:fldChar w:fldCharType="end"/>
      </w:r>
      <w:r>
        <w:t xml:space="preserve"> Housing distribution between established areas and growth area greenfields</w:t>
      </w:r>
      <w:bookmarkEnd w:id="33"/>
      <w:bookmarkEnd w:id="34"/>
    </w:p>
    <w:p w:rsidR="00D61F12" w:rsidRDefault="00D61F12" w:rsidP="00D61F12">
      <w:pPr>
        <w:pStyle w:val="Figurehead"/>
      </w:pPr>
      <w:r w:rsidRPr="008F6300">
        <w:t>Scenario 1 VIF</w:t>
      </w:r>
      <w:r>
        <w:t xml:space="preserve"> </w:t>
      </w:r>
      <w:r w:rsidRPr="008F6300">
        <w:t xml:space="preserve">2016  </w:t>
      </w:r>
    </w:p>
    <w:p w:rsidR="00D61F12" w:rsidRDefault="00D61F12" w:rsidP="00D61F12">
      <w:pPr>
        <w:pStyle w:val="Figurehead"/>
        <w:rPr>
          <w:i/>
          <w:highlight w:val="yellow"/>
        </w:rPr>
      </w:pPr>
      <w:r w:rsidRPr="008F6300">
        <w:t>Net Dwelling Additions 2015-51</w:t>
      </w:r>
    </w:p>
    <w:tbl>
      <w:tblPr>
        <w:tblW w:w="7560" w:type="dxa"/>
        <w:tblInd w:w="93" w:type="dxa"/>
        <w:tblLook w:val="04A0" w:firstRow="1" w:lastRow="0" w:firstColumn="1" w:lastColumn="0" w:noHBand="0" w:noVBand="1"/>
        <w:tblCaption w:val="Figure 7 Housing distribution between established areas and growth area greenfields"/>
        <w:tblDescription w:val="Scenario 1. VIF 2016  &#10;Net Dwelling Additions 2015-51&#10;"/>
      </w:tblPr>
      <w:tblGrid>
        <w:gridCol w:w="2551"/>
        <w:gridCol w:w="1503"/>
        <w:gridCol w:w="1743"/>
        <w:gridCol w:w="1763"/>
      </w:tblGrid>
      <w:tr w:rsidR="00D61F12" w:rsidRPr="008F6300" w:rsidTr="00E12631">
        <w:trPr>
          <w:trHeight w:val="402"/>
        </w:trPr>
        <w:tc>
          <w:tcPr>
            <w:tcW w:w="2551" w:type="dxa"/>
            <w:tcBorders>
              <w:top w:val="nil"/>
              <w:left w:val="nil"/>
              <w:bottom w:val="nil"/>
              <w:right w:val="nil"/>
            </w:tcBorders>
            <w:shd w:val="clear" w:color="000000" w:fill="F2F2F2"/>
            <w:noWrap/>
            <w:hideMark/>
          </w:tcPr>
          <w:p w:rsidR="00D61F12" w:rsidRDefault="00D61F12" w:rsidP="00E12631">
            <w:pPr>
              <w:pStyle w:val="Tableheader"/>
            </w:pPr>
            <w:r>
              <w:t xml:space="preserve">Region </w:t>
            </w:r>
          </w:p>
          <w:p w:rsidR="00D61F12" w:rsidRPr="008F6300" w:rsidRDefault="00D61F12" w:rsidP="00E12631">
            <w:pPr>
              <w:pStyle w:val="Tabletext"/>
            </w:pPr>
            <w:r>
              <w:t>Inner Metro</w:t>
            </w:r>
          </w:p>
        </w:tc>
        <w:tc>
          <w:tcPr>
            <w:tcW w:w="1503" w:type="dxa"/>
            <w:tcBorders>
              <w:top w:val="nil"/>
              <w:left w:val="nil"/>
              <w:bottom w:val="nil"/>
              <w:right w:val="nil"/>
            </w:tcBorders>
            <w:shd w:val="clear" w:color="000000" w:fill="F2F2F2"/>
            <w:noWrap/>
            <w:hideMark/>
          </w:tcPr>
          <w:p w:rsidR="00D61F12" w:rsidRDefault="00D61F12" w:rsidP="00E12631">
            <w:pPr>
              <w:pStyle w:val="Tableheader"/>
            </w:pPr>
            <w:r w:rsidRPr="00397EBF">
              <w:t>Total</w:t>
            </w:r>
            <w:r w:rsidRPr="008F6300">
              <w:t xml:space="preserve"> </w:t>
            </w:r>
          </w:p>
          <w:p w:rsidR="00D61F12" w:rsidRPr="008F6300" w:rsidRDefault="00D61F12" w:rsidP="00E12631">
            <w:pPr>
              <w:pStyle w:val="Tabletext"/>
              <w:rPr>
                <w:rFonts w:cs="Times New Roman"/>
                <w:color w:val="000000"/>
              </w:rPr>
            </w:pPr>
            <w:r w:rsidRPr="00E760D5">
              <w:t>215,000</w:t>
            </w:r>
          </w:p>
        </w:tc>
        <w:tc>
          <w:tcPr>
            <w:tcW w:w="1743" w:type="dxa"/>
            <w:tcBorders>
              <w:top w:val="nil"/>
              <w:left w:val="nil"/>
              <w:bottom w:val="nil"/>
              <w:right w:val="nil"/>
            </w:tcBorders>
            <w:shd w:val="clear" w:color="000000" w:fill="F2F2F2"/>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397EBF">
              <w:rPr>
                <w:rFonts w:eastAsia="Times New Roman" w:cs="Times New Roman"/>
                <w:b/>
                <w:bCs/>
                <w:color w:val="000000"/>
              </w:rPr>
              <w:t xml:space="preserve"> </w:t>
            </w:r>
            <w:r w:rsidRPr="00E760D5">
              <w:rPr>
                <w:rFonts w:ascii="Calibri" w:eastAsia="Times New Roman" w:hAnsi="Calibri" w:cs="Tahoma"/>
                <w:sz w:val="20"/>
                <w:szCs w:val="20"/>
              </w:rPr>
              <w:t>215,000</w:t>
            </w:r>
          </w:p>
        </w:tc>
        <w:tc>
          <w:tcPr>
            <w:tcW w:w="1763" w:type="dxa"/>
            <w:tcBorders>
              <w:top w:val="nil"/>
              <w:left w:val="nil"/>
              <w:bottom w:val="nil"/>
              <w:right w:val="nil"/>
            </w:tcBorders>
            <w:shd w:val="clear" w:color="000000" w:fill="F2F2F2"/>
            <w:noWrap/>
            <w:hideMark/>
          </w:tcPr>
          <w:p w:rsidR="00D61F12" w:rsidRDefault="00D61F12" w:rsidP="00E12631">
            <w:pPr>
              <w:pStyle w:val="Tableheader"/>
            </w:pPr>
            <w:r w:rsidRPr="00397EBF">
              <w:t>Greenfields</w:t>
            </w:r>
            <w:r w:rsidRPr="008F6300">
              <w:t xml:space="preserve"> </w:t>
            </w:r>
          </w:p>
          <w:p w:rsidR="00D61F12" w:rsidRPr="008F6300" w:rsidRDefault="00D61F12" w:rsidP="00E12631">
            <w:pPr>
              <w:pStyle w:val="Tabletext"/>
              <w:rPr>
                <w:rFonts w:cs="Times New Roman"/>
                <w:color w:val="000000"/>
              </w:rPr>
            </w:pPr>
            <w:r w:rsidRPr="00E760D5">
              <w:t>0</w:t>
            </w:r>
          </w:p>
        </w:tc>
      </w:tr>
      <w:tr w:rsidR="00D61F12" w:rsidRPr="008F6300" w:rsidTr="00E12631">
        <w:trPr>
          <w:trHeight w:val="402"/>
        </w:trPr>
        <w:tc>
          <w:tcPr>
            <w:tcW w:w="2551" w:type="dxa"/>
            <w:tcBorders>
              <w:top w:val="nil"/>
              <w:left w:val="nil"/>
              <w:bottom w:val="nil"/>
              <w:right w:val="nil"/>
            </w:tcBorders>
            <w:shd w:val="clear" w:color="000000" w:fill="FFFFFF"/>
            <w:noWrap/>
            <w:hideMark/>
          </w:tcPr>
          <w:p w:rsidR="00D61F12" w:rsidRDefault="00D61F12" w:rsidP="00E12631">
            <w:pPr>
              <w:pStyle w:val="Tableheader"/>
            </w:pPr>
            <w:r w:rsidRPr="00397EBF">
              <w:t>Region</w:t>
            </w:r>
            <w:r w:rsidRPr="008F6300">
              <w:t xml:space="preserve"> </w:t>
            </w:r>
          </w:p>
          <w:p w:rsidR="00D61F12" w:rsidRPr="008F6300" w:rsidRDefault="00D61F12" w:rsidP="00E12631">
            <w:pPr>
              <w:pStyle w:val="Tabletext"/>
              <w:rPr>
                <w:rFonts w:cs="Times New Roman"/>
                <w:color w:val="000000"/>
              </w:rPr>
            </w:pPr>
            <w:r w:rsidRPr="00E760D5">
              <w:t>Western</w:t>
            </w:r>
          </w:p>
        </w:tc>
        <w:tc>
          <w:tcPr>
            <w:tcW w:w="1503" w:type="dxa"/>
            <w:tcBorders>
              <w:top w:val="nil"/>
              <w:left w:val="nil"/>
              <w:bottom w:val="nil"/>
              <w:right w:val="nil"/>
            </w:tcBorders>
            <w:shd w:val="clear" w:color="000000" w:fill="FFFFFF"/>
            <w:noWrap/>
            <w:hideMark/>
          </w:tcPr>
          <w:p w:rsidR="00D61F12" w:rsidRDefault="00D61F12" w:rsidP="00E12631">
            <w:pPr>
              <w:pStyle w:val="Tableheader"/>
            </w:pPr>
            <w:r w:rsidRPr="00397EBF">
              <w:t>Total</w:t>
            </w:r>
            <w:r w:rsidRPr="008F6300">
              <w:t xml:space="preserve"> </w:t>
            </w:r>
          </w:p>
          <w:p w:rsidR="00D61F12" w:rsidRPr="008F6300" w:rsidRDefault="00D61F12" w:rsidP="00E12631">
            <w:pPr>
              <w:pStyle w:val="Tabletext"/>
              <w:rPr>
                <w:rFonts w:cs="Times New Roman"/>
                <w:color w:val="000000"/>
              </w:rPr>
            </w:pPr>
            <w:r w:rsidRPr="00E760D5">
              <w:t>385,000</w:t>
            </w:r>
          </w:p>
        </w:tc>
        <w:tc>
          <w:tcPr>
            <w:tcW w:w="174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397EBF">
              <w:rPr>
                <w:rFonts w:eastAsia="Times New Roman" w:cs="Times New Roman"/>
                <w:b/>
                <w:bCs/>
                <w:color w:val="000000"/>
              </w:rPr>
              <w:t xml:space="preserve"> </w:t>
            </w:r>
            <w:r w:rsidRPr="00E760D5">
              <w:rPr>
                <w:rFonts w:ascii="Calibri" w:eastAsia="Times New Roman" w:hAnsi="Calibri" w:cs="Tahoma"/>
                <w:sz w:val="20"/>
                <w:szCs w:val="20"/>
              </w:rPr>
              <w:t>150,000</w:t>
            </w:r>
          </w:p>
        </w:tc>
        <w:tc>
          <w:tcPr>
            <w:tcW w:w="1763" w:type="dxa"/>
            <w:tcBorders>
              <w:top w:val="nil"/>
              <w:left w:val="nil"/>
              <w:bottom w:val="nil"/>
              <w:right w:val="nil"/>
            </w:tcBorders>
            <w:shd w:val="clear" w:color="000000" w:fill="FFFFFF"/>
            <w:noWrap/>
            <w:hideMark/>
          </w:tcPr>
          <w:p w:rsidR="00D61F12" w:rsidRPr="00E760D5" w:rsidRDefault="00D61F12" w:rsidP="00E12631">
            <w:pPr>
              <w:pStyle w:val="Tabletext"/>
              <w:rPr>
                <w:rFonts w:asciiTheme="minorHAnsi" w:hAnsiTheme="minorHAnsi" w:cs="Times New Roman"/>
                <w:b/>
                <w:bCs/>
                <w:color w:val="000000"/>
                <w:sz w:val="22"/>
                <w:szCs w:val="22"/>
              </w:rPr>
            </w:pPr>
            <w:r w:rsidRPr="00E760D5">
              <w:rPr>
                <w:rFonts w:asciiTheme="minorHAnsi" w:hAnsiTheme="minorHAnsi" w:cs="Times New Roman"/>
                <w:b/>
                <w:bCs/>
                <w:color w:val="000000"/>
                <w:sz w:val="22"/>
                <w:szCs w:val="22"/>
              </w:rPr>
              <w:t xml:space="preserve">Greenfields </w:t>
            </w:r>
            <w:r w:rsidRPr="00E760D5">
              <w:t>235,000</w:t>
            </w:r>
          </w:p>
        </w:tc>
      </w:tr>
      <w:tr w:rsidR="00D61F12" w:rsidRPr="008F6300" w:rsidTr="00E12631">
        <w:trPr>
          <w:trHeight w:val="402"/>
        </w:trPr>
        <w:tc>
          <w:tcPr>
            <w:tcW w:w="2551" w:type="dxa"/>
            <w:tcBorders>
              <w:top w:val="nil"/>
              <w:left w:val="nil"/>
              <w:bottom w:val="nil"/>
              <w:right w:val="nil"/>
            </w:tcBorders>
            <w:shd w:val="clear" w:color="000000" w:fill="F2F2F2"/>
            <w:noWrap/>
            <w:hideMark/>
          </w:tcPr>
          <w:p w:rsidR="00D61F12" w:rsidRDefault="00D61F12" w:rsidP="00E12631">
            <w:pPr>
              <w:pStyle w:val="Tableheader"/>
            </w:pPr>
            <w:r w:rsidRPr="00397EBF">
              <w:t>Region</w:t>
            </w:r>
            <w:r w:rsidRPr="008F6300">
              <w:t xml:space="preserve"> </w:t>
            </w:r>
          </w:p>
          <w:p w:rsidR="00D61F12" w:rsidRPr="008F6300" w:rsidRDefault="00D61F12" w:rsidP="00E12631">
            <w:pPr>
              <w:pStyle w:val="Tabletext"/>
              <w:rPr>
                <w:rFonts w:cs="Times New Roman"/>
                <w:color w:val="000000"/>
              </w:rPr>
            </w:pPr>
            <w:r w:rsidRPr="00B477A9">
              <w:t>Northern</w:t>
            </w:r>
          </w:p>
        </w:tc>
        <w:tc>
          <w:tcPr>
            <w:tcW w:w="1503" w:type="dxa"/>
            <w:tcBorders>
              <w:top w:val="nil"/>
              <w:left w:val="nil"/>
              <w:bottom w:val="nil"/>
              <w:right w:val="nil"/>
            </w:tcBorders>
            <w:shd w:val="clear" w:color="000000" w:fill="F2F2F2"/>
            <w:noWrap/>
            <w:hideMark/>
          </w:tcPr>
          <w:p w:rsidR="00D61F12" w:rsidRDefault="00D61F12" w:rsidP="00E12631">
            <w:pPr>
              <w:pStyle w:val="Tableheader"/>
            </w:pPr>
            <w:r w:rsidRPr="00397EBF">
              <w:t>Total</w:t>
            </w:r>
            <w:r w:rsidRPr="008F6300">
              <w:t xml:space="preserve"> </w:t>
            </w:r>
          </w:p>
          <w:p w:rsidR="00D61F12" w:rsidRPr="008F6300" w:rsidRDefault="00D61F12" w:rsidP="00E12631">
            <w:pPr>
              <w:pStyle w:val="Tabletext"/>
              <w:rPr>
                <w:rFonts w:cs="Times New Roman"/>
                <w:color w:val="000000"/>
              </w:rPr>
            </w:pPr>
            <w:r w:rsidRPr="00B477A9">
              <w:t>355,000</w:t>
            </w:r>
          </w:p>
        </w:tc>
        <w:tc>
          <w:tcPr>
            <w:tcW w:w="1743" w:type="dxa"/>
            <w:tcBorders>
              <w:top w:val="nil"/>
              <w:left w:val="nil"/>
              <w:bottom w:val="nil"/>
              <w:right w:val="nil"/>
            </w:tcBorders>
            <w:shd w:val="clear" w:color="000000" w:fill="F2F2F2"/>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397EBF">
              <w:rPr>
                <w:rFonts w:eastAsia="Times New Roman" w:cs="Times New Roman"/>
                <w:b/>
                <w:bCs/>
                <w:color w:val="000000"/>
              </w:rPr>
              <w:t xml:space="preserve"> </w:t>
            </w:r>
            <w:r w:rsidRPr="00B477A9">
              <w:rPr>
                <w:rFonts w:ascii="Calibri" w:eastAsia="Times New Roman" w:hAnsi="Calibri" w:cs="Tahoma"/>
                <w:sz w:val="20"/>
                <w:szCs w:val="20"/>
              </w:rPr>
              <w:t>175,000</w:t>
            </w:r>
          </w:p>
        </w:tc>
        <w:tc>
          <w:tcPr>
            <w:tcW w:w="1763" w:type="dxa"/>
            <w:tcBorders>
              <w:top w:val="nil"/>
              <w:left w:val="nil"/>
              <w:bottom w:val="nil"/>
              <w:right w:val="nil"/>
            </w:tcBorders>
            <w:shd w:val="clear" w:color="000000" w:fill="F2F2F2"/>
            <w:noWrap/>
            <w:hideMark/>
          </w:tcPr>
          <w:p w:rsidR="00D61F12" w:rsidRPr="00E760D5" w:rsidRDefault="00D61F12" w:rsidP="00E12631">
            <w:pPr>
              <w:pStyle w:val="Tabletext"/>
            </w:pPr>
            <w:r w:rsidRPr="00E760D5">
              <w:rPr>
                <w:rFonts w:asciiTheme="minorHAnsi" w:hAnsiTheme="minorHAnsi" w:cs="Times New Roman"/>
                <w:b/>
                <w:bCs/>
                <w:color w:val="000000"/>
                <w:sz w:val="22"/>
                <w:szCs w:val="22"/>
              </w:rPr>
              <w:t>Greenfields</w:t>
            </w:r>
            <w:r w:rsidRPr="00E760D5">
              <w:t xml:space="preserve"> 180,000</w:t>
            </w:r>
          </w:p>
        </w:tc>
      </w:tr>
      <w:tr w:rsidR="00D61F12" w:rsidRPr="008F6300" w:rsidTr="00E12631">
        <w:trPr>
          <w:trHeight w:val="402"/>
        </w:trPr>
        <w:tc>
          <w:tcPr>
            <w:tcW w:w="2551" w:type="dxa"/>
            <w:tcBorders>
              <w:top w:val="nil"/>
              <w:left w:val="nil"/>
              <w:bottom w:val="nil"/>
              <w:right w:val="nil"/>
            </w:tcBorders>
            <w:shd w:val="clear" w:color="000000" w:fill="FFFFFF"/>
            <w:noWrap/>
            <w:hideMark/>
          </w:tcPr>
          <w:p w:rsidR="00D61F12" w:rsidRDefault="00D61F12" w:rsidP="00E12631">
            <w:pPr>
              <w:pStyle w:val="Tableheader"/>
            </w:pPr>
            <w:r w:rsidRPr="00397EBF">
              <w:t>Region</w:t>
            </w:r>
            <w:r w:rsidRPr="008F6300">
              <w:t xml:space="preserve"> </w:t>
            </w:r>
          </w:p>
          <w:p w:rsidR="00D61F12" w:rsidRPr="008F6300" w:rsidRDefault="00D61F12" w:rsidP="00E12631">
            <w:pPr>
              <w:pStyle w:val="Tabletext"/>
              <w:rPr>
                <w:rFonts w:cs="Times New Roman"/>
                <w:color w:val="000000"/>
              </w:rPr>
            </w:pPr>
            <w:r w:rsidRPr="00F776CA">
              <w:t>Inner South East</w:t>
            </w:r>
          </w:p>
        </w:tc>
        <w:tc>
          <w:tcPr>
            <w:tcW w:w="1503" w:type="dxa"/>
            <w:tcBorders>
              <w:top w:val="nil"/>
              <w:left w:val="nil"/>
              <w:bottom w:val="nil"/>
              <w:right w:val="nil"/>
            </w:tcBorders>
            <w:shd w:val="clear" w:color="000000" w:fill="FFFFFF"/>
            <w:noWrap/>
            <w:hideMark/>
          </w:tcPr>
          <w:p w:rsidR="00D61F12" w:rsidRDefault="00D61F12" w:rsidP="00E12631">
            <w:pPr>
              <w:pStyle w:val="Tableheader"/>
            </w:pPr>
            <w:r w:rsidRPr="00397EBF">
              <w:t>Total</w:t>
            </w:r>
            <w:r w:rsidRPr="008F6300">
              <w:t xml:space="preserve"> </w:t>
            </w:r>
          </w:p>
          <w:p w:rsidR="00D61F12" w:rsidRPr="008F6300" w:rsidRDefault="00D61F12" w:rsidP="00E12631">
            <w:pPr>
              <w:pStyle w:val="Tabletext"/>
              <w:rPr>
                <w:rFonts w:cs="Times New Roman"/>
                <w:color w:val="000000"/>
              </w:rPr>
            </w:pPr>
            <w:r w:rsidRPr="00F776CA">
              <w:t>110,000</w:t>
            </w:r>
          </w:p>
        </w:tc>
        <w:tc>
          <w:tcPr>
            <w:tcW w:w="174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397EBF">
              <w:rPr>
                <w:rFonts w:eastAsia="Times New Roman" w:cs="Times New Roman"/>
                <w:b/>
                <w:bCs/>
                <w:color w:val="000000"/>
              </w:rPr>
              <w:t xml:space="preserve"> </w:t>
            </w:r>
            <w:r w:rsidRPr="00F776CA">
              <w:rPr>
                <w:rFonts w:ascii="Calibri" w:eastAsia="Times New Roman" w:hAnsi="Calibri" w:cs="Tahoma"/>
                <w:sz w:val="20"/>
                <w:szCs w:val="20"/>
              </w:rPr>
              <w:t>110,000</w:t>
            </w:r>
          </w:p>
        </w:tc>
        <w:tc>
          <w:tcPr>
            <w:tcW w:w="1763" w:type="dxa"/>
            <w:tcBorders>
              <w:top w:val="nil"/>
              <w:left w:val="nil"/>
              <w:bottom w:val="nil"/>
              <w:right w:val="nil"/>
            </w:tcBorders>
            <w:shd w:val="clear" w:color="000000" w:fill="FFFFFF"/>
            <w:noWrap/>
            <w:hideMark/>
          </w:tcPr>
          <w:p w:rsidR="00D61F12" w:rsidRDefault="00D61F12" w:rsidP="00E12631">
            <w:pPr>
              <w:pStyle w:val="Tableheader"/>
            </w:pPr>
            <w:r w:rsidRPr="00397EBF">
              <w:t>Greenfields</w:t>
            </w:r>
            <w:r w:rsidRPr="008F6300">
              <w:t xml:space="preserve"> </w:t>
            </w:r>
          </w:p>
          <w:p w:rsidR="00D61F12" w:rsidRPr="008F6300" w:rsidRDefault="00D61F12" w:rsidP="00E12631">
            <w:pPr>
              <w:pStyle w:val="Tabletext"/>
              <w:rPr>
                <w:rFonts w:cs="Times New Roman"/>
                <w:color w:val="000000"/>
              </w:rPr>
            </w:pPr>
            <w:r w:rsidRPr="00F776CA">
              <w:t>0</w:t>
            </w:r>
          </w:p>
        </w:tc>
      </w:tr>
      <w:tr w:rsidR="00D61F12" w:rsidRPr="008F6300" w:rsidTr="00E12631">
        <w:trPr>
          <w:trHeight w:val="402"/>
        </w:trPr>
        <w:tc>
          <w:tcPr>
            <w:tcW w:w="2551" w:type="dxa"/>
            <w:tcBorders>
              <w:top w:val="nil"/>
              <w:left w:val="nil"/>
              <w:bottom w:val="nil"/>
              <w:right w:val="nil"/>
            </w:tcBorders>
            <w:shd w:val="clear" w:color="000000" w:fill="F2F2F2"/>
            <w:noWrap/>
            <w:hideMark/>
          </w:tcPr>
          <w:p w:rsidR="00D61F12" w:rsidRDefault="00D61F12" w:rsidP="00E12631">
            <w:pPr>
              <w:pStyle w:val="Tableheader"/>
            </w:pPr>
            <w:r w:rsidRPr="00397EBF">
              <w:t>Region</w:t>
            </w:r>
            <w:r w:rsidRPr="008F6300">
              <w:t xml:space="preserve"> </w:t>
            </w:r>
          </w:p>
          <w:p w:rsidR="00D61F12" w:rsidRPr="008F6300" w:rsidRDefault="00D61F12" w:rsidP="00E12631">
            <w:pPr>
              <w:pStyle w:val="Tabletext"/>
              <w:rPr>
                <w:rFonts w:cs="Times New Roman"/>
                <w:color w:val="000000"/>
              </w:rPr>
            </w:pPr>
            <w:r w:rsidRPr="00F776CA">
              <w:t>Eastern</w:t>
            </w:r>
          </w:p>
        </w:tc>
        <w:tc>
          <w:tcPr>
            <w:tcW w:w="1503" w:type="dxa"/>
            <w:tcBorders>
              <w:top w:val="nil"/>
              <w:left w:val="nil"/>
              <w:bottom w:val="nil"/>
              <w:right w:val="nil"/>
            </w:tcBorders>
            <w:shd w:val="clear" w:color="000000" w:fill="F2F2F2"/>
            <w:noWrap/>
            <w:hideMark/>
          </w:tcPr>
          <w:p w:rsidR="00D61F12" w:rsidRDefault="00D61F12" w:rsidP="00E12631">
            <w:pPr>
              <w:pStyle w:val="Tableheader"/>
            </w:pPr>
            <w:r w:rsidRPr="00397EBF">
              <w:t>Total</w:t>
            </w:r>
            <w:r w:rsidRPr="008F6300">
              <w:t xml:space="preserve"> </w:t>
            </w:r>
          </w:p>
          <w:p w:rsidR="00D61F12" w:rsidRPr="008F6300" w:rsidRDefault="00D61F12" w:rsidP="00E12631">
            <w:pPr>
              <w:pStyle w:val="Tabletext"/>
              <w:rPr>
                <w:rFonts w:cs="Times New Roman"/>
                <w:color w:val="000000"/>
              </w:rPr>
            </w:pPr>
            <w:r w:rsidRPr="00F776CA">
              <w:t>175,000</w:t>
            </w:r>
          </w:p>
        </w:tc>
        <w:tc>
          <w:tcPr>
            <w:tcW w:w="1743" w:type="dxa"/>
            <w:tcBorders>
              <w:top w:val="nil"/>
              <w:left w:val="nil"/>
              <w:bottom w:val="nil"/>
              <w:right w:val="nil"/>
            </w:tcBorders>
            <w:shd w:val="clear" w:color="000000" w:fill="F2F2F2"/>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397EBF">
              <w:rPr>
                <w:rFonts w:eastAsia="Times New Roman" w:cs="Times New Roman"/>
                <w:b/>
                <w:bCs/>
                <w:color w:val="000000"/>
              </w:rPr>
              <w:t xml:space="preserve"> </w:t>
            </w:r>
            <w:r w:rsidRPr="00F776CA">
              <w:rPr>
                <w:rFonts w:ascii="Calibri" w:eastAsia="Times New Roman" w:hAnsi="Calibri" w:cs="Tahoma"/>
                <w:sz w:val="20"/>
                <w:szCs w:val="20"/>
              </w:rPr>
              <w:t>175,000</w:t>
            </w:r>
          </w:p>
        </w:tc>
        <w:tc>
          <w:tcPr>
            <w:tcW w:w="1763" w:type="dxa"/>
            <w:tcBorders>
              <w:top w:val="nil"/>
              <w:left w:val="nil"/>
              <w:bottom w:val="nil"/>
              <w:right w:val="nil"/>
            </w:tcBorders>
            <w:shd w:val="clear" w:color="000000" w:fill="F2F2F2"/>
            <w:noWrap/>
            <w:hideMark/>
          </w:tcPr>
          <w:p w:rsidR="00D61F12" w:rsidRDefault="00D61F12" w:rsidP="00E12631">
            <w:pPr>
              <w:pStyle w:val="Tableheader"/>
            </w:pPr>
            <w:r w:rsidRPr="00397EBF">
              <w:t>Greenfields</w:t>
            </w:r>
            <w:r w:rsidRPr="008F6300">
              <w:t xml:space="preserve"> </w:t>
            </w:r>
          </w:p>
          <w:p w:rsidR="00D61F12" w:rsidRPr="008F6300" w:rsidRDefault="00D61F12" w:rsidP="00E12631">
            <w:pPr>
              <w:pStyle w:val="Tabletext"/>
              <w:rPr>
                <w:rFonts w:cs="Times New Roman"/>
                <w:color w:val="000000"/>
              </w:rPr>
            </w:pPr>
            <w:r w:rsidRPr="00F776CA">
              <w:t>0</w:t>
            </w:r>
          </w:p>
        </w:tc>
      </w:tr>
      <w:tr w:rsidR="00D61F12" w:rsidRPr="008F6300" w:rsidTr="00E12631">
        <w:trPr>
          <w:trHeight w:val="402"/>
        </w:trPr>
        <w:tc>
          <w:tcPr>
            <w:tcW w:w="2551" w:type="dxa"/>
            <w:tcBorders>
              <w:top w:val="nil"/>
              <w:left w:val="nil"/>
              <w:bottom w:val="nil"/>
              <w:right w:val="nil"/>
            </w:tcBorders>
            <w:shd w:val="clear" w:color="000000" w:fill="FFFFFF"/>
            <w:noWrap/>
            <w:hideMark/>
          </w:tcPr>
          <w:p w:rsidR="00D61F12" w:rsidRDefault="00D61F12" w:rsidP="00E12631">
            <w:pPr>
              <w:pStyle w:val="Tableheader"/>
            </w:pPr>
            <w:r w:rsidRPr="00397EBF">
              <w:t>Region</w:t>
            </w:r>
            <w:r w:rsidRPr="008F6300">
              <w:t xml:space="preserve"> </w:t>
            </w:r>
          </w:p>
          <w:p w:rsidR="00D61F12" w:rsidRPr="008F6300" w:rsidRDefault="00D61F12" w:rsidP="00E12631">
            <w:pPr>
              <w:pStyle w:val="Tabletext"/>
              <w:rPr>
                <w:rFonts w:cs="Times New Roman"/>
                <w:color w:val="000000"/>
              </w:rPr>
            </w:pPr>
            <w:r w:rsidRPr="00F776CA">
              <w:t>Southern</w:t>
            </w:r>
          </w:p>
        </w:tc>
        <w:tc>
          <w:tcPr>
            <w:tcW w:w="1503" w:type="dxa"/>
            <w:tcBorders>
              <w:top w:val="nil"/>
              <w:left w:val="nil"/>
              <w:bottom w:val="nil"/>
              <w:right w:val="nil"/>
            </w:tcBorders>
            <w:shd w:val="clear" w:color="000000" w:fill="FFFFFF"/>
            <w:noWrap/>
            <w:hideMark/>
          </w:tcPr>
          <w:p w:rsidR="00D61F12" w:rsidRDefault="00D61F12" w:rsidP="00E12631">
            <w:pPr>
              <w:pStyle w:val="Tableheader"/>
            </w:pPr>
            <w:r w:rsidRPr="00397EBF">
              <w:t>Total</w:t>
            </w:r>
            <w:r w:rsidRPr="008F6300">
              <w:t xml:space="preserve"> </w:t>
            </w:r>
          </w:p>
          <w:p w:rsidR="00D61F12" w:rsidRPr="008F6300" w:rsidRDefault="00D61F12" w:rsidP="00E12631">
            <w:pPr>
              <w:pStyle w:val="Tabletext"/>
              <w:rPr>
                <w:rFonts w:cs="Times New Roman"/>
                <w:color w:val="000000"/>
              </w:rPr>
            </w:pPr>
            <w:r w:rsidRPr="00F776CA">
              <w:t>310,000</w:t>
            </w:r>
          </w:p>
        </w:tc>
        <w:tc>
          <w:tcPr>
            <w:tcW w:w="174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397EBF">
              <w:rPr>
                <w:rFonts w:eastAsia="Times New Roman" w:cs="Times New Roman"/>
                <w:b/>
                <w:bCs/>
                <w:color w:val="000000"/>
              </w:rPr>
              <w:t xml:space="preserve"> </w:t>
            </w:r>
            <w:r w:rsidRPr="00F776CA">
              <w:rPr>
                <w:rFonts w:ascii="Calibri" w:eastAsia="Times New Roman" w:hAnsi="Calibri" w:cs="Tahoma"/>
                <w:sz w:val="20"/>
                <w:szCs w:val="20"/>
              </w:rPr>
              <w:t>185,000</w:t>
            </w:r>
          </w:p>
        </w:tc>
        <w:tc>
          <w:tcPr>
            <w:tcW w:w="176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Greenfields</w:t>
            </w:r>
            <w:r w:rsidRPr="00397EBF">
              <w:rPr>
                <w:rFonts w:eastAsia="Times New Roman" w:cs="Times New Roman"/>
                <w:b/>
                <w:bCs/>
                <w:color w:val="000000"/>
              </w:rPr>
              <w:t xml:space="preserve"> </w:t>
            </w:r>
            <w:r w:rsidRPr="00F776CA">
              <w:rPr>
                <w:rFonts w:ascii="Calibri" w:eastAsia="Times New Roman" w:hAnsi="Calibri" w:cs="Tahoma"/>
                <w:sz w:val="20"/>
                <w:szCs w:val="20"/>
              </w:rPr>
              <w:t>125,000</w:t>
            </w:r>
          </w:p>
        </w:tc>
      </w:tr>
      <w:tr w:rsidR="00D61F12" w:rsidRPr="008F6300" w:rsidTr="00E12631">
        <w:trPr>
          <w:trHeight w:val="402"/>
        </w:trPr>
        <w:tc>
          <w:tcPr>
            <w:tcW w:w="2551" w:type="dxa"/>
            <w:tcBorders>
              <w:top w:val="nil"/>
              <w:left w:val="nil"/>
              <w:bottom w:val="nil"/>
              <w:right w:val="nil"/>
            </w:tcBorders>
            <w:shd w:val="clear" w:color="000000" w:fill="D9D9D9"/>
            <w:noWrap/>
            <w:hideMark/>
          </w:tcPr>
          <w:p w:rsidR="00D61F12" w:rsidRPr="008F6300" w:rsidRDefault="00D61F12" w:rsidP="00E12631">
            <w:pPr>
              <w:spacing w:after="0"/>
              <w:rPr>
                <w:rFonts w:eastAsia="Times New Roman" w:cs="Times New Roman"/>
                <w:b/>
                <w:bCs/>
                <w:color w:val="000000"/>
              </w:rPr>
            </w:pPr>
          </w:p>
        </w:tc>
        <w:tc>
          <w:tcPr>
            <w:tcW w:w="1503" w:type="dxa"/>
            <w:tcBorders>
              <w:top w:val="nil"/>
              <w:left w:val="nil"/>
              <w:bottom w:val="nil"/>
              <w:right w:val="nil"/>
            </w:tcBorders>
            <w:shd w:val="clear" w:color="000000" w:fill="D9D9D9"/>
            <w:noWrap/>
            <w:hideMark/>
          </w:tcPr>
          <w:p w:rsidR="00D61F12" w:rsidRDefault="00D61F12" w:rsidP="00E12631">
            <w:pPr>
              <w:pStyle w:val="Tabletext"/>
            </w:pPr>
            <w:r>
              <w:rPr>
                <w:rFonts w:cs="Times New Roman"/>
                <w:b/>
                <w:bCs/>
                <w:color w:val="000000"/>
              </w:rPr>
              <w:t xml:space="preserve">Total Melbourne </w:t>
            </w:r>
            <w:r w:rsidRPr="00F776CA">
              <w:t>1,550,000</w:t>
            </w:r>
          </w:p>
          <w:p w:rsidR="00D61F12" w:rsidRPr="008F6300" w:rsidRDefault="00D61F12" w:rsidP="00E12631">
            <w:pPr>
              <w:pStyle w:val="Tabletext"/>
              <w:rPr>
                <w:rFonts w:cs="Times New Roman"/>
                <w:b/>
                <w:bCs/>
                <w:color w:val="000000"/>
              </w:rPr>
            </w:pPr>
            <w:r w:rsidRPr="00F776CA">
              <w:t>100%</w:t>
            </w:r>
          </w:p>
        </w:tc>
        <w:tc>
          <w:tcPr>
            <w:tcW w:w="1743" w:type="dxa"/>
            <w:tcBorders>
              <w:top w:val="nil"/>
              <w:left w:val="nil"/>
              <w:bottom w:val="nil"/>
              <w:right w:val="nil"/>
            </w:tcBorders>
            <w:shd w:val="clear" w:color="000000" w:fill="D9D9D9"/>
            <w:noWrap/>
            <w:hideMark/>
          </w:tcPr>
          <w:p w:rsidR="00D61F12" w:rsidRDefault="00D61F12" w:rsidP="00E12631">
            <w:pPr>
              <w:pStyle w:val="Tabletext"/>
            </w:pPr>
            <w:r>
              <w:rPr>
                <w:rFonts w:cs="Times New Roman"/>
                <w:b/>
                <w:bCs/>
                <w:color w:val="000000"/>
              </w:rPr>
              <w:t xml:space="preserve">Total Melbourne </w:t>
            </w:r>
            <w:r w:rsidRPr="008F6300">
              <w:rPr>
                <w:rFonts w:cs="Times New Roman"/>
                <w:b/>
                <w:bCs/>
                <w:color w:val="000000"/>
              </w:rPr>
              <w:t xml:space="preserve">Established </w:t>
            </w:r>
            <w:r w:rsidRPr="00F776CA">
              <w:t>1,010,000</w:t>
            </w:r>
          </w:p>
          <w:p w:rsidR="00D61F12" w:rsidRPr="008F6300" w:rsidRDefault="00D61F12" w:rsidP="00E12631">
            <w:pPr>
              <w:pStyle w:val="Tabletext"/>
              <w:rPr>
                <w:rFonts w:cs="Times New Roman"/>
                <w:b/>
                <w:bCs/>
                <w:color w:val="000000"/>
              </w:rPr>
            </w:pPr>
            <w:r w:rsidRPr="00F776CA">
              <w:t>65%</w:t>
            </w:r>
          </w:p>
        </w:tc>
        <w:tc>
          <w:tcPr>
            <w:tcW w:w="1763" w:type="dxa"/>
            <w:tcBorders>
              <w:top w:val="nil"/>
              <w:left w:val="nil"/>
              <w:bottom w:val="nil"/>
              <w:right w:val="nil"/>
            </w:tcBorders>
            <w:shd w:val="clear" w:color="000000" w:fill="D9D9D9"/>
            <w:noWrap/>
            <w:hideMark/>
          </w:tcPr>
          <w:p w:rsidR="00D61F12" w:rsidRDefault="00D61F12" w:rsidP="00E12631">
            <w:pPr>
              <w:pStyle w:val="Tabletext"/>
            </w:pPr>
            <w:r>
              <w:rPr>
                <w:rFonts w:cs="Times New Roman"/>
                <w:b/>
                <w:bCs/>
                <w:color w:val="000000"/>
              </w:rPr>
              <w:t xml:space="preserve">Total Melbourne </w:t>
            </w:r>
            <w:r w:rsidRPr="008F6300">
              <w:rPr>
                <w:rFonts w:cs="Times New Roman"/>
                <w:b/>
                <w:bCs/>
                <w:color w:val="000000"/>
              </w:rPr>
              <w:t xml:space="preserve">Greenfields </w:t>
            </w:r>
            <w:r w:rsidRPr="00F776CA">
              <w:t>540,000</w:t>
            </w:r>
          </w:p>
          <w:p w:rsidR="00D61F12" w:rsidRPr="008F6300" w:rsidRDefault="00D61F12" w:rsidP="00E12631">
            <w:pPr>
              <w:pStyle w:val="Tabletext"/>
              <w:rPr>
                <w:rFonts w:cs="Times New Roman"/>
                <w:b/>
                <w:bCs/>
                <w:color w:val="000000"/>
              </w:rPr>
            </w:pPr>
            <w:r w:rsidRPr="00F776CA">
              <w:t>35%</w:t>
            </w:r>
          </w:p>
        </w:tc>
      </w:tr>
      <w:tr w:rsidR="00D61F12" w:rsidRPr="008F6300" w:rsidTr="00E12631">
        <w:trPr>
          <w:trHeight w:val="300"/>
        </w:trPr>
        <w:tc>
          <w:tcPr>
            <w:tcW w:w="2551"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color w:val="000000"/>
              </w:rPr>
              <w:t> </w:t>
            </w:r>
          </w:p>
        </w:tc>
        <w:tc>
          <w:tcPr>
            <w:tcW w:w="150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color w:val="000000"/>
              </w:rPr>
              <w:t> </w:t>
            </w:r>
          </w:p>
        </w:tc>
        <w:tc>
          <w:tcPr>
            <w:tcW w:w="174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color w:val="000000"/>
              </w:rPr>
              <w:t> </w:t>
            </w:r>
          </w:p>
        </w:tc>
        <w:tc>
          <w:tcPr>
            <w:tcW w:w="176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color w:val="000000"/>
              </w:rPr>
              <w:t> </w:t>
            </w:r>
          </w:p>
        </w:tc>
      </w:tr>
    </w:tbl>
    <w:p w:rsidR="00D61F12" w:rsidRDefault="00D61F12" w:rsidP="00D61F12">
      <w:pPr>
        <w:pStyle w:val="Figurehead"/>
      </w:pPr>
      <w:r>
        <w:t>Scenario 2 Aspirational scenario</w:t>
      </w:r>
    </w:p>
    <w:p w:rsidR="00D61F12" w:rsidRDefault="00D61F12" w:rsidP="00D61F12">
      <w:pPr>
        <w:pStyle w:val="Figurehead"/>
        <w:rPr>
          <w:i/>
          <w:highlight w:val="yellow"/>
        </w:rPr>
      </w:pPr>
      <w:r w:rsidRPr="008F6300">
        <w:t>Net Dwelling Additions 2015-51</w:t>
      </w:r>
    </w:p>
    <w:tbl>
      <w:tblPr>
        <w:tblW w:w="7560" w:type="dxa"/>
        <w:tblInd w:w="93" w:type="dxa"/>
        <w:tblLook w:val="04A0" w:firstRow="1" w:lastRow="0" w:firstColumn="1" w:lastColumn="0" w:noHBand="0" w:noVBand="1"/>
        <w:tblCaption w:val="Figure 7 Housing distribution between established areas and growth area greenfields"/>
        <w:tblDescription w:val="Scenario 2 Aspirational scenario&#10;Net Dwelling Additions 2015-51&#10;"/>
      </w:tblPr>
      <w:tblGrid>
        <w:gridCol w:w="2551"/>
        <w:gridCol w:w="1503"/>
        <w:gridCol w:w="1743"/>
        <w:gridCol w:w="1763"/>
      </w:tblGrid>
      <w:tr w:rsidR="00D61F12" w:rsidRPr="008F6300" w:rsidTr="00E12631">
        <w:trPr>
          <w:trHeight w:val="402"/>
        </w:trPr>
        <w:tc>
          <w:tcPr>
            <w:tcW w:w="2551" w:type="dxa"/>
            <w:tcBorders>
              <w:top w:val="nil"/>
              <w:left w:val="nil"/>
              <w:bottom w:val="nil"/>
              <w:right w:val="nil"/>
            </w:tcBorders>
            <w:shd w:val="clear" w:color="000000" w:fill="F2F2F2"/>
            <w:noWrap/>
            <w:hideMark/>
          </w:tcPr>
          <w:p w:rsidR="00D61F12" w:rsidRDefault="00D61F12" w:rsidP="00E12631">
            <w:pPr>
              <w:pStyle w:val="Tableheader"/>
            </w:pPr>
            <w:r w:rsidRPr="000044A1">
              <w:t>Region</w:t>
            </w:r>
            <w:r>
              <w:t xml:space="preserve"> </w:t>
            </w:r>
          </w:p>
          <w:p w:rsidR="00D61F12" w:rsidRPr="008F6300" w:rsidRDefault="00D61F12" w:rsidP="00E12631">
            <w:pPr>
              <w:pStyle w:val="Tabletext"/>
              <w:rPr>
                <w:rFonts w:cs="Times New Roman"/>
                <w:color w:val="000000"/>
              </w:rPr>
            </w:pPr>
            <w:r w:rsidRPr="00C47B9B">
              <w:t>Inner Metro</w:t>
            </w:r>
          </w:p>
        </w:tc>
        <w:tc>
          <w:tcPr>
            <w:tcW w:w="1503" w:type="dxa"/>
            <w:tcBorders>
              <w:top w:val="nil"/>
              <w:left w:val="nil"/>
              <w:bottom w:val="nil"/>
              <w:right w:val="nil"/>
            </w:tcBorders>
            <w:shd w:val="clear" w:color="000000" w:fill="F2F2F2"/>
            <w:noWrap/>
            <w:hideMark/>
          </w:tcPr>
          <w:p w:rsidR="00D61F12" w:rsidRDefault="00D61F12" w:rsidP="00E12631">
            <w:pPr>
              <w:pStyle w:val="Tableheader"/>
            </w:pPr>
            <w:r w:rsidRPr="000044A1">
              <w:t>Total</w:t>
            </w:r>
            <w:r w:rsidRPr="008F6300">
              <w:t xml:space="preserve"> </w:t>
            </w:r>
          </w:p>
          <w:p w:rsidR="00D61F12" w:rsidRPr="008F6300" w:rsidRDefault="00D61F12" w:rsidP="00E12631">
            <w:pPr>
              <w:pStyle w:val="Tabletext"/>
              <w:rPr>
                <w:rFonts w:cs="Times New Roman"/>
                <w:color w:val="000000"/>
              </w:rPr>
            </w:pPr>
            <w:r w:rsidRPr="00C47B9B">
              <w:t>230,000</w:t>
            </w:r>
          </w:p>
        </w:tc>
        <w:tc>
          <w:tcPr>
            <w:tcW w:w="1743" w:type="dxa"/>
            <w:tcBorders>
              <w:top w:val="nil"/>
              <w:left w:val="nil"/>
              <w:bottom w:val="nil"/>
              <w:right w:val="nil"/>
            </w:tcBorders>
            <w:shd w:val="clear" w:color="000000" w:fill="F2F2F2"/>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0044A1">
              <w:rPr>
                <w:rFonts w:eastAsia="Times New Roman" w:cs="Times New Roman"/>
                <w:b/>
                <w:bCs/>
                <w:color w:val="000000"/>
              </w:rPr>
              <w:t xml:space="preserve"> </w:t>
            </w:r>
            <w:r w:rsidRPr="00C47B9B">
              <w:rPr>
                <w:rFonts w:ascii="Calibri" w:eastAsia="Times New Roman" w:hAnsi="Calibri" w:cs="Tahoma"/>
                <w:sz w:val="20"/>
                <w:szCs w:val="20"/>
              </w:rPr>
              <w:t>230,000</w:t>
            </w:r>
          </w:p>
        </w:tc>
        <w:tc>
          <w:tcPr>
            <w:tcW w:w="1763" w:type="dxa"/>
            <w:tcBorders>
              <w:top w:val="nil"/>
              <w:left w:val="nil"/>
              <w:bottom w:val="nil"/>
              <w:right w:val="nil"/>
            </w:tcBorders>
            <w:shd w:val="clear" w:color="000000" w:fill="F2F2F2"/>
            <w:noWrap/>
            <w:hideMark/>
          </w:tcPr>
          <w:p w:rsidR="00D61F12" w:rsidRDefault="00D61F12" w:rsidP="00E12631">
            <w:pPr>
              <w:pStyle w:val="Tableheader"/>
            </w:pPr>
            <w:r w:rsidRPr="000044A1">
              <w:t>Greenfields</w:t>
            </w:r>
            <w:r w:rsidRPr="008F6300">
              <w:t xml:space="preserve"> </w:t>
            </w:r>
          </w:p>
          <w:p w:rsidR="00D61F12" w:rsidRPr="008F6300" w:rsidRDefault="00D61F12" w:rsidP="00E12631">
            <w:pPr>
              <w:pStyle w:val="Tabletext"/>
              <w:rPr>
                <w:rFonts w:cs="Times New Roman"/>
                <w:color w:val="000000"/>
              </w:rPr>
            </w:pPr>
            <w:r w:rsidRPr="00C47B9B">
              <w:t>0</w:t>
            </w:r>
          </w:p>
        </w:tc>
      </w:tr>
      <w:tr w:rsidR="00D61F12" w:rsidRPr="008F6300" w:rsidTr="00E12631">
        <w:trPr>
          <w:trHeight w:val="402"/>
        </w:trPr>
        <w:tc>
          <w:tcPr>
            <w:tcW w:w="2551" w:type="dxa"/>
            <w:tcBorders>
              <w:top w:val="nil"/>
              <w:left w:val="nil"/>
              <w:bottom w:val="nil"/>
              <w:right w:val="nil"/>
            </w:tcBorders>
            <w:shd w:val="clear" w:color="000000" w:fill="FFFFFF"/>
            <w:noWrap/>
            <w:hideMark/>
          </w:tcPr>
          <w:p w:rsidR="00D61F12" w:rsidRDefault="00D61F12" w:rsidP="00E12631">
            <w:pPr>
              <w:pStyle w:val="Tableheader"/>
            </w:pPr>
            <w:r w:rsidRPr="000044A1">
              <w:t>Region</w:t>
            </w:r>
            <w:r w:rsidRPr="008F6300">
              <w:t xml:space="preserve"> </w:t>
            </w:r>
          </w:p>
          <w:p w:rsidR="00D61F12" w:rsidRPr="008F6300" w:rsidRDefault="00D61F12" w:rsidP="00E12631">
            <w:pPr>
              <w:pStyle w:val="Tabletext"/>
              <w:rPr>
                <w:rFonts w:cs="Times New Roman"/>
                <w:color w:val="000000"/>
              </w:rPr>
            </w:pPr>
            <w:r w:rsidRPr="00C47B9B">
              <w:t>Western</w:t>
            </w:r>
          </w:p>
        </w:tc>
        <w:tc>
          <w:tcPr>
            <w:tcW w:w="1503" w:type="dxa"/>
            <w:tcBorders>
              <w:top w:val="nil"/>
              <w:left w:val="nil"/>
              <w:bottom w:val="nil"/>
              <w:right w:val="nil"/>
            </w:tcBorders>
            <w:shd w:val="clear" w:color="000000" w:fill="FFFFFF"/>
            <w:noWrap/>
            <w:hideMark/>
          </w:tcPr>
          <w:p w:rsidR="00D61F12" w:rsidRDefault="00D61F12" w:rsidP="00E12631">
            <w:pPr>
              <w:pStyle w:val="Tableheader"/>
            </w:pPr>
            <w:r w:rsidRPr="000044A1">
              <w:t>Total</w:t>
            </w:r>
            <w:r w:rsidRPr="008F6300">
              <w:t xml:space="preserve"> </w:t>
            </w:r>
          </w:p>
          <w:p w:rsidR="00D61F12" w:rsidRPr="008F6300" w:rsidRDefault="00D61F12" w:rsidP="00E12631">
            <w:pPr>
              <w:pStyle w:val="Tabletext"/>
              <w:rPr>
                <w:rFonts w:cs="Times New Roman"/>
                <w:color w:val="000000"/>
              </w:rPr>
            </w:pPr>
            <w:r w:rsidRPr="00C47B9B">
              <w:t>365,000</w:t>
            </w:r>
          </w:p>
        </w:tc>
        <w:tc>
          <w:tcPr>
            <w:tcW w:w="174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0044A1">
              <w:rPr>
                <w:rFonts w:eastAsia="Times New Roman" w:cs="Times New Roman"/>
                <w:b/>
                <w:bCs/>
                <w:color w:val="000000"/>
              </w:rPr>
              <w:t xml:space="preserve"> </w:t>
            </w:r>
            <w:r w:rsidRPr="00C47B9B">
              <w:rPr>
                <w:rFonts w:ascii="Calibri" w:eastAsia="Times New Roman" w:hAnsi="Calibri" w:cs="Tahoma"/>
                <w:sz w:val="20"/>
                <w:szCs w:val="20"/>
              </w:rPr>
              <w:t>160,000</w:t>
            </w:r>
          </w:p>
        </w:tc>
        <w:tc>
          <w:tcPr>
            <w:tcW w:w="176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Greenfields</w:t>
            </w:r>
            <w:r w:rsidRPr="000044A1">
              <w:rPr>
                <w:rFonts w:eastAsia="Times New Roman" w:cs="Times New Roman"/>
                <w:b/>
                <w:bCs/>
                <w:color w:val="000000"/>
              </w:rPr>
              <w:t xml:space="preserve"> </w:t>
            </w:r>
            <w:r w:rsidRPr="00C47B9B">
              <w:rPr>
                <w:rFonts w:ascii="Calibri" w:eastAsia="Times New Roman" w:hAnsi="Calibri" w:cs="Tahoma"/>
                <w:sz w:val="20"/>
                <w:szCs w:val="20"/>
              </w:rPr>
              <w:t>205,000</w:t>
            </w:r>
          </w:p>
        </w:tc>
      </w:tr>
      <w:tr w:rsidR="00D61F12" w:rsidRPr="008F6300" w:rsidTr="00E12631">
        <w:trPr>
          <w:trHeight w:val="402"/>
        </w:trPr>
        <w:tc>
          <w:tcPr>
            <w:tcW w:w="2551" w:type="dxa"/>
            <w:tcBorders>
              <w:top w:val="nil"/>
              <w:left w:val="nil"/>
              <w:bottom w:val="nil"/>
              <w:right w:val="nil"/>
            </w:tcBorders>
            <w:shd w:val="clear" w:color="000000" w:fill="F2F2F2"/>
            <w:noWrap/>
            <w:hideMark/>
          </w:tcPr>
          <w:p w:rsidR="00D61F12" w:rsidRDefault="00D61F12" w:rsidP="00E12631">
            <w:pPr>
              <w:pStyle w:val="Tableheader"/>
            </w:pPr>
            <w:r w:rsidRPr="000044A1">
              <w:t>Region</w:t>
            </w:r>
            <w:r w:rsidRPr="008F6300">
              <w:t xml:space="preserve"> </w:t>
            </w:r>
          </w:p>
          <w:p w:rsidR="00D61F12" w:rsidRPr="008F6300" w:rsidRDefault="00D61F12" w:rsidP="00E12631">
            <w:pPr>
              <w:pStyle w:val="Tabletext"/>
              <w:rPr>
                <w:rFonts w:cs="Times New Roman"/>
                <w:color w:val="000000"/>
              </w:rPr>
            </w:pPr>
            <w:r w:rsidRPr="00C47B9B">
              <w:t>Northern</w:t>
            </w:r>
          </w:p>
        </w:tc>
        <w:tc>
          <w:tcPr>
            <w:tcW w:w="1503" w:type="dxa"/>
            <w:tcBorders>
              <w:top w:val="nil"/>
              <w:left w:val="nil"/>
              <w:bottom w:val="nil"/>
              <w:right w:val="nil"/>
            </w:tcBorders>
            <w:shd w:val="clear" w:color="000000" w:fill="F2F2F2"/>
            <w:noWrap/>
            <w:hideMark/>
          </w:tcPr>
          <w:p w:rsidR="00D61F12" w:rsidRDefault="00D61F12" w:rsidP="00E12631">
            <w:pPr>
              <w:pStyle w:val="Tableheader"/>
            </w:pPr>
            <w:r w:rsidRPr="000044A1">
              <w:t>Total</w:t>
            </w:r>
            <w:r w:rsidRPr="008F6300">
              <w:t xml:space="preserve"> </w:t>
            </w:r>
          </w:p>
          <w:p w:rsidR="00D61F12" w:rsidRPr="008F6300" w:rsidRDefault="00D61F12" w:rsidP="00E12631">
            <w:pPr>
              <w:pStyle w:val="Tabletext"/>
              <w:rPr>
                <w:rFonts w:cs="Times New Roman"/>
                <w:color w:val="000000"/>
              </w:rPr>
            </w:pPr>
            <w:r w:rsidRPr="00C47B9B">
              <w:t>340,000</w:t>
            </w:r>
          </w:p>
        </w:tc>
        <w:tc>
          <w:tcPr>
            <w:tcW w:w="1743" w:type="dxa"/>
            <w:tcBorders>
              <w:top w:val="nil"/>
              <w:left w:val="nil"/>
              <w:bottom w:val="nil"/>
              <w:right w:val="nil"/>
            </w:tcBorders>
            <w:shd w:val="clear" w:color="000000" w:fill="F2F2F2"/>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0044A1">
              <w:rPr>
                <w:rFonts w:eastAsia="Times New Roman" w:cs="Times New Roman"/>
                <w:b/>
                <w:bCs/>
                <w:color w:val="000000"/>
              </w:rPr>
              <w:t xml:space="preserve"> </w:t>
            </w:r>
            <w:r w:rsidRPr="00C47B9B">
              <w:rPr>
                <w:rFonts w:ascii="Calibri" w:eastAsia="Times New Roman" w:hAnsi="Calibri" w:cs="Tahoma"/>
                <w:sz w:val="20"/>
                <w:szCs w:val="20"/>
              </w:rPr>
              <w:t>180,000</w:t>
            </w:r>
          </w:p>
        </w:tc>
        <w:tc>
          <w:tcPr>
            <w:tcW w:w="1763" w:type="dxa"/>
            <w:tcBorders>
              <w:top w:val="nil"/>
              <w:left w:val="nil"/>
              <w:bottom w:val="nil"/>
              <w:right w:val="nil"/>
            </w:tcBorders>
            <w:shd w:val="clear" w:color="000000" w:fill="F2F2F2"/>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Greenfields</w:t>
            </w:r>
            <w:r w:rsidRPr="000044A1">
              <w:rPr>
                <w:rFonts w:eastAsia="Times New Roman" w:cs="Times New Roman"/>
                <w:b/>
                <w:bCs/>
                <w:color w:val="000000"/>
              </w:rPr>
              <w:t xml:space="preserve"> </w:t>
            </w:r>
            <w:r w:rsidRPr="00C47B9B">
              <w:rPr>
                <w:rFonts w:ascii="Calibri" w:eastAsia="Times New Roman" w:hAnsi="Calibri" w:cs="Tahoma"/>
                <w:sz w:val="20"/>
                <w:szCs w:val="20"/>
              </w:rPr>
              <w:t>160,000</w:t>
            </w:r>
          </w:p>
        </w:tc>
      </w:tr>
      <w:tr w:rsidR="00D61F12" w:rsidRPr="008F6300" w:rsidTr="00E12631">
        <w:trPr>
          <w:trHeight w:val="402"/>
        </w:trPr>
        <w:tc>
          <w:tcPr>
            <w:tcW w:w="2551" w:type="dxa"/>
            <w:tcBorders>
              <w:top w:val="nil"/>
              <w:left w:val="nil"/>
              <w:bottom w:val="nil"/>
              <w:right w:val="nil"/>
            </w:tcBorders>
            <w:shd w:val="clear" w:color="000000" w:fill="FFFFFF"/>
            <w:noWrap/>
            <w:hideMark/>
          </w:tcPr>
          <w:p w:rsidR="00D61F12" w:rsidRDefault="00D61F12" w:rsidP="00E12631">
            <w:pPr>
              <w:pStyle w:val="Tableheader"/>
            </w:pPr>
            <w:r w:rsidRPr="000044A1">
              <w:t>Region</w:t>
            </w:r>
            <w:r w:rsidRPr="008F6300">
              <w:t xml:space="preserve"> </w:t>
            </w:r>
          </w:p>
          <w:p w:rsidR="00D61F12" w:rsidRPr="008F6300" w:rsidRDefault="00D61F12" w:rsidP="00E12631">
            <w:pPr>
              <w:pStyle w:val="Tabletext"/>
              <w:rPr>
                <w:rFonts w:cs="Times New Roman"/>
                <w:color w:val="000000"/>
              </w:rPr>
            </w:pPr>
            <w:r w:rsidRPr="00C47B9B">
              <w:t>Inner South East</w:t>
            </w:r>
          </w:p>
        </w:tc>
        <w:tc>
          <w:tcPr>
            <w:tcW w:w="1503" w:type="dxa"/>
            <w:tcBorders>
              <w:top w:val="nil"/>
              <w:left w:val="nil"/>
              <w:bottom w:val="nil"/>
              <w:right w:val="nil"/>
            </w:tcBorders>
            <w:shd w:val="clear" w:color="000000" w:fill="FFFFFF"/>
            <w:noWrap/>
            <w:hideMark/>
          </w:tcPr>
          <w:p w:rsidR="00D61F12" w:rsidRDefault="00D61F12" w:rsidP="00E12631">
            <w:pPr>
              <w:pStyle w:val="Tableheader"/>
            </w:pPr>
            <w:r w:rsidRPr="000044A1">
              <w:t>Total</w:t>
            </w:r>
            <w:r w:rsidRPr="008F6300">
              <w:t xml:space="preserve"> </w:t>
            </w:r>
          </w:p>
          <w:p w:rsidR="00D61F12" w:rsidRPr="008F6300" w:rsidRDefault="00D61F12" w:rsidP="00E12631">
            <w:pPr>
              <w:pStyle w:val="Tabletext"/>
              <w:rPr>
                <w:rFonts w:cs="Times New Roman"/>
                <w:color w:val="000000"/>
              </w:rPr>
            </w:pPr>
            <w:r w:rsidRPr="00C47B9B">
              <w:t>125,000</w:t>
            </w:r>
          </w:p>
        </w:tc>
        <w:tc>
          <w:tcPr>
            <w:tcW w:w="174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0044A1">
              <w:rPr>
                <w:rFonts w:eastAsia="Times New Roman" w:cs="Times New Roman"/>
                <w:b/>
                <w:bCs/>
                <w:color w:val="000000"/>
              </w:rPr>
              <w:t xml:space="preserve"> </w:t>
            </w:r>
            <w:r w:rsidRPr="00C47B9B">
              <w:rPr>
                <w:rFonts w:ascii="Calibri" w:eastAsia="Times New Roman" w:hAnsi="Calibri" w:cs="Tahoma"/>
                <w:sz w:val="20"/>
                <w:szCs w:val="20"/>
              </w:rPr>
              <w:t>125,000</w:t>
            </w:r>
          </w:p>
        </w:tc>
        <w:tc>
          <w:tcPr>
            <w:tcW w:w="1763" w:type="dxa"/>
            <w:tcBorders>
              <w:top w:val="nil"/>
              <w:left w:val="nil"/>
              <w:bottom w:val="nil"/>
              <w:right w:val="nil"/>
            </w:tcBorders>
            <w:shd w:val="clear" w:color="000000" w:fill="FFFFFF"/>
            <w:noWrap/>
            <w:hideMark/>
          </w:tcPr>
          <w:p w:rsidR="00D61F12" w:rsidRDefault="00D61F12" w:rsidP="00E12631">
            <w:pPr>
              <w:pStyle w:val="Tableheader"/>
            </w:pPr>
            <w:r w:rsidRPr="000044A1">
              <w:t>Greenfields</w:t>
            </w:r>
            <w:r w:rsidRPr="008F6300">
              <w:t xml:space="preserve"> </w:t>
            </w:r>
          </w:p>
          <w:p w:rsidR="00D61F12" w:rsidRPr="008F6300" w:rsidRDefault="00D61F12" w:rsidP="00E12631">
            <w:pPr>
              <w:pStyle w:val="Tabletext"/>
              <w:rPr>
                <w:rFonts w:cs="Times New Roman"/>
                <w:color w:val="000000"/>
              </w:rPr>
            </w:pPr>
            <w:r w:rsidRPr="00C47B9B">
              <w:t>0</w:t>
            </w:r>
          </w:p>
        </w:tc>
      </w:tr>
      <w:tr w:rsidR="00D61F12" w:rsidRPr="008F6300" w:rsidTr="00E12631">
        <w:trPr>
          <w:trHeight w:val="402"/>
        </w:trPr>
        <w:tc>
          <w:tcPr>
            <w:tcW w:w="2551" w:type="dxa"/>
            <w:tcBorders>
              <w:top w:val="nil"/>
              <w:left w:val="nil"/>
              <w:bottom w:val="nil"/>
              <w:right w:val="nil"/>
            </w:tcBorders>
            <w:shd w:val="clear" w:color="000000" w:fill="F2F2F2"/>
            <w:noWrap/>
            <w:hideMark/>
          </w:tcPr>
          <w:p w:rsidR="00D61F12" w:rsidRDefault="00D61F12" w:rsidP="00E12631">
            <w:pPr>
              <w:pStyle w:val="Tableheader"/>
            </w:pPr>
            <w:r w:rsidRPr="000044A1">
              <w:t>Region</w:t>
            </w:r>
            <w:r w:rsidRPr="008F6300">
              <w:t xml:space="preserve"> </w:t>
            </w:r>
          </w:p>
          <w:p w:rsidR="00D61F12" w:rsidRPr="008F6300" w:rsidRDefault="00D61F12" w:rsidP="00E12631">
            <w:pPr>
              <w:pStyle w:val="Tabletext"/>
              <w:rPr>
                <w:rFonts w:cs="Times New Roman"/>
                <w:color w:val="000000"/>
              </w:rPr>
            </w:pPr>
            <w:r w:rsidRPr="009372B0">
              <w:t>Eastern</w:t>
            </w:r>
          </w:p>
        </w:tc>
        <w:tc>
          <w:tcPr>
            <w:tcW w:w="1503" w:type="dxa"/>
            <w:tcBorders>
              <w:top w:val="nil"/>
              <w:left w:val="nil"/>
              <w:bottom w:val="nil"/>
              <w:right w:val="nil"/>
            </w:tcBorders>
            <w:shd w:val="clear" w:color="000000" w:fill="F2F2F2"/>
            <w:noWrap/>
            <w:hideMark/>
          </w:tcPr>
          <w:p w:rsidR="00D61F12" w:rsidRDefault="00D61F12" w:rsidP="00E12631">
            <w:pPr>
              <w:pStyle w:val="Tableheader"/>
            </w:pPr>
            <w:r w:rsidRPr="000044A1">
              <w:t>Total</w:t>
            </w:r>
            <w:r w:rsidRPr="008F6300">
              <w:t xml:space="preserve"> </w:t>
            </w:r>
          </w:p>
          <w:p w:rsidR="00D61F12" w:rsidRPr="008F6300" w:rsidRDefault="00D61F12" w:rsidP="00E12631">
            <w:pPr>
              <w:pStyle w:val="Tabletext"/>
              <w:rPr>
                <w:rFonts w:cs="Times New Roman"/>
                <w:color w:val="000000"/>
              </w:rPr>
            </w:pPr>
            <w:r w:rsidRPr="009372B0">
              <w:t>190,000</w:t>
            </w:r>
          </w:p>
        </w:tc>
        <w:tc>
          <w:tcPr>
            <w:tcW w:w="1743" w:type="dxa"/>
            <w:tcBorders>
              <w:top w:val="nil"/>
              <w:left w:val="nil"/>
              <w:bottom w:val="nil"/>
              <w:right w:val="nil"/>
            </w:tcBorders>
            <w:shd w:val="clear" w:color="000000" w:fill="F2F2F2"/>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0044A1">
              <w:rPr>
                <w:rFonts w:eastAsia="Times New Roman" w:cs="Times New Roman"/>
                <w:b/>
                <w:bCs/>
                <w:color w:val="000000"/>
              </w:rPr>
              <w:t xml:space="preserve"> </w:t>
            </w:r>
            <w:r w:rsidRPr="009372B0">
              <w:rPr>
                <w:rFonts w:ascii="Calibri" w:eastAsia="Times New Roman" w:hAnsi="Calibri" w:cs="Tahoma"/>
                <w:sz w:val="20"/>
                <w:szCs w:val="20"/>
              </w:rPr>
              <w:t>190,000</w:t>
            </w:r>
          </w:p>
        </w:tc>
        <w:tc>
          <w:tcPr>
            <w:tcW w:w="1763" w:type="dxa"/>
            <w:tcBorders>
              <w:top w:val="nil"/>
              <w:left w:val="nil"/>
              <w:bottom w:val="nil"/>
              <w:right w:val="nil"/>
            </w:tcBorders>
            <w:shd w:val="clear" w:color="000000" w:fill="F2F2F2"/>
            <w:noWrap/>
            <w:hideMark/>
          </w:tcPr>
          <w:p w:rsidR="00D61F12" w:rsidRDefault="00D61F12" w:rsidP="00E12631">
            <w:pPr>
              <w:pStyle w:val="Tableheader"/>
            </w:pPr>
            <w:r w:rsidRPr="000044A1">
              <w:t>Greenfields</w:t>
            </w:r>
            <w:r w:rsidRPr="008F6300">
              <w:t xml:space="preserve"> </w:t>
            </w:r>
          </w:p>
          <w:p w:rsidR="00D61F12" w:rsidRPr="008F6300" w:rsidRDefault="00D61F12" w:rsidP="00E12631">
            <w:pPr>
              <w:pStyle w:val="Tabletext"/>
              <w:rPr>
                <w:rFonts w:cs="Times New Roman"/>
                <w:color w:val="000000"/>
              </w:rPr>
            </w:pPr>
            <w:r w:rsidRPr="009372B0">
              <w:t>0</w:t>
            </w:r>
          </w:p>
        </w:tc>
      </w:tr>
      <w:tr w:rsidR="00D61F12" w:rsidRPr="008F6300" w:rsidTr="00E12631">
        <w:trPr>
          <w:trHeight w:val="402"/>
        </w:trPr>
        <w:tc>
          <w:tcPr>
            <w:tcW w:w="2551" w:type="dxa"/>
            <w:tcBorders>
              <w:top w:val="nil"/>
              <w:left w:val="nil"/>
              <w:bottom w:val="nil"/>
              <w:right w:val="nil"/>
            </w:tcBorders>
            <w:shd w:val="clear" w:color="000000" w:fill="FFFFFF"/>
            <w:noWrap/>
            <w:hideMark/>
          </w:tcPr>
          <w:p w:rsidR="00D61F12" w:rsidRDefault="00D61F12" w:rsidP="00E12631">
            <w:pPr>
              <w:pStyle w:val="Tableheader"/>
            </w:pPr>
            <w:r w:rsidRPr="000044A1">
              <w:t>Region</w:t>
            </w:r>
            <w:r w:rsidRPr="008F6300">
              <w:t xml:space="preserve"> </w:t>
            </w:r>
          </w:p>
          <w:p w:rsidR="00D61F12" w:rsidRPr="008F6300" w:rsidRDefault="00D61F12" w:rsidP="00E12631">
            <w:pPr>
              <w:pStyle w:val="Tabletext"/>
              <w:rPr>
                <w:rFonts w:cs="Times New Roman"/>
                <w:color w:val="000000"/>
              </w:rPr>
            </w:pPr>
            <w:r w:rsidRPr="009372B0">
              <w:t>Southern</w:t>
            </w:r>
          </w:p>
        </w:tc>
        <w:tc>
          <w:tcPr>
            <w:tcW w:w="1503" w:type="dxa"/>
            <w:tcBorders>
              <w:top w:val="nil"/>
              <w:left w:val="nil"/>
              <w:bottom w:val="nil"/>
              <w:right w:val="nil"/>
            </w:tcBorders>
            <w:shd w:val="clear" w:color="000000" w:fill="FFFFFF"/>
            <w:noWrap/>
            <w:hideMark/>
          </w:tcPr>
          <w:p w:rsidR="00D61F12" w:rsidRDefault="00D61F12" w:rsidP="00E12631">
            <w:pPr>
              <w:pStyle w:val="Tableheader"/>
            </w:pPr>
            <w:r w:rsidRPr="000044A1">
              <w:t>Total</w:t>
            </w:r>
            <w:r w:rsidRPr="008F6300">
              <w:t xml:space="preserve"> </w:t>
            </w:r>
          </w:p>
          <w:p w:rsidR="00D61F12" w:rsidRPr="008F6300" w:rsidRDefault="00D61F12" w:rsidP="00E12631">
            <w:pPr>
              <w:pStyle w:val="Tabletext"/>
              <w:rPr>
                <w:rFonts w:cs="Times New Roman"/>
                <w:color w:val="000000"/>
              </w:rPr>
            </w:pPr>
            <w:r w:rsidRPr="009372B0">
              <w:t>300,000</w:t>
            </w:r>
          </w:p>
        </w:tc>
        <w:tc>
          <w:tcPr>
            <w:tcW w:w="174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Established</w:t>
            </w:r>
            <w:r w:rsidRPr="000044A1">
              <w:rPr>
                <w:rFonts w:eastAsia="Times New Roman" w:cs="Times New Roman"/>
                <w:b/>
                <w:bCs/>
                <w:color w:val="000000"/>
              </w:rPr>
              <w:t xml:space="preserve"> </w:t>
            </w:r>
            <w:r w:rsidRPr="009372B0">
              <w:rPr>
                <w:rFonts w:ascii="Calibri" w:eastAsia="Times New Roman" w:hAnsi="Calibri" w:cs="Tahoma"/>
                <w:sz w:val="20"/>
                <w:szCs w:val="20"/>
              </w:rPr>
              <w:t>195,000</w:t>
            </w:r>
          </w:p>
        </w:tc>
        <w:tc>
          <w:tcPr>
            <w:tcW w:w="1763" w:type="dxa"/>
            <w:tcBorders>
              <w:top w:val="nil"/>
              <w:left w:val="nil"/>
              <w:bottom w:val="nil"/>
              <w:right w:val="nil"/>
            </w:tcBorders>
            <w:shd w:val="clear" w:color="000000" w:fill="FFFFFF"/>
            <w:noWrap/>
            <w:hideMark/>
          </w:tcPr>
          <w:p w:rsidR="00D61F12" w:rsidRPr="008F6300" w:rsidRDefault="00D61F12" w:rsidP="00E12631">
            <w:pPr>
              <w:spacing w:after="0"/>
              <w:rPr>
                <w:rFonts w:eastAsia="Times New Roman" w:cs="Times New Roman"/>
                <w:color w:val="000000"/>
              </w:rPr>
            </w:pPr>
            <w:r w:rsidRPr="008F6300">
              <w:rPr>
                <w:rFonts w:eastAsia="Times New Roman" w:cs="Times New Roman"/>
                <w:b/>
                <w:bCs/>
                <w:color w:val="000000"/>
              </w:rPr>
              <w:t>Greenfields</w:t>
            </w:r>
            <w:r w:rsidRPr="000044A1">
              <w:rPr>
                <w:rFonts w:eastAsia="Times New Roman" w:cs="Times New Roman"/>
                <w:b/>
                <w:bCs/>
                <w:color w:val="000000"/>
              </w:rPr>
              <w:t xml:space="preserve"> </w:t>
            </w:r>
            <w:r w:rsidRPr="009372B0">
              <w:rPr>
                <w:rFonts w:ascii="Calibri" w:eastAsia="Times New Roman" w:hAnsi="Calibri" w:cs="Tahoma"/>
                <w:sz w:val="20"/>
                <w:szCs w:val="20"/>
              </w:rPr>
              <w:t>105,000</w:t>
            </w:r>
          </w:p>
        </w:tc>
      </w:tr>
      <w:tr w:rsidR="00D61F12" w:rsidRPr="008F6300" w:rsidTr="00E12631">
        <w:trPr>
          <w:trHeight w:val="402"/>
        </w:trPr>
        <w:tc>
          <w:tcPr>
            <w:tcW w:w="2551" w:type="dxa"/>
            <w:tcBorders>
              <w:top w:val="nil"/>
              <w:left w:val="nil"/>
              <w:bottom w:val="nil"/>
              <w:right w:val="nil"/>
            </w:tcBorders>
            <w:shd w:val="clear" w:color="000000" w:fill="D9D9D9"/>
            <w:noWrap/>
            <w:hideMark/>
          </w:tcPr>
          <w:p w:rsidR="00D61F12" w:rsidRPr="008F6300" w:rsidRDefault="00D61F12" w:rsidP="00E12631">
            <w:pPr>
              <w:spacing w:after="0"/>
              <w:rPr>
                <w:rFonts w:eastAsia="Times New Roman" w:cs="Times New Roman"/>
                <w:b/>
                <w:bCs/>
                <w:color w:val="000000"/>
              </w:rPr>
            </w:pPr>
          </w:p>
        </w:tc>
        <w:tc>
          <w:tcPr>
            <w:tcW w:w="1503" w:type="dxa"/>
            <w:tcBorders>
              <w:top w:val="nil"/>
              <w:left w:val="nil"/>
              <w:bottom w:val="nil"/>
              <w:right w:val="nil"/>
            </w:tcBorders>
            <w:shd w:val="clear" w:color="000000" w:fill="D9D9D9"/>
            <w:noWrap/>
            <w:hideMark/>
          </w:tcPr>
          <w:p w:rsidR="00D61F12" w:rsidRPr="009372B0" w:rsidRDefault="00D61F12" w:rsidP="00E12631">
            <w:pPr>
              <w:pStyle w:val="Tabletext"/>
            </w:pPr>
            <w:r>
              <w:rPr>
                <w:rFonts w:cs="Times New Roman"/>
                <w:b/>
                <w:bCs/>
                <w:color w:val="000000"/>
              </w:rPr>
              <w:t xml:space="preserve">Total Melbourne </w:t>
            </w:r>
            <w:r w:rsidRPr="009372B0">
              <w:t>1,550,000</w:t>
            </w:r>
          </w:p>
          <w:p w:rsidR="00D61F12" w:rsidRPr="008F6300" w:rsidRDefault="00D61F12" w:rsidP="00E12631">
            <w:pPr>
              <w:pStyle w:val="Tabletext"/>
              <w:rPr>
                <w:rFonts w:cs="Times New Roman"/>
                <w:b/>
                <w:bCs/>
                <w:color w:val="000000"/>
              </w:rPr>
            </w:pPr>
            <w:r w:rsidRPr="009372B0">
              <w:t>100%</w:t>
            </w:r>
          </w:p>
        </w:tc>
        <w:tc>
          <w:tcPr>
            <w:tcW w:w="1743" w:type="dxa"/>
            <w:tcBorders>
              <w:top w:val="nil"/>
              <w:left w:val="nil"/>
              <w:bottom w:val="nil"/>
              <w:right w:val="nil"/>
            </w:tcBorders>
            <w:shd w:val="clear" w:color="000000" w:fill="D9D9D9"/>
            <w:noWrap/>
            <w:hideMark/>
          </w:tcPr>
          <w:p w:rsidR="00D61F12" w:rsidRPr="009372B0" w:rsidRDefault="00D61F12" w:rsidP="00E12631">
            <w:pPr>
              <w:pStyle w:val="Tabletext"/>
            </w:pPr>
            <w:r>
              <w:rPr>
                <w:rFonts w:cs="Times New Roman"/>
                <w:b/>
                <w:bCs/>
                <w:color w:val="000000"/>
              </w:rPr>
              <w:t xml:space="preserve">Total Melbourne </w:t>
            </w:r>
            <w:r w:rsidRPr="008F6300">
              <w:rPr>
                <w:rFonts w:cs="Times New Roman"/>
                <w:b/>
                <w:bCs/>
                <w:color w:val="000000"/>
              </w:rPr>
              <w:t xml:space="preserve">Established </w:t>
            </w:r>
            <w:r w:rsidRPr="009372B0">
              <w:t>1,080,000</w:t>
            </w:r>
          </w:p>
          <w:p w:rsidR="00D61F12" w:rsidRPr="008F6300" w:rsidRDefault="00D61F12" w:rsidP="00E12631">
            <w:pPr>
              <w:pStyle w:val="Tabletext"/>
              <w:rPr>
                <w:rFonts w:cs="Times New Roman"/>
                <w:b/>
                <w:bCs/>
                <w:color w:val="000000"/>
              </w:rPr>
            </w:pPr>
            <w:r w:rsidRPr="009372B0">
              <w:t>70%</w:t>
            </w:r>
          </w:p>
        </w:tc>
        <w:tc>
          <w:tcPr>
            <w:tcW w:w="1763" w:type="dxa"/>
            <w:tcBorders>
              <w:top w:val="nil"/>
              <w:left w:val="nil"/>
              <w:bottom w:val="nil"/>
              <w:right w:val="nil"/>
            </w:tcBorders>
            <w:shd w:val="clear" w:color="000000" w:fill="D9D9D9"/>
            <w:noWrap/>
            <w:hideMark/>
          </w:tcPr>
          <w:p w:rsidR="00D61F12" w:rsidRPr="009372B0" w:rsidRDefault="00D61F12" w:rsidP="00E12631">
            <w:pPr>
              <w:pStyle w:val="Tabletext"/>
            </w:pPr>
            <w:r>
              <w:rPr>
                <w:rFonts w:cs="Times New Roman"/>
                <w:b/>
                <w:bCs/>
                <w:color w:val="000000"/>
              </w:rPr>
              <w:t xml:space="preserve">Total Melbourne </w:t>
            </w:r>
            <w:r w:rsidRPr="008F6300">
              <w:rPr>
                <w:rFonts w:cs="Times New Roman"/>
                <w:b/>
                <w:bCs/>
                <w:color w:val="000000"/>
              </w:rPr>
              <w:t xml:space="preserve">Greenfields </w:t>
            </w:r>
            <w:r w:rsidRPr="009372B0">
              <w:t>470,000</w:t>
            </w:r>
          </w:p>
          <w:p w:rsidR="00D61F12" w:rsidRPr="008F6300" w:rsidRDefault="00D61F12" w:rsidP="00E12631">
            <w:pPr>
              <w:pStyle w:val="Tabletext"/>
              <w:rPr>
                <w:rFonts w:cs="Times New Roman"/>
                <w:b/>
                <w:bCs/>
                <w:color w:val="000000"/>
              </w:rPr>
            </w:pPr>
            <w:r w:rsidRPr="009372B0">
              <w:t>30%</w:t>
            </w:r>
          </w:p>
        </w:tc>
      </w:tr>
    </w:tbl>
    <w:p w:rsidR="00D61F12" w:rsidRDefault="00D61F12" w:rsidP="00D61F12">
      <w:pPr>
        <w:pStyle w:val="Dotpoint"/>
        <w:numPr>
          <w:ilvl w:val="0"/>
          <w:numId w:val="0"/>
        </w:numPr>
        <w:rPr>
          <w:rFonts w:asciiTheme="minorHAnsi" w:hAnsiTheme="minorHAnsi"/>
          <w:i/>
        </w:rPr>
      </w:pPr>
    </w:p>
    <w:p w:rsidR="00D61F12" w:rsidRDefault="00D61F12" w:rsidP="00D61F12">
      <w:pPr>
        <w:pStyle w:val="body"/>
      </w:pPr>
      <w:r w:rsidRPr="007C1F49">
        <w:t>NOTE: Housing distribution figure</w:t>
      </w:r>
      <w:r>
        <w:t>s</w:t>
      </w:r>
      <w:r w:rsidRPr="007C1F49">
        <w:t xml:space="preserve"> ha</w:t>
      </w:r>
      <w:r>
        <w:t>ve</w:t>
      </w:r>
      <w:r w:rsidRPr="007C1F49">
        <w:t xml:space="preserve"> been developed to show distribution between established areas and </w:t>
      </w:r>
      <w:r>
        <w:t>greenfield</w:t>
      </w:r>
      <w:r w:rsidRPr="007C1F49">
        <w:t xml:space="preserve"> areas based on two scenarios. Scenario 1 </w:t>
      </w:r>
      <w:r>
        <w:t xml:space="preserve">is based on VIF </w:t>
      </w:r>
      <w:r>
        <w:lastRenderedPageBreak/>
        <w:t>2016 projections which assume continuation of current trends</w:t>
      </w:r>
      <w:r w:rsidRPr="007C1F49">
        <w:t xml:space="preserve">. Scenario 2 shows an aspirational distribution based on achieving a 70/30 split of </w:t>
      </w:r>
      <w:r>
        <w:t>net dwelling additions. For the purpose of these figures, greenfield areas include land in a growth area council that is either currently under development or identified for future development.</w:t>
      </w:r>
    </w:p>
    <w:p w:rsidR="00D61F12" w:rsidRDefault="00D61F12" w:rsidP="00D61F12">
      <w:pPr>
        <w:pStyle w:val="body"/>
      </w:pPr>
      <w:r w:rsidRPr="00C64049">
        <w:t>Source: Department of Environment, Land, Water and Planning</w:t>
      </w:r>
    </w:p>
    <w:p w:rsidR="00D61F12" w:rsidRPr="009A2EF4" w:rsidRDefault="00D61F12" w:rsidP="00D61F12">
      <w:pPr>
        <w:pStyle w:val="Heading3"/>
      </w:pPr>
      <w:r w:rsidRPr="009A2EF4">
        <w:t xml:space="preserve">Policy </w:t>
      </w:r>
      <w:r>
        <w:t>2</w:t>
      </w:r>
      <w:r w:rsidRPr="009A2EF4">
        <w:t>.1.</w:t>
      </w:r>
      <w:r>
        <w:t>3</w:t>
      </w:r>
      <w:r w:rsidRPr="009A2EF4">
        <w:tab/>
        <w:t xml:space="preserve">Plan for and define expected housing needs across Melbourne’s </w:t>
      </w:r>
      <w:r>
        <w:t>regions</w:t>
      </w:r>
      <w:bookmarkEnd w:id="31"/>
      <w:bookmarkEnd w:id="32"/>
    </w:p>
    <w:p w:rsidR="00D61F12" w:rsidRPr="009A2EF4" w:rsidRDefault="00D61F12" w:rsidP="00D61F12">
      <w:pPr>
        <w:pStyle w:val="body"/>
      </w:pPr>
      <w:r w:rsidRPr="009A2EF4">
        <w:t xml:space="preserve">Planning for housing at a </w:t>
      </w:r>
      <w:r>
        <w:t>regional</w:t>
      </w:r>
      <w:r w:rsidRPr="009A2EF4">
        <w:t xml:space="preserve"> level will </w:t>
      </w:r>
      <w:r>
        <w:t xml:space="preserve">help </w:t>
      </w:r>
      <w:r w:rsidRPr="009A2EF4">
        <w:t>identify planned residential change across Melbourne, including areas identified for residential growth, moderate housing growth and areas of limited change.</w:t>
      </w:r>
    </w:p>
    <w:p w:rsidR="00D61F12" w:rsidRPr="009A2EF4" w:rsidRDefault="00D61F12" w:rsidP="00D61F12">
      <w:pPr>
        <w:pStyle w:val="body"/>
      </w:pPr>
      <w:r>
        <w:t>Metropolitan regions</w:t>
      </w:r>
      <w:r w:rsidRPr="009A2EF4">
        <w:t xml:space="preserve"> should facilitate a housing market that </w:t>
      </w:r>
      <w:r>
        <w:t xml:space="preserve">creates </w:t>
      </w:r>
      <w:r w:rsidRPr="009A2EF4">
        <w:t xml:space="preserve">ongoing and substantial new housing opportunities near jobs, services and transport. </w:t>
      </w:r>
      <w:r>
        <w:t>L</w:t>
      </w:r>
      <w:r w:rsidRPr="009A2EF4">
        <w:t>ocal governments need to consider housing policy and planning in the context of their own municipal boundaries</w:t>
      </w:r>
      <w:r>
        <w:t xml:space="preserve"> as well as </w:t>
      </w:r>
      <w:r w:rsidRPr="009A2EF4">
        <w:t xml:space="preserve">the broader housing objectives </w:t>
      </w:r>
      <w:r>
        <w:t>of</w:t>
      </w:r>
      <w:r w:rsidRPr="009A2EF4">
        <w:t xml:space="preserve"> their </w:t>
      </w:r>
      <w:r>
        <w:t>region</w:t>
      </w:r>
      <w:r w:rsidRPr="009A2EF4">
        <w:t>.</w:t>
      </w:r>
    </w:p>
    <w:p w:rsidR="00D61F12" w:rsidRPr="009A2EF4" w:rsidRDefault="00D61F12" w:rsidP="00D61F12">
      <w:pPr>
        <w:pStyle w:val="body"/>
      </w:pPr>
      <w:r>
        <w:t>Regional</w:t>
      </w:r>
      <w:r w:rsidRPr="009A2EF4">
        <w:t xml:space="preserve"> planning </w:t>
      </w:r>
      <w:r>
        <w:t xml:space="preserve">must </w:t>
      </w:r>
      <w:r w:rsidRPr="009A2EF4">
        <w:t>mak</w:t>
      </w:r>
      <w:r>
        <w:t>e</w:t>
      </w:r>
      <w:r w:rsidRPr="009A2EF4">
        <w:t xml:space="preserve"> adequate provision</w:t>
      </w:r>
      <w:r>
        <w:t>s</w:t>
      </w:r>
      <w:r w:rsidRPr="009A2EF4">
        <w:t xml:space="preserve"> for future housing needs</w:t>
      </w:r>
      <w:r>
        <w:t xml:space="preserve"> and ensure</w:t>
      </w:r>
      <w:r w:rsidRPr="009A2EF4">
        <w:t>:</w:t>
      </w:r>
    </w:p>
    <w:p w:rsidR="00D61F12" w:rsidRPr="009A2EF4" w:rsidRDefault="00D61F12" w:rsidP="00D61F12">
      <w:pPr>
        <w:pStyle w:val="body"/>
        <w:numPr>
          <w:ilvl w:val="0"/>
          <w:numId w:val="22"/>
        </w:numPr>
      </w:pPr>
      <w:r w:rsidRPr="009A2EF4">
        <w:t>defined housing change areas</w:t>
      </w:r>
      <w:r>
        <w:t xml:space="preserve">, as well as </w:t>
      </w:r>
      <w:r w:rsidRPr="009A2EF4">
        <w:t>redevelopment sites and areas</w:t>
      </w:r>
      <w:r>
        <w:t>,</w:t>
      </w:r>
      <w:r w:rsidRPr="009A2EF4">
        <w:t xml:space="preserve"> are identified to support long-term housing growth, choice and diversity for a range of household types</w:t>
      </w:r>
    </w:p>
    <w:p w:rsidR="00D61F12" w:rsidRPr="009A2EF4" w:rsidRDefault="00D61F12" w:rsidP="00D61F12">
      <w:pPr>
        <w:pStyle w:val="body"/>
        <w:numPr>
          <w:ilvl w:val="0"/>
          <w:numId w:val="22"/>
        </w:numPr>
      </w:pPr>
      <w:r w:rsidRPr="009A2EF4">
        <w:t xml:space="preserve">planning for residential change areas facilitates ongoing investment and </w:t>
      </w:r>
      <w:r>
        <w:t xml:space="preserve">creates </w:t>
      </w:r>
      <w:r w:rsidRPr="009A2EF4">
        <w:t>relatively high levels of housing opportunity</w:t>
      </w:r>
    </w:p>
    <w:p w:rsidR="00D61F12" w:rsidRPr="009A2EF4" w:rsidRDefault="00D61F12" w:rsidP="00D61F12">
      <w:pPr>
        <w:pStyle w:val="body"/>
        <w:numPr>
          <w:ilvl w:val="0"/>
          <w:numId w:val="22"/>
        </w:numPr>
      </w:pPr>
      <w:r w:rsidRPr="009A2EF4">
        <w:t xml:space="preserve">new development </w:t>
      </w:r>
      <w:r>
        <w:t xml:space="preserve">is directed </w:t>
      </w:r>
      <w:r w:rsidRPr="009A2EF4">
        <w:t xml:space="preserve">to areas with appropriate infrastructure, and greater density </w:t>
      </w:r>
      <w:r>
        <w:t xml:space="preserve">is supported </w:t>
      </w:r>
      <w:r w:rsidRPr="009A2EF4">
        <w:t xml:space="preserve">where it optimises the value of existing infrastructure </w:t>
      </w:r>
    </w:p>
    <w:p w:rsidR="00D61F12" w:rsidRDefault="00D61F12" w:rsidP="00D61F12">
      <w:pPr>
        <w:pStyle w:val="body"/>
        <w:numPr>
          <w:ilvl w:val="0"/>
          <w:numId w:val="22"/>
        </w:numPr>
      </w:pPr>
      <w:r w:rsidRPr="009A2EF4">
        <w:t xml:space="preserve">a spectrum of minimal, incremental and high-change residential areas </w:t>
      </w:r>
      <w:r>
        <w:t xml:space="preserve">are allowed to </w:t>
      </w:r>
      <w:r w:rsidRPr="009A2EF4">
        <w:t>balance the need to protect valued areas with the need to ensure choice and growth in housing markets across the metropolitan area</w:t>
      </w:r>
    </w:p>
    <w:p w:rsidR="00D61F12" w:rsidRPr="009A2EF4" w:rsidRDefault="00D61F12" w:rsidP="00D61F12">
      <w:pPr>
        <w:pStyle w:val="body"/>
        <w:numPr>
          <w:ilvl w:val="0"/>
          <w:numId w:val="22"/>
        </w:numPr>
      </w:pPr>
      <w:r>
        <w:t xml:space="preserve">information is collected and reported in relation to </w:t>
      </w:r>
      <w:r w:rsidRPr="009A2EF4">
        <w:t>changes to household types</w:t>
      </w:r>
      <w:r>
        <w:t>,</w:t>
      </w:r>
      <w:r w:rsidRPr="009A2EF4">
        <w:t xml:space="preserve"> housing needs </w:t>
      </w:r>
      <w:r>
        <w:t xml:space="preserve">and </w:t>
      </w:r>
      <w:r w:rsidRPr="009A2EF4">
        <w:t xml:space="preserve">population </w:t>
      </w:r>
      <w:r>
        <w:t xml:space="preserve">growth—thereby informing </w:t>
      </w:r>
      <w:r w:rsidRPr="009A2EF4">
        <w:t xml:space="preserve">future </w:t>
      </w:r>
      <w:r>
        <w:t>planning decisions.</w:t>
      </w:r>
    </w:p>
    <w:p w:rsidR="00D61F12" w:rsidRDefault="00D61F12" w:rsidP="00D61F12">
      <w:pPr>
        <w:spacing w:after="200" w:line="276" w:lineRule="auto"/>
        <w:rPr>
          <w:rFonts w:ascii="Calibri" w:eastAsiaTheme="majorEastAsia" w:hAnsi="Calibri" w:cstheme="majorBidi"/>
          <w:b/>
          <w:bCs/>
          <w:sz w:val="28"/>
        </w:rPr>
      </w:pPr>
      <w:bookmarkStart w:id="35" w:name="_Toc388869135"/>
      <w:bookmarkStart w:id="36" w:name="_Toc447119857"/>
      <w:bookmarkStart w:id="37" w:name="_Toc452983069"/>
      <w:bookmarkStart w:id="38" w:name="_Toc455736255"/>
      <w:bookmarkStart w:id="39" w:name="_Toc456272060"/>
      <w:bookmarkStart w:id="40" w:name="_Toc462399424"/>
      <w:r>
        <w:br w:type="page"/>
      </w:r>
    </w:p>
    <w:p w:rsidR="00D61F12" w:rsidRPr="004F17D1" w:rsidRDefault="00D61F12" w:rsidP="00D61F12">
      <w:pPr>
        <w:pStyle w:val="Heading3"/>
      </w:pPr>
      <w:r>
        <w:lastRenderedPageBreak/>
        <w:t>Policy 2.1.4</w:t>
      </w:r>
      <w:r w:rsidRPr="00F566DA">
        <w:tab/>
      </w:r>
      <w:r w:rsidRPr="004F17D1">
        <w:t xml:space="preserve">Provide certainty </w:t>
      </w:r>
      <w:r>
        <w:t>about</w:t>
      </w:r>
      <w:r w:rsidRPr="004F17D1">
        <w:t xml:space="preserve"> the scale of </w:t>
      </w:r>
      <w:r>
        <w:t>growth in the suburbs</w:t>
      </w:r>
    </w:p>
    <w:p w:rsidR="00D61F12" w:rsidRPr="004F17D1" w:rsidRDefault="00D61F12" w:rsidP="00D61F12">
      <w:pPr>
        <w:pStyle w:val="body"/>
      </w:pPr>
      <w:r>
        <w:t xml:space="preserve">There is a need to provide greater certainty and </w:t>
      </w:r>
      <w:r w:rsidRPr="004F17D1">
        <w:t xml:space="preserve">facilitate </w:t>
      </w:r>
      <w:r>
        <w:t xml:space="preserve">long-term </w:t>
      </w:r>
      <w:r w:rsidRPr="004F17D1">
        <w:t xml:space="preserve">growth and housing </w:t>
      </w:r>
      <w:r>
        <w:t>choice in the right locations.</w:t>
      </w:r>
      <w:r w:rsidRPr="004F17D1">
        <w:t xml:space="preserve">  </w:t>
      </w:r>
    </w:p>
    <w:p w:rsidR="00D61F12" w:rsidRPr="004F17D1" w:rsidRDefault="00D61F12" w:rsidP="00D61F12">
      <w:pPr>
        <w:pStyle w:val="body"/>
      </w:pPr>
      <w:r w:rsidRPr="004F17D1">
        <w:t xml:space="preserve">Local government and the community </w:t>
      </w:r>
      <w:r>
        <w:t xml:space="preserve">also </w:t>
      </w:r>
      <w:r w:rsidRPr="004F17D1">
        <w:t xml:space="preserve">need confidence that </w:t>
      </w:r>
      <w:r>
        <w:t xml:space="preserve">the </w:t>
      </w:r>
      <w:r w:rsidRPr="004F17D1">
        <w:t xml:space="preserve">built form objectives </w:t>
      </w:r>
      <w:r>
        <w:t xml:space="preserve">they sign up to </w:t>
      </w:r>
      <w:r w:rsidRPr="004F17D1">
        <w:t xml:space="preserve">will be adhered to. </w:t>
      </w:r>
    </w:p>
    <w:p w:rsidR="00D61F12" w:rsidRPr="004F17D1" w:rsidRDefault="00D61F12" w:rsidP="00D61F12">
      <w:pPr>
        <w:pStyle w:val="body"/>
      </w:pPr>
      <w:r w:rsidRPr="004F17D1">
        <w:t>The review of r</w:t>
      </w:r>
      <w:r>
        <w:t xml:space="preserve">esidential zones will </w:t>
      </w:r>
      <w:r w:rsidRPr="004F17D1">
        <w:t xml:space="preserve">give greater certainty to the community by strengthening mandatory height provisions </w:t>
      </w:r>
      <w:r>
        <w:t xml:space="preserve">and site coverage requirements </w:t>
      </w:r>
      <w:r w:rsidRPr="004F17D1">
        <w:t xml:space="preserve">in each of the </w:t>
      </w:r>
      <w:r>
        <w:t xml:space="preserve">residential </w:t>
      </w:r>
      <w:r w:rsidRPr="004F17D1">
        <w:t xml:space="preserve">zones. </w:t>
      </w:r>
    </w:p>
    <w:p w:rsidR="00D61F12" w:rsidRDefault="00D61F12" w:rsidP="00D61F12">
      <w:pPr>
        <w:pStyle w:val="body"/>
      </w:pPr>
      <w:r w:rsidRPr="004F17D1">
        <w:t>In</w:t>
      </w:r>
      <w:r>
        <w:t xml:space="preserve"> areas where greater change is expected—such as urban renewal precincts and</w:t>
      </w:r>
      <w:r w:rsidRPr="004F17D1">
        <w:t xml:space="preserve"> mixed</w:t>
      </w:r>
      <w:r>
        <w:t>-</w:t>
      </w:r>
      <w:r w:rsidRPr="004F17D1">
        <w:t>use and activity centre areas</w:t>
      </w:r>
      <w:r>
        <w:t>—requirements to</w:t>
      </w:r>
      <w:r w:rsidRPr="004F17D1">
        <w:t xml:space="preserve"> adhere to preferred heights will also be strengthened</w:t>
      </w:r>
      <w:r>
        <w:t>. This will be achieved by improving</w:t>
      </w:r>
      <w:r w:rsidRPr="004F17D1">
        <w:t xml:space="preserve"> the</w:t>
      </w:r>
      <w:r>
        <w:t xml:space="preserve"> way</w:t>
      </w:r>
      <w:r w:rsidRPr="004F17D1">
        <w:t xml:space="preserve"> height in strategic locations</w:t>
      </w:r>
      <w:r>
        <w:t xml:space="preserve"> is managed and decisions are made</w:t>
      </w:r>
      <w:r w:rsidRPr="004F17D1">
        <w:t xml:space="preserve">. </w:t>
      </w:r>
    </w:p>
    <w:p w:rsidR="00D61F12" w:rsidRPr="00D52C6B" w:rsidRDefault="00D61F12" w:rsidP="00D61F12">
      <w:pPr>
        <w:pStyle w:val="BREAKOUTBOX"/>
        <w:shd w:val="clear" w:color="auto" w:fill="F2F2F2" w:themeFill="background1" w:themeFillShade="F2"/>
      </w:pPr>
      <w:r w:rsidRPr="00C55B5D">
        <w:t>Managing residential development</w:t>
      </w:r>
      <w:r w:rsidRPr="00D52C6B" w:rsidDel="00A67FD3">
        <w:t xml:space="preserve"> </w:t>
      </w:r>
    </w:p>
    <w:p w:rsidR="00D61F12" w:rsidRDefault="00D61F12" w:rsidP="00D61F12">
      <w:pPr>
        <w:pStyle w:val="BreakoutBoxText"/>
        <w:shd w:val="clear" w:color="auto" w:fill="F2F2F2" w:themeFill="background1" w:themeFillShade="F2"/>
        <w:ind w:left="0"/>
        <w:rPr>
          <w:lang w:val="en-US" w:eastAsia="ja-JP"/>
        </w:rPr>
      </w:pPr>
      <w:r w:rsidRPr="005B02E7">
        <w:rPr>
          <w:lang w:val="en-US" w:eastAsia="ja-JP"/>
        </w:rPr>
        <w:t xml:space="preserve">The residential zones introduced in 2013 have been reviewed by the Managing Residential Development Advisory Committee and amended to better reflect the balance between protection of neighbourhood character and well designed developments. </w:t>
      </w:r>
      <w:r w:rsidRPr="00C55B5D">
        <w:rPr>
          <w:lang w:val="en-US" w:eastAsia="ja-JP"/>
        </w:rPr>
        <w:t xml:space="preserve">The new zones were the Neighbourhood Residential Zone, General Residential Zone and Residential Growth Zone. The underlying principles of the zones </w:t>
      </w:r>
      <w:r>
        <w:rPr>
          <w:lang w:val="en-US" w:eastAsia="ja-JP"/>
        </w:rPr>
        <w:t>were</w:t>
      </w:r>
      <w:r w:rsidRPr="00C55B5D">
        <w:rPr>
          <w:lang w:val="en-US" w:eastAsia="ja-JP"/>
        </w:rPr>
        <w:t xml:space="preserve"> sound, however the zones have been applied in different ways and through different processes across councils. The Managing Residential Development Advisory Committee found that the inconsistencies in the way the zones had been implemented resulted in a lack of clarity, transparency and consistency</w:t>
      </w:r>
      <w:r>
        <w:rPr>
          <w:lang w:val="en-US" w:eastAsia="ja-JP"/>
        </w:rPr>
        <w:t>.</w:t>
      </w:r>
    </w:p>
    <w:p w:rsidR="00D61F12" w:rsidRPr="00C55B5D" w:rsidRDefault="00D61F12" w:rsidP="00D61F12">
      <w:pPr>
        <w:pStyle w:val="BreakoutBoxText"/>
        <w:shd w:val="clear" w:color="auto" w:fill="F2F2F2" w:themeFill="background1" w:themeFillShade="F2"/>
        <w:ind w:left="0"/>
        <w:rPr>
          <w:lang w:val="en-US" w:eastAsia="ja-JP"/>
        </w:rPr>
      </w:pPr>
      <w:r>
        <w:t xml:space="preserve">To provide greater consistency and certainty about growth in the suburbs and the built form outcomes being sought, the residential zones have been reviewed and updated to provide consistent and strengthened mandatory height controls and building coverage requirements. This will provide greater </w:t>
      </w:r>
      <w:r w:rsidRPr="00957512">
        <w:t>certainty to communities about the level of development that can occur and enable Melbourne to develop in a way that is sustainable and does not detract from the character of the suburbs</w:t>
      </w:r>
      <w:r>
        <w:t>.</w:t>
      </w:r>
    </w:p>
    <w:p w:rsidR="00D61F12" w:rsidRDefault="00D61F12" w:rsidP="00D61F12">
      <w:pPr>
        <w:spacing w:after="200" w:line="276" w:lineRule="auto"/>
        <w:rPr>
          <w:rFonts w:ascii="Calibri" w:eastAsiaTheme="majorEastAsia" w:hAnsi="Calibri" w:cstheme="majorBidi"/>
          <w:b/>
          <w:bCs/>
          <w:sz w:val="32"/>
          <w:szCs w:val="26"/>
        </w:rPr>
      </w:pPr>
      <w:r>
        <w:br w:type="page"/>
      </w:r>
    </w:p>
    <w:p w:rsidR="00D61F12" w:rsidRDefault="00D61F12" w:rsidP="00D61F12">
      <w:pPr>
        <w:pStyle w:val="Figurehead"/>
      </w:pPr>
      <w:bookmarkStart w:id="41" w:name="_Toc462149292"/>
      <w:bookmarkStart w:id="42" w:name="_Toc476742759"/>
      <w:r>
        <w:lastRenderedPageBreak/>
        <w:t xml:space="preserve">Map </w:t>
      </w:r>
      <w:r>
        <w:fldChar w:fldCharType="begin"/>
      </w:r>
      <w:r>
        <w:instrText xml:space="preserve"> SEQ Map \* ARABIC </w:instrText>
      </w:r>
      <w:r>
        <w:fldChar w:fldCharType="separate"/>
      </w:r>
      <w:r>
        <w:rPr>
          <w:noProof/>
        </w:rPr>
        <w:t>13</w:t>
      </w:r>
      <w:r>
        <w:rPr>
          <w:noProof/>
        </w:rPr>
        <w:fldChar w:fldCharType="end"/>
      </w:r>
      <w:r>
        <w:t xml:space="preserve"> Metropolitan Melbourne region</w:t>
      </w:r>
      <w:bookmarkEnd w:id="41"/>
      <w:r>
        <w:t>s</w:t>
      </w:r>
      <w:bookmarkEnd w:id="42"/>
    </w:p>
    <w:p w:rsidR="00D61F12" w:rsidRDefault="00D61F12" w:rsidP="00D61F12">
      <w:pPr>
        <w:pStyle w:val="Normalpre-dotpoint"/>
      </w:pPr>
      <w:r w:rsidRPr="00E86E1C">
        <w:rPr>
          <w:noProof/>
          <w:lang w:eastAsia="en-AU"/>
        </w:rPr>
        <w:drawing>
          <wp:inline distT="0" distB="0" distL="0" distR="0" wp14:anchorId="0C245E04" wp14:editId="6A377A1F">
            <wp:extent cx="5565775" cy="6599249"/>
            <wp:effectExtent l="0" t="0" r="0" b="0"/>
            <wp:docPr id="293" name="Picture 293" descr="Metropolitan Melbourne Regions&#10;Inner Metro Region&#10;1. Melbourne&#10;2. Port Phillip&#10;3. Yarra&#10;Inner South East Region&#10;4. Stonnington&#10;5. Bayside&#10;6. Boroondara&#10;7. Glen Eira&#10;Western Region&#10;8. Melton&#10;9. Brimbank&#10;10. Hobsons Bay&#10;11. Wyndham&#10;12. Moonee Valley&#10;13. Maribyrnong&#10;Northern Region&#10;14. Banyule&#10;15. Whittlesea&#10;16. Nillumbik&#10;17. Hume&#10;18. Moreland&#10;19. Darebin&#10;20. Mitchell (part)&#10;Eastern Region&#10;21. Manningham&#10;22. Whitehorse&#10;23. Knox&#10;24. Yarra Ranges&#10;25. Maroondah&#10;26. Monash&#10;Southern Region&#10;27. Kingston&#10;28. Frankston&#10;29. Cardinia&#10;30. Casey&#10;31. Greater Dandenong&#10;32. Mornington Peninsula&#10;Note: For metropolitan planning purposes the southern part of Mitchell Shire is included in the Northern Region.&#10;" title="Ma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65775" cy="6599249"/>
                    </a:xfrm>
                    <a:prstGeom prst="rect">
                      <a:avLst/>
                    </a:prstGeom>
                  </pic:spPr>
                </pic:pic>
              </a:graphicData>
            </a:graphic>
          </wp:inline>
        </w:drawing>
      </w:r>
    </w:p>
    <w:p w:rsidR="00D61F12" w:rsidRPr="00407E37" w:rsidRDefault="00D61F12" w:rsidP="00D61F12">
      <w:r w:rsidRPr="00407E37">
        <w:t>Source: Department of Environment, Land, Water and Planning</w:t>
      </w:r>
    </w:p>
    <w:p w:rsidR="00D61F12" w:rsidRPr="002100B0" w:rsidRDefault="00D61F12" w:rsidP="00D61F12">
      <w:pPr>
        <w:pStyle w:val="body"/>
      </w:pPr>
      <w:r w:rsidRPr="002100B0">
        <w:br w:type="page"/>
      </w:r>
    </w:p>
    <w:p w:rsidR="00D61F12" w:rsidRPr="009A2EF4" w:rsidRDefault="00D61F12" w:rsidP="00D61F12">
      <w:pPr>
        <w:pStyle w:val="Heading2"/>
      </w:pPr>
      <w:bookmarkStart w:id="43" w:name="_Toc463624267"/>
      <w:bookmarkStart w:id="44" w:name="_Toc467512422"/>
      <w:bookmarkStart w:id="45" w:name="_Toc467512672"/>
      <w:bookmarkStart w:id="46" w:name="_Toc469650156"/>
      <w:bookmarkStart w:id="47" w:name="_Toc473041518"/>
      <w:bookmarkStart w:id="48" w:name="_Toc473109635"/>
      <w:r w:rsidRPr="009A2EF4">
        <w:lastRenderedPageBreak/>
        <w:t xml:space="preserve">Direction </w:t>
      </w:r>
      <w:r>
        <w:t>2.2</w:t>
      </w:r>
      <w:r w:rsidRPr="009A2EF4">
        <w:tab/>
        <w:t>Deliver more housing closer to jobs and public transport</w:t>
      </w:r>
      <w:bookmarkEnd w:id="35"/>
      <w:bookmarkEnd w:id="36"/>
      <w:bookmarkEnd w:id="37"/>
      <w:bookmarkEnd w:id="38"/>
      <w:bookmarkEnd w:id="39"/>
      <w:bookmarkEnd w:id="40"/>
      <w:bookmarkEnd w:id="43"/>
      <w:bookmarkEnd w:id="44"/>
      <w:bookmarkEnd w:id="45"/>
      <w:bookmarkEnd w:id="46"/>
      <w:bookmarkEnd w:id="47"/>
      <w:bookmarkEnd w:id="48"/>
    </w:p>
    <w:p w:rsidR="00D61F12" w:rsidRPr="009A2EF4" w:rsidRDefault="00D61F12" w:rsidP="00D61F12">
      <w:pPr>
        <w:pStyle w:val="body"/>
      </w:pPr>
      <w:r w:rsidRPr="009A2EF4">
        <w:t xml:space="preserve">Locating medium- and higher-density development near services, jobs and public transport supports the objectives of consolidation and housing choice. </w:t>
      </w:r>
    </w:p>
    <w:p w:rsidR="00D61F12" w:rsidRDefault="00D61F12" w:rsidP="00D61F12">
      <w:pPr>
        <w:pStyle w:val="body"/>
      </w:pPr>
      <w:r>
        <w:t xml:space="preserve">For this direction to be achieved, the standards of </w:t>
      </w:r>
      <w:r w:rsidRPr="009A2EF4">
        <w:t>higher</w:t>
      </w:r>
      <w:r>
        <w:t>-</w:t>
      </w:r>
      <w:r w:rsidRPr="009A2EF4">
        <w:t xml:space="preserve">density housing </w:t>
      </w:r>
      <w:r>
        <w:t xml:space="preserve">need </w:t>
      </w:r>
      <w:r w:rsidRPr="009A2EF4">
        <w:t xml:space="preserve">to be </w:t>
      </w:r>
      <w:r>
        <w:t xml:space="preserve">raised. </w:t>
      </w:r>
    </w:p>
    <w:p w:rsidR="00D61F12" w:rsidRPr="009A2EF4" w:rsidRDefault="00D61F12" w:rsidP="00D61F12">
      <w:pPr>
        <w:pStyle w:val="body"/>
      </w:pPr>
      <w:r w:rsidRPr="009A2EF4">
        <w:t>There are significant opportunities</w:t>
      </w:r>
      <w:r>
        <w:t xml:space="preserve"> for housing development</w:t>
      </w:r>
      <w:r w:rsidRPr="009A2EF4">
        <w:t xml:space="preserve"> in and around the </w:t>
      </w:r>
      <w:r>
        <w:t>central city.</w:t>
      </w:r>
      <w:r w:rsidRPr="009A2EF4">
        <w:t xml:space="preserve"> There </w:t>
      </w:r>
      <w:r>
        <w:t>are</w:t>
      </w:r>
      <w:r w:rsidRPr="009A2EF4">
        <w:t xml:space="preserve"> also opportunit</w:t>
      </w:r>
      <w:r>
        <w:t>ies</w:t>
      </w:r>
      <w:r w:rsidRPr="009A2EF4">
        <w:t xml:space="preserve"> </w:t>
      </w:r>
      <w:r>
        <w:t xml:space="preserve">for </w:t>
      </w:r>
      <w:r w:rsidRPr="009A2EF4">
        <w:t>more medium- and higher-density development in middle suburbs close to jobs and services including:</w:t>
      </w:r>
    </w:p>
    <w:p w:rsidR="00D61F12" w:rsidRPr="009A2EF4" w:rsidRDefault="00D61F12" w:rsidP="00D61F12">
      <w:pPr>
        <w:pStyle w:val="body"/>
        <w:numPr>
          <w:ilvl w:val="0"/>
          <w:numId w:val="23"/>
        </w:numPr>
      </w:pPr>
      <w:r w:rsidRPr="009A2EF4">
        <w:t>urban</w:t>
      </w:r>
      <w:r>
        <w:t xml:space="preserve"> </w:t>
      </w:r>
      <w:r w:rsidRPr="009A2EF4">
        <w:t>renewal precincts</w:t>
      </w:r>
    </w:p>
    <w:p w:rsidR="00D61F12" w:rsidRPr="009A2EF4" w:rsidRDefault="00D61F12" w:rsidP="00D61F12">
      <w:pPr>
        <w:pStyle w:val="body"/>
        <w:numPr>
          <w:ilvl w:val="0"/>
          <w:numId w:val="23"/>
        </w:numPr>
      </w:pPr>
      <w:r w:rsidRPr="009A2EF4">
        <w:t>areas identified for residential growth</w:t>
      </w:r>
    </w:p>
    <w:p w:rsidR="00D61F12" w:rsidRPr="009A2EF4" w:rsidRDefault="00D61F12" w:rsidP="00D61F12">
      <w:pPr>
        <w:pStyle w:val="body"/>
        <w:numPr>
          <w:ilvl w:val="0"/>
          <w:numId w:val="23"/>
        </w:numPr>
      </w:pPr>
      <w:r w:rsidRPr="009A2EF4">
        <w:t>areas identified for grey</w:t>
      </w:r>
      <w:r>
        <w:t>field</w:t>
      </w:r>
      <w:r w:rsidRPr="009A2EF4">
        <w:t xml:space="preserve"> renewal</w:t>
      </w:r>
    </w:p>
    <w:p w:rsidR="00D61F12" w:rsidRPr="009A2EF4" w:rsidRDefault="00D61F12" w:rsidP="00D61F12">
      <w:pPr>
        <w:pStyle w:val="body"/>
        <w:numPr>
          <w:ilvl w:val="0"/>
          <w:numId w:val="23"/>
        </w:numPr>
      </w:pPr>
      <w:r w:rsidRPr="009A2EF4">
        <w:t>areas designated as national employment and innovation clusters</w:t>
      </w:r>
    </w:p>
    <w:p w:rsidR="00D61F12" w:rsidRDefault="00D61F12" w:rsidP="00D61F12">
      <w:pPr>
        <w:pStyle w:val="body"/>
        <w:numPr>
          <w:ilvl w:val="0"/>
          <w:numId w:val="23"/>
        </w:numPr>
      </w:pPr>
      <w:r w:rsidRPr="009A2EF4">
        <w:t xml:space="preserve">metropolitan activity centres and </w:t>
      </w:r>
      <w:r>
        <w:t xml:space="preserve">major </w:t>
      </w:r>
      <w:r w:rsidRPr="009A2EF4">
        <w:t>activity centres</w:t>
      </w:r>
    </w:p>
    <w:p w:rsidR="00D61F12" w:rsidRPr="009A2EF4" w:rsidRDefault="00D61F12" w:rsidP="00D61F12">
      <w:pPr>
        <w:pStyle w:val="body"/>
        <w:numPr>
          <w:ilvl w:val="0"/>
          <w:numId w:val="23"/>
        </w:numPr>
      </w:pPr>
      <w:r>
        <w:t>neighbourhood activity centres—especially if they have good public transport connections</w:t>
      </w:r>
    </w:p>
    <w:p w:rsidR="00D61F12" w:rsidRPr="009A2EF4" w:rsidRDefault="00D61F12" w:rsidP="00D61F12">
      <w:pPr>
        <w:pStyle w:val="body"/>
        <w:numPr>
          <w:ilvl w:val="0"/>
          <w:numId w:val="23"/>
        </w:numPr>
      </w:pPr>
      <w:r w:rsidRPr="009A2EF4">
        <w:t>areas near existing and proposed railway stations that can support transit-oriented development.</w:t>
      </w:r>
    </w:p>
    <w:p w:rsidR="00D61F12" w:rsidRDefault="00D61F12" w:rsidP="00D61F12">
      <w:pPr>
        <w:pStyle w:val="body"/>
      </w:pPr>
      <w:r>
        <w:t>E</w:t>
      </w:r>
      <w:r w:rsidRPr="009A2EF4">
        <w:t xml:space="preserve">ncouraging mixed-use developments and greater housing diversity and density near </w:t>
      </w:r>
      <w:r>
        <w:t>employment</w:t>
      </w:r>
      <w:r w:rsidRPr="009A2EF4">
        <w:t xml:space="preserve"> and transport will create opportunity and choice for medium- and low-income households.</w:t>
      </w:r>
    </w:p>
    <w:p w:rsidR="00D61F12" w:rsidRDefault="00D61F12" w:rsidP="00D61F12">
      <w:pPr>
        <w:spacing w:after="200" w:line="276" w:lineRule="auto"/>
      </w:pPr>
      <w:r>
        <w:br w:type="page"/>
      </w:r>
    </w:p>
    <w:p w:rsidR="00D61F12" w:rsidRDefault="00D61F12" w:rsidP="00D61F12">
      <w:pPr>
        <w:pStyle w:val="Figurehead"/>
      </w:pPr>
      <w:bookmarkStart w:id="49" w:name="_Toc462149282"/>
      <w:bookmarkStart w:id="50" w:name="_Toc476742760"/>
      <w:bookmarkStart w:id="51" w:name="_Toc452983070"/>
      <w:bookmarkStart w:id="52" w:name="_Toc455736256"/>
      <w:bookmarkStart w:id="53" w:name="_Toc456272061"/>
      <w:r>
        <w:lastRenderedPageBreak/>
        <w:t xml:space="preserve">Map </w:t>
      </w:r>
      <w:r>
        <w:fldChar w:fldCharType="begin"/>
      </w:r>
      <w:r>
        <w:instrText xml:space="preserve"> SEQ Map \* ARABIC </w:instrText>
      </w:r>
      <w:r>
        <w:fldChar w:fldCharType="separate"/>
      </w:r>
      <w:r>
        <w:rPr>
          <w:noProof/>
        </w:rPr>
        <w:t>14</w:t>
      </w:r>
      <w:r>
        <w:rPr>
          <w:noProof/>
        </w:rPr>
        <w:fldChar w:fldCharType="end"/>
      </w:r>
      <w:r>
        <w:t xml:space="preserve"> Metropolitan and major activity centres</w:t>
      </w:r>
      <w:bookmarkEnd w:id="49"/>
      <w:bookmarkEnd w:id="50"/>
    </w:p>
    <w:p w:rsidR="00D61F12" w:rsidRPr="00C77EE7" w:rsidRDefault="00D61F12" w:rsidP="00D61F12">
      <w:pPr>
        <w:pStyle w:val="Dotpoint"/>
        <w:numPr>
          <w:ilvl w:val="0"/>
          <w:numId w:val="0"/>
        </w:numPr>
        <w:ind w:left="425" w:hanging="425"/>
      </w:pPr>
      <w:r w:rsidRPr="00015340">
        <w:rPr>
          <w:noProof/>
          <w:lang w:eastAsia="en-AU"/>
        </w:rPr>
        <w:drawing>
          <wp:inline distT="0" distB="0" distL="0" distR="0" wp14:anchorId="6D54D9B7" wp14:editId="6B31353E">
            <wp:extent cx="5565775" cy="6627791"/>
            <wp:effectExtent l="0" t="0" r="0" b="1905"/>
            <wp:docPr id="31" name="Picture 31" descr="Metropolitan and major activity centres, as listed on following page" title="Ma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5775" cy="6627791"/>
                    </a:xfrm>
                    <a:prstGeom prst="rect">
                      <a:avLst/>
                    </a:prstGeom>
                  </pic:spPr>
                </pic:pic>
              </a:graphicData>
            </a:graphic>
          </wp:inline>
        </w:drawing>
      </w:r>
    </w:p>
    <w:p w:rsidR="00D61F12" w:rsidRDefault="00D61F12" w:rsidP="00D61F12">
      <w:r w:rsidRPr="00E70D91">
        <w:t>Source: Department of Environment, Land, Water and Planning</w:t>
      </w:r>
    </w:p>
    <w:p w:rsidR="00D61F12" w:rsidRPr="00E70D91" w:rsidRDefault="00D61F12" w:rsidP="00D61F12"/>
    <w:p w:rsidR="00D61F12" w:rsidRDefault="00D61F12" w:rsidP="00D61F12">
      <w:pPr>
        <w:spacing w:after="200" w:line="276" w:lineRule="auto"/>
        <w:rPr>
          <w:i/>
          <w:highlight w:val="yellow"/>
        </w:rPr>
      </w:pPr>
    </w:p>
    <w:p w:rsidR="00D61F12" w:rsidRDefault="00D61F12" w:rsidP="00D61F12">
      <w:pPr>
        <w:spacing w:after="0"/>
        <w:rPr>
          <w:rFonts w:ascii="Calibri" w:eastAsia="Times New Roman" w:hAnsi="Calibri" w:cs="Times New Roman"/>
          <w:b/>
          <w:color w:val="000000"/>
          <w:sz w:val="28"/>
        </w:rPr>
      </w:pPr>
    </w:p>
    <w:p w:rsidR="00D61F12" w:rsidRDefault="00D61F12" w:rsidP="00D61F12">
      <w:pPr>
        <w:spacing w:after="0"/>
        <w:rPr>
          <w:rFonts w:ascii="Calibri" w:eastAsia="Times New Roman" w:hAnsi="Calibri" w:cs="Times New Roman"/>
          <w:b/>
          <w:color w:val="000000"/>
          <w:sz w:val="28"/>
        </w:rPr>
      </w:pPr>
    </w:p>
    <w:p w:rsidR="00D61F12" w:rsidRDefault="00D61F12" w:rsidP="00D61F12">
      <w:pPr>
        <w:spacing w:after="0"/>
        <w:rPr>
          <w:rFonts w:ascii="Calibri" w:eastAsia="Times New Roman" w:hAnsi="Calibri" w:cs="Times New Roman"/>
          <w:b/>
          <w:color w:val="000000"/>
          <w:sz w:val="28"/>
        </w:rPr>
      </w:pPr>
    </w:p>
    <w:p w:rsidR="00D61F12" w:rsidRDefault="00D61F12" w:rsidP="00D61F12">
      <w:pPr>
        <w:spacing w:after="0"/>
        <w:rPr>
          <w:rFonts w:ascii="Calibri" w:eastAsia="Times New Roman" w:hAnsi="Calibri" w:cs="Times New Roman"/>
          <w:b/>
          <w:color w:val="000000"/>
          <w:sz w:val="28"/>
        </w:rPr>
      </w:pPr>
    </w:p>
    <w:p w:rsidR="00D61F12" w:rsidRDefault="00D61F12" w:rsidP="00D61F12">
      <w:pPr>
        <w:pStyle w:val="body"/>
      </w:pPr>
    </w:p>
    <w:p w:rsidR="00D61F12" w:rsidRDefault="00D61F12" w:rsidP="00D61F12">
      <w:pPr>
        <w:pStyle w:val="Heading4"/>
      </w:pPr>
      <w:r>
        <w:t>List of activity centres</w:t>
      </w:r>
    </w:p>
    <w:p w:rsidR="00D61F12" w:rsidRPr="00BC0446" w:rsidRDefault="00D61F12" w:rsidP="00D61F12">
      <w:pPr>
        <w:pStyle w:val="body"/>
      </w:pPr>
      <w:r w:rsidRPr="00BC0446">
        <w:t>Central City</w:t>
      </w:r>
    </w:p>
    <w:p w:rsidR="00D61F12" w:rsidRPr="00BC0446" w:rsidRDefault="00D61F12" w:rsidP="00D61F12">
      <w:pPr>
        <w:pStyle w:val="body"/>
        <w:numPr>
          <w:ilvl w:val="0"/>
          <w:numId w:val="24"/>
        </w:numPr>
      </w:pPr>
      <w:r w:rsidRPr="00BC0446">
        <w:t xml:space="preserve">Melbourne </w:t>
      </w:r>
    </w:p>
    <w:p w:rsidR="00D61F12" w:rsidRPr="00BC0446" w:rsidRDefault="00D61F12" w:rsidP="00D61F12">
      <w:pPr>
        <w:pStyle w:val="body"/>
      </w:pPr>
      <w:r w:rsidRPr="00BC0446">
        <w:t>Metropolitan Activity Centres</w:t>
      </w:r>
    </w:p>
    <w:p w:rsidR="00D61F12" w:rsidRPr="00D63056" w:rsidRDefault="00D61F12" w:rsidP="00D61F12">
      <w:pPr>
        <w:pStyle w:val="body"/>
        <w:numPr>
          <w:ilvl w:val="0"/>
          <w:numId w:val="24"/>
        </w:numPr>
      </w:pPr>
      <w:r w:rsidRPr="00D63056">
        <w:t>Box Hill</w:t>
      </w:r>
    </w:p>
    <w:p w:rsidR="00D61F12" w:rsidRPr="00D63056" w:rsidRDefault="00D61F12" w:rsidP="00D61F12">
      <w:pPr>
        <w:pStyle w:val="body"/>
        <w:numPr>
          <w:ilvl w:val="0"/>
          <w:numId w:val="24"/>
        </w:numPr>
      </w:pPr>
      <w:r w:rsidRPr="00D63056">
        <w:t>Broadmeadows</w:t>
      </w:r>
    </w:p>
    <w:p w:rsidR="00D61F12" w:rsidRPr="00D63056" w:rsidRDefault="00D61F12" w:rsidP="00D61F12">
      <w:pPr>
        <w:pStyle w:val="body"/>
        <w:numPr>
          <w:ilvl w:val="0"/>
          <w:numId w:val="24"/>
        </w:numPr>
      </w:pPr>
      <w:r w:rsidRPr="00D63056">
        <w:t>Dandenong</w:t>
      </w:r>
    </w:p>
    <w:p w:rsidR="00D61F12" w:rsidRPr="00D63056" w:rsidRDefault="00D61F12" w:rsidP="00D61F12">
      <w:pPr>
        <w:pStyle w:val="body"/>
        <w:numPr>
          <w:ilvl w:val="0"/>
          <w:numId w:val="24"/>
        </w:numPr>
      </w:pPr>
      <w:r w:rsidRPr="00D63056">
        <w:t>Epping</w:t>
      </w:r>
    </w:p>
    <w:p w:rsidR="00D61F12" w:rsidRPr="00D63056" w:rsidRDefault="00D61F12" w:rsidP="00D61F12">
      <w:pPr>
        <w:pStyle w:val="body"/>
        <w:numPr>
          <w:ilvl w:val="0"/>
          <w:numId w:val="24"/>
        </w:numPr>
      </w:pPr>
      <w:r w:rsidRPr="00D63056">
        <w:t>Footscray</w:t>
      </w:r>
    </w:p>
    <w:p w:rsidR="00D61F12" w:rsidRPr="00D63056" w:rsidRDefault="00D61F12" w:rsidP="00D61F12">
      <w:pPr>
        <w:pStyle w:val="body"/>
        <w:numPr>
          <w:ilvl w:val="0"/>
          <w:numId w:val="24"/>
        </w:numPr>
      </w:pPr>
      <w:r w:rsidRPr="00D63056">
        <w:t>Fountain Gate-Narre Warren</w:t>
      </w:r>
    </w:p>
    <w:p w:rsidR="00D61F12" w:rsidRPr="00D63056" w:rsidRDefault="00D61F12" w:rsidP="00D61F12">
      <w:pPr>
        <w:pStyle w:val="body"/>
        <w:numPr>
          <w:ilvl w:val="0"/>
          <w:numId w:val="24"/>
        </w:numPr>
      </w:pPr>
      <w:r w:rsidRPr="00D63056">
        <w:t>Frankston</w:t>
      </w:r>
    </w:p>
    <w:p w:rsidR="00D61F12" w:rsidRPr="00D63056" w:rsidRDefault="00D61F12" w:rsidP="00D61F12">
      <w:pPr>
        <w:pStyle w:val="body"/>
        <w:numPr>
          <w:ilvl w:val="0"/>
          <w:numId w:val="24"/>
        </w:numPr>
      </w:pPr>
      <w:r w:rsidRPr="00D63056">
        <w:t>Ringwood</w:t>
      </w:r>
    </w:p>
    <w:p w:rsidR="00D61F12" w:rsidRDefault="00D61F12" w:rsidP="00D61F12">
      <w:pPr>
        <w:pStyle w:val="body"/>
        <w:numPr>
          <w:ilvl w:val="0"/>
          <w:numId w:val="24"/>
        </w:numPr>
      </w:pPr>
      <w:r w:rsidRPr="00D63056">
        <w:t>Sunshine</w:t>
      </w:r>
    </w:p>
    <w:p w:rsidR="00D61F12" w:rsidRPr="00BC0446" w:rsidRDefault="00D61F12" w:rsidP="00D61F12">
      <w:pPr>
        <w:pStyle w:val="body"/>
      </w:pPr>
      <w:r w:rsidRPr="00C06F67">
        <w:t>Future</w:t>
      </w:r>
      <w:r>
        <w:t xml:space="preserve"> </w:t>
      </w:r>
      <w:r w:rsidRPr="00BC0446">
        <w:t>Metropolitan Activity Centres</w:t>
      </w:r>
    </w:p>
    <w:p w:rsidR="00D61F12" w:rsidRPr="00D63056" w:rsidRDefault="00D61F12" w:rsidP="00D61F12">
      <w:pPr>
        <w:pStyle w:val="body"/>
        <w:numPr>
          <w:ilvl w:val="0"/>
          <w:numId w:val="25"/>
        </w:numPr>
      </w:pPr>
      <w:r w:rsidRPr="00D63056">
        <w:t>Lockerbie</w:t>
      </w:r>
      <w:r>
        <w:t xml:space="preserve"> </w:t>
      </w:r>
    </w:p>
    <w:p w:rsidR="00D61F12" w:rsidRDefault="00D61F12" w:rsidP="00D61F12">
      <w:pPr>
        <w:pStyle w:val="body"/>
        <w:numPr>
          <w:ilvl w:val="0"/>
          <w:numId w:val="25"/>
        </w:numPr>
      </w:pPr>
      <w:r w:rsidRPr="00D63056">
        <w:t>Toolern</w:t>
      </w:r>
    </w:p>
    <w:p w:rsidR="00D61F12" w:rsidRPr="00BC0446" w:rsidRDefault="00D61F12" w:rsidP="00D61F12">
      <w:pPr>
        <w:pStyle w:val="body"/>
      </w:pPr>
      <w:r>
        <w:t xml:space="preserve">Major </w:t>
      </w:r>
      <w:r w:rsidRPr="00BC0446">
        <w:t>Activity Centres</w:t>
      </w:r>
      <w:r>
        <w:t>*</w:t>
      </w:r>
    </w:p>
    <w:p w:rsidR="00D61F12" w:rsidRPr="00D63056" w:rsidRDefault="00D61F12" w:rsidP="00D61F12">
      <w:pPr>
        <w:pStyle w:val="body"/>
        <w:numPr>
          <w:ilvl w:val="0"/>
          <w:numId w:val="26"/>
        </w:numPr>
      </w:pPr>
      <w:r w:rsidRPr="00D63056">
        <w:t>Airport West</w:t>
      </w:r>
    </w:p>
    <w:p w:rsidR="00D61F12" w:rsidRPr="00D63056" w:rsidRDefault="00D61F12" w:rsidP="00D61F12">
      <w:pPr>
        <w:pStyle w:val="body"/>
        <w:numPr>
          <w:ilvl w:val="0"/>
          <w:numId w:val="26"/>
        </w:numPr>
      </w:pPr>
      <w:r w:rsidRPr="00D63056">
        <w:t>Altona</w:t>
      </w:r>
    </w:p>
    <w:p w:rsidR="00D61F12" w:rsidRPr="00D63056" w:rsidRDefault="00D61F12" w:rsidP="00D61F12">
      <w:pPr>
        <w:pStyle w:val="body"/>
        <w:numPr>
          <w:ilvl w:val="0"/>
          <w:numId w:val="26"/>
        </w:numPr>
      </w:pPr>
      <w:r w:rsidRPr="00D63056">
        <w:t>Altona North</w:t>
      </w:r>
    </w:p>
    <w:p w:rsidR="00D61F12" w:rsidRPr="00D63056" w:rsidRDefault="00D61F12" w:rsidP="00D61F12">
      <w:pPr>
        <w:pStyle w:val="body"/>
        <w:numPr>
          <w:ilvl w:val="0"/>
          <w:numId w:val="26"/>
        </w:numPr>
      </w:pPr>
      <w:r w:rsidRPr="00D63056">
        <w:t>Ascot Vale-Union Road</w:t>
      </w:r>
    </w:p>
    <w:p w:rsidR="00D61F12" w:rsidRPr="00D63056" w:rsidRDefault="00D61F12" w:rsidP="00D61F12">
      <w:pPr>
        <w:pStyle w:val="body"/>
        <w:numPr>
          <w:ilvl w:val="0"/>
          <w:numId w:val="26"/>
        </w:numPr>
      </w:pPr>
      <w:r w:rsidRPr="00D63056">
        <w:t>Balaclava</w:t>
      </w:r>
    </w:p>
    <w:p w:rsidR="00D61F12" w:rsidRPr="00D63056" w:rsidRDefault="00D61F12" w:rsidP="00D61F12">
      <w:pPr>
        <w:pStyle w:val="body"/>
        <w:numPr>
          <w:ilvl w:val="0"/>
          <w:numId w:val="26"/>
        </w:numPr>
      </w:pPr>
      <w:r w:rsidRPr="00D63056">
        <w:t>Bayswater</w:t>
      </w:r>
    </w:p>
    <w:p w:rsidR="00D61F12" w:rsidRPr="00D63056" w:rsidRDefault="00D61F12" w:rsidP="00D61F12">
      <w:pPr>
        <w:pStyle w:val="body"/>
        <w:numPr>
          <w:ilvl w:val="0"/>
          <w:numId w:val="26"/>
        </w:numPr>
      </w:pPr>
      <w:r w:rsidRPr="00D63056">
        <w:t>Bentleigh</w:t>
      </w:r>
    </w:p>
    <w:p w:rsidR="00D61F12" w:rsidRPr="00D63056" w:rsidRDefault="00D61F12" w:rsidP="00D61F12">
      <w:pPr>
        <w:pStyle w:val="body"/>
        <w:numPr>
          <w:ilvl w:val="0"/>
          <w:numId w:val="26"/>
        </w:numPr>
      </w:pPr>
      <w:r w:rsidRPr="00D63056">
        <w:lastRenderedPageBreak/>
        <w:t>Berwick</w:t>
      </w:r>
    </w:p>
    <w:p w:rsidR="00D61F12" w:rsidRPr="00D63056" w:rsidRDefault="00D61F12" w:rsidP="00D61F12">
      <w:pPr>
        <w:pStyle w:val="body"/>
        <w:numPr>
          <w:ilvl w:val="0"/>
          <w:numId w:val="26"/>
        </w:numPr>
      </w:pPr>
      <w:r w:rsidRPr="00D63056">
        <w:t>Boronia</w:t>
      </w:r>
    </w:p>
    <w:p w:rsidR="00D61F12" w:rsidRPr="00D63056" w:rsidRDefault="00D61F12" w:rsidP="00D61F12">
      <w:pPr>
        <w:pStyle w:val="body"/>
        <w:numPr>
          <w:ilvl w:val="0"/>
          <w:numId w:val="26"/>
        </w:numPr>
      </w:pPr>
      <w:r w:rsidRPr="00D63056">
        <w:t>Brandon Park</w:t>
      </w:r>
    </w:p>
    <w:p w:rsidR="00D61F12" w:rsidRPr="00D63056" w:rsidRDefault="00D61F12" w:rsidP="00D61F12">
      <w:pPr>
        <w:pStyle w:val="body"/>
        <w:numPr>
          <w:ilvl w:val="0"/>
          <w:numId w:val="26"/>
        </w:numPr>
      </w:pPr>
      <w:r w:rsidRPr="00D63056">
        <w:t>Braybrook-Central West</w:t>
      </w:r>
    </w:p>
    <w:p w:rsidR="00D61F12" w:rsidRPr="00D63056" w:rsidRDefault="00D61F12" w:rsidP="00D61F12">
      <w:pPr>
        <w:pStyle w:val="body"/>
        <w:numPr>
          <w:ilvl w:val="0"/>
          <w:numId w:val="26"/>
        </w:numPr>
      </w:pPr>
      <w:r w:rsidRPr="00D63056">
        <w:t>Brighton-Bay Street</w:t>
      </w:r>
    </w:p>
    <w:p w:rsidR="00D61F12" w:rsidRPr="00D63056" w:rsidRDefault="00D61F12" w:rsidP="00D61F12">
      <w:pPr>
        <w:pStyle w:val="body"/>
        <w:numPr>
          <w:ilvl w:val="0"/>
          <w:numId w:val="26"/>
        </w:numPr>
      </w:pPr>
      <w:r w:rsidRPr="00D63056">
        <w:t>Brighton-Church Street</w:t>
      </w:r>
    </w:p>
    <w:p w:rsidR="00D61F12" w:rsidRPr="00D63056" w:rsidRDefault="00D61F12" w:rsidP="00D61F12">
      <w:pPr>
        <w:pStyle w:val="body"/>
        <w:numPr>
          <w:ilvl w:val="0"/>
          <w:numId w:val="26"/>
        </w:numPr>
      </w:pPr>
      <w:r w:rsidRPr="00D63056">
        <w:t>Brimbank Central</w:t>
      </w:r>
    </w:p>
    <w:p w:rsidR="00D61F12" w:rsidRPr="00D63056" w:rsidRDefault="00D61F12" w:rsidP="00D61F12">
      <w:pPr>
        <w:pStyle w:val="body"/>
        <w:numPr>
          <w:ilvl w:val="0"/>
          <w:numId w:val="26"/>
        </w:numPr>
      </w:pPr>
      <w:r w:rsidRPr="00D63056">
        <w:t>Brunswick</w:t>
      </w:r>
    </w:p>
    <w:p w:rsidR="00D61F12" w:rsidRPr="00D63056" w:rsidRDefault="00D61F12" w:rsidP="00D61F12">
      <w:pPr>
        <w:pStyle w:val="body"/>
        <w:numPr>
          <w:ilvl w:val="0"/>
          <w:numId w:val="26"/>
        </w:numPr>
      </w:pPr>
      <w:r w:rsidRPr="00D63056">
        <w:t>Burwood East-Tally Ho</w:t>
      </w:r>
    </w:p>
    <w:p w:rsidR="00D61F12" w:rsidRPr="00D63056" w:rsidRDefault="00D61F12" w:rsidP="00D61F12">
      <w:pPr>
        <w:pStyle w:val="body"/>
        <w:numPr>
          <w:ilvl w:val="0"/>
          <w:numId w:val="26"/>
        </w:numPr>
      </w:pPr>
      <w:r w:rsidRPr="00D63056">
        <w:t>Burwood Heights</w:t>
      </w:r>
    </w:p>
    <w:p w:rsidR="00D61F12" w:rsidRPr="00D63056" w:rsidRDefault="00D61F12" w:rsidP="00D61F12">
      <w:pPr>
        <w:pStyle w:val="body"/>
        <w:numPr>
          <w:ilvl w:val="0"/>
          <w:numId w:val="26"/>
        </w:numPr>
      </w:pPr>
      <w:r w:rsidRPr="00D63056">
        <w:t>Camberwell Junction</w:t>
      </w:r>
    </w:p>
    <w:p w:rsidR="00D61F12" w:rsidRPr="00D63056" w:rsidRDefault="00D61F12" w:rsidP="00D61F12">
      <w:pPr>
        <w:pStyle w:val="body"/>
        <w:numPr>
          <w:ilvl w:val="0"/>
          <w:numId w:val="26"/>
        </w:numPr>
      </w:pPr>
      <w:r w:rsidRPr="00D63056">
        <w:t>Carlton-Lygon Street</w:t>
      </w:r>
    </w:p>
    <w:p w:rsidR="00D61F12" w:rsidRPr="00D63056" w:rsidRDefault="00D61F12" w:rsidP="00D61F12">
      <w:pPr>
        <w:pStyle w:val="body"/>
        <w:numPr>
          <w:ilvl w:val="0"/>
          <w:numId w:val="26"/>
        </w:numPr>
      </w:pPr>
      <w:r w:rsidRPr="00D63056">
        <w:t>Carnegie</w:t>
      </w:r>
    </w:p>
    <w:p w:rsidR="00D61F12" w:rsidRPr="00D63056" w:rsidRDefault="00D61F12" w:rsidP="00D61F12">
      <w:pPr>
        <w:pStyle w:val="body"/>
        <w:numPr>
          <w:ilvl w:val="0"/>
          <w:numId w:val="26"/>
        </w:numPr>
      </w:pPr>
      <w:r w:rsidRPr="00D63056">
        <w:t>Caroline Springs</w:t>
      </w:r>
    </w:p>
    <w:p w:rsidR="00D61F12" w:rsidRPr="00D63056" w:rsidRDefault="00D61F12" w:rsidP="00D61F12">
      <w:pPr>
        <w:pStyle w:val="body"/>
        <w:numPr>
          <w:ilvl w:val="0"/>
          <w:numId w:val="26"/>
        </w:numPr>
      </w:pPr>
      <w:r w:rsidRPr="00D63056">
        <w:t>Casey Central</w:t>
      </w:r>
    </w:p>
    <w:p w:rsidR="00D61F12" w:rsidRPr="00D63056" w:rsidRDefault="00D61F12" w:rsidP="00D61F12">
      <w:pPr>
        <w:pStyle w:val="body"/>
        <w:numPr>
          <w:ilvl w:val="0"/>
          <w:numId w:val="26"/>
        </w:numPr>
      </w:pPr>
      <w:r w:rsidRPr="00D63056">
        <w:t>Caulfield</w:t>
      </w:r>
    </w:p>
    <w:p w:rsidR="00D61F12" w:rsidRPr="00D63056" w:rsidRDefault="00D61F12" w:rsidP="00D61F12">
      <w:pPr>
        <w:pStyle w:val="body"/>
        <w:numPr>
          <w:ilvl w:val="0"/>
          <w:numId w:val="26"/>
        </w:numPr>
      </w:pPr>
      <w:r w:rsidRPr="00D63056">
        <w:t>Chadstone</w:t>
      </w:r>
    </w:p>
    <w:p w:rsidR="00D61F12" w:rsidRPr="00D63056" w:rsidRDefault="00D61F12" w:rsidP="00D61F12">
      <w:pPr>
        <w:pStyle w:val="body"/>
        <w:numPr>
          <w:ilvl w:val="0"/>
          <w:numId w:val="26"/>
        </w:numPr>
      </w:pPr>
      <w:r w:rsidRPr="00D63056">
        <w:t>Chelsea</w:t>
      </w:r>
    </w:p>
    <w:p w:rsidR="00D61F12" w:rsidRPr="00D63056" w:rsidRDefault="00D61F12" w:rsidP="00D61F12">
      <w:pPr>
        <w:pStyle w:val="body"/>
        <w:numPr>
          <w:ilvl w:val="0"/>
          <w:numId w:val="26"/>
        </w:numPr>
      </w:pPr>
      <w:r w:rsidRPr="00D63056">
        <w:t>Cheltenham</w:t>
      </w:r>
    </w:p>
    <w:p w:rsidR="00D61F12" w:rsidRPr="00D63056" w:rsidRDefault="00D61F12" w:rsidP="00D61F12">
      <w:pPr>
        <w:pStyle w:val="body"/>
        <w:numPr>
          <w:ilvl w:val="0"/>
          <w:numId w:val="26"/>
        </w:numPr>
      </w:pPr>
      <w:r w:rsidRPr="00D63056">
        <w:t>Cheltenham-Southland</w:t>
      </w:r>
    </w:p>
    <w:p w:rsidR="00D61F12" w:rsidRPr="00D63056" w:rsidRDefault="00D61F12" w:rsidP="00D61F12">
      <w:pPr>
        <w:pStyle w:val="body"/>
        <w:numPr>
          <w:ilvl w:val="0"/>
          <w:numId w:val="26"/>
        </w:numPr>
      </w:pPr>
      <w:r w:rsidRPr="00D63056">
        <w:t>Chirnside Park</w:t>
      </w:r>
    </w:p>
    <w:p w:rsidR="00D61F12" w:rsidRPr="00D63056" w:rsidRDefault="00D61F12" w:rsidP="00D61F12">
      <w:pPr>
        <w:pStyle w:val="body"/>
        <w:numPr>
          <w:ilvl w:val="0"/>
          <w:numId w:val="26"/>
        </w:numPr>
      </w:pPr>
      <w:r w:rsidRPr="00D63056">
        <w:t>Clayton</w:t>
      </w:r>
    </w:p>
    <w:p w:rsidR="00D61F12" w:rsidRPr="00D63056" w:rsidRDefault="00D61F12" w:rsidP="00D61F12">
      <w:pPr>
        <w:pStyle w:val="body"/>
        <w:numPr>
          <w:ilvl w:val="0"/>
          <w:numId w:val="26"/>
        </w:numPr>
      </w:pPr>
      <w:r w:rsidRPr="00D63056">
        <w:t>Coburg</w:t>
      </w:r>
    </w:p>
    <w:p w:rsidR="00D61F12" w:rsidRPr="00D63056" w:rsidRDefault="00D61F12" w:rsidP="00D61F12">
      <w:pPr>
        <w:pStyle w:val="body"/>
        <w:numPr>
          <w:ilvl w:val="0"/>
          <w:numId w:val="26"/>
        </w:numPr>
      </w:pPr>
      <w:r w:rsidRPr="00D63056">
        <w:t>Craigieburn</w:t>
      </w:r>
    </w:p>
    <w:p w:rsidR="00D61F12" w:rsidRPr="00D63056" w:rsidRDefault="00D61F12" w:rsidP="00D61F12">
      <w:pPr>
        <w:pStyle w:val="body"/>
        <w:numPr>
          <w:ilvl w:val="0"/>
          <w:numId w:val="26"/>
        </w:numPr>
      </w:pPr>
      <w:r w:rsidRPr="00D63056">
        <w:t>Craigieburn Town Centre</w:t>
      </w:r>
    </w:p>
    <w:p w:rsidR="00D61F12" w:rsidRPr="00D63056" w:rsidRDefault="00D61F12" w:rsidP="00D61F12">
      <w:pPr>
        <w:pStyle w:val="body"/>
        <w:numPr>
          <w:ilvl w:val="0"/>
          <w:numId w:val="26"/>
        </w:numPr>
      </w:pPr>
      <w:r w:rsidRPr="00D63056">
        <w:lastRenderedPageBreak/>
        <w:t>Cranbourne</w:t>
      </w:r>
    </w:p>
    <w:p w:rsidR="00D61F12" w:rsidRPr="00D63056" w:rsidRDefault="00D61F12" w:rsidP="00D61F12">
      <w:pPr>
        <w:pStyle w:val="body"/>
        <w:numPr>
          <w:ilvl w:val="0"/>
          <w:numId w:val="26"/>
        </w:numPr>
      </w:pPr>
      <w:r w:rsidRPr="00D63056">
        <w:t>Croydon</w:t>
      </w:r>
    </w:p>
    <w:p w:rsidR="00D61F12" w:rsidRPr="00D63056" w:rsidRDefault="00D61F12" w:rsidP="00D61F12">
      <w:pPr>
        <w:pStyle w:val="body"/>
        <w:numPr>
          <w:ilvl w:val="0"/>
          <w:numId w:val="26"/>
        </w:numPr>
      </w:pPr>
      <w:r w:rsidRPr="00D63056">
        <w:t>Deer Park</w:t>
      </w:r>
    </w:p>
    <w:p w:rsidR="00D61F12" w:rsidRPr="00D63056" w:rsidRDefault="00D61F12" w:rsidP="00D61F12">
      <w:pPr>
        <w:pStyle w:val="body"/>
        <w:numPr>
          <w:ilvl w:val="0"/>
          <w:numId w:val="26"/>
        </w:numPr>
      </w:pPr>
      <w:r w:rsidRPr="00D63056">
        <w:t>Diamond Creek</w:t>
      </w:r>
    </w:p>
    <w:p w:rsidR="00D61F12" w:rsidRPr="00D63056" w:rsidRDefault="00D61F12" w:rsidP="00D61F12">
      <w:pPr>
        <w:pStyle w:val="body"/>
        <w:numPr>
          <w:ilvl w:val="0"/>
          <w:numId w:val="26"/>
        </w:numPr>
      </w:pPr>
      <w:r w:rsidRPr="00D63056">
        <w:t>Doncaster East-The Pines</w:t>
      </w:r>
    </w:p>
    <w:p w:rsidR="00D61F12" w:rsidRPr="00D63056" w:rsidRDefault="00D61F12" w:rsidP="00D61F12">
      <w:pPr>
        <w:pStyle w:val="body"/>
        <w:numPr>
          <w:ilvl w:val="0"/>
          <w:numId w:val="26"/>
        </w:numPr>
      </w:pPr>
      <w:r w:rsidRPr="00D63056">
        <w:t>Doncaster Hill</w:t>
      </w:r>
    </w:p>
    <w:p w:rsidR="00D61F12" w:rsidRPr="00D63056" w:rsidRDefault="00D61F12" w:rsidP="00D61F12">
      <w:pPr>
        <w:pStyle w:val="body"/>
        <w:numPr>
          <w:ilvl w:val="0"/>
          <w:numId w:val="26"/>
        </w:numPr>
      </w:pPr>
      <w:r w:rsidRPr="00D63056">
        <w:t>Elsternwick</w:t>
      </w:r>
    </w:p>
    <w:p w:rsidR="00D61F12" w:rsidRPr="00D63056" w:rsidRDefault="00D61F12" w:rsidP="00D61F12">
      <w:pPr>
        <w:pStyle w:val="body"/>
        <w:numPr>
          <w:ilvl w:val="0"/>
          <w:numId w:val="26"/>
        </w:numPr>
      </w:pPr>
      <w:r w:rsidRPr="00D63056">
        <w:t>Eltham</w:t>
      </w:r>
    </w:p>
    <w:p w:rsidR="00D61F12" w:rsidRPr="00D63056" w:rsidRDefault="00D61F12" w:rsidP="00D61F12">
      <w:pPr>
        <w:pStyle w:val="body"/>
        <w:numPr>
          <w:ilvl w:val="0"/>
          <w:numId w:val="26"/>
        </w:numPr>
      </w:pPr>
      <w:r w:rsidRPr="00D63056">
        <w:t>Endeavour Hills</w:t>
      </w:r>
    </w:p>
    <w:p w:rsidR="00D61F12" w:rsidRPr="00D63056" w:rsidRDefault="00D61F12" w:rsidP="00D61F12">
      <w:pPr>
        <w:pStyle w:val="body"/>
        <w:numPr>
          <w:ilvl w:val="0"/>
          <w:numId w:val="26"/>
        </w:numPr>
      </w:pPr>
      <w:r w:rsidRPr="00D63056">
        <w:t>Fitzroy-Brunswick Street</w:t>
      </w:r>
    </w:p>
    <w:p w:rsidR="00D61F12" w:rsidRPr="00D63056" w:rsidRDefault="00D61F12" w:rsidP="00D61F12">
      <w:pPr>
        <w:pStyle w:val="body"/>
        <w:numPr>
          <w:ilvl w:val="0"/>
          <w:numId w:val="26"/>
        </w:numPr>
      </w:pPr>
      <w:r w:rsidRPr="00D63056">
        <w:t>Fitzroy-Smith Street</w:t>
      </w:r>
    </w:p>
    <w:p w:rsidR="00D61F12" w:rsidRPr="00D63056" w:rsidRDefault="00D61F12" w:rsidP="00D61F12">
      <w:pPr>
        <w:pStyle w:val="body"/>
        <w:numPr>
          <w:ilvl w:val="0"/>
          <w:numId w:val="26"/>
        </w:numPr>
      </w:pPr>
      <w:r w:rsidRPr="00D63056">
        <w:t>Flemington-Racecourse Road</w:t>
      </w:r>
    </w:p>
    <w:p w:rsidR="00D61F12" w:rsidRPr="00D63056" w:rsidRDefault="00D61F12" w:rsidP="00D61F12">
      <w:pPr>
        <w:pStyle w:val="body"/>
        <w:numPr>
          <w:ilvl w:val="0"/>
          <w:numId w:val="26"/>
        </w:numPr>
      </w:pPr>
      <w:r w:rsidRPr="00D63056">
        <w:t>Forest Hill Chase</w:t>
      </w:r>
    </w:p>
    <w:p w:rsidR="00D61F12" w:rsidRPr="00D63056" w:rsidRDefault="00D61F12" w:rsidP="00D61F12">
      <w:pPr>
        <w:pStyle w:val="body"/>
        <w:numPr>
          <w:ilvl w:val="0"/>
          <w:numId w:val="26"/>
        </w:numPr>
      </w:pPr>
      <w:r w:rsidRPr="00D63056">
        <w:t>Gladstone Park</w:t>
      </w:r>
    </w:p>
    <w:p w:rsidR="00D61F12" w:rsidRPr="00D63056" w:rsidRDefault="00D61F12" w:rsidP="00D61F12">
      <w:pPr>
        <w:pStyle w:val="body"/>
        <w:numPr>
          <w:ilvl w:val="0"/>
          <w:numId w:val="26"/>
        </w:numPr>
      </w:pPr>
      <w:r w:rsidRPr="00D63056">
        <w:t>Glen Waverley</w:t>
      </w:r>
    </w:p>
    <w:p w:rsidR="00D61F12" w:rsidRPr="00D63056" w:rsidRDefault="00D61F12" w:rsidP="00D61F12">
      <w:pPr>
        <w:pStyle w:val="body"/>
        <w:numPr>
          <w:ilvl w:val="0"/>
          <w:numId w:val="26"/>
        </w:numPr>
      </w:pPr>
      <w:r w:rsidRPr="00D63056">
        <w:t>Glenhuntly</w:t>
      </w:r>
    </w:p>
    <w:p w:rsidR="00D61F12" w:rsidRPr="00D63056" w:rsidRDefault="00D61F12" w:rsidP="00D61F12">
      <w:pPr>
        <w:pStyle w:val="body"/>
        <w:numPr>
          <w:ilvl w:val="0"/>
          <w:numId w:val="26"/>
        </w:numPr>
      </w:pPr>
      <w:r w:rsidRPr="00D63056">
        <w:t>Glenroy</w:t>
      </w:r>
    </w:p>
    <w:p w:rsidR="00D61F12" w:rsidRPr="00D63056" w:rsidRDefault="00D61F12" w:rsidP="00D61F12">
      <w:pPr>
        <w:pStyle w:val="body"/>
        <w:numPr>
          <w:ilvl w:val="0"/>
          <w:numId w:val="26"/>
        </w:numPr>
      </w:pPr>
      <w:r w:rsidRPr="00D63056">
        <w:t>Greensborough</w:t>
      </w:r>
    </w:p>
    <w:p w:rsidR="00D61F12" w:rsidRPr="00D63056" w:rsidRDefault="00D61F12" w:rsidP="00D61F12">
      <w:pPr>
        <w:pStyle w:val="body"/>
        <w:numPr>
          <w:ilvl w:val="0"/>
          <w:numId w:val="26"/>
        </w:numPr>
      </w:pPr>
      <w:r w:rsidRPr="00D63056">
        <w:t>Hampton</w:t>
      </w:r>
    </w:p>
    <w:p w:rsidR="00D61F12" w:rsidRPr="00D63056" w:rsidRDefault="00D61F12" w:rsidP="00D61F12">
      <w:pPr>
        <w:pStyle w:val="body"/>
        <w:numPr>
          <w:ilvl w:val="0"/>
          <w:numId w:val="26"/>
        </w:numPr>
      </w:pPr>
      <w:r w:rsidRPr="00D63056">
        <w:t>Hampton Park</w:t>
      </w:r>
    </w:p>
    <w:p w:rsidR="00D61F12" w:rsidRPr="00D63056" w:rsidRDefault="00D61F12" w:rsidP="00D61F12">
      <w:pPr>
        <w:pStyle w:val="body"/>
        <w:numPr>
          <w:ilvl w:val="0"/>
          <w:numId w:val="26"/>
        </w:numPr>
      </w:pPr>
      <w:r w:rsidRPr="00D63056">
        <w:t>Hastings</w:t>
      </w:r>
    </w:p>
    <w:p w:rsidR="00D61F12" w:rsidRPr="00D63056" w:rsidRDefault="00D61F12" w:rsidP="00D61F12">
      <w:pPr>
        <w:pStyle w:val="body"/>
        <w:numPr>
          <w:ilvl w:val="0"/>
          <w:numId w:val="26"/>
        </w:numPr>
      </w:pPr>
      <w:r w:rsidRPr="00D63056">
        <w:t>Hawthorn-Glenferrie Road</w:t>
      </w:r>
    </w:p>
    <w:p w:rsidR="00D61F12" w:rsidRPr="00D63056" w:rsidRDefault="00D61F12" w:rsidP="00D61F12">
      <w:pPr>
        <w:pStyle w:val="body"/>
        <w:numPr>
          <w:ilvl w:val="0"/>
          <w:numId w:val="26"/>
        </w:numPr>
      </w:pPr>
      <w:r w:rsidRPr="00D63056">
        <w:t>Heidelberg</w:t>
      </w:r>
    </w:p>
    <w:p w:rsidR="00D61F12" w:rsidRPr="00D63056" w:rsidRDefault="00D61F12" w:rsidP="00D61F12">
      <w:pPr>
        <w:pStyle w:val="body"/>
        <w:numPr>
          <w:ilvl w:val="0"/>
          <w:numId w:val="26"/>
        </w:numPr>
      </w:pPr>
      <w:r w:rsidRPr="00D63056">
        <w:t>Hoppers Crossing</w:t>
      </w:r>
    </w:p>
    <w:p w:rsidR="00D61F12" w:rsidRPr="00D63056" w:rsidRDefault="00D61F12" w:rsidP="00D61F12">
      <w:pPr>
        <w:pStyle w:val="body"/>
        <w:numPr>
          <w:ilvl w:val="0"/>
          <w:numId w:val="26"/>
        </w:numPr>
      </w:pPr>
      <w:r w:rsidRPr="00D63056">
        <w:t>Ivanhoe</w:t>
      </w:r>
    </w:p>
    <w:p w:rsidR="00D61F12" w:rsidRPr="00D63056" w:rsidRDefault="00D61F12" w:rsidP="00D61F12">
      <w:pPr>
        <w:pStyle w:val="body"/>
        <w:numPr>
          <w:ilvl w:val="0"/>
          <w:numId w:val="26"/>
        </w:numPr>
      </w:pPr>
      <w:r w:rsidRPr="00D63056">
        <w:lastRenderedPageBreak/>
        <w:t>Karingal</w:t>
      </w:r>
    </w:p>
    <w:p w:rsidR="00D61F12" w:rsidRPr="00D63056" w:rsidRDefault="00D61F12" w:rsidP="00D61F12">
      <w:pPr>
        <w:pStyle w:val="body"/>
        <w:numPr>
          <w:ilvl w:val="0"/>
          <w:numId w:val="26"/>
        </w:numPr>
      </w:pPr>
      <w:r w:rsidRPr="00D63056">
        <w:t>Kew Junction</w:t>
      </w:r>
    </w:p>
    <w:p w:rsidR="00D61F12" w:rsidRPr="00D63056" w:rsidRDefault="00D61F12" w:rsidP="00D61F12">
      <w:pPr>
        <w:pStyle w:val="body"/>
        <w:numPr>
          <w:ilvl w:val="0"/>
          <w:numId w:val="26"/>
        </w:numPr>
      </w:pPr>
      <w:r w:rsidRPr="00D63056">
        <w:t>Keysborough-Parkmore</w:t>
      </w:r>
    </w:p>
    <w:p w:rsidR="00D61F12" w:rsidRPr="00D63056" w:rsidRDefault="00D61F12" w:rsidP="00D61F12">
      <w:pPr>
        <w:pStyle w:val="body"/>
        <w:numPr>
          <w:ilvl w:val="0"/>
          <w:numId w:val="26"/>
        </w:numPr>
      </w:pPr>
      <w:r w:rsidRPr="00D63056">
        <w:t>Lilydale</w:t>
      </w:r>
    </w:p>
    <w:p w:rsidR="00D61F12" w:rsidRPr="00D63056" w:rsidRDefault="00D61F12" w:rsidP="00D61F12">
      <w:pPr>
        <w:pStyle w:val="body"/>
        <w:numPr>
          <w:ilvl w:val="0"/>
          <w:numId w:val="26"/>
        </w:numPr>
      </w:pPr>
      <w:r w:rsidRPr="00D63056">
        <w:t>Malvern/Armadale</w:t>
      </w:r>
    </w:p>
    <w:p w:rsidR="00D61F12" w:rsidRPr="00D63056" w:rsidRDefault="00D61F12" w:rsidP="00D61F12">
      <w:pPr>
        <w:pStyle w:val="body"/>
        <w:numPr>
          <w:ilvl w:val="0"/>
          <w:numId w:val="26"/>
        </w:numPr>
      </w:pPr>
      <w:r w:rsidRPr="00D63056">
        <w:t>Manor Lakes</w:t>
      </w:r>
    </w:p>
    <w:p w:rsidR="00D61F12" w:rsidRPr="00D63056" w:rsidRDefault="00D61F12" w:rsidP="00D61F12">
      <w:pPr>
        <w:pStyle w:val="body"/>
        <w:numPr>
          <w:ilvl w:val="0"/>
          <w:numId w:val="26"/>
        </w:numPr>
      </w:pPr>
      <w:r w:rsidRPr="00D63056">
        <w:t>Maribyrnong-Highpoint</w:t>
      </w:r>
    </w:p>
    <w:p w:rsidR="00D61F12" w:rsidRPr="00D63056" w:rsidRDefault="00D61F12" w:rsidP="00D61F12">
      <w:pPr>
        <w:pStyle w:val="body"/>
        <w:numPr>
          <w:ilvl w:val="0"/>
          <w:numId w:val="26"/>
        </w:numPr>
      </w:pPr>
      <w:r w:rsidRPr="00D63056">
        <w:t>Melton</w:t>
      </w:r>
    </w:p>
    <w:p w:rsidR="00D61F12" w:rsidRPr="00D63056" w:rsidRDefault="00D61F12" w:rsidP="00D61F12">
      <w:pPr>
        <w:pStyle w:val="body"/>
        <w:numPr>
          <w:ilvl w:val="0"/>
          <w:numId w:val="26"/>
        </w:numPr>
      </w:pPr>
      <w:r w:rsidRPr="00D63056">
        <w:t>Melton-Woodgrove and Coburns Road</w:t>
      </w:r>
    </w:p>
    <w:p w:rsidR="00D61F12" w:rsidRPr="00D63056" w:rsidRDefault="00D61F12" w:rsidP="00D61F12">
      <w:pPr>
        <w:pStyle w:val="body"/>
        <w:numPr>
          <w:ilvl w:val="0"/>
          <w:numId w:val="26"/>
        </w:numPr>
      </w:pPr>
      <w:r w:rsidRPr="00D63056">
        <w:t>Mentone</w:t>
      </w:r>
    </w:p>
    <w:p w:rsidR="00D61F12" w:rsidRPr="00D63056" w:rsidRDefault="00D61F12" w:rsidP="00D61F12">
      <w:pPr>
        <w:pStyle w:val="body"/>
        <w:numPr>
          <w:ilvl w:val="0"/>
          <w:numId w:val="26"/>
        </w:numPr>
      </w:pPr>
      <w:r w:rsidRPr="00D63056">
        <w:t>Mernda</w:t>
      </w:r>
    </w:p>
    <w:p w:rsidR="00D61F12" w:rsidRPr="00D63056" w:rsidRDefault="00D61F12" w:rsidP="00D61F12">
      <w:pPr>
        <w:pStyle w:val="body"/>
        <w:numPr>
          <w:ilvl w:val="0"/>
          <w:numId w:val="26"/>
        </w:numPr>
      </w:pPr>
      <w:r w:rsidRPr="00D63056">
        <w:t>Moonee Ponds</w:t>
      </w:r>
    </w:p>
    <w:p w:rsidR="00D61F12" w:rsidRPr="00D63056" w:rsidRDefault="00D61F12" w:rsidP="00D61F12">
      <w:pPr>
        <w:pStyle w:val="body"/>
        <w:numPr>
          <w:ilvl w:val="0"/>
          <w:numId w:val="26"/>
        </w:numPr>
      </w:pPr>
      <w:r w:rsidRPr="00D63056">
        <w:t>Moorabbin</w:t>
      </w:r>
    </w:p>
    <w:p w:rsidR="00D61F12" w:rsidRPr="00D63056" w:rsidRDefault="00D61F12" w:rsidP="00D61F12">
      <w:pPr>
        <w:pStyle w:val="body"/>
        <w:numPr>
          <w:ilvl w:val="0"/>
          <w:numId w:val="26"/>
        </w:numPr>
      </w:pPr>
      <w:r w:rsidRPr="00D63056">
        <w:t>Mordialloc</w:t>
      </w:r>
    </w:p>
    <w:p w:rsidR="00D61F12" w:rsidRPr="00D63056" w:rsidRDefault="00D61F12" w:rsidP="00D61F12">
      <w:pPr>
        <w:pStyle w:val="body"/>
        <w:numPr>
          <w:ilvl w:val="0"/>
          <w:numId w:val="26"/>
        </w:numPr>
      </w:pPr>
      <w:r w:rsidRPr="00D63056">
        <w:t>Mornington</w:t>
      </w:r>
    </w:p>
    <w:p w:rsidR="00D61F12" w:rsidRPr="00D63056" w:rsidRDefault="00D61F12" w:rsidP="00D61F12">
      <w:pPr>
        <w:pStyle w:val="body"/>
        <w:numPr>
          <w:ilvl w:val="0"/>
          <w:numId w:val="26"/>
        </w:numPr>
      </w:pPr>
      <w:r w:rsidRPr="00D63056">
        <w:t>Mount Waverley</w:t>
      </w:r>
    </w:p>
    <w:p w:rsidR="00D61F12" w:rsidRPr="00D63056" w:rsidRDefault="00D61F12" w:rsidP="00D61F12">
      <w:pPr>
        <w:pStyle w:val="body"/>
        <w:numPr>
          <w:ilvl w:val="0"/>
          <w:numId w:val="26"/>
        </w:numPr>
      </w:pPr>
      <w:r w:rsidRPr="00D63056">
        <w:t>Mountain Gate</w:t>
      </w:r>
    </w:p>
    <w:p w:rsidR="00D61F12" w:rsidRPr="00D63056" w:rsidRDefault="00D61F12" w:rsidP="00D61F12">
      <w:pPr>
        <w:pStyle w:val="body"/>
        <w:numPr>
          <w:ilvl w:val="0"/>
          <w:numId w:val="26"/>
        </w:numPr>
      </w:pPr>
      <w:r w:rsidRPr="00D63056">
        <w:t>Niddrie-Keilor Road</w:t>
      </w:r>
    </w:p>
    <w:p w:rsidR="00D61F12" w:rsidRPr="00D63056" w:rsidRDefault="00D61F12" w:rsidP="00D61F12">
      <w:pPr>
        <w:pStyle w:val="body"/>
        <w:numPr>
          <w:ilvl w:val="0"/>
          <w:numId w:val="26"/>
        </w:numPr>
      </w:pPr>
      <w:r w:rsidRPr="00D63056">
        <w:t>Noble Park</w:t>
      </w:r>
    </w:p>
    <w:p w:rsidR="00D61F12" w:rsidRPr="00D63056" w:rsidRDefault="00D61F12" w:rsidP="00D61F12">
      <w:pPr>
        <w:pStyle w:val="body"/>
        <w:numPr>
          <w:ilvl w:val="0"/>
          <w:numId w:val="26"/>
        </w:numPr>
      </w:pPr>
      <w:r w:rsidRPr="00D63056">
        <w:t>North Essendon</w:t>
      </w:r>
    </w:p>
    <w:p w:rsidR="00D61F12" w:rsidRPr="00D63056" w:rsidRDefault="00D61F12" w:rsidP="00D61F12">
      <w:pPr>
        <w:pStyle w:val="body"/>
        <w:numPr>
          <w:ilvl w:val="0"/>
          <w:numId w:val="26"/>
        </w:numPr>
      </w:pPr>
      <w:r w:rsidRPr="00D63056">
        <w:t>Northcote</w:t>
      </w:r>
    </w:p>
    <w:p w:rsidR="00D61F12" w:rsidRPr="00D63056" w:rsidRDefault="00D61F12" w:rsidP="00D61F12">
      <w:pPr>
        <w:pStyle w:val="body"/>
        <w:numPr>
          <w:ilvl w:val="0"/>
          <w:numId w:val="26"/>
        </w:numPr>
      </w:pPr>
      <w:r w:rsidRPr="00D63056">
        <w:t>Nunawading</w:t>
      </w:r>
    </w:p>
    <w:p w:rsidR="00D61F12" w:rsidRPr="00D63056" w:rsidRDefault="00D61F12" w:rsidP="00D61F12">
      <w:pPr>
        <w:pStyle w:val="body"/>
        <w:numPr>
          <w:ilvl w:val="0"/>
          <w:numId w:val="26"/>
        </w:numPr>
      </w:pPr>
      <w:r w:rsidRPr="00D63056">
        <w:t>Oakleigh</w:t>
      </w:r>
    </w:p>
    <w:p w:rsidR="00D61F12" w:rsidRPr="00D63056" w:rsidRDefault="00D61F12" w:rsidP="00D61F12">
      <w:pPr>
        <w:pStyle w:val="body"/>
        <w:numPr>
          <w:ilvl w:val="0"/>
          <w:numId w:val="26"/>
        </w:numPr>
      </w:pPr>
      <w:r w:rsidRPr="00D63056">
        <w:t>Officer</w:t>
      </w:r>
    </w:p>
    <w:p w:rsidR="00D61F12" w:rsidRPr="00D63056" w:rsidRDefault="00D61F12" w:rsidP="00D61F12">
      <w:pPr>
        <w:pStyle w:val="body"/>
        <w:numPr>
          <w:ilvl w:val="0"/>
          <w:numId w:val="26"/>
        </w:numPr>
      </w:pPr>
      <w:r w:rsidRPr="00D63056">
        <w:t>Pakenham</w:t>
      </w:r>
    </w:p>
    <w:p w:rsidR="00D61F12" w:rsidRPr="00D63056" w:rsidRDefault="00D61F12" w:rsidP="00D61F12">
      <w:pPr>
        <w:pStyle w:val="body"/>
        <w:numPr>
          <w:ilvl w:val="0"/>
          <w:numId w:val="26"/>
        </w:numPr>
      </w:pPr>
      <w:r w:rsidRPr="00D63056">
        <w:lastRenderedPageBreak/>
        <w:t>Point Cook</w:t>
      </w:r>
    </w:p>
    <w:p w:rsidR="00D61F12" w:rsidRPr="00D63056" w:rsidRDefault="00D61F12" w:rsidP="00D61F12">
      <w:pPr>
        <w:pStyle w:val="body"/>
        <w:numPr>
          <w:ilvl w:val="0"/>
          <w:numId w:val="26"/>
        </w:numPr>
      </w:pPr>
      <w:r w:rsidRPr="00D63056">
        <w:t>Port Melbourne-Bay Street</w:t>
      </w:r>
    </w:p>
    <w:p w:rsidR="00D61F12" w:rsidRPr="00D63056" w:rsidRDefault="00D61F12" w:rsidP="00D61F12">
      <w:pPr>
        <w:pStyle w:val="body"/>
        <w:numPr>
          <w:ilvl w:val="0"/>
          <w:numId w:val="26"/>
        </w:numPr>
      </w:pPr>
      <w:r w:rsidRPr="00D63056">
        <w:t>Prahran/South Yarra</w:t>
      </w:r>
    </w:p>
    <w:p w:rsidR="00D61F12" w:rsidRPr="00D63056" w:rsidRDefault="00D61F12" w:rsidP="00D61F12">
      <w:pPr>
        <w:pStyle w:val="body"/>
        <w:numPr>
          <w:ilvl w:val="0"/>
          <w:numId w:val="26"/>
        </w:numPr>
      </w:pPr>
      <w:r w:rsidRPr="00D63056">
        <w:t>Preston-High Street</w:t>
      </w:r>
    </w:p>
    <w:p w:rsidR="00D61F12" w:rsidRPr="00D63056" w:rsidRDefault="00D61F12" w:rsidP="00D61F12">
      <w:pPr>
        <w:pStyle w:val="body"/>
        <w:numPr>
          <w:ilvl w:val="0"/>
          <w:numId w:val="26"/>
        </w:numPr>
      </w:pPr>
      <w:r w:rsidRPr="00D63056">
        <w:t>Preston-Northland</w:t>
      </w:r>
    </w:p>
    <w:p w:rsidR="00D61F12" w:rsidRPr="00D63056" w:rsidRDefault="00D61F12" w:rsidP="00D61F12">
      <w:pPr>
        <w:pStyle w:val="body"/>
        <w:numPr>
          <w:ilvl w:val="0"/>
          <w:numId w:val="26"/>
        </w:numPr>
      </w:pPr>
      <w:r w:rsidRPr="00D63056">
        <w:t>Reservoir</w:t>
      </w:r>
    </w:p>
    <w:p w:rsidR="00D61F12" w:rsidRPr="00D63056" w:rsidRDefault="00D61F12" w:rsidP="00D61F12">
      <w:pPr>
        <w:pStyle w:val="body"/>
        <w:numPr>
          <w:ilvl w:val="0"/>
          <w:numId w:val="26"/>
        </w:numPr>
      </w:pPr>
      <w:r w:rsidRPr="00D63056">
        <w:t>Richmond-Bridge Road</w:t>
      </w:r>
    </w:p>
    <w:p w:rsidR="00D61F12" w:rsidRPr="00D63056" w:rsidRDefault="00D61F12" w:rsidP="00D61F12">
      <w:pPr>
        <w:pStyle w:val="body"/>
        <w:numPr>
          <w:ilvl w:val="0"/>
          <w:numId w:val="26"/>
        </w:numPr>
      </w:pPr>
      <w:r w:rsidRPr="00D63056">
        <w:t>Richmond-Swan Street</w:t>
      </w:r>
    </w:p>
    <w:p w:rsidR="00D61F12" w:rsidRPr="00D63056" w:rsidRDefault="00D61F12" w:rsidP="00D61F12">
      <w:pPr>
        <w:pStyle w:val="body"/>
        <w:numPr>
          <w:ilvl w:val="0"/>
          <w:numId w:val="26"/>
        </w:numPr>
      </w:pPr>
      <w:r w:rsidRPr="00D63056">
        <w:t>Richmond-Victoria Street</w:t>
      </w:r>
    </w:p>
    <w:p w:rsidR="00D61F12" w:rsidRPr="00D63056" w:rsidRDefault="00D61F12" w:rsidP="00D61F12">
      <w:pPr>
        <w:pStyle w:val="body"/>
        <w:numPr>
          <w:ilvl w:val="0"/>
          <w:numId w:val="26"/>
        </w:numPr>
      </w:pPr>
      <w:r w:rsidRPr="00D63056">
        <w:t>Rosebud</w:t>
      </w:r>
    </w:p>
    <w:p w:rsidR="00D61F12" w:rsidRPr="00D63056" w:rsidRDefault="00D61F12" w:rsidP="00D61F12">
      <w:pPr>
        <w:pStyle w:val="body"/>
        <w:numPr>
          <w:ilvl w:val="0"/>
          <w:numId w:val="26"/>
        </w:numPr>
      </w:pPr>
      <w:r w:rsidRPr="00D63056">
        <w:t>Rowville-Stud Park</w:t>
      </w:r>
    </w:p>
    <w:p w:rsidR="00D61F12" w:rsidRPr="00D63056" w:rsidRDefault="00D61F12" w:rsidP="00D61F12">
      <w:pPr>
        <w:pStyle w:val="body"/>
        <w:numPr>
          <w:ilvl w:val="0"/>
          <w:numId w:val="26"/>
        </w:numPr>
      </w:pPr>
      <w:r w:rsidRPr="00D63056">
        <w:t>Roxburgh Park</w:t>
      </w:r>
    </w:p>
    <w:p w:rsidR="00D61F12" w:rsidRPr="00D63056" w:rsidRDefault="00D61F12" w:rsidP="00D61F12">
      <w:pPr>
        <w:pStyle w:val="body"/>
        <w:numPr>
          <w:ilvl w:val="0"/>
          <w:numId w:val="26"/>
        </w:numPr>
      </w:pPr>
      <w:r w:rsidRPr="00D63056">
        <w:t>Sandringham</w:t>
      </w:r>
    </w:p>
    <w:p w:rsidR="00D61F12" w:rsidRPr="00D63056" w:rsidRDefault="00D61F12" w:rsidP="00D61F12">
      <w:pPr>
        <w:pStyle w:val="body"/>
        <w:numPr>
          <w:ilvl w:val="0"/>
          <w:numId w:val="26"/>
        </w:numPr>
      </w:pPr>
      <w:r w:rsidRPr="00D63056">
        <w:t>South Melbourne</w:t>
      </w:r>
    </w:p>
    <w:p w:rsidR="00D61F12" w:rsidRPr="00D63056" w:rsidRDefault="00D61F12" w:rsidP="00D61F12">
      <w:pPr>
        <w:pStyle w:val="body"/>
        <w:numPr>
          <w:ilvl w:val="0"/>
          <w:numId w:val="26"/>
        </w:numPr>
      </w:pPr>
      <w:r w:rsidRPr="00D63056">
        <w:t>South Morang</w:t>
      </w:r>
    </w:p>
    <w:p w:rsidR="00D61F12" w:rsidRPr="00D63056" w:rsidRDefault="00D61F12" w:rsidP="00D61F12">
      <w:pPr>
        <w:pStyle w:val="body"/>
        <w:numPr>
          <w:ilvl w:val="0"/>
          <w:numId w:val="26"/>
        </w:numPr>
      </w:pPr>
      <w:r w:rsidRPr="00D63056">
        <w:t>Springvale</w:t>
      </w:r>
    </w:p>
    <w:p w:rsidR="00D61F12" w:rsidRPr="00D63056" w:rsidRDefault="00D61F12" w:rsidP="00D61F12">
      <w:pPr>
        <w:pStyle w:val="body"/>
        <w:numPr>
          <w:ilvl w:val="0"/>
          <w:numId w:val="26"/>
        </w:numPr>
      </w:pPr>
      <w:r w:rsidRPr="00D63056">
        <w:t>St Albans</w:t>
      </w:r>
    </w:p>
    <w:p w:rsidR="00D61F12" w:rsidRPr="00D63056" w:rsidRDefault="00D61F12" w:rsidP="00D61F12">
      <w:pPr>
        <w:pStyle w:val="body"/>
        <w:numPr>
          <w:ilvl w:val="0"/>
          <w:numId w:val="26"/>
        </w:numPr>
      </w:pPr>
      <w:r w:rsidRPr="00D63056">
        <w:t>St Kilda</w:t>
      </w:r>
    </w:p>
    <w:p w:rsidR="00D61F12" w:rsidRPr="00D63056" w:rsidRDefault="00D61F12" w:rsidP="00D61F12">
      <w:pPr>
        <w:pStyle w:val="body"/>
        <w:numPr>
          <w:ilvl w:val="0"/>
          <w:numId w:val="26"/>
        </w:numPr>
      </w:pPr>
      <w:r w:rsidRPr="00D63056">
        <w:t>Sunbury</w:t>
      </w:r>
    </w:p>
    <w:p w:rsidR="00D61F12" w:rsidRPr="00D63056" w:rsidRDefault="00D61F12" w:rsidP="00D61F12">
      <w:pPr>
        <w:pStyle w:val="body"/>
        <w:numPr>
          <w:ilvl w:val="0"/>
          <w:numId w:val="26"/>
        </w:numPr>
      </w:pPr>
      <w:r w:rsidRPr="00D63056">
        <w:t>Sydenham</w:t>
      </w:r>
    </w:p>
    <w:p w:rsidR="00D61F12" w:rsidRPr="00D63056" w:rsidRDefault="00D61F12" w:rsidP="00D61F12">
      <w:pPr>
        <w:pStyle w:val="body"/>
        <w:numPr>
          <w:ilvl w:val="0"/>
          <w:numId w:val="26"/>
        </w:numPr>
      </w:pPr>
      <w:r w:rsidRPr="00D63056">
        <w:t>Tarneit</w:t>
      </w:r>
    </w:p>
    <w:p w:rsidR="00D61F12" w:rsidRPr="00D63056" w:rsidRDefault="00D61F12" w:rsidP="00D61F12">
      <w:pPr>
        <w:pStyle w:val="body"/>
        <w:numPr>
          <w:ilvl w:val="0"/>
          <w:numId w:val="26"/>
        </w:numPr>
      </w:pPr>
      <w:r w:rsidRPr="00D63056">
        <w:t>Toorak Village</w:t>
      </w:r>
    </w:p>
    <w:p w:rsidR="00D61F12" w:rsidRPr="00D63056" w:rsidRDefault="00D61F12" w:rsidP="00D61F12">
      <w:pPr>
        <w:pStyle w:val="body"/>
        <w:numPr>
          <w:ilvl w:val="0"/>
          <w:numId w:val="26"/>
        </w:numPr>
      </w:pPr>
      <w:r w:rsidRPr="00D63056">
        <w:t>Wantirna South-Knox Central</w:t>
      </w:r>
    </w:p>
    <w:p w:rsidR="00D61F12" w:rsidRPr="00D63056" w:rsidRDefault="00D61F12" w:rsidP="00D61F12">
      <w:pPr>
        <w:pStyle w:val="body"/>
        <w:numPr>
          <w:ilvl w:val="0"/>
          <w:numId w:val="26"/>
        </w:numPr>
      </w:pPr>
      <w:r w:rsidRPr="00D63056">
        <w:t>Werribee</w:t>
      </w:r>
    </w:p>
    <w:p w:rsidR="00D61F12" w:rsidRPr="00D63056" w:rsidRDefault="00D61F12" w:rsidP="00D61F12">
      <w:pPr>
        <w:pStyle w:val="body"/>
        <w:numPr>
          <w:ilvl w:val="0"/>
          <w:numId w:val="26"/>
        </w:numPr>
      </w:pPr>
      <w:r w:rsidRPr="00D63056">
        <w:t>Werribee Plaza</w:t>
      </w:r>
    </w:p>
    <w:p w:rsidR="00D61F12" w:rsidRPr="00D63056" w:rsidRDefault="00D61F12" w:rsidP="00D61F12">
      <w:pPr>
        <w:pStyle w:val="body"/>
        <w:numPr>
          <w:ilvl w:val="0"/>
          <w:numId w:val="26"/>
        </w:numPr>
      </w:pPr>
      <w:r w:rsidRPr="00D63056">
        <w:lastRenderedPageBreak/>
        <w:t>Williams Landing</w:t>
      </w:r>
    </w:p>
    <w:p w:rsidR="00D61F12" w:rsidRPr="00BC0446" w:rsidRDefault="00D61F12" w:rsidP="00D61F12">
      <w:pPr>
        <w:pStyle w:val="body"/>
        <w:numPr>
          <w:ilvl w:val="0"/>
          <w:numId w:val="26"/>
        </w:numPr>
      </w:pPr>
      <w:r w:rsidRPr="00D63056">
        <w:t>Williamstown</w:t>
      </w:r>
    </w:p>
    <w:p w:rsidR="00D61F12" w:rsidRPr="00C06F67" w:rsidRDefault="00D61F12" w:rsidP="00D61F12">
      <w:pPr>
        <w:pStyle w:val="body"/>
      </w:pPr>
      <w:r w:rsidRPr="00C06F67">
        <w:t>Future</w:t>
      </w:r>
      <w:r>
        <w:t xml:space="preserve"> Major </w:t>
      </w:r>
      <w:r w:rsidRPr="00BC0446">
        <w:t>Activity Centres</w:t>
      </w:r>
    </w:p>
    <w:p w:rsidR="00D61F12" w:rsidRPr="00D63056" w:rsidRDefault="00D61F12" w:rsidP="00D61F12">
      <w:pPr>
        <w:pStyle w:val="body"/>
        <w:numPr>
          <w:ilvl w:val="0"/>
          <w:numId w:val="27"/>
        </w:numPr>
      </w:pPr>
      <w:r w:rsidRPr="00D63056">
        <w:t>Beveridge</w:t>
      </w:r>
    </w:p>
    <w:p w:rsidR="00D61F12" w:rsidRPr="00D63056" w:rsidRDefault="00D61F12" w:rsidP="00D61F12">
      <w:pPr>
        <w:pStyle w:val="body"/>
        <w:numPr>
          <w:ilvl w:val="0"/>
          <w:numId w:val="27"/>
        </w:numPr>
      </w:pPr>
      <w:r w:rsidRPr="00D63056">
        <w:t>Clyde</w:t>
      </w:r>
    </w:p>
    <w:p w:rsidR="00D61F12" w:rsidRPr="00D63056" w:rsidRDefault="00D61F12" w:rsidP="00D61F12">
      <w:pPr>
        <w:pStyle w:val="body"/>
        <w:numPr>
          <w:ilvl w:val="0"/>
          <w:numId w:val="27"/>
        </w:numPr>
      </w:pPr>
      <w:r w:rsidRPr="00D63056">
        <w:t>Clyde North</w:t>
      </w:r>
      <w:r>
        <w:t xml:space="preserve"> </w:t>
      </w:r>
    </w:p>
    <w:p w:rsidR="00D61F12" w:rsidRPr="00D63056" w:rsidRDefault="00D61F12" w:rsidP="00D61F12">
      <w:pPr>
        <w:pStyle w:val="body"/>
        <w:numPr>
          <w:ilvl w:val="0"/>
          <w:numId w:val="27"/>
        </w:numPr>
      </w:pPr>
      <w:r w:rsidRPr="00D63056">
        <w:t>Hopkins Rd</w:t>
      </w:r>
    </w:p>
    <w:p w:rsidR="00D61F12" w:rsidRPr="00D63056" w:rsidRDefault="00D61F12" w:rsidP="00D61F12">
      <w:pPr>
        <w:pStyle w:val="body"/>
        <w:numPr>
          <w:ilvl w:val="0"/>
          <w:numId w:val="27"/>
        </w:numPr>
      </w:pPr>
      <w:r w:rsidRPr="00D63056">
        <w:t>Mickleham</w:t>
      </w:r>
    </w:p>
    <w:p w:rsidR="00D61F12" w:rsidRPr="00D63056" w:rsidRDefault="00D61F12" w:rsidP="00D61F12">
      <w:pPr>
        <w:pStyle w:val="body"/>
        <w:numPr>
          <w:ilvl w:val="0"/>
          <w:numId w:val="27"/>
        </w:numPr>
      </w:pPr>
      <w:r w:rsidRPr="00D63056">
        <w:t>Plumpton</w:t>
      </w:r>
    </w:p>
    <w:p w:rsidR="00D61F12" w:rsidRPr="00D63056" w:rsidRDefault="00D61F12" w:rsidP="00D61F12">
      <w:pPr>
        <w:pStyle w:val="body"/>
        <w:numPr>
          <w:ilvl w:val="0"/>
          <w:numId w:val="27"/>
        </w:numPr>
      </w:pPr>
      <w:r w:rsidRPr="00D63056">
        <w:t>Riverdale</w:t>
      </w:r>
    </w:p>
    <w:p w:rsidR="00D61F12" w:rsidRPr="00D63056" w:rsidRDefault="00D61F12" w:rsidP="00D61F12">
      <w:pPr>
        <w:pStyle w:val="body"/>
        <w:numPr>
          <w:ilvl w:val="0"/>
          <w:numId w:val="27"/>
        </w:numPr>
      </w:pPr>
      <w:r w:rsidRPr="00D63056">
        <w:t>Rockbank</w:t>
      </w:r>
    </w:p>
    <w:p w:rsidR="00D61F12" w:rsidRPr="00D63056" w:rsidRDefault="00D61F12" w:rsidP="00D61F12">
      <w:pPr>
        <w:pStyle w:val="body"/>
        <w:numPr>
          <w:ilvl w:val="0"/>
          <w:numId w:val="27"/>
        </w:numPr>
      </w:pPr>
      <w:r w:rsidRPr="00D63056">
        <w:t>Rockbank North</w:t>
      </w:r>
    </w:p>
    <w:p w:rsidR="00D61F12" w:rsidRPr="00D63056" w:rsidRDefault="00D61F12" w:rsidP="00D61F12">
      <w:pPr>
        <w:pStyle w:val="body"/>
        <w:numPr>
          <w:ilvl w:val="0"/>
          <w:numId w:val="27"/>
        </w:numPr>
      </w:pPr>
      <w:r w:rsidRPr="00D63056">
        <w:t>Sunbury South</w:t>
      </w:r>
    </w:p>
    <w:p w:rsidR="00D61F12" w:rsidRPr="00D63056" w:rsidRDefault="00D61F12" w:rsidP="00D61F12">
      <w:pPr>
        <w:pStyle w:val="body"/>
        <w:numPr>
          <w:ilvl w:val="0"/>
          <w:numId w:val="27"/>
        </w:numPr>
      </w:pPr>
      <w:r w:rsidRPr="00D63056">
        <w:t>Wallan</w:t>
      </w:r>
    </w:p>
    <w:p w:rsidR="00D61F12" w:rsidRDefault="00D61F12" w:rsidP="00D61F12">
      <w:pPr>
        <w:pStyle w:val="body"/>
        <w:numPr>
          <w:ilvl w:val="0"/>
          <w:numId w:val="27"/>
        </w:numPr>
      </w:pPr>
      <w:r w:rsidRPr="00D63056">
        <w:t>Wollert</w:t>
      </w:r>
    </w:p>
    <w:p w:rsidR="00D61F12" w:rsidRPr="00304C80" w:rsidRDefault="00D61F12" w:rsidP="00D61F12">
      <w:pPr>
        <w:pStyle w:val="body"/>
      </w:pPr>
      <w:r w:rsidRPr="00304C80">
        <w:t>* Each of these centres has different development potential and is subject to local strategic planning.</w:t>
      </w:r>
    </w:p>
    <w:p w:rsidR="00D61F12" w:rsidRPr="00304C80" w:rsidRDefault="00D61F12" w:rsidP="00D61F12">
      <w:pPr>
        <w:pStyle w:val="body"/>
        <w:sectPr w:rsidR="00D61F12" w:rsidRPr="00304C80" w:rsidSect="00105FD7">
          <w:headerReference w:type="default" r:id="rId11"/>
          <w:footerReference w:type="default" r:id="rId12"/>
          <w:endnotePr>
            <w:numFmt w:val="decimal"/>
          </w:endnotePr>
          <w:pgSz w:w="11906" w:h="16838"/>
          <w:pgMar w:top="1440" w:right="1440" w:bottom="1440" w:left="1701" w:header="425" w:footer="709" w:gutter="0"/>
          <w:cols w:space="708"/>
          <w:docGrid w:linePitch="360"/>
        </w:sectPr>
      </w:pPr>
    </w:p>
    <w:p w:rsidR="00D61F12" w:rsidRPr="00996F94" w:rsidRDefault="00D61F12" w:rsidP="00D61F12">
      <w:pPr>
        <w:spacing w:after="0"/>
        <w:rPr>
          <w:rFonts w:ascii="Calibri" w:eastAsia="Times New Roman" w:hAnsi="Calibri" w:cs="Times New Roman"/>
          <w:b/>
          <w:color w:val="000000"/>
          <w:sz w:val="16"/>
          <w:szCs w:val="16"/>
        </w:rPr>
      </w:pPr>
    </w:p>
    <w:p w:rsidR="00D61F12" w:rsidRPr="009A2EF4" w:rsidRDefault="00D61F12" w:rsidP="00D61F12">
      <w:pPr>
        <w:pStyle w:val="Heading3"/>
      </w:pPr>
      <w:r w:rsidRPr="009A2EF4">
        <w:t xml:space="preserve">Policy </w:t>
      </w:r>
      <w:r>
        <w:t>2</w:t>
      </w:r>
      <w:r w:rsidRPr="009A2EF4">
        <w:t>.2.1</w:t>
      </w:r>
      <w:r w:rsidRPr="009A2EF4">
        <w:tab/>
        <w:t xml:space="preserve">Facilitate </w:t>
      </w:r>
      <w:r>
        <w:t xml:space="preserve">well-designed, </w:t>
      </w:r>
      <w:r w:rsidRPr="009A2EF4">
        <w:t>high-density residential development</w:t>
      </w:r>
      <w:r>
        <w:t>s</w:t>
      </w:r>
      <w:r w:rsidRPr="009A2EF4">
        <w:t xml:space="preserve"> </w:t>
      </w:r>
      <w:r>
        <w:t>that support a vibrant public realm</w:t>
      </w:r>
      <w:r w:rsidRPr="009A2EF4">
        <w:t xml:space="preserve"> in Melbourne's </w:t>
      </w:r>
      <w:r>
        <w:t>c</w:t>
      </w:r>
      <w:r w:rsidRPr="009A2EF4">
        <w:t xml:space="preserve">entral </w:t>
      </w:r>
      <w:r>
        <w:t>c</w:t>
      </w:r>
      <w:r w:rsidRPr="009A2EF4">
        <w:t>ity</w:t>
      </w:r>
      <w:bookmarkEnd w:id="51"/>
      <w:bookmarkEnd w:id="52"/>
      <w:bookmarkEnd w:id="53"/>
      <w:r>
        <w:t xml:space="preserve"> </w:t>
      </w:r>
    </w:p>
    <w:p w:rsidR="00D61F12" w:rsidRPr="009A2EF4" w:rsidRDefault="00D61F12" w:rsidP="00D61F12">
      <w:pPr>
        <w:pStyle w:val="body"/>
      </w:pPr>
      <w:r w:rsidRPr="009A2EF4">
        <w:t>Directing population and housing growth into defined</w:t>
      </w:r>
      <w:r>
        <w:t xml:space="preserve"> </w:t>
      </w:r>
      <w:r w:rsidRPr="009A2EF4">
        <w:t xml:space="preserve">change areas will enable </w:t>
      </w:r>
      <w:r>
        <w:t>the Victorian Government</w:t>
      </w:r>
      <w:r w:rsidRPr="009A2EF4">
        <w:t xml:space="preserve"> to work with local governments, developers and stakeholders to create sustainable, liveable and attractive places that appeal to a range of households</w:t>
      </w:r>
      <w:r>
        <w:t>—</w:t>
      </w:r>
      <w:r w:rsidRPr="009A2EF4">
        <w:t>including families with children and older- and single-person households.</w:t>
      </w:r>
    </w:p>
    <w:p w:rsidR="00D61F12" w:rsidRPr="009A2EF4" w:rsidRDefault="00D61F12" w:rsidP="00D61F12">
      <w:pPr>
        <w:pStyle w:val="body"/>
      </w:pPr>
      <w:r>
        <w:t xml:space="preserve">A number of major urban renewal precincts have been identified in the central city (as shown on Map 4). </w:t>
      </w:r>
      <w:r w:rsidRPr="009A2EF4">
        <w:t xml:space="preserve">Maximising development opportunities of these precincts will minimise the need </w:t>
      </w:r>
      <w:r>
        <w:t>to</w:t>
      </w:r>
      <w:r w:rsidRPr="009A2EF4">
        <w:t xml:space="preserve"> increas</w:t>
      </w:r>
      <w:r>
        <w:t>e</w:t>
      </w:r>
      <w:r w:rsidRPr="009A2EF4">
        <w:t xml:space="preserve"> residential densities in other </w:t>
      </w:r>
      <w:r>
        <w:t>parts</w:t>
      </w:r>
      <w:r w:rsidRPr="009A2EF4">
        <w:t xml:space="preserve"> of the city. The sequencing of infrastructure within these precincts will maximise their development potential</w:t>
      </w:r>
      <w:r>
        <w:t xml:space="preserve"> and provide timely services and amenities for residents</w:t>
      </w:r>
      <w:r w:rsidRPr="009A2EF4">
        <w:t>.</w:t>
      </w:r>
    </w:p>
    <w:p w:rsidR="00D61F12" w:rsidRPr="009A2EF4" w:rsidRDefault="00D61F12" w:rsidP="00D61F12">
      <w:pPr>
        <w:pStyle w:val="body"/>
      </w:pPr>
      <w:r>
        <w:t xml:space="preserve">There is a need to find </w:t>
      </w:r>
      <w:r w:rsidRPr="009A2EF4">
        <w:t xml:space="preserve">ways to </w:t>
      </w:r>
      <w:r>
        <w:t xml:space="preserve">give </w:t>
      </w:r>
      <w:r w:rsidRPr="009A2EF4">
        <w:t xml:space="preserve">the market </w:t>
      </w:r>
      <w:r>
        <w:t xml:space="preserve">some </w:t>
      </w:r>
      <w:r w:rsidRPr="009A2EF4">
        <w:t>flexibility to maximise development opportunities</w:t>
      </w:r>
      <w:r>
        <w:t xml:space="preserve">. For instance, </w:t>
      </w:r>
      <w:r w:rsidRPr="009A2EF4">
        <w:t xml:space="preserve">additional development rights </w:t>
      </w:r>
      <w:r>
        <w:t xml:space="preserve">could </w:t>
      </w:r>
      <w:r w:rsidRPr="009A2EF4">
        <w:t xml:space="preserve">be granted in exchange for the provision of additional amenity in the </w:t>
      </w:r>
      <w:r>
        <w:t>central city</w:t>
      </w:r>
      <w:r w:rsidRPr="009A2EF4">
        <w:t xml:space="preserve"> and other key urban</w:t>
      </w:r>
      <w:r>
        <w:t xml:space="preserve"> </w:t>
      </w:r>
      <w:r w:rsidRPr="009A2EF4">
        <w:t>renewal and structure</w:t>
      </w:r>
      <w:r>
        <w:t xml:space="preserve"> </w:t>
      </w:r>
      <w:r w:rsidRPr="009A2EF4">
        <w:t>plan areas.</w:t>
      </w:r>
    </w:p>
    <w:p w:rsidR="00D61F12" w:rsidRPr="009A2EF4" w:rsidRDefault="00D61F12" w:rsidP="00D61F12">
      <w:pPr>
        <w:pStyle w:val="Heading3"/>
      </w:pPr>
      <w:bookmarkStart w:id="54" w:name="_Toc447119859"/>
      <w:bookmarkStart w:id="55" w:name="_Toc452983071"/>
      <w:bookmarkStart w:id="56" w:name="_Toc455736257"/>
      <w:bookmarkStart w:id="57" w:name="_Toc456272062"/>
      <w:bookmarkStart w:id="58" w:name="_Toc388869138"/>
      <w:r w:rsidRPr="009A2EF4">
        <w:t xml:space="preserve">Policy </w:t>
      </w:r>
      <w:r>
        <w:t>2</w:t>
      </w:r>
      <w:r w:rsidRPr="009A2EF4">
        <w:t>.2.2</w:t>
      </w:r>
      <w:r w:rsidRPr="009A2EF4">
        <w:tab/>
        <w:t>Direct new housing and mixed</w:t>
      </w:r>
      <w:r>
        <w:t>-</w:t>
      </w:r>
      <w:r w:rsidRPr="009A2EF4">
        <w:t>use development to urban</w:t>
      </w:r>
      <w:r>
        <w:t xml:space="preserve"> </w:t>
      </w:r>
      <w:r w:rsidRPr="009A2EF4">
        <w:t>renewal precincts and sites</w:t>
      </w:r>
      <w:bookmarkEnd w:id="54"/>
      <w:bookmarkEnd w:id="55"/>
      <w:bookmarkEnd w:id="56"/>
      <w:bookmarkEnd w:id="57"/>
      <w:r>
        <w:t xml:space="preserve"> across Melbourne</w:t>
      </w:r>
    </w:p>
    <w:bookmarkEnd w:id="58"/>
    <w:p w:rsidR="00D61F12" w:rsidRPr="009A2EF4" w:rsidRDefault="00D61F12" w:rsidP="00D61F12">
      <w:pPr>
        <w:pStyle w:val="body"/>
      </w:pPr>
      <w:r>
        <w:t>The r</w:t>
      </w:r>
      <w:r w:rsidRPr="009A2EF4">
        <w:t>edevelopment of urban</w:t>
      </w:r>
      <w:r>
        <w:t xml:space="preserve"> </w:t>
      </w:r>
      <w:r w:rsidRPr="009A2EF4">
        <w:t xml:space="preserve">renewal precincts </w:t>
      </w:r>
      <w:r>
        <w:t xml:space="preserve">and sites </w:t>
      </w:r>
      <w:r w:rsidRPr="009A2EF4">
        <w:t>will creat</w:t>
      </w:r>
      <w:r>
        <w:t>e</w:t>
      </w:r>
      <w:r w:rsidRPr="009A2EF4">
        <w:t xml:space="preserve"> more diversity in the housing market</w:t>
      </w:r>
      <w:r>
        <w:t>—</w:t>
      </w:r>
      <w:r w:rsidRPr="009A2EF4">
        <w:t>including opportunities for affordable and social housing</w:t>
      </w:r>
      <w:r>
        <w:t>—</w:t>
      </w:r>
      <w:r w:rsidRPr="009A2EF4">
        <w:t xml:space="preserve">as well as more jobs and community services. </w:t>
      </w:r>
      <w:r>
        <w:t>U</w:t>
      </w:r>
      <w:r w:rsidRPr="009A2EF4">
        <w:t>rban</w:t>
      </w:r>
      <w:r>
        <w:t xml:space="preserve"> </w:t>
      </w:r>
      <w:r w:rsidRPr="009A2EF4">
        <w:t xml:space="preserve">renewal precincts </w:t>
      </w:r>
      <w:r>
        <w:t xml:space="preserve">will be </w:t>
      </w:r>
      <w:r w:rsidRPr="009A2EF4">
        <w:t>major source</w:t>
      </w:r>
      <w:r>
        <w:t>s</w:t>
      </w:r>
      <w:r w:rsidRPr="009A2EF4">
        <w:t xml:space="preserve"> of medium</w:t>
      </w:r>
      <w:r>
        <w:t>-</w:t>
      </w:r>
      <w:r w:rsidRPr="009A2EF4">
        <w:t xml:space="preserve"> and high</w:t>
      </w:r>
      <w:r>
        <w:t>er</w:t>
      </w:r>
      <w:r w:rsidRPr="009A2EF4">
        <w:t>-density mixed-use development.</w:t>
      </w:r>
    </w:p>
    <w:p w:rsidR="00D61F12" w:rsidRDefault="00D61F12" w:rsidP="00D61F12">
      <w:pPr>
        <w:pStyle w:val="body"/>
      </w:pPr>
      <w:r>
        <w:t xml:space="preserve">Additional urban renewal opportunities need to be identified through regional planning in partnership with the local government sector. </w:t>
      </w:r>
    </w:p>
    <w:p w:rsidR="00D61F12" w:rsidRPr="009A2EF4" w:rsidRDefault="00D61F12" w:rsidP="00D61F12">
      <w:pPr>
        <w:pStyle w:val="body"/>
      </w:pPr>
      <w:r>
        <w:t>L</w:t>
      </w:r>
      <w:r w:rsidRPr="009A2EF4">
        <w:t xml:space="preserve">ocal governments </w:t>
      </w:r>
      <w:r>
        <w:t>will be</w:t>
      </w:r>
      <w:r w:rsidRPr="009A2EF4">
        <w:t xml:space="preserve"> support</w:t>
      </w:r>
      <w:r>
        <w:t>ed</w:t>
      </w:r>
      <w:r w:rsidRPr="009A2EF4">
        <w:t xml:space="preserve"> to deliver outcomes at identified local urban</w:t>
      </w:r>
      <w:r>
        <w:t xml:space="preserve"> </w:t>
      </w:r>
      <w:r w:rsidRPr="009A2EF4">
        <w:t xml:space="preserve">renewal precincts and sites, particularly if </w:t>
      </w:r>
      <w:r>
        <w:t xml:space="preserve">they have </w:t>
      </w:r>
      <w:r w:rsidRPr="009A2EF4">
        <w:t>complex issues</w:t>
      </w:r>
      <w:r w:rsidRPr="000B47DE">
        <w:t xml:space="preserve"> </w:t>
      </w:r>
      <w:r w:rsidRPr="009A2EF4">
        <w:t>that need to be addressed such as site contamination.</w:t>
      </w:r>
    </w:p>
    <w:p w:rsidR="00D61F12" w:rsidRPr="009A2EF4" w:rsidRDefault="00D61F12" w:rsidP="00D61F12">
      <w:pPr>
        <w:pStyle w:val="Heading3"/>
      </w:pPr>
      <w:bookmarkStart w:id="59" w:name="_Toc452983072"/>
      <w:bookmarkStart w:id="60" w:name="_Toc455736258"/>
      <w:bookmarkStart w:id="61" w:name="_Toc456272063"/>
      <w:r w:rsidRPr="009A2EF4">
        <w:t xml:space="preserve">Policy </w:t>
      </w:r>
      <w:r>
        <w:t>2</w:t>
      </w:r>
      <w:r w:rsidRPr="009A2EF4">
        <w:t>.2.3</w:t>
      </w:r>
      <w:r w:rsidRPr="009A2EF4">
        <w:tab/>
        <w:t xml:space="preserve">Support new housing in </w:t>
      </w:r>
      <w:r>
        <w:t xml:space="preserve">activity centres and other </w:t>
      </w:r>
      <w:r w:rsidRPr="009A2EF4">
        <w:t>places that offer good access to jobs, services and public transport</w:t>
      </w:r>
      <w:bookmarkEnd w:id="59"/>
      <w:bookmarkEnd w:id="60"/>
      <w:bookmarkEnd w:id="61"/>
    </w:p>
    <w:p w:rsidR="00D61F12" w:rsidRDefault="00D61F12" w:rsidP="00D61F12">
      <w:pPr>
        <w:pStyle w:val="body"/>
      </w:pPr>
      <w:bookmarkStart w:id="62" w:name="_Toc447119858"/>
      <w:bookmarkStart w:id="63" w:name="_Toc388869136"/>
      <w:r w:rsidRPr="009A2EF4">
        <w:t>To support increased housing supply in established areas, it will be necessary to define locations best able to support increased densities.</w:t>
      </w:r>
      <w:r w:rsidRPr="00C02260">
        <w:t xml:space="preserve"> </w:t>
      </w:r>
    </w:p>
    <w:p w:rsidR="00D61F12" w:rsidRPr="009A2EF4" w:rsidRDefault="00D61F12" w:rsidP="00D61F12">
      <w:pPr>
        <w:pStyle w:val="body"/>
      </w:pPr>
      <w:r w:rsidRPr="009A2EF4">
        <w:t xml:space="preserve">Activity centres are usually well served with public transport and offer access to a range of services and facilities. </w:t>
      </w:r>
      <w:r>
        <w:t>Many</w:t>
      </w:r>
      <w:r w:rsidRPr="009A2EF4">
        <w:t xml:space="preserve"> </w:t>
      </w:r>
      <w:r>
        <w:t>activity centres can</w:t>
      </w:r>
      <w:r w:rsidRPr="009A2EF4">
        <w:t xml:space="preserve"> support additional housing growth</w:t>
      </w:r>
      <w:r>
        <w:t xml:space="preserve"> and will need flexibility, particularly where there is a significant population and household growth forecast.</w:t>
      </w:r>
    </w:p>
    <w:p w:rsidR="00D61F12" w:rsidRPr="009A2EF4" w:rsidRDefault="00D61F12" w:rsidP="00D61F12">
      <w:pPr>
        <w:pStyle w:val="body"/>
      </w:pPr>
      <w:bookmarkStart w:id="64" w:name="_Toc452983073"/>
      <w:bookmarkEnd w:id="62"/>
      <w:bookmarkEnd w:id="63"/>
      <w:r w:rsidRPr="009A2EF4">
        <w:lastRenderedPageBreak/>
        <w:t>Activity centres with the greatest potential to attract investment and support more medium</w:t>
      </w:r>
      <w:r>
        <w:t>-</w:t>
      </w:r>
      <w:r w:rsidRPr="009A2EF4">
        <w:t xml:space="preserve"> and higher</w:t>
      </w:r>
      <w:r>
        <w:t>-</w:t>
      </w:r>
      <w:r w:rsidRPr="009A2EF4">
        <w:t>density housing need to be identified</w:t>
      </w:r>
      <w:r>
        <w:t>. This should also include opportunities for the creation of new activity centres. Once identified,</w:t>
      </w:r>
      <w:r w:rsidRPr="009A2EF4">
        <w:t xml:space="preserve"> appropriate policies</w:t>
      </w:r>
      <w:r>
        <w:t>,</w:t>
      </w:r>
      <w:r w:rsidRPr="009A2EF4">
        <w:t xml:space="preserve"> provisions </w:t>
      </w:r>
      <w:r>
        <w:t xml:space="preserve">and guidelines must be developed and put </w:t>
      </w:r>
      <w:r w:rsidRPr="009A2EF4">
        <w:t xml:space="preserve">in place to </w:t>
      </w:r>
      <w:r>
        <w:t xml:space="preserve">encourage and </w:t>
      </w:r>
      <w:r w:rsidRPr="009A2EF4">
        <w:t xml:space="preserve">support </w:t>
      </w:r>
      <w:r>
        <w:t>planned growth</w:t>
      </w:r>
      <w:r w:rsidRPr="009A2EF4">
        <w:t>.</w:t>
      </w:r>
      <w:r>
        <w:t xml:space="preserve"> </w:t>
      </w:r>
    </w:p>
    <w:p w:rsidR="00D61F12" w:rsidRPr="009A2EF4" w:rsidRDefault="00D61F12" w:rsidP="00D61F12">
      <w:pPr>
        <w:pStyle w:val="Heading3"/>
      </w:pPr>
      <w:bookmarkStart w:id="65" w:name="_Toc455736259"/>
      <w:bookmarkStart w:id="66" w:name="_Toc456272064"/>
      <w:r w:rsidRPr="009A2EF4">
        <w:t xml:space="preserve">Policy </w:t>
      </w:r>
      <w:r>
        <w:t>2</w:t>
      </w:r>
      <w:r w:rsidRPr="009A2EF4">
        <w:t>.2.4</w:t>
      </w:r>
      <w:r w:rsidRPr="009A2EF4">
        <w:tab/>
        <w:t>Provide support and guidance for grey</w:t>
      </w:r>
      <w:r>
        <w:t>field</w:t>
      </w:r>
      <w:r w:rsidRPr="009A2EF4">
        <w:t xml:space="preserve"> areas </w:t>
      </w:r>
      <w:r>
        <w:t>to deliver</w:t>
      </w:r>
      <w:r w:rsidRPr="009A2EF4">
        <w:t xml:space="preserve"> more housing choice and diversity</w:t>
      </w:r>
      <w:bookmarkEnd w:id="64"/>
      <w:bookmarkEnd w:id="65"/>
      <w:bookmarkEnd w:id="66"/>
    </w:p>
    <w:p w:rsidR="00D61F12" w:rsidRPr="009A2EF4" w:rsidRDefault="00D61F12" w:rsidP="00D61F12">
      <w:pPr>
        <w:pStyle w:val="body"/>
      </w:pPr>
      <w:r w:rsidRPr="009A2EF4">
        <w:t>Greyfield</w:t>
      </w:r>
      <w:r>
        <w:t xml:space="preserve"> sites</w:t>
      </w:r>
      <w:r w:rsidRPr="009A2EF4">
        <w:t xml:space="preserve"> are residential areas where building stock is near </w:t>
      </w:r>
      <w:r>
        <w:t xml:space="preserve">the end of </w:t>
      </w:r>
      <w:r w:rsidRPr="009A2EF4">
        <w:t xml:space="preserve">its </w:t>
      </w:r>
      <w:r>
        <w:t xml:space="preserve">useful </w:t>
      </w:r>
      <w:r w:rsidRPr="009A2EF4">
        <w:t>life and land values make redevelopment attractive. Melbourne has many residential areas</w:t>
      </w:r>
      <w:r>
        <w:t xml:space="preserve"> that qualify as greyfield sites</w:t>
      </w:r>
      <w:r w:rsidRPr="009A2EF4">
        <w:t>, particularly in established middle and outer suburbs.</w:t>
      </w:r>
    </w:p>
    <w:p w:rsidR="00D61F12" w:rsidRDefault="00D61F12" w:rsidP="00D61F12">
      <w:pPr>
        <w:pStyle w:val="body"/>
      </w:pPr>
      <w:r w:rsidRPr="009A2EF4">
        <w:t xml:space="preserve">These areas often </w:t>
      </w:r>
      <w:r>
        <w:t xml:space="preserve">have </w:t>
      </w:r>
      <w:r w:rsidRPr="009A2EF4">
        <w:t>low</w:t>
      </w:r>
      <w:r>
        <w:t>-</w:t>
      </w:r>
      <w:r w:rsidRPr="009A2EF4">
        <w:t>density, detached housing on suburban</w:t>
      </w:r>
      <w:r>
        <w:t>-</w:t>
      </w:r>
      <w:r w:rsidRPr="009A2EF4">
        <w:t xml:space="preserve">sized allotments </w:t>
      </w:r>
      <w:r>
        <w:t xml:space="preserve">that have </w:t>
      </w:r>
      <w:r w:rsidRPr="009A2EF4">
        <w:t>good access to public transport and services.</w:t>
      </w:r>
    </w:p>
    <w:p w:rsidR="00D61F12" w:rsidRDefault="00D61F12" w:rsidP="00D61F12">
      <w:pPr>
        <w:pStyle w:val="body"/>
      </w:pPr>
      <w:r>
        <w:t xml:space="preserve">Up until now, the redevelopment of these areas has been generally uncoordinated and unplanned. That must change. Greyfield areas provide </w:t>
      </w:r>
      <w:r w:rsidRPr="009A2EF4">
        <w:t xml:space="preserve">an ideal opportunity for land consolidation </w:t>
      </w:r>
      <w:r>
        <w:t xml:space="preserve">and need to </w:t>
      </w:r>
      <w:r w:rsidRPr="009A2EF4">
        <w:t>be supported by a coordinated approach to planning that deliver</w:t>
      </w:r>
      <w:r>
        <w:t>s</w:t>
      </w:r>
      <w:r w:rsidRPr="009A2EF4">
        <w:t xml:space="preserve"> a greater mix and diversity of housing and provide</w:t>
      </w:r>
      <w:r>
        <w:t>s</w:t>
      </w:r>
      <w:r w:rsidRPr="009A2EF4">
        <w:t xml:space="preserve"> </w:t>
      </w:r>
      <w:r>
        <w:t xml:space="preserve">more </w:t>
      </w:r>
      <w:r w:rsidRPr="009A2EF4">
        <w:t xml:space="preserve">choice for </w:t>
      </w:r>
      <w:r>
        <w:t xml:space="preserve">people </w:t>
      </w:r>
      <w:r w:rsidRPr="009A2EF4">
        <w:t xml:space="preserve">already living </w:t>
      </w:r>
      <w:r>
        <w:t>in the area as well as for new residents.</w:t>
      </w:r>
    </w:p>
    <w:p w:rsidR="00D61F12" w:rsidRDefault="00D61F12" w:rsidP="00D61F12">
      <w:pPr>
        <w:pStyle w:val="body"/>
      </w:pPr>
      <w:r>
        <w:t xml:space="preserve">Methods of </w:t>
      </w:r>
      <w:r w:rsidRPr="009A2EF4">
        <w:t>identif</w:t>
      </w:r>
      <w:r>
        <w:t>ying</w:t>
      </w:r>
      <w:r w:rsidRPr="009A2EF4">
        <w:t xml:space="preserve"> and planning for grey</w:t>
      </w:r>
      <w:r>
        <w:t>field areas need to be developed</w:t>
      </w:r>
      <w:r w:rsidRPr="009A2EF4">
        <w:t>.</w:t>
      </w:r>
      <w:r>
        <w:t xml:space="preserve"> A more structured approach to greyfield areas will help </w:t>
      </w:r>
      <w:r w:rsidRPr="009A2EF4">
        <w:t>local government</w:t>
      </w:r>
      <w:r>
        <w:t>s</w:t>
      </w:r>
      <w:r w:rsidRPr="009A2EF4">
        <w:t xml:space="preserve"> and communit</w:t>
      </w:r>
      <w:r>
        <w:t>ies</w:t>
      </w:r>
      <w:r w:rsidRPr="009A2EF4">
        <w:t xml:space="preserve"> achieve more sustainable outcomes.</w:t>
      </w:r>
    </w:p>
    <w:p w:rsidR="00D61F12" w:rsidRPr="009A2EF4" w:rsidRDefault="00D61F12" w:rsidP="00D61F12">
      <w:pPr>
        <w:pStyle w:val="Heading3"/>
      </w:pPr>
      <w:bookmarkStart w:id="67" w:name="_Toc452983074"/>
      <w:bookmarkStart w:id="68" w:name="_Toc455736260"/>
      <w:bookmarkStart w:id="69" w:name="_Toc456272065"/>
      <w:r w:rsidRPr="009A2EF4">
        <w:t xml:space="preserve">Policy </w:t>
      </w:r>
      <w:r>
        <w:t>2</w:t>
      </w:r>
      <w:r w:rsidRPr="009A2EF4">
        <w:t>.2.5</w:t>
      </w:r>
      <w:r w:rsidRPr="009A2EF4">
        <w:tab/>
        <w:t>Require development in growth areas</w:t>
      </w:r>
      <w:bookmarkEnd w:id="67"/>
      <w:r w:rsidRPr="009A2EF4">
        <w:t xml:space="preserve"> to be sequenced and staged</w:t>
      </w:r>
      <w:bookmarkEnd w:id="68"/>
      <w:bookmarkEnd w:id="69"/>
      <w:r w:rsidRPr="00DA3DF4">
        <w:t xml:space="preserve"> </w:t>
      </w:r>
      <w:r w:rsidRPr="006219EC">
        <w:t>to better link infrastructure delivery to land release</w:t>
      </w:r>
    </w:p>
    <w:p w:rsidR="00D61F12" w:rsidRPr="003A7A17" w:rsidRDefault="00D61F12" w:rsidP="00D61F12">
      <w:pPr>
        <w:pStyle w:val="body"/>
      </w:pPr>
      <w:r>
        <w:t>G</w:t>
      </w:r>
      <w:r w:rsidRPr="003A7A17">
        <w:t xml:space="preserve">rowth areas </w:t>
      </w:r>
      <w:r>
        <w:t>have a</w:t>
      </w:r>
      <w:r w:rsidRPr="003A7A17">
        <w:t xml:space="preserve"> significant </w:t>
      </w:r>
      <w:r>
        <w:t>role to play in how</w:t>
      </w:r>
      <w:r w:rsidRPr="003A7A17">
        <w:t xml:space="preserve"> Melbourne's growth </w:t>
      </w:r>
      <w:r>
        <w:t xml:space="preserve">is managed </w:t>
      </w:r>
      <w:r w:rsidRPr="003A7A17">
        <w:t>and provide affordable housing options</w:t>
      </w:r>
      <w:r>
        <w:t xml:space="preserve"> to residents</w:t>
      </w:r>
      <w:r w:rsidRPr="003A7A17">
        <w:t xml:space="preserve">. </w:t>
      </w:r>
      <w:r>
        <w:t xml:space="preserve">As Figure 8 shows, </w:t>
      </w:r>
      <w:r w:rsidRPr="003A7A17">
        <w:t xml:space="preserve">Melbourne’s greenfield lots are the second cheapest </w:t>
      </w:r>
      <w:r>
        <w:t xml:space="preserve">among </w:t>
      </w:r>
      <w:r w:rsidRPr="003A7A17">
        <w:t>Australia</w:t>
      </w:r>
      <w:r>
        <w:t>’s capital cities</w:t>
      </w:r>
      <w:r w:rsidRPr="003A7A17">
        <w:t xml:space="preserve">. Comparative prices in Sydney are </w:t>
      </w:r>
      <w:r>
        <w:t xml:space="preserve">more than </w:t>
      </w:r>
      <w:r w:rsidRPr="003A7A17">
        <w:t xml:space="preserve">double Melbourne’s prices.  </w:t>
      </w:r>
    </w:p>
    <w:p w:rsidR="00D61F12" w:rsidRDefault="00D61F12" w:rsidP="00D61F12">
      <w:pPr>
        <w:pStyle w:val="body"/>
      </w:pPr>
      <w:r>
        <w:t>Melbourne’s growth areas have at least 25 years supply of greenfield residential land (undeveloped land on the fringe of the city). Of this, approximately 15 years land supply is ‘development ready’, being either zoned or having approved Precinct Structure Plans. Residential densities in recent years have increased from 15 dwellings per hectare to around 18 dwellings per hectare. If average densities continue to increase, this supply will last beyond 2050.</w:t>
      </w:r>
    </w:p>
    <w:p w:rsidR="00D61F12" w:rsidRDefault="00D61F12" w:rsidP="00D61F12">
      <w:pPr>
        <w:pStyle w:val="body"/>
      </w:pPr>
      <w:r>
        <w:t>Although</w:t>
      </w:r>
      <w:r w:rsidRPr="009A2EF4">
        <w:t xml:space="preserve"> Melbourne’s greenfield housing market perform</w:t>
      </w:r>
      <w:r>
        <w:t>s</w:t>
      </w:r>
      <w:r w:rsidRPr="009A2EF4">
        <w:t xml:space="preserve"> strongly, </w:t>
      </w:r>
      <w:r>
        <w:t xml:space="preserve">the </w:t>
      </w:r>
      <w:r w:rsidRPr="009A2EF4">
        <w:t xml:space="preserve">models for coordinating </w:t>
      </w:r>
      <w:r>
        <w:t xml:space="preserve">the </w:t>
      </w:r>
      <w:r w:rsidRPr="009A2EF4">
        <w:t>delivery of land supply and supporting infrastructure</w:t>
      </w:r>
      <w:r>
        <w:t xml:space="preserve"> can be improved</w:t>
      </w:r>
      <w:r w:rsidRPr="009A2EF4">
        <w:t>.</w:t>
      </w:r>
      <w:r>
        <w:t xml:space="preserve"> P</w:t>
      </w:r>
      <w:r w:rsidRPr="009A2EF4">
        <w:t>oor</w:t>
      </w:r>
      <w:r>
        <w:t xml:space="preserve">ly </w:t>
      </w:r>
      <w:r w:rsidRPr="009A2EF4">
        <w:t>managed release</w:t>
      </w:r>
      <w:r>
        <w:t>s</w:t>
      </w:r>
      <w:r w:rsidRPr="009A2EF4">
        <w:t xml:space="preserve"> of land can result in higher living costs</w:t>
      </w:r>
      <w:r>
        <w:t xml:space="preserve"> for residents</w:t>
      </w:r>
      <w:r w:rsidRPr="009A2EF4">
        <w:t xml:space="preserve">, </w:t>
      </w:r>
      <w:r>
        <w:t xml:space="preserve">as well as </w:t>
      </w:r>
      <w:r w:rsidRPr="009A2EF4">
        <w:t>limit</w:t>
      </w:r>
      <w:r>
        <w:t>ing</w:t>
      </w:r>
      <w:r w:rsidRPr="009A2EF4">
        <w:t xml:space="preserve"> access to workforce opportunities and education and health services. </w:t>
      </w:r>
    </w:p>
    <w:p w:rsidR="00D61F12" w:rsidRDefault="00D61F12" w:rsidP="00D61F12">
      <w:pPr>
        <w:pStyle w:val="body"/>
      </w:pPr>
      <w:r w:rsidRPr="004269A6">
        <w:lastRenderedPageBreak/>
        <w:t>An integrated approach to land</w:t>
      </w:r>
      <w:r>
        <w:t>-</w:t>
      </w:r>
      <w:r w:rsidRPr="004269A6">
        <w:t xml:space="preserve">use and transport planning </w:t>
      </w:r>
      <w:r>
        <w:t xml:space="preserve">helps </w:t>
      </w:r>
      <w:r w:rsidRPr="004269A6">
        <w:t>ensure infrastructure and essential services are delivered as areas develop. Initiatives such as growth areas infrastructure contributions to help fund substantial state infrastructure and improved transport service</w:t>
      </w:r>
      <w:r>
        <w:t>s</w:t>
      </w:r>
      <w:r w:rsidRPr="004269A6">
        <w:t>, including the Regional Rail Link and reservation for future transport corridors, can help deliver sustainable new communities.</w:t>
      </w:r>
    </w:p>
    <w:p w:rsidR="00D61F12" w:rsidRPr="009A2EF4" w:rsidRDefault="00D61F12" w:rsidP="00D61F12">
      <w:pPr>
        <w:pStyle w:val="body"/>
      </w:pPr>
      <w:r>
        <w:t>In the future, p</w:t>
      </w:r>
      <w:r w:rsidRPr="009A2EF4">
        <w:t xml:space="preserve">lanning </w:t>
      </w:r>
      <w:r>
        <w:t>and development of</w:t>
      </w:r>
      <w:r w:rsidRPr="009A2EF4">
        <w:t xml:space="preserve"> growth areas should:</w:t>
      </w:r>
    </w:p>
    <w:p w:rsidR="00D61F12" w:rsidRPr="009A2EF4" w:rsidRDefault="00D61F12" w:rsidP="00D61F12">
      <w:pPr>
        <w:pStyle w:val="body"/>
        <w:numPr>
          <w:ilvl w:val="0"/>
          <w:numId w:val="28"/>
        </w:numPr>
      </w:pPr>
      <w:r w:rsidRPr="009A2EF4">
        <w:t xml:space="preserve">provide </w:t>
      </w:r>
      <w:r>
        <w:t xml:space="preserve">around </w:t>
      </w:r>
      <w:r w:rsidRPr="009A2EF4">
        <w:t xml:space="preserve">15 years </w:t>
      </w:r>
      <w:r>
        <w:t xml:space="preserve">supply </w:t>
      </w:r>
      <w:r w:rsidRPr="009A2EF4">
        <w:t>of land approved for development</w:t>
      </w:r>
    </w:p>
    <w:p w:rsidR="00D61F12" w:rsidRPr="009A2EF4" w:rsidRDefault="00D61F12" w:rsidP="00D61F12">
      <w:pPr>
        <w:pStyle w:val="body"/>
        <w:numPr>
          <w:ilvl w:val="0"/>
          <w:numId w:val="28"/>
        </w:numPr>
      </w:pPr>
      <w:r w:rsidRPr="009A2EF4">
        <w:t xml:space="preserve">over time, </w:t>
      </w:r>
      <w:r>
        <w:t>seek</w:t>
      </w:r>
      <w:r w:rsidRPr="009A2EF4">
        <w:t xml:space="preserve"> an overall increase in residential densities </w:t>
      </w:r>
      <w:r>
        <w:t>to more than</w:t>
      </w:r>
      <w:r w:rsidRPr="009A2EF4">
        <w:t xml:space="preserve"> 20 dwellings per hectare</w:t>
      </w:r>
    </w:p>
    <w:p w:rsidR="00D61F12" w:rsidRPr="009A2EF4" w:rsidRDefault="00D61F12" w:rsidP="00D61F12">
      <w:pPr>
        <w:pStyle w:val="body"/>
        <w:numPr>
          <w:ilvl w:val="0"/>
          <w:numId w:val="28"/>
        </w:numPr>
      </w:pPr>
      <w:r w:rsidRPr="009A2EF4">
        <w:t>be sequenced to ensure new precincts are contiguous with previous</w:t>
      </w:r>
      <w:r>
        <w:t xml:space="preserve">ly </w:t>
      </w:r>
      <w:r w:rsidRPr="009A2EF4">
        <w:t>approved precincts</w:t>
      </w:r>
      <w:r>
        <w:t>.</w:t>
      </w:r>
    </w:p>
    <w:p w:rsidR="00D61F12" w:rsidRPr="009A2EF4" w:rsidRDefault="00D61F12" w:rsidP="00D61F12">
      <w:pPr>
        <w:pStyle w:val="body"/>
      </w:pPr>
      <w:r w:rsidRPr="009A2EF4">
        <w:t>This approach will link infrastructure delivery to land release</w:t>
      </w:r>
      <w:r>
        <w:t>, ensuring residents in new communities receive the services and infrastructure they need sooner. Coordinated planning such as this will help create stronger, healthier communities</w:t>
      </w:r>
      <w:r w:rsidRPr="009A2EF4">
        <w:t>.</w:t>
      </w:r>
    </w:p>
    <w:p w:rsidR="00D61F12" w:rsidRDefault="00D61F12" w:rsidP="00D61F12">
      <w:pPr>
        <w:pStyle w:val="Figurehead"/>
      </w:pPr>
      <w:bookmarkStart w:id="70" w:name="_Toc473109603"/>
      <w:bookmarkStart w:id="71" w:name="_Toc455736261"/>
      <w:bookmarkStart w:id="72" w:name="_Toc456272066"/>
      <w:bookmarkStart w:id="73" w:name="_Toc452983075"/>
      <w:r>
        <w:t xml:space="preserve">Figure </w:t>
      </w:r>
      <w:r>
        <w:fldChar w:fldCharType="begin"/>
      </w:r>
      <w:r>
        <w:instrText xml:space="preserve"> SEQ Figure \* ARABIC </w:instrText>
      </w:r>
      <w:r>
        <w:fldChar w:fldCharType="separate"/>
      </w:r>
      <w:r>
        <w:rPr>
          <w:noProof/>
        </w:rPr>
        <w:t>8</w:t>
      </w:r>
      <w:r>
        <w:rPr>
          <w:noProof/>
        </w:rPr>
        <w:fldChar w:fldCharType="end"/>
      </w:r>
      <w:r>
        <w:t xml:space="preserve"> Median l</w:t>
      </w:r>
      <w:r w:rsidRPr="00BC4E15">
        <w:t>ot</w:t>
      </w:r>
      <w:r>
        <w:t xml:space="preserve"> price by market, S</w:t>
      </w:r>
      <w:r w:rsidRPr="00BC4E15">
        <w:t>eptember 2016</w:t>
      </w:r>
      <w:bookmarkEnd w:id="70"/>
    </w:p>
    <w:p w:rsidR="00D61F12" w:rsidRPr="00BC4E15" w:rsidRDefault="00D61F12" w:rsidP="00D61F12">
      <w:pPr>
        <w:spacing w:after="0"/>
        <w:rPr>
          <w:rFonts w:ascii="Calibri" w:eastAsia="Times New Roman" w:hAnsi="Calibri" w:cs="Times New Roman"/>
          <w:szCs w:val="20"/>
          <w:lang w:eastAsia="en-US"/>
        </w:rPr>
      </w:pPr>
    </w:p>
    <w:p w:rsidR="00D61F12" w:rsidRPr="005A71C0" w:rsidRDefault="00D61F12" w:rsidP="00D61F12">
      <w:pPr>
        <w:pStyle w:val="Normalpre-dotpoint"/>
        <w:rPr>
          <w:rFonts w:asciiTheme="minorHAnsi" w:eastAsiaTheme="minorEastAsia" w:hAnsiTheme="minorHAnsi" w:cstheme="minorBidi"/>
          <w:szCs w:val="22"/>
          <w:lang w:eastAsia="en-AU"/>
        </w:rPr>
      </w:pPr>
      <w:r w:rsidRPr="002A77CA">
        <w:rPr>
          <w:noProof/>
          <w:lang w:eastAsia="en-AU"/>
        </w:rPr>
        <w:drawing>
          <wp:inline distT="0" distB="0" distL="0" distR="0" wp14:anchorId="59D47DCA" wp14:editId="47EA885F">
            <wp:extent cx="5565775" cy="1626324"/>
            <wp:effectExtent l="0" t="0" r="0" b="0"/>
            <wp:docPr id="330" name="Picture 330" descr="Median lot price by market, September 2016"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5775" cy="1626324"/>
                    </a:xfrm>
                    <a:prstGeom prst="rect">
                      <a:avLst/>
                    </a:prstGeom>
                  </pic:spPr>
                </pic:pic>
              </a:graphicData>
            </a:graphic>
          </wp:inline>
        </w:drawing>
      </w:r>
    </w:p>
    <w:p w:rsidR="00D61F12" w:rsidRPr="005A71C0" w:rsidRDefault="00D61F12" w:rsidP="00D61F12">
      <w:pPr>
        <w:pStyle w:val="body"/>
      </w:pPr>
      <w:r w:rsidRPr="005A71C0">
        <w:t>Source: National Land Survey Program (NLSP) by Charter Keck Cramer and Research 4.</w:t>
      </w:r>
    </w:p>
    <w:p w:rsidR="00D61F12" w:rsidRPr="005A71C0" w:rsidRDefault="00D61F12" w:rsidP="00D61F12">
      <w:pPr>
        <w:spacing w:after="0"/>
        <w:jc w:val="center"/>
      </w:pPr>
    </w:p>
    <w:p w:rsidR="00D61F12" w:rsidRDefault="00D61F12" w:rsidP="00D61F12">
      <w:pPr>
        <w:spacing w:after="200" w:line="276" w:lineRule="auto"/>
        <w:rPr>
          <w:rFonts w:ascii="Calibri" w:eastAsiaTheme="majorEastAsia" w:hAnsi="Calibri" w:cstheme="majorBidi"/>
          <w:b/>
          <w:bCs/>
          <w:sz w:val="32"/>
          <w:szCs w:val="26"/>
        </w:rPr>
      </w:pPr>
      <w:bookmarkStart w:id="74" w:name="_Toc462399425"/>
      <w:bookmarkStart w:id="75" w:name="_Toc463624268"/>
      <w:bookmarkStart w:id="76" w:name="_Toc467512423"/>
      <w:bookmarkStart w:id="77" w:name="_Toc467512673"/>
      <w:bookmarkStart w:id="78" w:name="_Toc469650157"/>
      <w:bookmarkStart w:id="79" w:name="_Toc473041519"/>
      <w:bookmarkStart w:id="80" w:name="_Toc473109636"/>
      <w:r>
        <w:br w:type="page"/>
      </w:r>
    </w:p>
    <w:p w:rsidR="00D61F12" w:rsidRPr="009A2EF4" w:rsidRDefault="00D61F12" w:rsidP="00D61F12">
      <w:pPr>
        <w:pStyle w:val="Heading2"/>
      </w:pPr>
      <w:r w:rsidRPr="009A2EF4">
        <w:lastRenderedPageBreak/>
        <w:t xml:space="preserve">Direction </w:t>
      </w:r>
      <w:r>
        <w:t>2</w:t>
      </w:r>
      <w:r w:rsidRPr="009A2EF4">
        <w:t>.3</w:t>
      </w:r>
      <w:r w:rsidRPr="009A2EF4">
        <w:tab/>
        <w:t>Increase the supply of social and affordable housing</w:t>
      </w:r>
      <w:bookmarkEnd w:id="71"/>
      <w:bookmarkEnd w:id="72"/>
      <w:bookmarkEnd w:id="74"/>
      <w:bookmarkEnd w:id="75"/>
      <w:bookmarkEnd w:id="76"/>
      <w:bookmarkEnd w:id="77"/>
      <w:bookmarkEnd w:id="78"/>
      <w:bookmarkEnd w:id="79"/>
      <w:bookmarkEnd w:id="80"/>
    </w:p>
    <w:p w:rsidR="00D61F12" w:rsidRPr="009A2EF4" w:rsidRDefault="00D61F12" w:rsidP="00D61F12">
      <w:pPr>
        <w:pStyle w:val="body"/>
      </w:pPr>
      <w:r w:rsidRPr="00EA6208">
        <w:rPr>
          <w:rStyle w:val="bodyChar"/>
        </w:rPr>
        <w:t>The planning system alone cannot address all of the issues related to the provision of social and affordable housing. A range of programs and measures across all levels of government are required, but it is important that the planning system makes it easier—rather than harder—to</w:t>
      </w:r>
      <w:r w:rsidRPr="009A2EF4">
        <w:t xml:space="preserve"> deliver social and affordable housing.</w:t>
      </w:r>
    </w:p>
    <w:p w:rsidR="00D61F12" w:rsidRDefault="00D61F12" w:rsidP="00D61F12">
      <w:pPr>
        <w:pStyle w:val="body"/>
      </w:pPr>
      <w:r w:rsidRPr="009A2EF4">
        <w:t>In recent years, housing prices have risen faster than incomes</w:t>
      </w:r>
      <w:r>
        <w:t xml:space="preserve">, making </w:t>
      </w:r>
      <w:r w:rsidRPr="009A2EF4">
        <w:t xml:space="preserve">home ownership </w:t>
      </w:r>
      <w:r>
        <w:t xml:space="preserve">increasingly unattainable </w:t>
      </w:r>
      <w:r w:rsidRPr="009A2EF4">
        <w:t>for many</w:t>
      </w:r>
      <w:r>
        <w:t xml:space="preserve"> citizens</w:t>
      </w:r>
      <w:r w:rsidRPr="009A2EF4">
        <w:t xml:space="preserve">. </w:t>
      </w:r>
      <w:r>
        <w:t>As a result, m</w:t>
      </w:r>
      <w:r w:rsidRPr="009A2EF4">
        <w:t xml:space="preserve">any households </w:t>
      </w:r>
      <w:r>
        <w:t>may</w:t>
      </w:r>
      <w:r w:rsidRPr="009A2EF4">
        <w:t xml:space="preserve"> remain in the private rental market indefinitely</w:t>
      </w:r>
      <w:r>
        <w:t xml:space="preserve"> unless they are prepared to buy in </w:t>
      </w:r>
      <w:r w:rsidRPr="009A2EF4">
        <w:t>locations with poor</w:t>
      </w:r>
      <w:r>
        <w:t>er</w:t>
      </w:r>
      <w:r w:rsidRPr="009A2EF4">
        <w:t xml:space="preserve"> access to services and jobs.</w:t>
      </w:r>
    </w:p>
    <w:p w:rsidR="00D61F12" w:rsidRDefault="00D61F12" w:rsidP="00D61F12">
      <w:pPr>
        <w:pStyle w:val="body"/>
      </w:pPr>
      <w:r w:rsidRPr="009A2EF4">
        <w:t>The</w:t>
      </w:r>
      <w:r>
        <w:t xml:space="preserve"> </w:t>
      </w:r>
      <w:r w:rsidRPr="009A2EF4">
        <w:t>most severe and chronic housing affordability problems are experienced by lower</w:t>
      </w:r>
      <w:r>
        <w:t>-</w:t>
      </w:r>
      <w:r w:rsidRPr="009A2EF4">
        <w:t>income households in the private rental market</w:t>
      </w:r>
      <w:r>
        <w:t xml:space="preserve">, particularly those reliant </w:t>
      </w:r>
      <w:r w:rsidRPr="009A2EF4">
        <w:t>on statutory incomes such as Centrelink.</w:t>
      </w:r>
      <w:r w:rsidRPr="009A2EF4">
        <w:rPr>
          <w:rStyle w:val="EndnoteReference"/>
        </w:rPr>
        <w:endnoteReference w:id="2"/>
      </w:r>
      <w:r w:rsidRPr="009A2EF4">
        <w:t xml:space="preserve"> In addition, levels of homeless</w:t>
      </w:r>
      <w:r>
        <w:t>ness</w:t>
      </w:r>
      <w:r w:rsidRPr="009A2EF4">
        <w:t xml:space="preserve"> have increas</w:t>
      </w:r>
      <w:r>
        <w:t>ed</w:t>
      </w:r>
      <w:r w:rsidRPr="009A2EF4">
        <w:t xml:space="preserve"> in Victoria</w:t>
      </w:r>
      <w:r>
        <w:t>,</w:t>
      </w:r>
      <w:r w:rsidRPr="009A2EF4">
        <w:t xml:space="preserve"> with </w:t>
      </w:r>
      <w:r>
        <w:t>more than</w:t>
      </w:r>
      <w:r w:rsidRPr="009A2EF4">
        <w:t xml:space="preserve"> 22,000 people recorded as homeless on Census night in 2011</w:t>
      </w:r>
      <w:r>
        <w:t>.</w:t>
      </w:r>
      <w:r w:rsidRPr="009A2EF4">
        <w:rPr>
          <w:rStyle w:val="EndnoteReference"/>
        </w:rPr>
        <w:endnoteReference w:id="3"/>
      </w:r>
      <w:r>
        <w:t xml:space="preserve"> </w:t>
      </w:r>
    </w:p>
    <w:p w:rsidR="00D61F12" w:rsidRDefault="00D61F12" w:rsidP="00D61F12">
      <w:pPr>
        <w:pStyle w:val="body"/>
      </w:pPr>
      <w:r>
        <w:t xml:space="preserve">For Melbourne to remain liveable for all its citizens, </w:t>
      </w:r>
      <w:r w:rsidRPr="009A2EF4">
        <w:t xml:space="preserve">the supply of social </w:t>
      </w:r>
      <w:r>
        <w:t xml:space="preserve">and affordable </w:t>
      </w:r>
      <w:r w:rsidRPr="009A2EF4">
        <w:t>housing need</w:t>
      </w:r>
      <w:r>
        <w:t>s to be increased</w:t>
      </w:r>
      <w:r w:rsidRPr="009A2EF4">
        <w:t xml:space="preserve">. </w:t>
      </w:r>
      <w:r>
        <w:t>A</w:t>
      </w:r>
      <w:r w:rsidRPr="009A2EF4">
        <w:t xml:space="preserve"> range of housing types </w:t>
      </w:r>
      <w:r>
        <w:t xml:space="preserve">need to be developed </w:t>
      </w:r>
      <w:r w:rsidRPr="009A2EF4">
        <w:t>within suburbs across Melbourne</w:t>
      </w:r>
      <w:r>
        <w:t>—not just in outer areas—</w:t>
      </w:r>
      <w:r w:rsidRPr="009A2EF4">
        <w:t xml:space="preserve">to improve local affordability for </w:t>
      </w:r>
      <w:r>
        <w:t xml:space="preserve">homeowners and </w:t>
      </w:r>
      <w:r w:rsidRPr="009A2EF4">
        <w:t>rent</w:t>
      </w:r>
      <w:r>
        <w:t>ers</w:t>
      </w:r>
      <w:r w:rsidRPr="009A2EF4">
        <w:t>.</w:t>
      </w:r>
    </w:p>
    <w:p w:rsidR="00D61F12" w:rsidRPr="00D52C6B" w:rsidRDefault="00D61F12" w:rsidP="00D61F12">
      <w:pPr>
        <w:pStyle w:val="BREAKOUTBOX"/>
        <w:shd w:val="clear" w:color="auto" w:fill="F2F2F2" w:themeFill="background1" w:themeFillShade="F2"/>
      </w:pPr>
      <w:r w:rsidRPr="00D52C6B">
        <w:t>What is affordable housing and what is social housing?</w:t>
      </w:r>
    </w:p>
    <w:p w:rsidR="00D61F12" w:rsidRPr="00D52C6B" w:rsidRDefault="00D61F12" w:rsidP="00D61F12">
      <w:pPr>
        <w:pStyle w:val="BreakoutBoxText"/>
        <w:shd w:val="clear" w:color="auto" w:fill="F2F2F2" w:themeFill="background1" w:themeFillShade="F2"/>
        <w:ind w:left="0"/>
        <w:rPr>
          <w:lang w:val="en-US" w:eastAsia="ja-JP"/>
        </w:rPr>
      </w:pPr>
      <w:r w:rsidRPr="00D52C6B">
        <w:rPr>
          <w:b/>
          <w:lang w:val="en-US" w:eastAsia="ja-JP"/>
        </w:rPr>
        <w:t>Affordable housing</w:t>
      </w:r>
      <w:r w:rsidRPr="00D52C6B">
        <w:rPr>
          <w:lang w:val="en-US" w:eastAsia="ja-JP"/>
        </w:rPr>
        <w:t xml:space="preserve"> </w:t>
      </w:r>
      <w:r w:rsidRPr="00F005EC">
        <w:rPr>
          <w:lang w:val="en-US" w:eastAsia="ja-JP"/>
        </w:rPr>
        <w:t xml:space="preserve">is housing that is appropriate for the needs of a range of very low to moderate income households, and priced </w:t>
      </w:r>
      <w:r w:rsidRPr="00D52C6B">
        <w:rPr>
          <w:lang w:val="en-US" w:eastAsia="ja-JP"/>
        </w:rPr>
        <w:t xml:space="preserve">(whether mortgage repayments or rent) </w:t>
      </w:r>
      <w:r w:rsidRPr="00F005EC">
        <w:rPr>
          <w:lang w:val="en-US" w:eastAsia="ja-JP"/>
        </w:rPr>
        <w:t>so these households are able to meet their other essential basic living costs</w:t>
      </w:r>
      <w:r w:rsidRPr="00D52C6B">
        <w:rPr>
          <w:lang w:val="en-US" w:eastAsia="ja-JP"/>
        </w:rPr>
        <w:t xml:space="preserve">. </w:t>
      </w:r>
    </w:p>
    <w:p w:rsidR="00D61F12" w:rsidRPr="00D52C6B" w:rsidRDefault="00D61F12" w:rsidP="00D61F12">
      <w:pPr>
        <w:pStyle w:val="BreakoutBoxText"/>
        <w:shd w:val="clear" w:color="auto" w:fill="F2F2F2" w:themeFill="background1" w:themeFillShade="F2"/>
        <w:ind w:left="0"/>
        <w:rPr>
          <w:lang w:val="en-US" w:eastAsia="ja-JP"/>
        </w:rPr>
      </w:pPr>
      <w:r w:rsidRPr="00D52C6B">
        <w:rPr>
          <w:b/>
          <w:lang w:val="en-US" w:eastAsia="ja-JP"/>
        </w:rPr>
        <w:t>Social housing</w:t>
      </w:r>
      <w:r w:rsidRPr="00D52C6B">
        <w:rPr>
          <w:lang w:val="en-US" w:eastAsia="ja-JP"/>
        </w:rPr>
        <w:t xml:space="preserve"> is a type of rental housing that is provided and/or managed by the government </w:t>
      </w:r>
      <w:r>
        <w:rPr>
          <w:lang w:val="en-US" w:eastAsia="ja-JP"/>
        </w:rPr>
        <w:t xml:space="preserve"> (public housing) </w:t>
      </w:r>
      <w:r w:rsidRPr="00D52C6B">
        <w:rPr>
          <w:lang w:val="en-US" w:eastAsia="ja-JP"/>
        </w:rPr>
        <w:t xml:space="preserve">or by </w:t>
      </w:r>
      <w:r>
        <w:rPr>
          <w:lang w:val="en-US" w:eastAsia="ja-JP"/>
        </w:rPr>
        <w:t xml:space="preserve">a </w:t>
      </w:r>
      <w:r w:rsidRPr="00D52C6B">
        <w:rPr>
          <w:lang w:val="en-US" w:eastAsia="ja-JP"/>
        </w:rPr>
        <w:t>no</w:t>
      </w:r>
      <w:r>
        <w:rPr>
          <w:lang w:val="en-US" w:eastAsia="ja-JP"/>
        </w:rPr>
        <w:t>t-for-profit</w:t>
      </w:r>
      <w:r w:rsidRPr="00D52C6B">
        <w:rPr>
          <w:lang w:val="en-US" w:eastAsia="ja-JP"/>
        </w:rPr>
        <w:t xml:space="preserve"> </w:t>
      </w:r>
      <w:r>
        <w:rPr>
          <w:lang w:val="en-US" w:eastAsia="ja-JP"/>
        </w:rPr>
        <w:t>organisation (community housing)</w:t>
      </w:r>
      <w:r w:rsidRPr="00D52C6B">
        <w:rPr>
          <w:lang w:val="en-US" w:eastAsia="ja-JP"/>
        </w:rPr>
        <w:t xml:space="preserve">. Social housing is an overarching term that covers both public housing and community housing. </w:t>
      </w:r>
    </w:p>
    <w:p w:rsidR="00D61F12" w:rsidRPr="009A2EF4" w:rsidRDefault="00D61F12" w:rsidP="00D61F12"/>
    <w:p w:rsidR="00D61F12" w:rsidRDefault="00D61F12" w:rsidP="00D61F12">
      <w:pPr>
        <w:spacing w:after="200" w:line="276" w:lineRule="auto"/>
        <w:rPr>
          <w:rFonts w:ascii="Calibri" w:eastAsia="Times New Roman" w:hAnsi="Calibri" w:cs="Times New Roman"/>
          <w:szCs w:val="20"/>
          <w:lang w:eastAsia="en-US"/>
        </w:rPr>
      </w:pPr>
      <w:bookmarkStart w:id="81" w:name="_Toc462149283"/>
      <w:r>
        <w:br w:type="page"/>
      </w:r>
    </w:p>
    <w:p w:rsidR="00D61F12" w:rsidRDefault="00D61F12" w:rsidP="00D61F12">
      <w:pPr>
        <w:pStyle w:val="Figurehead"/>
      </w:pPr>
      <w:bookmarkStart w:id="82" w:name="_Toc476742761"/>
      <w:r>
        <w:lastRenderedPageBreak/>
        <w:t xml:space="preserve">Map </w:t>
      </w:r>
      <w:r>
        <w:fldChar w:fldCharType="begin"/>
      </w:r>
      <w:r>
        <w:instrText xml:space="preserve"> SEQ Map \* ARABIC </w:instrText>
      </w:r>
      <w:r>
        <w:fldChar w:fldCharType="separate"/>
      </w:r>
      <w:r>
        <w:rPr>
          <w:noProof/>
        </w:rPr>
        <w:t>15</w:t>
      </w:r>
      <w:r>
        <w:rPr>
          <w:noProof/>
        </w:rPr>
        <w:fldChar w:fldCharType="end"/>
      </w:r>
      <w:r>
        <w:t xml:space="preserve"> Lower-cost housing in metropolitan Melbourne 1995 and 2015</w:t>
      </w:r>
      <w:bookmarkEnd w:id="81"/>
      <w:bookmarkEnd w:id="82"/>
    </w:p>
    <w:p w:rsidR="00D61F12" w:rsidRDefault="00D61F12" w:rsidP="00D61F12">
      <w:pPr>
        <w:rPr>
          <w:i/>
          <w:highlight w:val="yellow"/>
        </w:rPr>
      </w:pPr>
      <w:r w:rsidRPr="00FF3A03">
        <w:rPr>
          <w:noProof/>
        </w:rPr>
        <w:drawing>
          <wp:inline distT="0" distB="0" distL="0" distR="0" wp14:anchorId="0B7E8420" wp14:editId="0F9F6A6A">
            <wp:extent cx="4962563" cy="8052437"/>
            <wp:effectExtent l="0" t="0" r="9525" b="5715"/>
            <wp:docPr id="296" name="Picture 296" descr="Lower-cost housing in metropolitan Melbourne 1995 and 2015.&#10;Note: Lower-cost housing for the purpose of this illustration is defined as the cheapest 25% of all houses sold in Melbourne in the relevant year. In 1995 this was houses that sold for less than $100,000. In 2015 it was houses that sold for less than $415,000." title="Ma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62563" cy="8052437"/>
                    </a:xfrm>
                    <a:prstGeom prst="rect">
                      <a:avLst/>
                    </a:prstGeom>
                  </pic:spPr>
                </pic:pic>
              </a:graphicData>
            </a:graphic>
          </wp:inline>
        </w:drawing>
      </w:r>
    </w:p>
    <w:p w:rsidR="00D61F12" w:rsidRPr="00057DE5" w:rsidRDefault="00D61F12" w:rsidP="00D61F12">
      <w:pPr>
        <w:pStyle w:val="body"/>
      </w:pPr>
      <w:r w:rsidRPr="00057DE5">
        <w:t>Source: Department of Environment, Land, Water and Planning</w:t>
      </w:r>
    </w:p>
    <w:p w:rsidR="00D61F12" w:rsidRPr="009A2EF4" w:rsidRDefault="00D61F12" w:rsidP="00D61F12">
      <w:pPr>
        <w:pStyle w:val="Heading3"/>
      </w:pPr>
      <w:bookmarkStart w:id="83" w:name="_Toc455736262"/>
      <w:bookmarkStart w:id="84" w:name="_Toc456272067"/>
      <w:r w:rsidRPr="009A2EF4">
        <w:lastRenderedPageBreak/>
        <w:t xml:space="preserve">Policy </w:t>
      </w:r>
      <w:r>
        <w:t>2</w:t>
      </w:r>
      <w:r w:rsidRPr="009A2EF4">
        <w:t>.3.1</w:t>
      </w:r>
      <w:r w:rsidRPr="009A2EF4">
        <w:tab/>
        <w:t>Utilise government land to deliver additional social housing</w:t>
      </w:r>
      <w:bookmarkEnd w:id="83"/>
      <w:bookmarkEnd w:id="84"/>
    </w:p>
    <w:p w:rsidR="00D61F12" w:rsidRDefault="00D61F12" w:rsidP="00D61F12">
      <w:pPr>
        <w:pStyle w:val="body"/>
      </w:pPr>
      <w:r>
        <w:t xml:space="preserve">The Victorian Government holds valuable land assets that can contribute to the delivery of additional social and affordable housing. </w:t>
      </w:r>
    </w:p>
    <w:p w:rsidR="00D61F12" w:rsidRDefault="00D61F12" w:rsidP="00D61F12">
      <w:pPr>
        <w:pStyle w:val="body"/>
      </w:pPr>
      <w:r>
        <w:t>The Victorian Government</w:t>
      </w:r>
      <w:r w:rsidRPr="009A2EF4">
        <w:t xml:space="preserve"> will increase the supply of social and affordable housing through </w:t>
      </w:r>
      <w:r>
        <w:t>identifying</w:t>
      </w:r>
      <w:r w:rsidRPr="009A2EF4">
        <w:t xml:space="preserve"> surplus </w:t>
      </w:r>
      <w:r>
        <w:t>government</w:t>
      </w:r>
      <w:r w:rsidRPr="009A2EF4">
        <w:t xml:space="preserve"> land</w:t>
      </w:r>
      <w:r>
        <w:t xml:space="preserve"> suitable for housing</w:t>
      </w:r>
      <w:r w:rsidRPr="009A2EF4">
        <w:t xml:space="preserve">. </w:t>
      </w:r>
      <w:r>
        <w:t>S</w:t>
      </w:r>
      <w:r w:rsidRPr="009A2EF4">
        <w:t>ites identified as being surplus to government requirements</w:t>
      </w:r>
      <w:r>
        <w:t xml:space="preserve"> need to be re-used in ways that </w:t>
      </w:r>
      <w:r w:rsidRPr="009A2EF4">
        <w:t>deliver broad community benefits</w:t>
      </w:r>
      <w:r>
        <w:t xml:space="preserve">—such as boosting the supply and spread of </w:t>
      </w:r>
      <w:r w:rsidRPr="009A2EF4">
        <w:t>social and affordable housing. Opportunities to increase overall supply through the regeneration of existing public housing</w:t>
      </w:r>
      <w:r>
        <w:t xml:space="preserve"> also need </w:t>
      </w:r>
      <w:r w:rsidRPr="009A2EF4">
        <w:t>to be identified.</w:t>
      </w:r>
    </w:p>
    <w:p w:rsidR="00D61F12" w:rsidRDefault="00D61F12" w:rsidP="00D61F12">
      <w:pPr>
        <w:pStyle w:val="body"/>
      </w:pPr>
      <w:r w:rsidRPr="00C55EDF">
        <w:t>The government is taking a strategic approach to accelerating the development of well-located surplus government land. A pilot program has been developed for a number of sites suitable for affordable housing. Other opportunities to leverage surplus government land to deliver social housing while maximising the opportunity to deliver planning uplift and certainty will be investigated, including local government land and surplus land held by other agencies.</w:t>
      </w:r>
    </w:p>
    <w:p w:rsidR="00D61F12" w:rsidRPr="009A2EF4" w:rsidRDefault="00D61F12" w:rsidP="00D61F12">
      <w:pPr>
        <w:pStyle w:val="Heading3"/>
      </w:pPr>
      <w:bookmarkStart w:id="85" w:name="_Toc455736263"/>
      <w:bookmarkStart w:id="86" w:name="_Toc456272068"/>
      <w:r w:rsidRPr="009A2EF4">
        <w:t xml:space="preserve">Policy </w:t>
      </w:r>
      <w:r>
        <w:t>2</w:t>
      </w:r>
      <w:r w:rsidRPr="009A2EF4">
        <w:t>.3.2</w:t>
      </w:r>
      <w:r w:rsidRPr="009A2EF4">
        <w:tab/>
        <w:t>Streamline decision</w:t>
      </w:r>
      <w:r>
        <w:t>-</w:t>
      </w:r>
      <w:r w:rsidRPr="009A2EF4">
        <w:t>making processes for social</w:t>
      </w:r>
      <w:r>
        <w:t xml:space="preserve"> </w:t>
      </w:r>
      <w:r w:rsidRPr="009A2EF4">
        <w:t>housing proposals</w:t>
      </w:r>
      <w:bookmarkEnd w:id="85"/>
      <w:bookmarkEnd w:id="86"/>
    </w:p>
    <w:p w:rsidR="00D61F12" w:rsidRDefault="00D61F12" w:rsidP="00D61F12">
      <w:pPr>
        <w:pStyle w:val="body"/>
      </w:pPr>
      <w:r w:rsidRPr="0061797C">
        <w:t xml:space="preserve">Delays in approvals </w:t>
      </w:r>
      <w:r>
        <w:t>can result in</w:t>
      </w:r>
      <w:r w:rsidRPr="0061797C">
        <w:t xml:space="preserve"> </w:t>
      </w:r>
      <w:r>
        <w:t>additional</w:t>
      </w:r>
      <w:r w:rsidRPr="0061797C">
        <w:t xml:space="preserve"> holding costs</w:t>
      </w:r>
      <w:r>
        <w:t xml:space="preserve"> and </w:t>
      </w:r>
      <w:r w:rsidRPr="0061797C">
        <w:t>make social</w:t>
      </w:r>
      <w:r>
        <w:t>-</w:t>
      </w:r>
      <w:r w:rsidRPr="0061797C">
        <w:t>housing development</w:t>
      </w:r>
      <w:r>
        <w:t>s harder to deliver</w:t>
      </w:r>
      <w:r w:rsidRPr="0061797C">
        <w:t>.</w:t>
      </w:r>
    </w:p>
    <w:p w:rsidR="00D61F12" w:rsidRPr="009A2EF4" w:rsidRDefault="00D61F12" w:rsidP="00D61F12">
      <w:pPr>
        <w:pStyle w:val="body"/>
      </w:pPr>
      <w:r w:rsidRPr="009A2EF4">
        <w:t xml:space="preserve">Streamlined approval processes </w:t>
      </w:r>
      <w:r>
        <w:t xml:space="preserve">for the government and the community-housing sector </w:t>
      </w:r>
      <w:r w:rsidRPr="009A2EF4">
        <w:t>can help facilitate the supply of social housing.</w:t>
      </w:r>
    </w:p>
    <w:p w:rsidR="00D61F12" w:rsidRDefault="00D61F12" w:rsidP="00D61F12">
      <w:pPr>
        <w:pStyle w:val="body"/>
        <w:rPr>
          <w:rFonts w:cs="Times New Roman"/>
          <w:bCs/>
        </w:rPr>
      </w:pPr>
      <w:r w:rsidRPr="009A2EF4">
        <w:t xml:space="preserve">To support an increase in the supply of social housing, </w:t>
      </w:r>
      <w:r>
        <w:rPr>
          <w:rFonts w:cs="Times New Roman"/>
          <w:bCs/>
        </w:rPr>
        <w:t>a new streamlined approval process will be developed for social-</w:t>
      </w:r>
      <w:r w:rsidRPr="002176AF">
        <w:rPr>
          <w:rFonts w:cs="Times New Roman"/>
          <w:bCs/>
        </w:rPr>
        <w:t xml:space="preserve">housing projects. </w:t>
      </w:r>
      <w:r>
        <w:rPr>
          <w:rFonts w:cs="Times New Roman"/>
          <w:bCs/>
        </w:rPr>
        <w:t>This will facilitate faster delivery of social-housing projects with lower holding costs and greater planning certainty.</w:t>
      </w:r>
    </w:p>
    <w:p w:rsidR="00D61F12" w:rsidRPr="009A2EF4" w:rsidRDefault="00D61F12" w:rsidP="00D61F12">
      <w:pPr>
        <w:pStyle w:val="Heading3"/>
      </w:pPr>
      <w:bookmarkStart w:id="87" w:name="_Toc455736264"/>
      <w:bookmarkStart w:id="88" w:name="_Toc456272069"/>
      <w:r w:rsidRPr="009A2EF4">
        <w:t xml:space="preserve">Policy </w:t>
      </w:r>
      <w:r>
        <w:t>2</w:t>
      </w:r>
      <w:r w:rsidRPr="009A2EF4">
        <w:t>.3.3</w:t>
      </w:r>
      <w:r w:rsidRPr="009A2EF4">
        <w:tab/>
        <w:t>Strengthen the role of planning in facilitating and delivering the supply of social and affordable housing</w:t>
      </w:r>
      <w:bookmarkEnd w:id="87"/>
      <w:bookmarkEnd w:id="88"/>
    </w:p>
    <w:p w:rsidR="00D61F12" w:rsidRPr="009A2EF4" w:rsidRDefault="00D61F12" w:rsidP="00D61F12">
      <w:pPr>
        <w:pStyle w:val="body"/>
      </w:pPr>
      <w:r w:rsidRPr="009A2EF4">
        <w:t>There is a pressing need to increase the supply of social and affordable housing for households unable to afford market</w:t>
      </w:r>
      <w:r>
        <w:t>-</w:t>
      </w:r>
      <w:r w:rsidRPr="009A2EF4">
        <w:t>rate housing</w:t>
      </w:r>
      <w:r>
        <w:t>.</w:t>
      </w:r>
    </w:p>
    <w:p w:rsidR="00D61F12" w:rsidRPr="009A2EF4" w:rsidRDefault="00D61F12" w:rsidP="00D61F12">
      <w:pPr>
        <w:pStyle w:val="body"/>
      </w:pPr>
      <w:r w:rsidRPr="009A2EF4">
        <w:t xml:space="preserve">The supply of social and affordable housing is </w:t>
      </w:r>
      <w:r>
        <w:t xml:space="preserve">largely </w:t>
      </w:r>
      <w:r w:rsidRPr="009A2EF4">
        <w:t>dependent on the availability of subsidies to cover the gap between what very low</w:t>
      </w:r>
      <w:r>
        <w:t xml:space="preserve"> </w:t>
      </w:r>
      <w:r w:rsidRPr="009A2EF4">
        <w:t>income households can pay and the cost of providing housing. However, the land</w:t>
      </w:r>
      <w:r>
        <w:t>-</w:t>
      </w:r>
      <w:r w:rsidRPr="009A2EF4">
        <w:t xml:space="preserve">use planning system can be reformed </w:t>
      </w:r>
      <w:r>
        <w:t xml:space="preserve">and strengthened </w:t>
      </w:r>
      <w:r w:rsidRPr="009A2EF4">
        <w:t>to help support and facilitate the delivery of more social and affordable housing.</w:t>
      </w:r>
    </w:p>
    <w:p w:rsidR="00D61F12" w:rsidRPr="009A2EF4" w:rsidRDefault="00D61F12" w:rsidP="00D61F12">
      <w:pPr>
        <w:pStyle w:val="body"/>
      </w:pPr>
      <w:r>
        <w:t xml:space="preserve">There are currently several planning-related </w:t>
      </w:r>
      <w:r w:rsidRPr="009A2EF4">
        <w:t>barrier</w:t>
      </w:r>
      <w:r>
        <w:t>s</w:t>
      </w:r>
      <w:r w:rsidRPr="009A2EF4">
        <w:t xml:space="preserve"> to the delivery of more social and affordable housing</w:t>
      </w:r>
      <w:r>
        <w:t>—including</w:t>
      </w:r>
      <w:r w:rsidRPr="009A2EF4">
        <w:t xml:space="preserve"> a lack of clarity in legislation and planning provisions</w:t>
      </w:r>
      <w:r>
        <w:t xml:space="preserve"> on what </w:t>
      </w:r>
      <w:r>
        <w:lastRenderedPageBreak/>
        <w:t>constitutes affordable housing</w:t>
      </w:r>
      <w:r w:rsidRPr="009A2EF4">
        <w:t xml:space="preserve">, </w:t>
      </w:r>
      <w:r>
        <w:t xml:space="preserve">and </w:t>
      </w:r>
      <w:r w:rsidRPr="009A2EF4">
        <w:t>the absence of clear planning tools or mechanisms to require the provision of social or affordable housing as part of the planning process.</w:t>
      </w:r>
      <w:r>
        <w:t xml:space="preserve"> </w:t>
      </w:r>
      <w:r w:rsidRPr="009A2EF4">
        <w:t>Current approaches</w:t>
      </w:r>
      <w:r>
        <w:t xml:space="preserve"> (</w:t>
      </w:r>
      <w:r w:rsidRPr="009A2EF4">
        <w:t>such as requiring s</w:t>
      </w:r>
      <w:r>
        <w:t xml:space="preserve">ection </w:t>
      </w:r>
      <w:r w:rsidRPr="009A2EF4">
        <w:t>173 Agreement</w:t>
      </w:r>
      <w:r>
        <w:t>s</w:t>
      </w:r>
      <w:r w:rsidRPr="009A2EF4">
        <w:t xml:space="preserve"> under the </w:t>
      </w:r>
      <w:r w:rsidRPr="009A2EF4">
        <w:rPr>
          <w:i/>
        </w:rPr>
        <w:t>Planning and Environment Act 1987</w:t>
      </w:r>
      <w:r w:rsidRPr="009A2EF4">
        <w:t xml:space="preserve"> or applying requirements through tools such as Development Plan Overlays</w:t>
      </w:r>
      <w:r>
        <w:t>)</w:t>
      </w:r>
      <w:r w:rsidRPr="009A2EF4">
        <w:t xml:space="preserve"> have been criticised </w:t>
      </w:r>
      <w:r>
        <w:t xml:space="preserve">for </w:t>
      </w:r>
      <w:r w:rsidRPr="009A2EF4">
        <w:t>not being sufficiently robust</w:t>
      </w:r>
      <w:r>
        <w:t xml:space="preserve"> and inequitably applied</w:t>
      </w:r>
      <w:r w:rsidRPr="009A2EF4">
        <w:t>.</w:t>
      </w:r>
    </w:p>
    <w:p w:rsidR="00D61F12" w:rsidRPr="009A2EF4" w:rsidRDefault="00D61F12" w:rsidP="00D61F12">
      <w:pPr>
        <w:pStyle w:val="body"/>
      </w:pPr>
      <w:r>
        <w:t>T</w:t>
      </w:r>
      <w:r w:rsidRPr="009A2EF4">
        <w:t xml:space="preserve">he planning system </w:t>
      </w:r>
      <w:r>
        <w:t xml:space="preserve">will </w:t>
      </w:r>
      <w:r w:rsidRPr="009A2EF4">
        <w:t xml:space="preserve">be reformed to </w:t>
      </w:r>
      <w:r>
        <w:t xml:space="preserve">facilitate the </w:t>
      </w:r>
      <w:r w:rsidRPr="009A2EF4">
        <w:t>deliver</w:t>
      </w:r>
      <w:r>
        <w:t>y of more</w:t>
      </w:r>
      <w:r w:rsidRPr="009A2EF4">
        <w:t xml:space="preserve"> social and affordable housing.</w:t>
      </w:r>
      <w:r>
        <w:t xml:space="preserve"> These </w:t>
      </w:r>
      <w:r w:rsidRPr="009A2EF4">
        <w:t xml:space="preserve">reforms </w:t>
      </w:r>
      <w:r>
        <w:t xml:space="preserve">will </w:t>
      </w:r>
      <w:r w:rsidRPr="009A2EF4">
        <w:t>clear</w:t>
      </w:r>
      <w:r>
        <w:t>ly</w:t>
      </w:r>
      <w:r w:rsidRPr="009A2EF4">
        <w:t xml:space="preserve"> defin</w:t>
      </w:r>
      <w:r>
        <w:t xml:space="preserve">e </w:t>
      </w:r>
      <w:r w:rsidRPr="009A2EF4">
        <w:t>social and affordable housing</w:t>
      </w:r>
      <w:r>
        <w:t xml:space="preserve">, create a clear head of power for affordable housing contributions, </w:t>
      </w:r>
      <w:r w:rsidRPr="009A2EF4">
        <w:t xml:space="preserve">and </w:t>
      </w:r>
      <w:r>
        <w:t xml:space="preserve">clarify </w:t>
      </w:r>
      <w:r w:rsidRPr="009A2EF4">
        <w:t xml:space="preserve">the role </w:t>
      </w:r>
      <w:r>
        <w:t xml:space="preserve">the </w:t>
      </w:r>
      <w:r w:rsidRPr="009A2EF4">
        <w:t xml:space="preserve">planning system </w:t>
      </w:r>
      <w:r>
        <w:t xml:space="preserve">has to play in the </w:t>
      </w:r>
      <w:r w:rsidRPr="009A2EF4">
        <w:t>delivery</w:t>
      </w:r>
      <w:r>
        <w:t xml:space="preserve"> of new housing</w:t>
      </w:r>
      <w:r w:rsidRPr="009A2EF4">
        <w:t xml:space="preserve">. </w:t>
      </w:r>
      <w:r>
        <w:t>Reforms</w:t>
      </w:r>
      <w:r w:rsidRPr="009A2EF4">
        <w:t xml:space="preserve"> </w:t>
      </w:r>
      <w:r>
        <w:t>will</w:t>
      </w:r>
      <w:r w:rsidRPr="009A2EF4">
        <w:t xml:space="preserve"> also include new planning provisions or tools to deliver social and affordable housing. </w:t>
      </w:r>
      <w:r>
        <w:t>These reforms will explore inclusionary zoning and mechanisms to capture and share value created through planning controls.</w:t>
      </w:r>
    </w:p>
    <w:p w:rsidR="00D61F12" w:rsidRPr="009A2EF4" w:rsidRDefault="00D61F12" w:rsidP="00D61F12">
      <w:pPr>
        <w:pStyle w:val="body"/>
      </w:pPr>
      <w:r>
        <w:t>N</w:t>
      </w:r>
      <w:r w:rsidRPr="009A2EF4">
        <w:t xml:space="preserve">ew provisions or tools </w:t>
      </w:r>
      <w:r>
        <w:t>will</w:t>
      </w:r>
      <w:r w:rsidRPr="009A2EF4">
        <w:t xml:space="preserve"> be developed in consultation with the community</w:t>
      </w:r>
      <w:r>
        <w:t>-</w:t>
      </w:r>
      <w:r w:rsidRPr="009A2EF4">
        <w:t>housing sector, the residential</w:t>
      </w:r>
      <w:r>
        <w:t>-</w:t>
      </w:r>
      <w:r w:rsidRPr="009A2EF4">
        <w:t>development industry and local government</w:t>
      </w:r>
      <w:r>
        <w:t xml:space="preserve">. </w:t>
      </w:r>
    </w:p>
    <w:p w:rsidR="00D61F12" w:rsidRPr="009A2EF4" w:rsidRDefault="00D61F12" w:rsidP="00D61F12">
      <w:pPr>
        <w:pStyle w:val="Heading3"/>
      </w:pPr>
      <w:bookmarkStart w:id="89" w:name="_Toc455736265"/>
      <w:bookmarkStart w:id="90" w:name="_Toc456272070"/>
      <w:r w:rsidRPr="009A2EF4">
        <w:t xml:space="preserve">Policy </w:t>
      </w:r>
      <w:r>
        <w:t>2</w:t>
      </w:r>
      <w:r w:rsidRPr="009A2EF4">
        <w:t>.3.4</w:t>
      </w:r>
      <w:r w:rsidRPr="009A2EF4">
        <w:tab/>
        <w:t>Create ways to capture and share value uplift from rezonings</w:t>
      </w:r>
      <w:bookmarkEnd w:id="89"/>
      <w:bookmarkEnd w:id="90"/>
    </w:p>
    <w:p w:rsidR="00D61F12" w:rsidRDefault="00D61F12" w:rsidP="00D61F12">
      <w:pPr>
        <w:pStyle w:val="body"/>
      </w:pPr>
      <w:r>
        <w:t>There is an increasing need to encourage the development of more affordable housing, including the integration of social and affordable housing options within major urban renewal developments.</w:t>
      </w:r>
    </w:p>
    <w:p w:rsidR="00D61F12" w:rsidRPr="009A2EF4" w:rsidRDefault="00D61F12" w:rsidP="00D61F12">
      <w:pPr>
        <w:pStyle w:val="body"/>
      </w:pPr>
      <w:r w:rsidRPr="009A2EF4">
        <w:t xml:space="preserve">There is scope to capture some of the value created </w:t>
      </w:r>
      <w:r>
        <w:t>by</w:t>
      </w:r>
      <w:r w:rsidRPr="009A2EF4">
        <w:t xml:space="preserve"> the rezoning process for policy priorities such as social and affordable housing.</w:t>
      </w:r>
    </w:p>
    <w:p w:rsidR="00D61F12" w:rsidRPr="009A2EF4" w:rsidRDefault="00D61F12" w:rsidP="00D61F12">
      <w:pPr>
        <w:pStyle w:val="body"/>
      </w:pPr>
      <w:r w:rsidRPr="009A2EF4">
        <w:t>Urban</w:t>
      </w:r>
      <w:r>
        <w:t xml:space="preserve"> </w:t>
      </w:r>
      <w:r w:rsidRPr="009A2EF4">
        <w:t>renewal precincts and sites offer significant opportunit</w:t>
      </w:r>
      <w:r>
        <w:t xml:space="preserve">ies </w:t>
      </w:r>
      <w:r w:rsidRPr="009A2EF4">
        <w:t>to deliver tangible broader public benefit through their rezoning for social or affordable housing</w:t>
      </w:r>
      <w:r>
        <w:t>, as well as</w:t>
      </w:r>
      <w:r w:rsidRPr="009A2EF4">
        <w:t xml:space="preserve"> local assets such as open space and community facilities.</w:t>
      </w:r>
    </w:p>
    <w:p w:rsidR="00D61F12" w:rsidRPr="009A2EF4" w:rsidRDefault="00D61F12" w:rsidP="00D61F12">
      <w:pPr>
        <w:pStyle w:val="body"/>
      </w:pPr>
      <w:r w:rsidRPr="009A2EF4">
        <w:t xml:space="preserve">Consideration needs to be given to developing a new requirement </w:t>
      </w:r>
      <w:r>
        <w:t xml:space="preserve">that </w:t>
      </w:r>
      <w:r w:rsidRPr="009A2EF4">
        <w:t>when land is rezoned to allow for higher value uses</w:t>
      </w:r>
      <w:r>
        <w:t xml:space="preserve">, a </w:t>
      </w:r>
      <w:r w:rsidRPr="009A2EF4">
        <w:t xml:space="preserve">proportion of </w:t>
      </w:r>
      <w:r>
        <w:t xml:space="preserve">the value uplift should </w:t>
      </w:r>
      <w:r w:rsidRPr="009A2EF4">
        <w:t>be contributed to the delivery of broader public benefit outcomes such as social and affordable housing</w:t>
      </w:r>
    </w:p>
    <w:p w:rsidR="00D61F12" w:rsidRPr="009A2EF4" w:rsidRDefault="00D61F12" w:rsidP="00D61F12">
      <w:pPr>
        <w:pStyle w:val="Heading2"/>
      </w:pPr>
      <w:bookmarkStart w:id="91" w:name="_Toc455736266"/>
      <w:bookmarkStart w:id="92" w:name="_Toc456272071"/>
      <w:bookmarkStart w:id="93" w:name="_Toc462399426"/>
      <w:bookmarkStart w:id="94" w:name="_Toc463624269"/>
      <w:bookmarkStart w:id="95" w:name="_Toc467512424"/>
      <w:bookmarkStart w:id="96" w:name="_Toc467512674"/>
      <w:bookmarkStart w:id="97" w:name="_Toc469650158"/>
      <w:bookmarkStart w:id="98" w:name="_Toc473041520"/>
      <w:bookmarkStart w:id="99" w:name="_Toc473109637"/>
      <w:r w:rsidRPr="009A2EF4">
        <w:t xml:space="preserve">Direction </w:t>
      </w:r>
      <w:r>
        <w:t>2</w:t>
      </w:r>
      <w:r w:rsidRPr="009A2EF4">
        <w:t>.4</w:t>
      </w:r>
      <w:r w:rsidRPr="009A2EF4">
        <w:tab/>
      </w:r>
      <w:r>
        <w:t>Facilitate decision-making processes for</w:t>
      </w:r>
      <w:r w:rsidRPr="009A2EF4">
        <w:t xml:space="preserve"> housing in the right locations</w:t>
      </w:r>
      <w:bookmarkEnd w:id="73"/>
      <w:bookmarkEnd w:id="91"/>
      <w:bookmarkEnd w:id="92"/>
      <w:bookmarkEnd w:id="93"/>
      <w:bookmarkEnd w:id="94"/>
      <w:bookmarkEnd w:id="95"/>
      <w:bookmarkEnd w:id="96"/>
      <w:bookmarkEnd w:id="97"/>
      <w:bookmarkEnd w:id="98"/>
      <w:bookmarkEnd w:id="99"/>
    </w:p>
    <w:p w:rsidR="00D61F12" w:rsidRPr="009A2EF4" w:rsidRDefault="00D61F12" w:rsidP="00D61F12">
      <w:pPr>
        <w:pStyle w:val="body"/>
      </w:pPr>
      <w:r w:rsidRPr="009A2EF4">
        <w:t xml:space="preserve">Many sites identified </w:t>
      </w:r>
      <w:r>
        <w:t xml:space="preserve">for </w:t>
      </w:r>
      <w:r w:rsidRPr="009A2EF4">
        <w:t xml:space="preserve">future housing face lengthy decision-making processes. This can </w:t>
      </w:r>
      <w:r>
        <w:t xml:space="preserve">make it time consuming to </w:t>
      </w:r>
      <w:r w:rsidRPr="009A2EF4">
        <w:t xml:space="preserve">develop new housing, </w:t>
      </w:r>
      <w:r>
        <w:t xml:space="preserve">driving up </w:t>
      </w:r>
      <w:r w:rsidRPr="009A2EF4">
        <w:t>housing</w:t>
      </w:r>
      <w:r>
        <w:t xml:space="preserve"> costs</w:t>
      </w:r>
      <w:r w:rsidRPr="009A2EF4">
        <w:t>.</w:t>
      </w:r>
    </w:p>
    <w:p w:rsidR="00D61F12" w:rsidRPr="009A2EF4" w:rsidRDefault="00D61F12" w:rsidP="00D61F12">
      <w:pPr>
        <w:pStyle w:val="body"/>
      </w:pPr>
      <w:r>
        <w:t>M</w:t>
      </w:r>
      <w:r w:rsidRPr="009A2EF4">
        <w:t xml:space="preserve">any sites across Melbourne have a legacy of environmental contamination as a result of </w:t>
      </w:r>
      <w:r>
        <w:t>the city’s</w:t>
      </w:r>
      <w:r w:rsidRPr="009A2EF4">
        <w:t xml:space="preserve"> industrial and manufacturing heritage. For some sites, the cost of remediation may limit re</w:t>
      </w:r>
      <w:r>
        <w:t>-</w:t>
      </w:r>
      <w:r w:rsidRPr="009A2EF4">
        <w:t>use</w:t>
      </w:r>
      <w:r>
        <w:t xml:space="preserve"> options</w:t>
      </w:r>
      <w:r w:rsidRPr="009A2EF4">
        <w:t>.</w:t>
      </w:r>
    </w:p>
    <w:p w:rsidR="00D61F12" w:rsidRPr="009A2EF4" w:rsidRDefault="00D61F12" w:rsidP="00D61F12">
      <w:pPr>
        <w:pStyle w:val="body"/>
      </w:pPr>
      <w:r>
        <w:lastRenderedPageBreak/>
        <w:t>D</w:t>
      </w:r>
      <w:r w:rsidRPr="009A2EF4">
        <w:t xml:space="preserve">evelopments allowing more than a single dwelling </w:t>
      </w:r>
      <w:r>
        <w:t xml:space="preserve">can also be </w:t>
      </w:r>
      <w:r w:rsidRPr="009A2EF4">
        <w:t xml:space="preserve">subject to lengthy assessment processes and appeals even if they are in areas where change is envisaged. </w:t>
      </w:r>
      <w:r>
        <w:t>C</w:t>
      </w:r>
      <w:r w:rsidRPr="009A2EF4">
        <w:t>ontested applications generally arise where performance</w:t>
      </w:r>
      <w:r>
        <w:t>-</w:t>
      </w:r>
      <w:r w:rsidRPr="009A2EF4">
        <w:t xml:space="preserve">based requirements exist </w:t>
      </w:r>
      <w:r>
        <w:t>instead of</w:t>
      </w:r>
      <w:r w:rsidRPr="009A2EF4">
        <w:t xml:space="preserve"> clearer, more prescriptive requirements.</w:t>
      </w:r>
    </w:p>
    <w:p w:rsidR="00D61F12" w:rsidRPr="009A2EF4" w:rsidRDefault="00D61F12" w:rsidP="00D61F12">
      <w:pPr>
        <w:pStyle w:val="body"/>
      </w:pPr>
      <w:r>
        <w:t xml:space="preserve">The </w:t>
      </w:r>
      <w:r w:rsidRPr="009A2EF4">
        <w:t xml:space="preserve">uncertainty in the system </w:t>
      </w:r>
      <w:r>
        <w:t xml:space="preserve">needs to </w:t>
      </w:r>
      <w:r w:rsidRPr="009A2EF4">
        <w:t>be reduced, particularly for development in areas defined for change and housing growth.</w:t>
      </w:r>
      <w:bookmarkStart w:id="100" w:name="_Toc447119862"/>
      <w:bookmarkStart w:id="101" w:name="_Toc388869144"/>
    </w:p>
    <w:p w:rsidR="00D61F12" w:rsidRPr="009A2EF4" w:rsidRDefault="00D61F12" w:rsidP="00D61F12">
      <w:pPr>
        <w:pStyle w:val="Heading3"/>
      </w:pPr>
      <w:bookmarkStart w:id="102" w:name="_Toc455736267"/>
      <w:bookmarkStart w:id="103" w:name="_Toc456272072"/>
      <w:bookmarkStart w:id="104" w:name="_Toc452983076"/>
      <w:r w:rsidRPr="009A2EF4">
        <w:t xml:space="preserve">Policy </w:t>
      </w:r>
      <w:r>
        <w:t>2</w:t>
      </w:r>
      <w:r w:rsidRPr="009A2EF4">
        <w:t>.4.1</w:t>
      </w:r>
      <w:r w:rsidRPr="009A2EF4">
        <w:tab/>
        <w:t>Support streamlined approval processes in defined locations</w:t>
      </w:r>
      <w:bookmarkEnd w:id="102"/>
      <w:bookmarkEnd w:id="103"/>
    </w:p>
    <w:p w:rsidR="00D61F12" w:rsidRPr="00F27085" w:rsidRDefault="00D61F12" w:rsidP="00D61F12">
      <w:pPr>
        <w:pStyle w:val="body"/>
      </w:pPr>
      <w:r w:rsidRPr="00F27085">
        <w:t xml:space="preserve">Attracting population and housing growth to the most suitable, well serviced areas will be assisted by providing clear approval processes for preferred areas and quality housing developments that appeal to a range of households on different incomes. </w:t>
      </w:r>
    </w:p>
    <w:p w:rsidR="00D61F12" w:rsidRPr="009A2EF4" w:rsidRDefault="00D61F12" w:rsidP="00D61F12">
      <w:pPr>
        <w:pStyle w:val="body"/>
      </w:pPr>
      <w:r>
        <w:t>A</w:t>
      </w:r>
      <w:r w:rsidRPr="009A2EF4">
        <w:t xml:space="preserve"> </w:t>
      </w:r>
      <w:r>
        <w:t xml:space="preserve">streamlined, </w:t>
      </w:r>
      <w:r w:rsidRPr="009A2EF4">
        <w:t>codified approval process will be developed and implemented for defined</w:t>
      </w:r>
      <w:r>
        <w:t xml:space="preserve"> </w:t>
      </w:r>
      <w:r w:rsidRPr="009A2EF4">
        <w:t xml:space="preserve">change areas. </w:t>
      </w:r>
      <w:r>
        <w:t>Under this process, proposals</w:t>
      </w:r>
      <w:r w:rsidRPr="009A2EF4">
        <w:t xml:space="preserve"> </w:t>
      </w:r>
      <w:r>
        <w:t>could</w:t>
      </w:r>
      <w:r w:rsidRPr="009A2EF4">
        <w:t xml:space="preserve"> be required to achieve a set of premium development standards related to dwelling design, open space and residential amenity and demonstrate delivery of good urban design outcomes for the locality.</w:t>
      </w:r>
    </w:p>
    <w:p w:rsidR="00D61F12" w:rsidRDefault="00D61F12" w:rsidP="00D61F12">
      <w:pPr>
        <w:pStyle w:val="body"/>
        <w:rPr>
          <w:rFonts w:cs="DINOT-Black"/>
          <w:b/>
          <w:sz w:val="26"/>
          <w:lang w:val="en-GB"/>
        </w:rPr>
      </w:pPr>
      <w:r w:rsidRPr="009A2EF4">
        <w:t xml:space="preserve">A codified approval process </w:t>
      </w:r>
      <w:r>
        <w:t>will</w:t>
      </w:r>
      <w:r w:rsidRPr="009A2EF4">
        <w:t xml:space="preserve"> speed up decision-making in defined locations and provide local governments, the community and the housing sector with greater certainty. If a </w:t>
      </w:r>
      <w:r>
        <w:t>proposal</w:t>
      </w:r>
      <w:r w:rsidRPr="009A2EF4">
        <w:t xml:space="preserve"> d</w:t>
      </w:r>
      <w:r>
        <w:t>oes</w:t>
      </w:r>
      <w:r w:rsidRPr="009A2EF4">
        <w:t xml:space="preserve"> not meet the set standards for codified approval, then a normal approval process would apply.</w:t>
      </w:r>
      <w:bookmarkStart w:id="105" w:name="_Toc455736268"/>
      <w:bookmarkStart w:id="106" w:name="_Toc456272073"/>
    </w:p>
    <w:p w:rsidR="00D61F12" w:rsidRPr="009A2EF4" w:rsidRDefault="00D61F12" w:rsidP="00D61F12">
      <w:pPr>
        <w:pStyle w:val="Heading3"/>
      </w:pPr>
      <w:r w:rsidRPr="009A2EF4">
        <w:t xml:space="preserve">Policy </w:t>
      </w:r>
      <w:r>
        <w:t>2.4.2</w:t>
      </w:r>
      <w:r w:rsidRPr="009A2EF4">
        <w:tab/>
        <w:t>Facilitate the remediation of contaminated land, particularly on sites in developed areas of Melbourne with potential for residential development</w:t>
      </w:r>
      <w:bookmarkEnd w:id="100"/>
      <w:bookmarkEnd w:id="104"/>
      <w:bookmarkEnd w:id="105"/>
      <w:bookmarkEnd w:id="106"/>
    </w:p>
    <w:bookmarkEnd w:id="101"/>
    <w:p w:rsidR="00D61F12" w:rsidRPr="009A2EF4" w:rsidRDefault="00D61F12" w:rsidP="00D61F12">
      <w:pPr>
        <w:pStyle w:val="body"/>
      </w:pPr>
      <w:r>
        <w:t>P</w:t>
      </w:r>
      <w:r w:rsidRPr="009A2EF4">
        <w:t>olicy framework</w:t>
      </w:r>
      <w:r>
        <w:t>s</w:t>
      </w:r>
      <w:r w:rsidRPr="009A2EF4">
        <w:t xml:space="preserve"> </w:t>
      </w:r>
      <w:r>
        <w:t xml:space="preserve">and controls </w:t>
      </w:r>
      <w:r w:rsidRPr="009A2EF4">
        <w:t xml:space="preserve">for managing contaminated environments </w:t>
      </w:r>
      <w:r>
        <w:t xml:space="preserve">must </w:t>
      </w:r>
      <w:r w:rsidRPr="009A2EF4">
        <w:t>support safe redevelopment</w:t>
      </w:r>
      <w:r>
        <w:t xml:space="preserve">. They also need to allow for </w:t>
      </w:r>
      <w:r w:rsidRPr="009A2EF4">
        <w:t xml:space="preserve">innovative approaches </w:t>
      </w:r>
      <w:r>
        <w:t>that</w:t>
      </w:r>
      <w:r w:rsidRPr="009A2EF4">
        <w:t xml:space="preserve"> maximis</w:t>
      </w:r>
      <w:r>
        <w:t>e</w:t>
      </w:r>
      <w:r w:rsidRPr="009A2EF4">
        <w:t xml:space="preserve"> redevelopment opportunities for residential uses.</w:t>
      </w:r>
    </w:p>
    <w:p w:rsidR="00D61F12" w:rsidRPr="009A2EF4" w:rsidRDefault="00D61F12" w:rsidP="00D61F12">
      <w:pPr>
        <w:pStyle w:val="body"/>
      </w:pPr>
      <w:r>
        <w:t>T</w:t>
      </w:r>
      <w:r w:rsidRPr="009A2EF4">
        <w:t>h</w:t>
      </w:r>
      <w:r>
        <w:t>at is why th</w:t>
      </w:r>
      <w:r w:rsidRPr="009A2EF4">
        <w:t xml:space="preserve">e integration of land-use planning and environmental processes for assessment and remediation of contaminated sites </w:t>
      </w:r>
      <w:r>
        <w:t>must improve. T</w:t>
      </w:r>
      <w:r w:rsidRPr="009A2EF4">
        <w:t>he uncertainty of investigation and clean-up requirements for potentially contaminated land</w:t>
      </w:r>
      <w:r>
        <w:t xml:space="preserve"> must also be reduced, so that </w:t>
      </w:r>
      <w:r w:rsidRPr="009A2EF4">
        <w:t xml:space="preserve">land </w:t>
      </w:r>
      <w:r>
        <w:t xml:space="preserve">can be brought </w:t>
      </w:r>
      <w:r w:rsidRPr="009A2EF4">
        <w:t>to market sooner.</w:t>
      </w:r>
    </w:p>
    <w:p w:rsidR="00D61F12" w:rsidRDefault="00D61F12" w:rsidP="00D61F12">
      <w:pPr>
        <w:spacing w:after="200" w:line="276" w:lineRule="auto"/>
        <w:rPr>
          <w:rFonts w:ascii="Calibri" w:eastAsiaTheme="majorEastAsia" w:hAnsi="Calibri" w:cstheme="majorBidi"/>
          <w:b/>
          <w:bCs/>
          <w:sz w:val="32"/>
          <w:szCs w:val="26"/>
        </w:rPr>
      </w:pPr>
      <w:bookmarkStart w:id="107" w:name="_Toc388869146"/>
      <w:bookmarkStart w:id="108" w:name="_Toc447119863"/>
      <w:bookmarkStart w:id="109" w:name="_Toc452983078"/>
      <w:bookmarkStart w:id="110" w:name="_Toc455736269"/>
      <w:bookmarkStart w:id="111" w:name="_Toc456272074"/>
      <w:bookmarkStart w:id="112" w:name="_Toc462399427"/>
      <w:bookmarkStart w:id="113" w:name="_Toc463624270"/>
      <w:bookmarkStart w:id="114" w:name="_Toc467512425"/>
      <w:bookmarkStart w:id="115" w:name="_Toc467512675"/>
      <w:bookmarkStart w:id="116" w:name="_Toc469650159"/>
      <w:bookmarkStart w:id="117" w:name="_Toc473041521"/>
      <w:bookmarkStart w:id="118" w:name="_Toc473109638"/>
      <w:r>
        <w:br w:type="page"/>
      </w:r>
    </w:p>
    <w:p w:rsidR="00D61F12" w:rsidRPr="009A2EF4" w:rsidRDefault="00D61F12" w:rsidP="00D61F12">
      <w:pPr>
        <w:pStyle w:val="Heading2"/>
      </w:pPr>
      <w:r w:rsidRPr="009A2EF4">
        <w:lastRenderedPageBreak/>
        <w:t xml:space="preserve">Direction </w:t>
      </w:r>
      <w:r>
        <w:t>2</w:t>
      </w:r>
      <w:r w:rsidRPr="009A2EF4">
        <w:t>.5</w:t>
      </w:r>
      <w:r w:rsidRPr="009A2EF4">
        <w:tab/>
        <w:t xml:space="preserve">Provide </w:t>
      </w:r>
      <w:r>
        <w:t>greater choice and</w:t>
      </w:r>
      <w:r w:rsidRPr="009A2EF4">
        <w:t xml:space="preserve"> diversity of housing</w:t>
      </w:r>
      <w:bookmarkEnd w:id="107"/>
      <w:bookmarkEnd w:id="108"/>
      <w:bookmarkEnd w:id="109"/>
      <w:bookmarkEnd w:id="110"/>
      <w:bookmarkEnd w:id="111"/>
      <w:bookmarkEnd w:id="112"/>
      <w:bookmarkEnd w:id="113"/>
      <w:bookmarkEnd w:id="114"/>
      <w:bookmarkEnd w:id="115"/>
      <w:bookmarkEnd w:id="116"/>
      <w:bookmarkEnd w:id="117"/>
      <w:bookmarkEnd w:id="118"/>
    </w:p>
    <w:p w:rsidR="00D61F12" w:rsidRPr="009A2EF4" w:rsidRDefault="00D61F12" w:rsidP="00D61F12">
      <w:pPr>
        <w:pStyle w:val="body"/>
      </w:pPr>
      <w:r w:rsidRPr="009A2EF4">
        <w:t>Housing diversity relate</w:t>
      </w:r>
      <w:r>
        <w:t xml:space="preserve">s </w:t>
      </w:r>
      <w:r w:rsidRPr="009A2EF4">
        <w:t xml:space="preserve">to </w:t>
      </w:r>
      <w:r>
        <w:t xml:space="preserve">the </w:t>
      </w:r>
      <w:r w:rsidRPr="009A2EF4">
        <w:t>size, cost</w:t>
      </w:r>
      <w:r>
        <w:t xml:space="preserve">, </w:t>
      </w:r>
      <w:r w:rsidRPr="009A2EF4">
        <w:t>number of bedrooms, character and age of dwellings. It also extend</w:t>
      </w:r>
      <w:r>
        <w:t>s</w:t>
      </w:r>
      <w:r w:rsidRPr="009A2EF4">
        <w:t xml:space="preserve"> to </w:t>
      </w:r>
      <w:r>
        <w:t>o</w:t>
      </w:r>
      <w:r w:rsidRPr="009A2EF4">
        <w:t>the</w:t>
      </w:r>
      <w:r>
        <w:t>r</w:t>
      </w:r>
      <w:r w:rsidRPr="009A2EF4">
        <w:t xml:space="preserve"> type</w:t>
      </w:r>
      <w:r>
        <w:t>s</w:t>
      </w:r>
      <w:r w:rsidRPr="009A2EF4">
        <w:t xml:space="preserve"> of housing, such as low</w:t>
      </w:r>
      <w:r>
        <w:t>-</w:t>
      </w:r>
      <w:r w:rsidRPr="009A2EF4">
        <w:t xml:space="preserve">cost rental aged care, </w:t>
      </w:r>
      <w:r>
        <w:t xml:space="preserve">supported accommodation for people with disability, </w:t>
      </w:r>
      <w:r w:rsidRPr="009A2EF4">
        <w:t>rooming houses, student accommodation</w:t>
      </w:r>
      <w:r>
        <w:t xml:space="preserve"> and</w:t>
      </w:r>
      <w:r w:rsidRPr="009A2EF4">
        <w:t xml:space="preserve"> social housing.</w:t>
      </w:r>
    </w:p>
    <w:p w:rsidR="00D61F12" w:rsidRPr="009A2EF4" w:rsidRDefault="00D61F12" w:rsidP="00D61F12">
      <w:pPr>
        <w:pStyle w:val="body"/>
      </w:pPr>
      <w:r>
        <w:t xml:space="preserve">Creating greater choice and diversity of housing across the city has clear benefits—such as </w:t>
      </w:r>
      <w:r w:rsidRPr="009A2EF4">
        <w:rPr>
          <w:rFonts w:cstheme="minorBidi"/>
        </w:rPr>
        <w:t>improve</w:t>
      </w:r>
      <w:r>
        <w:rPr>
          <w:rFonts w:cstheme="minorBidi"/>
        </w:rPr>
        <w:t>d</w:t>
      </w:r>
      <w:r w:rsidRPr="009A2EF4">
        <w:rPr>
          <w:rFonts w:cstheme="minorBidi"/>
        </w:rPr>
        <w:t xml:space="preserve"> access to jobs, services and transport</w:t>
      </w:r>
      <w:r>
        <w:t xml:space="preserve">. </w:t>
      </w:r>
      <w:r w:rsidRPr="009A2EF4">
        <w:t>For new</w:t>
      </w:r>
      <w:r>
        <w:t xml:space="preserve">ly </w:t>
      </w:r>
      <w:r w:rsidRPr="009A2EF4">
        <w:t>formed households, providing a diversity of housing may enable them to remain within a preferred location</w:t>
      </w:r>
      <w:r>
        <w:t>. F</w:t>
      </w:r>
      <w:r w:rsidRPr="009A2EF4">
        <w:t>or older couples</w:t>
      </w:r>
      <w:r>
        <w:t>,</w:t>
      </w:r>
      <w:r w:rsidRPr="009A2EF4">
        <w:t xml:space="preserve"> </w:t>
      </w:r>
      <w:r>
        <w:t xml:space="preserve">housing diversity </w:t>
      </w:r>
      <w:r w:rsidRPr="009A2EF4">
        <w:t xml:space="preserve">may enable them </w:t>
      </w:r>
      <w:r>
        <w:t xml:space="preserve">to downsize </w:t>
      </w:r>
      <w:r w:rsidRPr="009A2EF4">
        <w:t>to more compact accommodation within the</w:t>
      </w:r>
      <w:r>
        <w:t>ir neighbourhood</w:t>
      </w:r>
      <w:r w:rsidRPr="009A2EF4">
        <w:t>.</w:t>
      </w:r>
    </w:p>
    <w:p w:rsidR="00D61F12" w:rsidRPr="009A2EF4" w:rsidRDefault="00D61F12" w:rsidP="00D61F12">
      <w:pPr>
        <w:pStyle w:val="Heading3"/>
      </w:pPr>
      <w:bookmarkStart w:id="119" w:name="_Toc452983079"/>
      <w:bookmarkStart w:id="120" w:name="_Toc455736270"/>
      <w:bookmarkStart w:id="121" w:name="_Toc456272075"/>
      <w:bookmarkStart w:id="122" w:name="_Toc447119855"/>
      <w:r w:rsidRPr="009A2EF4">
        <w:t xml:space="preserve">Policy </w:t>
      </w:r>
      <w:r>
        <w:t>2</w:t>
      </w:r>
      <w:r w:rsidRPr="009A2EF4">
        <w:t>.5.1</w:t>
      </w:r>
      <w:r w:rsidRPr="009A2EF4">
        <w:tab/>
      </w:r>
      <w:r>
        <w:t>F</w:t>
      </w:r>
      <w:r w:rsidRPr="009A2EF4">
        <w:t>acilitate housing that offers choice and meets changing household needs</w:t>
      </w:r>
      <w:bookmarkEnd w:id="119"/>
      <w:bookmarkEnd w:id="120"/>
      <w:bookmarkEnd w:id="121"/>
    </w:p>
    <w:p w:rsidR="00D61F12" w:rsidRDefault="00D61F12" w:rsidP="00D61F12">
      <w:pPr>
        <w:pStyle w:val="body"/>
      </w:pPr>
      <w:r>
        <w:t>Melbourne needs</w:t>
      </w:r>
      <w:r w:rsidRPr="009A2EF4">
        <w:t xml:space="preserve"> a greater mix of housing.</w:t>
      </w:r>
      <w:r>
        <w:t xml:space="preserve"> </w:t>
      </w:r>
      <w:r w:rsidRPr="009A2EF4">
        <w:t>Alternate forms of housing, such as secondary dwellings, can offer opportunity for small-scale development in established areas</w:t>
      </w:r>
      <w:r>
        <w:t xml:space="preserve">—creating </w:t>
      </w:r>
      <w:r w:rsidRPr="009A2EF4">
        <w:t>opportunit</w:t>
      </w:r>
      <w:r>
        <w:t>ies</w:t>
      </w:r>
      <w:r w:rsidRPr="009A2EF4">
        <w:t xml:space="preserve"> for extended famil</w:t>
      </w:r>
      <w:r>
        <w:t xml:space="preserve">ies to live together </w:t>
      </w:r>
      <w:r w:rsidRPr="009A2EF4">
        <w:t xml:space="preserve">or </w:t>
      </w:r>
      <w:r>
        <w:t xml:space="preserve">older couples to </w:t>
      </w:r>
      <w:r w:rsidRPr="009A2EF4">
        <w:t>downsiz</w:t>
      </w:r>
      <w:r>
        <w:t xml:space="preserve">e. </w:t>
      </w:r>
    </w:p>
    <w:p w:rsidR="00D61F12" w:rsidRPr="009A2EF4" w:rsidRDefault="00D61F12" w:rsidP="00D61F12">
      <w:pPr>
        <w:pStyle w:val="body"/>
      </w:pPr>
      <w:r w:rsidRPr="009A2EF4">
        <w:t xml:space="preserve">Internal design can also increase the flexibility and adaptability of dwellings. For example, </w:t>
      </w:r>
      <w:r w:rsidRPr="00E876D8">
        <w:t xml:space="preserve">universal design ensures homes </w:t>
      </w:r>
      <w:r>
        <w:t xml:space="preserve">are accessible to </w:t>
      </w:r>
      <w:r w:rsidRPr="00E876D8">
        <w:t>people with disabilit</w:t>
      </w:r>
      <w:r>
        <w:t xml:space="preserve">y—accessibility will become more important as the population ages. A </w:t>
      </w:r>
      <w:r w:rsidRPr="009A2EF4">
        <w:t xml:space="preserve">flexible internal design can </w:t>
      </w:r>
      <w:r>
        <w:t xml:space="preserve">also </w:t>
      </w:r>
      <w:r w:rsidRPr="009A2EF4">
        <w:t xml:space="preserve">help accommodate adult children </w:t>
      </w:r>
      <w:r>
        <w:t xml:space="preserve">remaining or </w:t>
      </w:r>
      <w:r w:rsidRPr="009A2EF4">
        <w:t>returning home</w:t>
      </w:r>
      <w:r>
        <w:t xml:space="preserve"> as well as the addition of </w:t>
      </w:r>
      <w:r w:rsidRPr="009A2EF4">
        <w:t xml:space="preserve">elderly parents </w:t>
      </w:r>
      <w:r>
        <w:t>to a household</w:t>
      </w:r>
      <w:r w:rsidRPr="009A2EF4">
        <w:t>.</w:t>
      </w:r>
    </w:p>
    <w:p w:rsidR="00D61F12" w:rsidRDefault="00D61F12" w:rsidP="00D61F12">
      <w:pPr>
        <w:pStyle w:val="body"/>
      </w:pPr>
      <w:r>
        <w:t>The</w:t>
      </w:r>
      <w:r w:rsidRPr="009A2EF4">
        <w:t xml:space="preserve"> planning system </w:t>
      </w:r>
      <w:r>
        <w:t xml:space="preserve">will be amended to cater for </w:t>
      </w:r>
      <w:r w:rsidRPr="009A2EF4">
        <w:t xml:space="preserve">different types of housing </w:t>
      </w:r>
      <w:r>
        <w:t>and accommodation</w:t>
      </w:r>
      <w:r w:rsidRPr="009A2EF4">
        <w:t>.</w:t>
      </w:r>
    </w:p>
    <w:p w:rsidR="00D61F12" w:rsidRPr="00D52C6B" w:rsidRDefault="00D61F12" w:rsidP="00D61F12">
      <w:pPr>
        <w:pStyle w:val="BREAKOUTBOX"/>
        <w:shd w:val="clear" w:color="auto" w:fill="F2F2F2" w:themeFill="background1" w:themeFillShade="F2"/>
      </w:pPr>
      <w:r w:rsidRPr="00D52C6B">
        <w:t>Secondary dwellings</w:t>
      </w:r>
    </w:p>
    <w:p w:rsidR="00D61F12" w:rsidRDefault="00D61F12" w:rsidP="00D61F12">
      <w:pPr>
        <w:pStyle w:val="BreakoutBoxText"/>
        <w:shd w:val="clear" w:color="auto" w:fill="F2F2F2" w:themeFill="background1" w:themeFillShade="F2"/>
        <w:ind w:left="0"/>
        <w:rPr>
          <w:lang w:val="en-US" w:eastAsia="ja-JP"/>
        </w:rPr>
      </w:pPr>
      <w:r>
        <w:rPr>
          <w:lang w:val="en-US" w:eastAsia="ja-JP"/>
        </w:rPr>
        <w:t>A number of states across Australia allow the development of a secondary dwelling.</w:t>
      </w:r>
    </w:p>
    <w:p w:rsidR="00D61F12" w:rsidRPr="00D52C6B" w:rsidRDefault="00D61F12" w:rsidP="00D61F12">
      <w:pPr>
        <w:pStyle w:val="BreakoutBoxText"/>
        <w:shd w:val="clear" w:color="auto" w:fill="F2F2F2" w:themeFill="background1" w:themeFillShade="F2"/>
        <w:ind w:left="0"/>
        <w:rPr>
          <w:lang w:val="en-US" w:eastAsia="ja-JP"/>
        </w:rPr>
      </w:pPr>
      <w:r w:rsidRPr="00D52C6B">
        <w:rPr>
          <w:lang w:val="en-US" w:eastAsia="ja-JP"/>
        </w:rPr>
        <w:t>A secondary dwelling</w:t>
      </w:r>
      <w:r w:rsidRPr="00343F99">
        <w:t>—</w:t>
      </w:r>
      <w:r w:rsidRPr="00D52C6B">
        <w:rPr>
          <w:lang w:val="en-US" w:eastAsia="ja-JP"/>
        </w:rPr>
        <w:t>sometimes referred to as a granny flat or bedsitter</w:t>
      </w:r>
      <w:r w:rsidRPr="00343F99">
        <w:t>—</w:t>
      </w:r>
      <w:r w:rsidRPr="00D52C6B">
        <w:rPr>
          <w:lang w:val="en-US" w:eastAsia="ja-JP"/>
        </w:rPr>
        <w:t xml:space="preserve">is an additional self-contained dwelling developed on the same land as </w:t>
      </w:r>
      <w:r>
        <w:rPr>
          <w:lang w:val="en-US" w:eastAsia="ja-JP"/>
        </w:rPr>
        <w:t xml:space="preserve">a </w:t>
      </w:r>
      <w:r w:rsidRPr="00D52C6B">
        <w:rPr>
          <w:lang w:val="en-US" w:eastAsia="ja-JP"/>
        </w:rPr>
        <w:t xml:space="preserve">principal dwelling. It is limited in size and can be located within, beside, behind, below or above the principal dwelling. </w:t>
      </w:r>
    </w:p>
    <w:p w:rsidR="00D61F12" w:rsidRPr="00D52C6B" w:rsidRDefault="00D61F12" w:rsidP="00D61F12">
      <w:pPr>
        <w:pStyle w:val="BreakoutBoxText"/>
        <w:shd w:val="clear" w:color="auto" w:fill="F2F2F2" w:themeFill="background1" w:themeFillShade="F2"/>
        <w:ind w:left="0"/>
        <w:rPr>
          <w:lang w:val="en-US" w:eastAsia="ja-JP"/>
        </w:rPr>
      </w:pPr>
      <w:r w:rsidRPr="00D52C6B">
        <w:rPr>
          <w:lang w:val="en-US" w:eastAsia="ja-JP"/>
        </w:rPr>
        <w:t xml:space="preserve">A range of development standards are generally required to be met </w:t>
      </w:r>
      <w:r>
        <w:rPr>
          <w:lang w:val="en-US" w:eastAsia="ja-JP"/>
        </w:rPr>
        <w:t>to be classified as a</w:t>
      </w:r>
      <w:r w:rsidRPr="00D52C6B">
        <w:rPr>
          <w:lang w:val="en-US" w:eastAsia="ja-JP"/>
        </w:rPr>
        <w:t xml:space="preserve"> secondary dwelling, such as site area requirements, building heights and setbacks, landscaping and services. If development standards are met, a fast-track approval process applies.</w:t>
      </w:r>
    </w:p>
    <w:p w:rsidR="00D61F12" w:rsidRPr="009A2EF4" w:rsidRDefault="00D61F12" w:rsidP="00D61F12">
      <w:pPr>
        <w:pStyle w:val="BreakoutBoxText"/>
        <w:shd w:val="clear" w:color="auto" w:fill="F2F2F2" w:themeFill="background1" w:themeFillShade="F2"/>
        <w:ind w:left="0"/>
      </w:pPr>
      <w:r w:rsidRPr="00D52C6B">
        <w:rPr>
          <w:lang w:val="en-US" w:eastAsia="ja-JP"/>
        </w:rPr>
        <w:t xml:space="preserve">In some areas, there are limitations on the secondary dwelling being occupied by persons who form one household with the </w:t>
      </w:r>
      <w:r>
        <w:rPr>
          <w:lang w:val="en-US" w:eastAsia="ja-JP"/>
        </w:rPr>
        <w:t>principal</w:t>
      </w:r>
      <w:r w:rsidRPr="00D52C6B">
        <w:rPr>
          <w:lang w:val="en-US" w:eastAsia="ja-JP"/>
        </w:rPr>
        <w:t xml:space="preserve"> dwelling.</w:t>
      </w:r>
      <w:r>
        <w:rPr>
          <w:rStyle w:val="EndnoteReference"/>
        </w:rPr>
        <w:endnoteReference w:id="4"/>
      </w:r>
      <w:r>
        <w:t xml:space="preserve"> </w:t>
      </w:r>
    </w:p>
    <w:p w:rsidR="00D61F12" w:rsidRPr="009A2EF4" w:rsidRDefault="00D61F12" w:rsidP="00D61F12">
      <w:pPr>
        <w:pStyle w:val="Heading3"/>
      </w:pPr>
      <w:bookmarkStart w:id="123" w:name="_Toc452983080"/>
      <w:bookmarkStart w:id="124" w:name="_Toc455736271"/>
      <w:bookmarkStart w:id="125" w:name="_Toc456272076"/>
      <w:r w:rsidRPr="009A2EF4">
        <w:lastRenderedPageBreak/>
        <w:t xml:space="preserve">Policy </w:t>
      </w:r>
      <w:r>
        <w:t>2</w:t>
      </w:r>
      <w:r w:rsidRPr="009A2EF4">
        <w:t>.5.2</w:t>
      </w:r>
      <w:r w:rsidRPr="009A2EF4">
        <w:tab/>
        <w:t>Provide a range of housing types in growth areas</w:t>
      </w:r>
      <w:bookmarkEnd w:id="122"/>
      <w:bookmarkEnd w:id="123"/>
      <w:bookmarkEnd w:id="124"/>
      <w:bookmarkEnd w:id="125"/>
    </w:p>
    <w:p w:rsidR="00D61F12" w:rsidRPr="009A2EF4" w:rsidRDefault="00D61F12" w:rsidP="00D61F12">
      <w:pPr>
        <w:pStyle w:val="body"/>
      </w:pPr>
      <w:r w:rsidRPr="009A2EF4">
        <w:t xml:space="preserve">In growth areas, there needs to be a move away from uniform-sized housing lots towards </w:t>
      </w:r>
      <w:r>
        <w:t>providing</w:t>
      </w:r>
      <w:r w:rsidRPr="009A2EF4">
        <w:t xml:space="preserve"> both higher and lower densities within each precinct.</w:t>
      </w:r>
    </w:p>
    <w:p w:rsidR="00D61F12" w:rsidRPr="009A2EF4" w:rsidRDefault="00D61F12" w:rsidP="00D61F12">
      <w:pPr>
        <w:pStyle w:val="body"/>
      </w:pPr>
      <w:r w:rsidRPr="009A2EF4">
        <w:t xml:space="preserve">Planning for growth areas </w:t>
      </w:r>
      <w:r>
        <w:t xml:space="preserve">must deliver </w:t>
      </w:r>
      <w:r w:rsidRPr="009A2EF4">
        <w:t>a variety of lot sizes and housing types. This can be achieved through both larger lots (to provide a sizeable backyard for those families that desire it), as well as options for townhouses, low-rise apartments</w:t>
      </w:r>
      <w:r>
        <w:t>,</w:t>
      </w:r>
      <w:r w:rsidRPr="009A2EF4">
        <w:t xml:space="preserve"> and aged</w:t>
      </w:r>
      <w:r>
        <w:t>-</w:t>
      </w:r>
      <w:r w:rsidRPr="009A2EF4">
        <w:t>care housing close to shopping centres and community facilities.</w:t>
      </w:r>
    </w:p>
    <w:p w:rsidR="00D61F12" w:rsidRPr="009A2EF4" w:rsidRDefault="00D61F12" w:rsidP="00D61F12"/>
    <w:bookmarkEnd w:id="7"/>
    <w:bookmarkEnd w:id="8"/>
    <w:p w:rsidR="00AE5DBA" w:rsidRDefault="00D61F12" w:rsidP="00D61F12">
      <w:r>
        <w:br w:type="page"/>
      </w:r>
      <w:bookmarkStart w:id="126" w:name="_GoBack"/>
      <w:bookmarkEnd w:id="126"/>
    </w:p>
    <w:sectPr w:rsidR="00AE5D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F12" w:rsidRDefault="00D61F12" w:rsidP="00D61F12">
      <w:pPr>
        <w:spacing w:after="0"/>
      </w:pPr>
      <w:r>
        <w:separator/>
      </w:r>
    </w:p>
  </w:endnote>
  <w:endnote w:type="continuationSeparator" w:id="0">
    <w:p w:rsidR="00D61F12" w:rsidRDefault="00D61F12" w:rsidP="00D61F12">
      <w:pPr>
        <w:spacing w:after="0"/>
      </w:pPr>
      <w:r>
        <w:continuationSeparator/>
      </w:r>
    </w:p>
  </w:endnote>
  <w:endnote w:id="1">
    <w:p w:rsidR="00D61F12" w:rsidRPr="000005BA" w:rsidRDefault="00D61F12" w:rsidP="00D61F12">
      <w:pPr>
        <w:pStyle w:val="EndnoteText"/>
        <w:rPr>
          <w:sz w:val="18"/>
          <w:szCs w:val="18"/>
          <w:lang w:val="en-US"/>
        </w:rPr>
      </w:pPr>
      <w:r w:rsidRPr="000005BA">
        <w:rPr>
          <w:rStyle w:val="EndnoteReference"/>
          <w:sz w:val="18"/>
          <w:szCs w:val="18"/>
        </w:rPr>
        <w:endnoteRef/>
      </w:r>
      <w:r w:rsidRPr="000005BA">
        <w:rPr>
          <w:sz w:val="18"/>
          <w:szCs w:val="18"/>
        </w:rPr>
        <w:t xml:space="preserve"> City of Melbourne, 2013, </w:t>
      </w:r>
      <w:r w:rsidRPr="000005BA">
        <w:rPr>
          <w:i/>
          <w:sz w:val="18"/>
          <w:szCs w:val="18"/>
        </w:rPr>
        <w:t>Future Living: A discussion paper identifying issues and options for housing our community</w:t>
      </w:r>
      <w:r w:rsidRPr="000005BA">
        <w:rPr>
          <w:sz w:val="18"/>
          <w:szCs w:val="18"/>
        </w:rPr>
        <w:t>.</w:t>
      </w:r>
    </w:p>
  </w:endnote>
  <w:endnote w:id="2">
    <w:p w:rsidR="00D61F12" w:rsidRPr="000005BA" w:rsidRDefault="00D61F12" w:rsidP="00D61F12">
      <w:pPr>
        <w:pStyle w:val="EndnoteText"/>
        <w:rPr>
          <w:sz w:val="18"/>
          <w:szCs w:val="18"/>
          <w:lang w:val="en-US"/>
        </w:rPr>
      </w:pPr>
      <w:r w:rsidRPr="000005BA">
        <w:rPr>
          <w:rStyle w:val="EndnoteReference"/>
          <w:sz w:val="18"/>
          <w:szCs w:val="18"/>
        </w:rPr>
        <w:endnoteRef/>
      </w:r>
      <w:r w:rsidRPr="000005BA">
        <w:rPr>
          <w:sz w:val="18"/>
          <w:szCs w:val="18"/>
        </w:rPr>
        <w:t xml:space="preserve"> In Victoria allocations to public housing are around 2,500 per annum. The current waiting list is in excess of 34,000 households.</w:t>
      </w:r>
    </w:p>
  </w:endnote>
  <w:endnote w:id="3">
    <w:p w:rsidR="00D61F12" w:rsidRPr="000005BA" w:rsidRDefault="00D61F12" w:rsidP="00D61F12">
      <w:pPr>
        <w:pStyle w:val="EndnoteText"/>
        <w:rPr>
          <w:sz w:val="18"/>
          <w:szCs w:val="18"/>
          <w:lang w:val="en-US"/>
        </w:rPr>
      </w:pPr>
      <w:r w:rsidRPr="000005BA">
        <w:rPr>
          <w:rStyle w:val="EndnoteReference"/>
          <w:sz w:val="18"/>
          <w:szCs w:val="18"/>
        </w:rPr>
        <w:endnoteRef/>
      </w:r>
      <w:r w:rsidRPr="000005BA">
        <w:rPr>
          <w:sz w:val="18"/>
          <w:szCs w:val="18"/>
        </w:rPr>
        <w:t xml:space="preserve"> Australian Bureau of Statistics, 2012, Census of Population and Housing: Estimating Homelessness 2011.</w:t>
      </w:r>
    </w:p>
  </w:endnote>
  <w:endnote w:id="4">
    <w:p w:rsidR="00D61F12" w:rsidRPr="000005BA" w:rsidRDefault="00D61F12" w:rsidP="00D61F12">
      <w:pPr>
        <w:pStyle w:val="EndnoteText"/>
        <w:rPr>
          <w:sz w:val="18"/>
          <w:szCs w:val="18"/>
        </w:rPr>
      </w:pPr>
      <w:r w:rsidRPr="000005BA">
        <w:rPr>
          <w:rStyle w:val="EndnoteReference"/>
          <w:sz w:val="18"/>
          <w:szCs w:val="18"/>
        </w:rPr>
        <w:endnoteRef/>
      </w:r>
      <w:r w:rsidRPr="000005BA">
        <w:rPr>
          <w:sz w:val="18"/>
          <w:szCs w:val="18"/>
        </w:rPr>
        <w:t xml:space="preserve"> In NSW a secondary dwelling can be independently rented out. In contrast, Logan City Council in Queensland requires a secondary dwelling to be occupied by persons who form one household with the primary dwelling.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DINOT-Bold">
    <w:altName w:val="Arial Black"/>
    <w:charset w:val="00"/>
    <w:family w:val="auto"/>
    <w:pitch w:val="variable"/>
    <w:sig w:usb0="00000003" w:usb1="4000207B" w:usb2="00000000" w:usb3="00000000" w:csb0="00000001" w:csb1="00000000"/>
  </w:font>
  <w:font w:name="DINOT-Black">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GrandesignNeueSerif">
    <w:altName w:val="Cambria"/>
    <w:panose1 w:val="00000000000000000000"/>
    <w:charset w:val="00"/>
    <w:family w:val="roman"/>
    <w:notTrueType/>
    <w:pitch w:val="default"/>
    <w:sig w:usb0="00000003" w:usb1="00000000" w:usb2="00000000" w:usb3="00000000" w:csb0="00000001" w:csb1="00000000"/>
  </w:font>
  <w:font w:name="DINOT">
    <w:altName w:val="Cambria"/>
    <w:panose1 w:val="00000000000000000000"/>
    <w:charset w:val="00"/>
    <w:family w:val="swiss"/>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DINOT-Medium">
    <w:altName w:val="Cambria"/>
    <w:panose1 w:val="00000000000000000000"/>
    <w:charset w:val="4D"/>
    <w:family w:val="auto"/>
    <w:notTrueType/>
    <w:pitch w:val="default"/>
    <w:sig w:usb0="00000003" w:usb1="00000000" w:usb2="00000000" w:usb3="00000000" w:csb0="00000001" w:csb1="00000000"/>
  </w:font>
  <w:font w:name="GrandesignNeueSerif-Bold">
    <w:altName w:val="Cambria"/>
    <w:panose1 w:val="00000000000000000000"/>
    <w:charset w:val="00"/>
    <w:family w:val="auto"/>
    <w:notTrueType/>
    <w:pitch w:val="default"/>
    <w:sig w:usb0="00000003" w:usb1="00000000" w:usb2="00000000" w:usb3="00000000" w:csb0="00000001" w:csb1="00000000"/>
  </w:font>
  <w:font w:name="GrandesignNeueSerif-Italic">
    <w:altName w:val="Cambria"/>
    <w:panose1 w:val="00000000000000000000"/>
    <w:charset w:val="4D"/>
    <w:family w:val="auto"/>
    <w:notTrueType/>
    <w:pitch w:val="default"/>
    <w:sig w:usb0="00000003" w:usb1="00000000" w:usb2="00000000" w:usb3="00000000" w:csb0="00000001" w:csb1="00000000"/>
  </w:font>
  <w:font w:name="DINOT-Light">
    <w:panose1 w:val="00000000000000000000"/>
    <w:charset w:val="00"/>
    <w:family w:val="swiss"/>
    <w:notTrueType/>
    <w:pitch w:val="variable"/>
    <w:sig w:usb0="800000AF" w:usb1="4000207B" w:usb2="00000000" w:usb3="00000000" w:csb0="00000001" w:csb1="00000000"/>
  </w:font>
  <w:font w:name="DINOT-LightItalic">
    <w:panose1 w:val="00000000000000000000"/>
    <w:charset w:val="4D"/>
    <w:family w:val="auto"/>
    <w:notTrueType/>
    <w:pitch w:val="default"/>
    <w:sig w:usb0="00000003" w:usb1="00000000" w:usb2="00000000" w:usb3="00000000" w:csb0="00000001" w:csb1="00000000"/>
  </w:font>
  <w:font w:name="Sko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TradeGothic LT CondEighteen">
    <w:altName w:val="TradeGothic LT CondEighteen"/>
    <w:panose1 w:val="00000000000000000000"/>
    <w:charset w:val="00"/>
    <w:family w:val="swiss"/>
    <w:notTrueType/>
    <w:pitch w:val="default"/>
    <w:sig w:usb0="00000003" w:usb1="00000000" w:usb2="00000000" w:usb3="00000000" w:csb0="00000001" w:csb1="00000000"/>
  </w:font>
  <w:font w:name="Museo Slab 500">
    <w:altName w:val="Museo Slab 500"/>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C SemiBold">
    <w:altName w:val="VIC SemiBold"/>
    <w:panose1 w:val="00000000000000000000"/>
    <w:charset w:val="00"/>
    <w:family w:val="swiss"/>
    <w:notTrueType/>
    <w:pitch w:val="default"/>
    <w:sig w:usb0="00000003" w:usb1="00000000" w:usb2="00000000" w:usb3="00000000" w:csb0="00000001" w:csb1="00000000"/>
  </w:font>
  <w:font w:name="VIC Light">
    <w:altName w:val="VIC Light"/>
    <w:panose1 w:val="00000000000000000000"/>
    <w:charset w:val="00"/>
    <w:family w:val="swiss"/>
    <w:notTrueType/>
    <w:pitch w:val="default"/>
    <w:sig w:usb0="00000003" w:usb1="00000000" w:usb2="00000000" w:usb3="00000000" w:csb0="00000001" w:csb1="00000000"/>
  </w:font>
  <w:font w:name="VIC">
    <w:altName w:val="VIC"/>
    <w:panose1 w:val="00000000000000000000"/>
    <w:charset w:val="00"/>
    <w:family w:val="swiss"/>
    <w:notTrueType/>
    <w:pitch w:val="default"/>
    <w:sig w:usb0="00000003" w:usb1="00000000" w:usb2="00000000" w:usb3="00000000" w:csb0="00000001" w:csb1="00000000"/>
  </w:font>
  <w:font w:name="VIC Medium">
    <w:altName w:val="VIC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102744"/>
      <w:docPartObj>
        <w:docPartGallery w:val="Page Numbers (Bottom of Page)"/>
        <w:docPartUnique/>
      </w:docPartObj>
    </w:sdtPr>
    <w:sdtContent>
      <w:sdt>
        <w:sdtPr>
          <w:id w:val="1410648991"/>
          <w:docPartObj>
            <w:docPartGallery w:val="Page Numbers (Top of Page)"/>
            <w:docPartUnique/>
          </w:docPartObj>
        </w:sdtPr>
        <w:sdtContent>
          <w:p w:rsidR="00D61F12" w:rsidRPr="004374CA" w:rsidRDefault="00D61F12" w:rsidP="006758D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F12" w:rsidRDefault="00D61F12" w:rsidP="00D61F12">
      <w:pPr>
        <w:spacing w:after="0"/>
      </w:pPr>
      <w:r>
        <w:separator/>
      </w:r>
    </w:p>
  </w:footnote>
  <w:footnote w:type="continuationSeparator" w:id="0">
    <w:p w:rsidR="00D61F12" w:rsidRDefault="00D61F12" w:rsidP="00D61F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12" w:rsidRPr="005A1CAA" w:rsidRDefault="00D61F12" w:rsidP="005A1CAA">
    <w:pPr>
      <w:pStyle w:val="Header"/>
      <w:tabs>
        <w:tab w:val="clear" w:pos="4513"/>
        <w:tab w:val="clear" w:pos="9026"/>
      </w:tabs>
      <w:jc w:val="center"/>
      <w:rPr>
        <w:b/>
        <w:color w:val="FF0000"/>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1">
    <w:nsid w:val="07795008"/>
    <w:multiLevelType w:val="hybridMultilevel"/>
    <w:tmpl w:val="FABA5B2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nsid w:val="0C635E3F"/>
    <w:multiLevelType w:val="hybridMultilevel"/>
    <w:tmpl w:val="D8F2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8006F1"/>
    <w:multiLevelType w:val="hybridMultilevel"/>
    <w:tmpl w:val="0F16F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A70108"/>
    <w:multiLevelType w:val="hybridMultilevel"/>
    <w:tmpl w:val="2FDC9ADA"/>
    <w:lvl w:ilvl="0" w:tplc="81004A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822672"/>
    <w:multiLevelType w:val="hybridMultilevel"/>
    <w:tmpl w:val="222C6F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139274EB"/>
    <w:multiLevelType w:val="hybridMultilevel"/>
    <w:tmpl w:val="6658B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522DBA"/>
    <w:multiLevelType w:val="hybridMultilevel"/>
    <w:tmpl w:val="D0FE2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B03C54"/>
    <w:multiLevelType w:val="hybridMultilevel"/>
    <w:tmpl w:val="3ED62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051C58"/>
    <w:multiLevelType w:val="hybridMultilevel"/>
    <w:tmpl w:val="3D984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C96CC5"/>
    <w:multiLevelType w:val="hybridMultilevel"/>
    <w:tmpl w:val="292610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21237E9F"/>
    <w:multiLevelType w:val="hybridMultilevel"/>
    <w:tmpl w:val="F3D4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570ACB"/>
    <w:multiLevelType w:val="hybridMultilevel"/>
    <w:tmpl w:val="6B9E2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DD1B2B"/>
    <w:multiLevelType w:val="hybridMultilevel"/>
    <w:tmpl w:val="E68E894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2E646BFA"/>
    <w:multiLevelType w:val="hybridMultilevel"/>
    <w:tmpl w:val="5E94C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702894"/>
    <w:multiLevelType w:val="hybridMultilevel"/>
    <w:tmpl w:val="BB4AA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5D0907"/>
    <w:multiLevelType w:val="hybridMultilevel"/>
    <w:tmpl w:val="C0B6B542"/>
    <w:lvl w:ilvl="0" w:tplc="0C090001">
      <w:start w:val="1"/>
      <w:numFmt w:val="bullet"/>
      <w:pStyle w:val="Dotpoin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472F83"/>
    <w:multiLevelType w:val="hybridMultilevel"/>
    <w:tmpl w:val="E85CB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6127E73"/>
    <w:multiLevelType w:val="hybridMultilevel"/>
    <w:tmpl w:val="DD92AA24"/>
    <w:lvl w:ilvl="0" w:tplc="6D8E6ADC">
      <w:start w:val="1"/>
      <w:numFmt w:val="decimal"/>
      <w:pStyle w:val="Chapter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68D04B2"/>
    <w:multiLevelType w:val="hybridMultilevel"/>
    <w:tmpl w:val="8C1A4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1925D7"/>
    <w:multiLevelType w:val="hybridMultilevel"/>
    <w:tmpl w:val="DD745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03602"/>
    <w:multiLevelType w:val="hybridMultilevel"/>
    <w:tmpl w:val="49581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EA0105"/>
    <w:multiLevelType w:val="multilevel"/>
    <w:tmpl w:val="DB6C7F60"/>
    <w:lvl w:ilvl="0">
      <w:start w:val="1"/>
      <w:numFmt w:val="decimal"/>
      <w:lvlText w:val="%1"/>
      <w:lvlJc w:val="left"/>
      <w:pPr>
        <w:ind w:left="574" w:hanging="432"/>
      </w:pPr>
      <w:rPr>
        <w:rFonts w:hint="default"/>
        <w:color w:val="FFFFFF" w:themeColor="background1"/>
      </w:rPr>
    </w:lvl>
    <w:lvl w:ilvl="1">
      <w:start w:val="1"/>
      <w:numFmt w:val="decimal"/>
      <w:lvlText w:val="Direction %1.%2"/>
      <w:lvlJc w:val="left"/>
      <w:pPr>
        <w:ind w:left="576" w:hanging="576"/>
      </w:pPr>
      <w:rPr>
        <w:rFonts w:asciiTheme="minorHAnsi" w:hAnsiTheme="minorHAnsi" w:cstheme="minorHAnsi" w:hint="default"/>
      </w:rPr>
    </w:lvl>
    <w:lvl w:ilvl="2">
      <w:start w:val="1"/>
      <w:numFmt w:val="decimal"/>
      <w:pStyle w:val="Index2"/>
      <w:lvlText w:val="Initiative %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420922B0"/>
    <w:multiLevelType w:val="hybridMultilevel"/>
    <w:tmpl w:val="E84A2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042F4A"/>
    <w:multiLevelType w:val="hybridMultilevel"/>
    <w:tmpl w:val="DA1E42DE"/>
    <w:lvl w:ilvl="0" w:tplc="C3D0B3D6">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DF32E40"/>
    <w:multiLevelType w:val="hybridMultilevel"/>
    <w:tmpl w:val="2C24F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06523A"/>
    <w:multiLevelType w:val="hybridMultilevel"/>
    <w:tmpl w:val="9E4EA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284663F"/>
    <w:multiLevelType w:val="hybridMultilevel"/>
    <w:tmpl w:val="8650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1F15E8"/>
    <w:multiLevelType w:val="hybridMultilevel"/>
    <w:tmpl w:val="58DC4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E2263E"/>
    <w:multiLevelType w:val="hybridMultilevel"/>
    <w:tmpl w:val="8E5A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21753E1"/>
    <w:multiLevelType w:val="hybridMultilevel"/>
    <w:tmpl w:val="947E4DD2"/>
    <w:lvl w:ilvl="0" w:tplc="E94EF406">
      <w:start w:val="1"/>
      <w:numFmt w:val="bullet"/>
      <w:pStyle w:val="Index3"/>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3284D37"/>
    <w:multiLevelType w:val="hybridMultilevel"/>
    <w:tmpl w:val="F68AA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881171"/>
    <w:multiLevelType w:val="hybridMultilevel"/>
    <w:tmpl w:val="A7CE0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64121C1"/>
    <w:multiLevelType w:val="hybridMultilevel"/>
    <w:tmpl w:val="460A5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B84D7C"/>
    <w:multiLevelType w:val="hybridMultilevel"/>
    <w:tmpl w:val="A29CC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273C83"/>
    <w:multiLevelType w:val="hybridMultilevel"/>
    <w:tmpl w:val="3CE6B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7C5CB1"/>
    <w:multiLevelType w:val="hybridMultilevel"/>
    <w:tmpl w:val="7D5A7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F01C80"/>
    <w:multiLevelType w:val="hybridMultilevel"/>
    <w:tmpl w:val="165AC84A"/>
    <w:lvl w:ilvl="0" w:tplc="DF1493E6">
      <w:numFmt w:val="bullet"/>
      <w:pStyle w:val="Dotpoint"/>
      <w:lvlText w:val=""/>
      <w:lvlJc w:val="left"/>
      <w:pPr>
        <w:tabs>
          <w:tab w:val="num" w:pos="927"/>
        </w:tabs>
        <w:ind w:left="924" w:hanging="357"/>
      </w:pPr>
      <w:rPr>
        <w:rFonts w:ascii="Symbol" w:eastAsia="Times New Roman" w:hAnsi="Symbol" w:hint="default"/>
      </w:rPr>
    </w:lvl>
    <w:lvl w:ilvl="1" w:tplc="4DDA2DF4">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8">
    <w:nsid w:val="6FF84982"/>
    <w:multiLevelType w:val="hybridMultilevel"/>
    <w:tmpl w:val="65F4D91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nsid w:val="70CD437A"/>
    <w:multiLevelType w:val="hybridMultilevel"/>
    <w:tmpl w:val="BC64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5116466"/>
    <w:multiLevelType w:val="hybridMultilevel"/>
    <w:tmpl w:val="BFEC5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F3590A"/>
    <w:multiLevelType w:val="hybridMultilevel"/>
    <w:tmpl w:val="0B6686EC"/>
    <w:lvl w:ilvl="0" w:tplc="0C090001">
      <w:start w:val="1"/>
      <w:numFmt w:val="bullet"/>
      <w:pStyle w:val="Tabletext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E9575C9"/>
    <w:multiLevelType w:val="hybridMultilevel"/>
    <w:tmpl w:val="D78A5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EC6572C"/>
    <w:multiLevelType w:val="hybridMultilevel"/>
    <w:tmpl w:val="0BD2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37"/>
  </w:num>
  <w:num w:numId="4">
    <w:abstractNumId w:val="16"/>
  </w:num>
  <w:num w:numId="5">
    <w:abstractNumId w:val="41"/>
  </w:num>
  <w:num w:numId="6">
    <w:abstractNumId w:val="6"/>
  </w:num>
  <w:num w:numId="7">
    <w:abstractNumId w:val="18"/>
  </w:num>
  <w:num w:numId="8">
    <w:abstractNumId w:val="0"/>
  </w:num>
  <w:num w:numId="9">
    <w:abstractNumId w:val="24"/>
  </w:num>
  <w:num w:numId="10">
    <w:abstractNumId w:val="43"/>
  </w:num>
  <w:num w:numId="11">
    <w:abstractNumId w:val="14"/>
  </w:num>
  <w:num w:numId="12">
    <w:abstractNumId w:val="4"/>
  </w:num>
  <w:num w:numId="13">
    <w:abstractNumId w:val="35"/>
  </w:num>
  <w:num w:numId="14">
    <w:abstractNumId w:val="7"/>
  </w:num>
  <w:num w:numId="15">
    <w:abstractNumId w:val="28"/>
  </w:num>
  <w:num w:numId="16">
    <w:abstractNumId w:val="32"/>
  </w:num>
  <w:num w:numId="17">
    <w:abstractNumId w:val="27"/>
  </w:num>
  <w:num w:numId="18">
    <w:abstractNumId w:val="12"/>
  </w:num>
  <w:num w:numId="19">
    <w:abstractNumId w:val="31"/>
  </w:num>
  <w:num w:numId="20">
    <w:abstractNumId w:val="9"/>
  </w:num>
  <w:num w:numId="21">
    <w:abstractNumId w:val="23"/>
  </w:num>
  <w:num w:numId="22">
    <w:abstractNumId w:val="2"/>
  </w:num>
  <w:num w:numId="23">
    <w:abstractNumId w:val="19"/>
  </w:num>
  <w:num w:numId="24">
    <w:abstractNumId w:val="11"/>
  </w:num>
  <w:num w:numId="25">
    <w:abstractNumId w:val="20"/>
  </w:num>
  <w:num w:numId="26">
    <w:abstractNumId w:val="25"/>
  </w:num>
  <w:num w:numId="27">
    <w:abstractNumId w:val="39"/>
  </w:num>
  <w:num w:numId="28">
    <w:abstractNumId w:val="42"/>
  </w:num>
  <w:num w:numId="29">
    <w:abstractNumId w:val="33"/>
  </w:num>
  <w:num w:numId="30">
    <w:abstractNumId w:val="8"/>
  </w:num>
  <w:num w:numId="31">
    <w:abstractNumId w:val="17"/>
  </w:num>
  <w:num w:numId="32">
    <w:abstractNumId w:val="15"/>
  </w:num>
  <w:num w:numId="33">
    <w:abstractNumId w:val="29"/>
  </w:num>
  <w:num w:numId="34">
    <w:abstractNumId w:val="21"/>
  </w:num>
  <w:num w:numId="35">
    <w:abstractNumId w:val="34"/>
  </w:num>
  <w:num w:numId="36">
    <w:abstractNumId w:val="26"/>
  </w:num>
  <w:num w:numId="37">
    <w:abstractNumId w:val="3"/>
  </w:num>
  <w:num w:numId="38">
    <w:abstractNumId w:val="36"/>
  </w:num>
  <w:num w:numId="39">
    <w:abstractNumId w:val="40"/>
  </w:num>
  <w:num w:numId="40">
    <w:abstractNumId w:val="13"/>
  </w:num>
  <w:num w:numId="41">
    <w:abstractNumId w:val="38"/>
  </w:num>
  <w:num w:numId="42">
    <w:abstractNumId w:val="1"/>
  </w:num>
  <w:num w:numId="43">
    <w:abstractNumId w:val="10"/>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F12"/>
    <w:rsid w:val="0033677F"/>
    <w:rsid w:val="008F4089"/>
    <w:rsid w:val="00D61F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F12"/>
    <w:pPr>
      <w:spacing w:after="220" w:line="240" w:lineRule="auto"/>
    </w:pPr>
    <w:rPr>
      <w:rFonts w:eastAsiaTheme="minorEastAsia"/>
      <w:lang w:eastAsia="en-AU"/>
    </w:rPr>
  </w:style>
  <w:style w:type="paragraph" w:styleId="Heading1">
    <w:name w:val="heading 1"/>
    <w:basedOn w:val="Normal"/>
    <w:next w:val="Normal"/>
    <w:link w:val="Heading1Char"/>
    <w:autoRedefine/>
    <w:uiPriority w:val="99"/>
    <w:qFormat/>
    <w:rsid w:val="00D61F12"/>
    <w:pPr>
      <w:keepNext/>
      <w:keepLines/>
      <w:pBdr>
        <w:bottom w:val="single" w:sz="4" w:space="8" w:color="auto"/>
      </w:pBdr>
      <w:spacing w:after="360"/>
      <w:outlineLvl w:val="0"/>
    </w:pPr>
    <w:rPr>
      <w:rFonts w:ascii="Verdana" w:eastAsiaTheme="majorEastAsia" w:hAnsi="Verdana" w:cstheme="majorBidi"/>
      <w:b/>
      <w:bCs/>
      <w:sz w:val="32"/>
      <w:szCs w:val="28"/>
    </w:rPr>
  </w:style>
  <w:style w:type="paragraph" w:styleId="Heading2">
    <w:name w:val="heading 2"/>
    <w:basedOn w:val="Normal"/>
    <w:next w:val="Normal"/>
    <w:link w:val="Heading2Char"/>
    <w:uiPriority w:val="99"/>
    <w:unhideWhenUsed/>
    <w:qFormat/>
    <w:rsid w:val="00D61F12"/>
    <w:pPr>
      <w:keepNext/>
      <w:keepLines/>
      <w:spacing w:after="300"/>
      <w:outlineLvl w:val="1"/>
    </w:pPr>
    <w:rPr>
      <w:rFonts w:ascii="Calibri" w:eastAsiaTheme="majorEastAsia" w:hAnsi="Calibri" w:cstheme="majorBidi"/>
      <w:b/>
      <w:bCs/>
      <w:sz w:val="32"/>
      <w:szCs w:val="26"/>
    </w:rPr>
  </w:style>
  <w:style w:type="paragraph" w:styleId="Heading3">
    <w:name w:val="heading 3"/>
    <w:basedOn w:val="Normal"/>
    <w:next w:val="Normal"/>
    <w:link w:val="Heading3Char"/>
    <w:autoRedefine/>
    <w:uiPriority w:val="99"/>
    <w:unhideWhenUsed/>
    <w:qFormat/>
    <w:rsid w:val="00D61F12"/>
    <w:pPr>
      <w:keepNext/>
      <w:keepLines/>
      <w:spacing w:after="240"/>
      <w:outlineLvl w:val="2"/>
    </w:pPr>
    <w:rPr>
      <w:rFonts w:ascii="Calibri" w:eastAsiaTheme="majorEastAsia" w:hAnsi="Calibri" w:cstheme="majorBidi"/>
      <w:b/>
      <w:bCs/>
      <w:sz w:val="28"/>
    </w:rPr>
  </w:style>
  <w:style w:type="paragraph" w:styleId="Heading4">
    <w:name w:val="heading 4"/>
    <w:basedOn w:val="Normal"/>
    <w:next w:val="Normal"/>
    <w:link w:val="Heading4Char"/>
    <w:uiPriority w:val="99"/>
    <w:unhideWhenUsed/>
    <w:qFormat/>
    <w:rsid w:val="00D61F12"/>
    <w:pPr>
      <w:keepNext/>
      <w:keepLines/>
      <w:outlineLvl w:val="3"/>
    </w:pPr>
    <w:rPr>
      <w:rFonts w:ascii="Calibri" w:eastAsiaTheme="majorEastAsia" w:hAnsi="Calibri" w:cstheme="majorBidi"/>
      <w:b/>
      <w:bCs/>
      <w:iCs/>
      <w:color w:val="000000" w:themeColor="text1"/>
      <w:sz w:val="24"/>
    </w:rPr>
  </w:style>
  <w:style w:type="paragraph" w:styleId="Heading5">
    <w:name w:val="heading 5"/>
    <w:basedOn w:val="Normal"/>
    <w:next w:val="Normal"/>
    <w:link w:val="Heading5Char"/>
    <w:uiPriority w:val="99"/>
    <w:unhideWhenUsed/>
    <w:qFormat/>
    <w:rsid w:val="00D61F1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D61F12"/>
    <w:pPr>
      <w:numPr>
        <w:ilvl w:val="5"/>
        <w:numId w:val="1"/>
      </w:numPr>
      <w:spacing w:before="240" w:after="60"/>
      <w:outlineLvl w:val="5"/>
    </w:pPr>
    <w:rPr>
      <w:rFonts w:ascii="Calibri" w:eastAsia="Times New Roman" w:hAnsi="Calibri" w:cs="Calibri"/>
      <w:b/>
      <w:bCs/>
    </w:rPr>
  </w:style>
  <w:style w:type="paragraph" w:styleId="Heading7">
    <w:name w:val="heading 7"/>
    <w:basedOn w:val="Normal"/>
    <w:next w:val="Normal"/>
    <w:link w:val="Heading7Char"/>
    <w:uiPriority w:val="99"/>
    <w:qFormat/>
    <w:rsid w:val="00D61F12"/>
    <w:pPr>
      <w:numPr>
        <w:ilvl w:val="6"/>
        <w:numId w:val="1"/>
      </w:numPr>
      <w:spacing w:before="240" w:after="60"/>
      <w:jc w:val="both"/>
      <w:outlineLvl w:val="6"/>
    </w:pPr>
    <w:rPr>
      <w:rFonts w:ascii="Calibri" w:eastAsia="Times New Roman" w:hAnsi="Calibri" w:cs="Calibri"/>
      <w:sz w:val="24"/>
      <w:szCs w:val="24"/>
    </w:rPr>
  </w:style>
  <w:style w:type="paragraph" w:styleId="Heading8">
    <w:name w:val="heading 8"/>
    <w:basedOn w:val="Normal"/>
    <w:next w:val="Normal"/>
    <w:link w:val="Heading8Char"/>
    <w:uiPriority w:val="99"/>
    <w:rsid w:val="00D61F12"/>
    <w:pPr>
      <w:numPr>
        <w:ilvl w:val="7"/>
        <w:numId w:val="1"/>
      </w:numPr>
      <w:spacing w:before="240" w:after="60"/>
      <w:jc w:val="both"/>
      <w:outlineLvl w:val="7"/>
    </w:pPr>
    <w:rPr>
      <w:rFonts w:ascii="Calibri" w:eastAsia="Times New Roman" w:hAnsi="Calibri" w:cs="Calibri"/>
      <w:i/>
      <w:iCs/>
      <w:sz w:val="24"/>
      <w:szCs w:val="24"/>
    </w:rPr>
  </w:style>
  <w:style w:type="paragraph" w:styleId="Heading9">
    <w:name w:val="heading 9"/>
    <w:basedOn w:val="Normal"/>
    <w:next w:val="Normal"/>
    <w:link w:val="Heading9Char"/>
    <w:uiPriority w:val="99"/>
    <w:rsid w:val="00D61F12"/>
    <w:pPr>
      <w:numPr>
        <w:ilvl w:val="8"/>
        <w:numId w:val="1"/>
      </w:numPr>
      <w:spacing w:before="240" w:after="60"/>
      <w:jc w:val="both"/>
      <w:outlineLvl w:val="8"/>
    </w:pPr>
    <w:rPr>
      <w:rFonts w:ascii="Cambria" w:eastAsia="Times New Roman"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1F12"/>
    <w:rPr>
      <w:rFonts w:ascii="Verdana" w:eastAsiaTheme="majorEastAsia" w:hAnsi="Verdana" w:cstheme="majorBidi"/>
      <w:b/>
      <w:bCs/>
      <w:sz w:val="32"/>
      <w:szCs w:val="28"/>
      <w:lang w:eastAsia="en-AU"/>
    </w:rPr>
  </w:style>
  <w:style w:type="character" w:customStyle="1" w:styleId="Heading2Char">
    <w:name w:val="Heading 2 Char"/>
    <w:basedOn w:val="DefaultParagraphFont"/>
    <w:link w:val="Heading2"/>
    <w:uiPriority w:val="99"/>
    <w:rsid w:val="00D61F12"/>
    <w:rPr>
      <w:rFonts w:ascii="Calibri" w:eastAsiaTheme="majorEastAsia" w:hAnsi="Calibri" w:cstheme="majorBidi"/>
      <w:b/>
      <w:bCs/>
      <w:sz w:val="32"/>
      <w:szCs w:val="26"/>
      <w:lang w:eastAsia="en-AU"/>
    </w:rPr>
  </w:style>
  <w:style w:type="character" w:customStyle="1" w:styleId="Heading3Char">
    <w:name w:val="Heading 3 Char"/>
    <w:basedOn w:val="DefaultParagraphFont"/>
    <w:link w:val="Heading3"/>
    <w:uiPriority w:val="99"/>
    <w:rsid w:val="00D61F12"/>
    <w:rPr>
      <w:rFonts w:ascii="Calibri" w:eastAsiaTheme="majorEastAsia" w:hAnsi="Calibri" w:cstheme="majorBidi"/>
      <w:b/>
      <w:bCs/>
      <w:sz w:val="28"/>
      <w:lang w:eastAsia="en-AU"/>
    </w:rPr>
  </w:style>
  <w:style w:type="character" w:customStyle="1" w:styleId="Heading4Char">
    <w:name w:val="Heading 4 Char"/>
    <w:basedOn w:val="DefaultParagraphFont"/>
    <w:link w:val="Heading4"/>
    <w:uiPriority w:val="99"/>
    <w:rsid w:val="00D61F12"/>
    <w:rPr>
      <w:rFonts w:ascii="Calibri" w:eastAsiaTheme="majorEastAsia" w:hAnsi="Calibri" w:cstheme="majorBidi"/>
      <w:b/>
      <w:bCs/>
      <w:iCs/>
      <w:color w:val="000000" w:themeColor="text1"/>
      <w:sz w:val="24"/>
      <w:lang w:eastAsia="en-AU"/>
    </w:rPr>
  </w:style>
  <w:style w:type="character" w:customStyle="1" w:styleId="Heading5Char">
    <w:name w:val="Heading 5 Char"/>
    <w:basedOn w:val="DefaultParagraphFont"/>
    <w:link w:val="Heading5"/>
    <w:uiPriority w:val="99"/>
    <w:rsid w:val="00D61F12"/>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9"/>
    <w:rsid w:val="00D61F12"/>
    <w:rPr>
      <w:rFonts w:ascii="Calibri" w:eastAsia="Times New Roman" w:hAnsi="Calibri" w:cs="Calibri"/>
      <w:b/>
      <w:bCs/>
      <w:lang w:eastAsia="en-AU"/>
    </w:rPr>
  </w:style>
  <w:style w:type="character" w:customStyle="1" w:styleId="Heading7Char">
    <w:name w:val="Heading 7 Char"/>
    <w:basedOn w:val="DefaultParagraphFont"/>
    <w:link w:val="Heading7"/>
    <w:uiPriority w:val="99"/>
    <w:rsid w:val="00D61F12"/>
    <w:rPr>
      <w:rFonts w:ascii="Calibri" w:eastAsia="Times New Roman" w:hAnsi="Calibri" w:cs="Calibri"/>
      <w:sz w:val="24"/>
      <w:szCs w:val="24"/>
      <w:lang w:eastAsia="en-AU"/>
    </w:rPr>
  </w:style>
  <w:style w:type="character" w:customStyle="1" w:styleId="Heading8Char">
    <w:name w:val="Heading 8 Char"/>
    <w:basedOn w:val="DefaultParagraphFont"/>
    <w:link w:val="Heading8"/>
    <w:uiPriority w:val="99"/>
    <w:rsid w:val="00D61F12"/>
    <w:rPr>
      <w:rFonts w:ascii="Calibri" w:eastAsia="Times New Roman" w:hAnsi="Calibri" w:cs="Calibri"/>
      <w:i/>
      <w:iCs/>
      <w:sz w:val="24"/>
      <w:szCs w:val="24"/>
      <w:lang w:eastAsia="en-AU"/>
    </w:rPr>
  </w:style>
  <w:style w:type="character" w:customStyle="1" w:styleId="Heading9Char">
    <w:name w:val="Heading 9 Char"/>
    <w:basedOn w:val="DefaultParagraphFont"/>
    <w:link w:val="Heading9"/>
    <w:uiPriority w:val="99"/>
    <w:rsid w:val="00D61F12"/>
    <w:rPr>
      <w:rFonts w:ascii="Cambria" w:eastAsia="Times New Roman" w:hAnsi="Cambria" w:cs="Cambria"/>
      <w:sz w:val="24"/>
      <w:szCs w:val="24"/>
      <w:lang w:eastAsia="en-AU"/>
    </w:rPr>
  </w:style>
  <w:style w:type="paragraph" w:styleId="Revision">
    <w:name w:val="Revision"/>
    <w:hidden/>
    <w:uiPriority w:val="99"/>
    <w:rsid w:val="00D61F12"/>
    <w:pPr>
      <w:spacing w:after="0" w:line="240" w:lineRule="auto"/>
    </w:pPr>
    <w:rPr>
      <w:rFonts w:ascii="Times New Roman" w:eastAsia="Times New Roman" w:hAnsi="Times New Roman" w:cs="Times New Roman"/>
      <w:sz w:val="20"/>
      <w:szCs w:val="20"/>
      <w:lang w:eastAsia="en-AU"/>
    </w:rPr>
  </w:style>
  <w:style w:type="character" w:customStyle="1" w:styleId="BodyTextIndentChar2">
    <w:name w:val="Body Text Indent Char2"/>
    <w:basedOn w:val="DefaultParagraphFont"/>
    <w:uiPriority w:val="99"/>
    <w:semiHidden/>
    <w:rsid w:val="00D61F12"/>
  </w:style>
  <w:style w:type="paragraph" w:styleId="ListParagraph">
    <w:name w:val="List Paragraph"/>
    <w:basedOn w:val="Normal"/>
    <w:link w:val="ListParagraphChar"/>
    <w:uiPriority w:val="34"/>
    <w:qFormat/>
    <w:rsid w:val="00D61F12"/>
    <w:pPr>
      <w:ind w:left="720"/>
      <w:contextualSpacing/>
    </w:pPr>
  </w:style>
  <w:style w:type="paragraph" w:styleId="TOC1">
    <w:name w:val="toc 1"/>
    <w:basedOn w:val="Normal"/>
    <w:next w:val="Normal"/>
    <w:uiPriority w:val="39"/>
    <w:qFormat/>
    <w:rsid w:val="00D61F12"/>
    <w:pPr>
      <w:spacing w:after="40"/>
    </w:pPr>
    <w:rPr>
      <w:rFonts w:ascii="Calibri" w:hAnsi="Calibri"/>
      <w:b/>
      <w:bCs/>
      <w:noProof/>
      <w:sz w:val="24"/>
      <w:szCs w:val="24"/>
    </w:rPr>
  </w:style>
  <w:style w:type="paragraph" w:styleId="FootnoteText">
    <w:name w:val="footnote text"/>
    <w:basedOn w:val="Normal"/>
    <w:link w:val="FootnoteTextChar"/>
    <w:unhideWhenUsed/>
    <w:qFormat/>
    <w:rsid w:val="00D61F12"/>
    <w:pPr>
      <w:spacing w:after="0"/>
    </w:pPr>
    <w:rPr>
      <w:sz w:val="20"/>
      <w:szCs w:val="20"/>
    </w:rPr>
  </w:style>
  <w:style w:type="character" w:customStyle="1" w:styleId="FootnoteTextChar">
    <w:name w:val="Footnote Text Char"/>
    <w:basedOn w:val="DefaultParagraphFont"/>
    <w:link w:val="FootnoteText"/>
    <w:rsid w:val="00D61F12"/>
    <w:rPr>
      <w:rFonts w:eastAsiaTheme="minorEastAsia"/>
      <w:sz w:val="20"/>
      <w:szCs w:val="20"/>
      <w:lang w:eastAsia="en-AU"/>
    </w:rPr>
  </w:style>
  <w:style w:type="character" w:styleId="FootnoteReference">
    <w:name w:val="footnote reference"/>
    <w:basedOn w:val="DefaultParagraphFont"/>
    <w:unhideWhenUsed/>
    <w:rsid w:val="00D61F12"/>
    <w:rPr>
      <w:vertAlign w:val="superscript"/>
    </w:rPr>
  </w:style>
  <w:style w:type="paragraph" w:styleId="Footer">
    <w:name w:val="footer"/>
    <w:basedOn w:val="Normal"/>
    <w:link w:val="FooterChar"/>
    <w:uiPriority w:val="99"/>
    <w:unhideWhenUsed/>
    <w:rsid w:val="00D61F12"/>
    <w:pPr>
      <w:tabs>
        <w:tab w:val="center" w:pos="4513"/>
        <w:tab w:val="right" w:pos="9026"/>
      </w:tabs>
      <w:spacing w:after="0"/>
    </w:pPr>
  </w:style>
  <w:style w:type="character" w:customStyle="1" w:styleId="FooterChar">
    <w:name w:val="Footer Char"/>
    <w:basedOn w:val="DefaultParagraphFont"/>
    <w:link w:val="Footer"/>
    <w:uiPriority w:val="99"/>
    <w:rsid w:val="00D61F12"/>
    <w:rPr>
      <w:rFonts w:eastAsiaTheme="minorEastAsia"/>
      <w:lang w:eastAsia="en-AU"/>
    </w:rPr>
  </w:style>
  <w:style w:type="paragraph" w:customStyle="1" w:styleId="Figureheading">
    <w:name w:val="Figure heading"/>
    <w:basedOn w:val="Normal"/>
    <w:uiPriority w:val="99"/>
    <w:rsid w:val="00D61F12"/>
    <w:pPr>
      <w:widowControl w:val="0"/>
      <w:suppressAutoHyphens/>
      <w:autoSpaceDE w:val="0"/>
      <w:autoSpaceDN w:val="0"/>
      <w:adjustRightInd w:val="0"/>
      <w:textAlignment w:val="center"/>
    </w:pPr>
    <w:rPr>
      <w:rFonts w:ascii="Calibri" w:hAnsi="Calibri" w:cs="DINOT-Bold"/>
      <w:b/>
      <w:bCs/>
      <w:color w:val="000000"/>
      <w:szCs w:val="24"/>
      <w:lang w:val="en-GB"/>
    </w:rPr>
  </w:style>
  <w:style w:type="paragraph" w:customStyle="1" w:styleId="Mapheading">
    <w:name w:val="Map heading"/>
    <w:basedOn w:val="Normal"/>
    <w:uiPriority w:val="99"/>
    <w:rsid w:val="00D61F12"/>
    <w:pPr>
      <w:widowControl w:val="0"/>
      <w:suppressAutoHyphens/>
      <w:autoSpaceDE w:val="0"/>
      <w:autoSpaceDN w:val="0"/>
      <w:adjustRightInd w:val="0"/>
      <w:spacing w:line="220" w:lineRule="atLeast"/>
      <w:textAlignment w:val="center"/>
    </w:pPr>
    <w:rPr>
      <w:rFonts w:cs="DINOT-Bold"/>
      <w:b/>
      <w:bCs/>
      <w:color w:val="000000"/>
      <w:szCs w:val="24"/>
      <w:lang w:val="en-GB"/>
    </w:rPr>
  </w:style>
  <w:style w:type="paragraph" w:customStyle="1" w:styleId="Tableheading">
    <w:name w:val="Table heading"/>
    <w:basedOn w:val="Mapheading"/>
    <w:uiPriority w:val="99"/>
    <w:rsid w:val="00D61F12"/>
    <w:pPr>
      <w:spacing w:line="240" w:lineRule="auto"/>
    </w:pPr>
  </w:style>
  <w:style w:type="paragraph" w:styleId="TOCHeading">
    <w:name w:val="TOC Heading"/>
    <w:basedOn w:val="Heading1"/>
    <w:next w:val="Normal"/>
    <w:uiPriority w:val="39"/>
    <w:semiHidden/>
    <w:unhideWhenUsed/>
    <w:qFormat/>
    <w:rsid w:val="00D61F12"/>
    <w:pPr>
      <w:spacing w:before="480" w:after="0"/>
      <w:outlineLvl w:val="9"/>
    </w:pPr>
    <w:rPr>
      <w:rFonts w:asciiTheme="majorHAnsi" w:hAnsiTheme="majorHAnsi"/>
      <w:color w:val="365F91" w:themeColor="accent1" w:themeShade="BF"/>
      <w:sz w:val="28"/>
      <w:lang w:val="en-US"/>
    </w:rPr>
  </w:style>
  <w:style w:type="paragraph" w:styleId="Index1">
    <w:name w:val="index 1"/>
    <w:basedOn w:val="Heading2"/>
    <w:next w:val="Normal"/>
    <w:autoRedefine/>
    <w:uiPriority w:val="99"/>
    <w:semiHidden/>
    <w:unhideWhenUsed/>
    <w:rsid w:val="00D61F12"/>
    <w:pPr>
      <w:spacing w:after="0"/>
      <w:ind w:left="220" w:hanging="220"/>
    </w:pPr>
  </w:style>
  <w:style w:type="paragraph" w:styleId="Index2">
    <w:name w:val="index 2"/>
    <w:basedOn w:val="Normal"/>
    <w:next w:val="Normal"/>
    <w:autoRedefine/>
    <w:uiPriority w:val="99"/>
    <w:semiHidden/>
    <w:unhideWhenUsed/>
    <w:rsid w:val="00D61F12"/>
    <w:pPr>
      <w:numPr>
        <w:ilvl w:val="2"/>
        <w:numId w:val="1"/>
      </w:numPr>
      <w:spacing w:after="0"/>
      <w:ind w:left="440" w:hanging="220"/>
      <w:outlineLvl w:val="2"/>
    </w:pPr>
    <w:rPr>
      <w:b/>
    </w:rPr>
  </w:style>
  <w:style w:type="paragraph" w:styleId="Index3">
    <w:name w:val="index 3"/>
    <w:basedOn w:val="Normal"/>
    <w:next w:val="Normal"/>
    <w:autoRedefine/>
    <w:uiPriority w:val="99"/>
    <w:semiHidden/>
    <w:unhideWhenUsed/>
    <w:rsid w:val="00D61F12"/>
    <w:pPr>
      <w:numPr>
        <w:numId w:val="2"/>
      </w:numPr>
      <w:spacing w:after="0"/>
      <w:ind w:left="660" w:hanging="220"/>
    </w:pPr>
  </w:style>
  <w:style w:type="paragraph" w:styleId="Index4">
    <w:name w:val="index 4"/>
    <w:basedOn w:val="Normal"/>
    <w:next w:val="Normal"/>
    <w:autoRedefine/>
    <w:uiPriority w:val="99"/>
    <w:semiHidden/>
    <w:unhideWhenUsed/>
    <w:rsid w:val="00D61F12"/>
    <w:pPr>
      <w:spacing w:after="0"/>
      <w:ind w:left="880" w:hanging="220"/>
    </w:pPr>
  </w:style>
  <w:style w:type="paragraph" w:customStyle="1" w:styleId="Directionheading">
    <w:name w:val="Direction heading"/>
    <w:basedOn w:val="Normal"/>
    <w:uiPriority w:val="99"/>
    <w:rsid w:val="00D61F12"/>
    <w:pPr>
      <w:widowControl w:val="0"/>
      <w:suppressAutoHyphens/>
      <w:autoSpaceDE w:val="0"/>
      <w:autoSpaceDN w:val="0"/>
      <w:adjustRightInd w:val="0"/>
      <w:textAlignment w:val="center"/>
    </w:pPr>
    <w:rPr>
      <w:rFonts w:cs="DINOT-Black"/>
      <w:b/>
      <w:spacing w:val="-9"/>
      <w:sz w:val="32"/>
      <w:szCs w:val="30"/>
      <w:lang w:val="en-GB"/>
    </w:rPr>
  </w:style>
  <w:style w:type="paragraph" w:customStyle="1" w:styleId="Initiativeheading">
    <w:name w:val="Initiative heading"/>
    <w:basedOn w:val="Normal"/>
    <w:uiPriority w:val="99"/>
    <w:rsid w:val="00D61F12"/>
    <w:pPr>
      <w:widowControl w:val="0"/>
      <w:suppressAutoHyphens/>
      <w:autoSpaceDE w:val="0"/>
      <w:autoSpaceDN w:val="0"/>
      <w:adjustRightInd w:val="0"/>
      <w:textAlignment w:val="center"/>
    </w:pPr>
    <w:rPr>
      <w:rFonts w:cs="DINOT-Black"/>
      <w:b/>
      <w:sz w:val="26"/>
      <w:szCs w:val="24"/>
      <w:lang w:val="en-GB"/>
    </w:rPr>
  </w:style>
  <w:style w:type="paragraph" w:styleId="TOC2">
    <w:name w:val="toc 2"/>
    <w:basedOn w:val="Normal"/>
    <w:next w:val="Normal"/>
    <w:uiPriority w:val="39"/>
    <w:qFormat/>
    <w:rsid w:val="00D61F12"/>
    <w:pPr>
      <w:spacing w:after="20"/>
      <w:ind w:left="284"/>
    </w:pPr>
  </w:style>
  <w:style w:type="paragraph" w:styleId="TOC3">
    <w:name w:val="toc 3"/>
    <w:basedOn w:val="Normal"/>
    <w:next w:val="Normal"/>
    <w:autoRedefine/>
    <w:uiPriority w:val="39"/>
    <w:rsid w:val="00D61F12"/>
    <w:pPr>
      <w:tabs>
        <w:tab w:val="right" w:leader="dot" w:pos="8755"/>
      </w:tabs>
      <w:spacing w:after="20"/>
      <w:ind w:left="442"/>
    </w:pPr>
    <w:rPr>
      <w:noProof/>
      <w:sz w:val="20"/>
      <w:szCs w:val="20"/>
    </w:rPr>
  </w:style>
  <w:style w:type="paragraph" w:styleId="TOC4">
    <w:name w:val="toc 4"/>
    <w:basedOn w:val="Normal"/>
    <w:next w:val="Normal"/>
    <w:autoRedefine/>
    <w:uiPriority w:val="39"/>
    <w:rsid w:val="00D61F12"/>
    <w:pPr>
      <w:tabs>
        <w:tab w:val="right" w:leader="dot" w:pos="8755"/>
      </w:tabs>
      <w:spacing w:after="20"/>
      <w:ind w:left="658"/>
    </w:pPr>
    <w:rPr>
      <w:noProof/>
      <w:sz w:val="18"/>
      <w:szCs w:val="18"/>
    </w:rPr>
  </w:style>
  <w:style w:type="paragraph" w:styleId="TOC5">
    <w:name w:val="toc 5"/>
    <w:basedOn w:val="Normal"/>
    <w:next w:val="Normal"/>
    <w:uiPriority w:val="39"/>
    <w:rsid w:val="00D61F12"/>
    <w:pPr>
      <w:tabs>
        <w:tab w:val="left" w:pos="2080"/>
        <w:tab w:val="right" w:leader="dot" w:pos="8789"/>
      </w:tabs>
      <w:spacing w:after="20"/>
      <w:ind w:left="567"/>
    </w:pPr>
    <w:rPr>
      <w:noProof/>
      <w:sz w:val="18"/>
      <w:szCs w:val="18"/>
    </w:rPr>
  </w:style>
  <w:style w:type="paragraph" w:styleId="TOC6">
    <w:name w:val="toc 6"/>
    <w:basedOn w:val="Normal"/>
    <w:next w:val="Normal"/>
    <w:uiPriority w:val="39"/>
    <w:rsid w:val="00D61F12"/>
    <w:pPr>
      <w:tabs>
        <w:tab w:val="left" w:pos="2367"/>
        <w:tab w:val="right" w:leader="dot" w:pos="8755"/>
      </w:tabs>
      <w:spacing w:after="20"/>
      <w:ind w:left="1702" w:hanging="851"/>
    </w:pPr>
    <w:rPr>
      <w:noProof/>
      <w:sz w:val="18"/>
      <w:szCs w:val="18"/>
    </w:rPr>
  </w:style>
  <w:style w:type="paragraph" w:styleId="TOC7">
    <w:name w:val="toc 7"/>
    <w:basedOn w:val="Normal"/>
    <w:next w:val="Normal"/>
    <w:autoRedefine/>
    <w:uiPriority w:val="39"/>
    <w:rsid w:val="00D61F12"/>
    <w:pPr>
      <w:spacing w:after="100"/>
      <w:ind w:left="1320"/>
    </w:pPr>
  </w:style>
  <w:style w:type="paragraph" w:styleId="TOC8">
    <w:name w:val="toc 8"/>
    <w:basedOn w:val="Normal"/>
    <w:next w:val="Normal"/>
    <w:autoRedefine/>
    <w:uiPriority w:val="39"/>
    <w:rsid w:val="00D61F12"/>
    <w:pPr>
      <w:spacing w:after="100"/>
      <w:ind w:left="1540"/>
    </w:pPr>
  </w:style>
  <w:style w:type="paragraph" w:styleId="TOC9">
    <w:name w:val="toc 9"/>
    <w:basedOn w:val="Normal"/>
    <w:next w:val="Normal"/>
    <w:autoRedefine/>
    <w:uiPriority w:val="39"/>
    <w:rsid w:val="00D61F12"/>
    <w:pPr>
      <w:spacing w:after="100"/>
      <w:ind w:left="1760"/>
    </w:pPr>
  </w:style>
  <w:style w:type="character" w:styleId="Hyperlink">
    <w:name w:val="Hyperlink"/>
    <w:basedOn w:val="DefaultParagraphFont"/>
    <w:uiPriority w:val="99"/>
    <w:unhideWhenUsed/>
    <w:rsid w:val="00D61F12"/>
    <w:rPr>
      <w:color w:val="0000FF" w:themeColor="hyperlink"/>
      <w:u w:val="single"/>
    </w:rPr>
  </w:style>
  <w:style w:type="paragraph" w:styleId="Header">
    <w:name w:val="header"/>
    <w:basedOn w:val="Normal"/>
    <w:link w:val="HeaderChar"/>
    <w:uiPriority w:val="99"/>
    <w:unhideWhenUsed/>
    <w:rsid w:val="00D61F12"/>
    <w:pPr>
      <w:tabs>
        <w:tab w:val="center" w:pos="4513"/>
        <w:tab w:val="right" w:pos="9026"/>
      </w:tabs>
      <w:spacing w:after="0"/>
    </w:pPr>
  </w:style>
  <w:style w:type="character" w:customStyle="1" w:styleId="HeaderChar">
    <w:name w:val="Header Char"/>
    <w:basedOn w:val="DefaultParagraphFont"/>
    <w:link w:val="Header"/>
    <w:uiPriority w:val="99"/>
    <w:rsid w:val="00D61F12"/>
    <w:rPr>
      <w:rFonts w:eastAsiaTheme="minorEastAsia"/>
      <w:lang w:eastAsia="en-AU"/>
    </w:rPr>
  </w:style>
  <w:style w:type="character" w:styleId="CommentReference">
    <w:name w:val="annotation reference"/>
    <w:basedOn w:val="DefaultParagraphFont"/>
    <w:uiPriority w:val="99"/>
    <w:semiHidden/>
    <w:unhideWhenUsed/>
    <w:rsid w:val="00D61F12"/>
    <w:rPr>
      <w:sz w:val="16"/>
      <w:szCs w:val="16"/>
    </w:rPr>
  </w:style>
  <w:style w:type="paragraph" w:styleId="CommentText">
    <w:name w:val="annotation text"/>
    <w:basedOn w:val="Normal"/>
    <w:link w:val="CommentTextChar"/>
    <w:uiPriority w:val="99"/>
    <w:unhideWhenUsed/>
    <w:rsid w:val="00D61F12"/>
    <w:rPr>
      <w:sz w:val="20"/>
      <w:szCs w:val="20"/>
    </w:rPr>
  </w:style>
  <w:style w:type="character" w:customStyle="1" w:styleId="CommentTextChar">
    <w:name w:val="Comment Text Char"/>
    <w:basedOn w:val="DefaultParagraphFont"/>
    <w:link w:val="CommentText"/>
    <w:uiPriority w:val="99"/>
    <w:rsid w:val="00D61F12"/>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D61F12"/>
    <w:rPr>
      <w:b/>
      <w:bCs/>
    </w:rPr>
  </w:style>
  <w:style w:type="character" w:customStyle="1" w:styleId="CommentSubjectChar">
    <w:name w:val="Comment Subject Char"/>
    <w:basedOn w:val="CommentTextChar"/>
    <w:link w:val="CommentSubject"/>
    <w:uiPriority w:val="99"/>
    <w:semiHidden/>
    <w:rsid w:val="00D61F12"/>
    <w:rPr>
      <w:rFonts w:eastAsiaTheme="minorEastAsia"/>
      <w:b/>
      <w:bCs/>
      <w:sz w:val="20"/>
      <w:szCs w:val="20"/>
      <w:lang w:eastAsia="en-AU"/>
    </w:rPr>
  </w:style>
  <w:style w:type="paragraph" w:styleId="NormalWeb">
    <w:name w:val="Normal (Web)"/>
    <w:basedOn w:val="Normal"/>
    <w:uiPriority w:val="99"/>
    <w:unhideWhenUsed/>
    <w:rsid w:val="00D61F12"/>
    <w:pPr>
      <w:spacing w:before="100" w:beforeAutospacing="1" w:after="100" w:afterAutospacing="1"/>
    </w:pPr>
    <w:rPr>
      <w:rFonts w:ascii="Times New Roman" w:eastAsia="Times New Roman" w:hAnsi="Times New Roman" w:cs="Times New Roman"/>
      <w:sz w:val="24"/>
      <w:szCs w:val="24"/>
    </w:rPr>
  </w:style>
  <w:style w:type="paragraph" w:customStyle="1" w:styleId="Tabletext">
    <w:name w:val="Table text"/>
    <w:basedOn w:val="Normal"/>
    <w:uiPriority w:val="4"/>
    <w:unhideWhenUsed/>
    <w:qFormat/>
    <w:rsid w:val="00D61F12"/>
    <w:pPr>
      <w:spacing w:before="60" w:after="60"/>
    </w:pPr>
    <w:rPr>
      <w:rFonts w:ascii="Calibri" w:eastAsia="Times New Roman" w:hAnsi="Calibri" w:cs="Tahoma"/>
      <w:sz w:val="20"/>
      <w:szCs w:val="20"/>
    </w:rPr>
  </w:style>
  <w:style w:type="paragraph" w:customStyle="1" w:styleId="Dotpoint">
    <w:name w:val="Dot point"/>
    <w:basedOn w:val="Normal"/>
    <w:uiPriority w:val="2"/>
    <w:qFormat/>
    <w:rsid w:val="00D61F12"/>
    <w:pPr>
      <w:numPr>
        <w:numId w:val="3"/>
      </w:numPr>
      <w:spacing w:after="80"/>
    </w:pPr>
    <w:rPr>
      <w:rFonts w:ascii="Calibri" w:eastAsia="Times New Roman" w:hAnsi="Calibri" w:cs="Times New Roman"/>
      <w:szCs w:val="20"/>
      <w:lang w:eastAsia="en-US"/>
    </w:rPr>
  </w:style>
  <w:style w:type="paragraph" w:customStyle="1" w:styleId="Normalpre-dotpoint">
    <w:name w:val="Normal pre-dot point"/>
    <w:basedOn w:val="Normal"/>
    <w:next w:val="Dotpoint"/>
    <w:uiPriority w:val="1"/>
    <w:qFormat/>
    <w:rsid w:val="00D61F12"/>
    <w:pPr>
      <w:spacing w:after="80"/>
    </w:pPr>
    <w:rPr>
      <w:rFonts w:ascii="Calibri" w:eastAsia="Times New Roman" w:hAnsi="Calibri" w:cs="Times New Roman"/>
      <w:szCs w:val="20"/>
      <w:lang w:eastAsia="en-US"/>
    </w:rPr>
  </w:style>
  <w:style w:type="paragraph" w:customStyle="1" w:styleId="Tabletextdotpoint">
    <w:name w:val="Table text dot point"/>
    <w:basedOn w:val="Tabletext"/>
    <w:qFormat/>
    <w:rsid w:val="00D61F12"/>
    <w:pPr>
      <w:numPr>
        <w:numId w:val="5"/>
      </w:numPr>
      <w:ind w:left="284" w:hanging="284"/>
    </w:pPr>
    <w:rPr>
      <w:rFonts w:cs="Times New Roman"/>
      <w:lang w:eastAsia="en-US"/>
    </w:rPr>
  </w:style>
  <w:style w:type="paragraph" w:customStyle="1" w:styleId="Dotpointlast">
    <w:name w:val="Dot point last"/>
    <w:basedOn w:val="Dotpoint"/>
    <w:next w:val="Normal"/>
    <w:uiPriority w:val="3"/>
    <w:qFormat/>
    <w:rsid w:val="00D61F12"/>
    <w:pPr>
      <w:numPr>
        <w:numId w:val="4"/>
      </w:numPr>
      <w:tabs>
        <w:tab w:val="num" w:pos="426"/>
      </w:tabs>
      <w:spacing w:after="220"/>
      <w:ind w:left="426" w:hanging="426"/>
    </w:pPr>
  </w:style>
  <w:style w:type="paragraph" w:styleId="BalloonText">
    <w:name w:val="Balloon Text"/>
    <w:basedOn w:val="Normal"/>
    <w:link w:val="BalloonTextChar"/>
    <w:uiPriority w:val="99"/>
    <w:unhideWhenUsed/>
    <w:rsid w:val="00D61F12"/>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D61F12"/>
    <w:rPr>
      <w:rFonts w:ascii="Tahoma" w:eastAsiaTheme="minorEastAsia" w:hAnsi="Tahoma" w:cs="Tahoma"/>
      <w:sz w:val="16"/>
      <w:szCs w:val="16"/>
      <w:lang w:eastAsia="en-AU"/>
    </w:rPr>
  </w:style>
  <w:style w:type="table" w:styleId="TableGrid">
    <w:name w:val="Table Grid"/>
    <w:basedOn w:val="TableNormal"/>
    <w:uiPriority w:val="59"/>
    <w:rsid w:val="00D61F12"/>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1F12"/>
    <w:pPr>
      <w:autoSpaceDE w:val="0"/>
      <w:autoSpaceDN w:val="0"/>
      <w:adjustRightInd w:val="0"/>
      <w:spacing w:after="0" w:line="240" w:lineRule="auto"/>
    </w:pPr>
    <w:rPr>
      <w:rFonts w:ascii="Roboto" w:hAnsi="Roboto" w:cs="Roboto"/>
      <w:color w:val="000000"/>
      <w:sz w:val="24"/>
      <w:szCs w:val="24"/>
    </w:rPr>
  </w:style>
  <w:style w:type="paragraph" w:customStyle="1" w:styleId="5BodyText9pt125pt">
    <w:name w:val="5 Body Text 9pt/12.5pt"/>
    <w:basedOn w:val="Normal"/>
    <w:uiPriority w:val="99"/>
    <w:rsid w:val="00D61F12"/>
    <w:pPr>
      <w:widowControl w:val="0"/>
      <w:suppressAutoHyphens/>
      <w:autoSpaceDE w:val="0"/>
      <w:autoSpaceDN w:val="0"/>
      <w:adjustRightInd w:val="0"/>
      <w:spacing w:after="57" w:line="250" w:lineRule="atLeast"/>
      <w:textAlignment w:val="center"/>
    </w:pPr>
    <w:rPr>
      <w:rFonts w:ascii="GrandesignNeueSerif" w:hAnsi="GrandesignNeueSerif" w:cs="GrandesignNeueSerif"/>
      <w:color w:val="000000"/>
      <w:sz w:val="18"/>
      <w:szCs w:val="18"/>
      <w:lang w:val="en-GB"/>
    </w:rPr>
  </w:style>
  <w:style w:type="paragraph" w:customStyle="1" w:styleId="DIRECTIONHEADING0">
    <w:name w:val="DIRECTION HEADING"/>
    <w:basedOn w:val="Normal"/>
    <w:uiPriority w:val="99"/>
    <w:rsid w:val="00D61F12"/>
    <w:pPr>
      <w:widowControl w:val="0"/>
      <w:suppressAutoHyphens/>
      <w:autoSpaceDE w:val="0"/>
      <w:autoSpaceDN w:val="0"/>
      <w:adjustRightInd w:val="0"/>
      <w:spacing w:before="113" w:after="113" w:line="260" w:lineRule="atLeast"/>
      <w:textAlignment w:val="center"/>
    </w:pPr>
    <w:rPr>
      <w:rFonts w:ascii="DINOT-Black" w:hAnsi="DINOT-Black" w:cs="DINOT-Black"/>
      <w:caps/>
      <w:color w:val="0070C0"/>
      <w:spacing w:val="-9"/>
      <w:sz w:val="30"/>
      <w:szCs w:val="30"/>
      <w:lang w:val="en-GB"/>
    </w:rPr>
  </w:style>
  <w:style w:type="paragraph" w:customStyle="1" w:styleId="INITIATIVETEXT">
    <w:name w:val="INITIATIVE TEXT"/>
    <w:basedOn w:val="Normal"/>
    <w:uiPriority w:val="99"/>
    <w:rsid w:val="00D61F12"/>
    <w:pPr>
      <w:widowControl w:val="0"/>
      <w:tabs>
        <w:tab w:val="right" w:pos="4660"/>
      </w:tabs>
      <w:suppressAutoHyphens/>
      <w:autoSpaceDE w:val="0"/>
      <w:autoSpaceDN w:val="0"/>
      <w:adjustRightInd w:val="0"/>
      <w:spacing w:after="57" w:line="240" w:lineRule="atLeast"/>
      <w:textAlignment w:val="center"/>
    </w:pPr>
    <w:rPr>
      <w:rFonts w:ascii="DINOT" w:hAnsi="DINOT" w:cs="DINOT"/>
      <w:caps/>
      <w:color w:val="005E79"/>
      <w:sz w:val="24"/>
      <w:szCs w:val="24"/>
      <w:lang w:val="en-GB"/>
    </w:rPr>
  </w:style>
  <w:style w:type="paragraph" w:customStyle="1" w:styleId="INITIATIVEHEADINGBOLD">
    <w:name w:val="INITIATIVE HEADING BOLD"/>
    <w:basedOn w:val="INITIATIVETEXT"/>
    <w:uiPriority w:val="99"/>
    <w:rsid w:val="00D61F12"/>
    <w:pPr>
      <w:tabs>
        <w:tab w:val="clear" w:pos="4660"/>
        <w:tab w:val="right" w:pos="4300"/>
      </w:tabs>
      <w:spacing w:before="113"/>
    </w:pPr>
    <w:rPr>
      <w:rFonts w:ascii="DINOT-Black" w:hAnsi="DINOT-Black" w:cs="DINOT-Black"/>
    </w:rPr>
  </w:style>
  <w:style w:type="paragraph" w:customStyle="1" w:styleId="DIRECTIONlineunder">
    <w:name w:val="DIRECTION line under"/>
    <w:basedOn w:val="Normal"/>
    <w:uiPriority w:val="99"/>
    <w:rsid w:val="00D61F12"/>
    <w:pPr>
      <w:widowControl w:val="0"/>
      <w:pBdr>
        <w:bottom w:val="single" w:sz="8" w:space="8" w:color="0070C0"/>
      </w:pBdr>
      <w:suppressAutoHyphens/>
      <w:autoSpaceDE w:val="0"/>
      <w:autoSpaceDN w:val="0"/>
      <w:adjustRightInd w:val="0"/>
      <w:spacing w:after="140" w:line="250" w:lineRule="atLeast"/>
      <w:textAlignment w:val="center"/>
    </w:pPr>
    <w:rPr>
      <w:rFonts w:ascii="GrandesignNeueSerif" w:hAnsi="GrandesignNeueSerif" w:cs="GrandesignNeueSerif"/>
      <w:color w:val="000000"/>
      <w:sz w:val="18"/>
      <w:szCs w:val="18"/>
      <w:lang w:val="en-GB"/>
    </w:rPr>
  </w:style>
  <w:style w:type="paragraph" w:customStyle="1" w:styleId="RESPONSIBLEAGENCY">
    <w:name w:val="RESPONSIBLE AGENCY"/>
    <w:basedOn w:val="Normal"/>
    <w:uiPriority w:val="99"/>
    <w:rsid w:val="00D61F12"/>
    <w:pPr>
      <w:widowControl w:val="0"/>
      <w:suppressAutoHyphens/>
      <w:autoSpaceDE w:val="0"/>
      <w:autoSpaceDN w:val="0"/>
      <w:adjustRightInd w:val="0"/>
      <w:spacing w:before="113" w:after="57" w:line="160" w:lineRule="atLeast"/>
      <w:ind w:left="227"/>
      <w:textAlignment w:val="center"/>
    </w:pPr>
    <w:rPr>
      <w:rFonts w:ascii="DINOT-Bold" w:hAnsi="DINOT-Bold" w:cs="DINOT-Bold"/>
      <w:b/>
      <w:bCs/>
      <w:caps/>
      <w:sz w:val="16"/>
      <w:szCs w:val="16"/>
      <w:lang w:val="en-GB"/>
    </w:rPr>
  </w:style>
  <w:style w:type="paragraph" w:customStyle="1" w:styleId="CASESTUDY">
    <w:name w:val="CASE STUDY"/>
    <w:basedOn w:val="1ChapterHeading"/>
    <w:qFormat/>
    <w:rsid w:val="00D61F12"/>
  </w:style>
  <w:style w:type="paragraph" w:customStyle="1" w:styleId="1ChapterHeading">
    <w:name w:val="1 Chapter Heading"/>
    <w:basedOn w:val="NoParagraphStyle"/>
    <w:next w:val="Normal"/>
    <w:uiPriority w:val="99"/>
    <w:rsid w:val="00D61F12"/>
    <w:pPr>
      <w:spacing w:line="460" w:lineRule="atLeast"/>
    </w:pPr>
    <w:rPr>
      <w:rFonts w:ascii="DINOT-Black" w:hAnsi="DINOT-Black" w:cs="DINOT-Black"/>
      <w:caps/>
      <w:spacing w:val="-29"/>
      <w:sz w:val="44"/>
      <w:szCs w:val="58"/>
    </w:rPr>
  </w:style>
  <w:style w:type="paragraph" w:customStyle="1" w:styleId="NoParagraphStyle">
    <w:name w:val="[No Paragraph Style]"/>
    <w:rsid w:val="00D61F1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en-AU"/>
    </w:rPr>
  </w:style>
  <w:style w:type="paragraph" w:customStyle="1" w:styleId="SUBREGIONS">
    <w:name w:val="SUBREGIONS"/>
    <w:basedOn w:val="1ChapterHeading"/>
    <w:qFormat/>
    <w:rsid w:val="00D61F12"/>
  </w:style>
  <w:style w:type="paragraph" w:customStyle="1" w:styleId="BreakoutBoxText">
    <w:name w:val="Breakout Box Text"/>
    <w:basedOn w:val="Normal"/>
    <w:qFormat/>
    <w:rsid w:val="00D61F12"/>
    <w:pPr>
      <w:spacing w:after="200"/>
      <w:ind w:left="284"/>
    </w:pPr>
    <w:rPr>
      <w:sz w:val="24"/>
    </w:rPr>
  </w:style>
  <w:style w:type="paragraph" w:customStyle="1" w:styleId="1bChapterSubhead">
    <w:name w:val="1b Chapter Subhead"/>
    <w:basedOn w:val="Normal"/>
    <w:next w:val="Normal"/>
    <w:uiPriority w:val="99"/>
    <w:rsid w:val="00D61F12"/>
    <w:pPr>
      <w:widowControl w:val="0"/>
      <w:suppressAutoHyphens/>
      <w:autoSpaceDE w:val="0"/>
      <w:autoSpaceDN w:val="0"/>
      <w:adjustRightInd w:val="0"/>
      <w:spacing w:after="170" w:line="360" w:lineRule="atLeast"/>
      <w:textAlignment w:val="center"/>
    </w:pPr>
    <w:rPr>
      <w:rFonts w:ascii="DINOT-Medium" w:hAnsi="DINOT-Medium" w:cs="DINOT-Medium"/>
      <w:caps/>
      <w:color w:val="005E79"/>
      <w:spacing w:val="-20"/>
      <w:sz w:val="40"/>
      <w:szCs w:val="40"/>
      <w:lang w:val="en-GB"/>
    </w:rPr>
  </w:style>
  <w:style w:type="paragraph" w:customStyle="1" w:styleId="5BodyText9pt13pt">
    <w:name w:val="5 Body Text 9pt/13pt"/>
    <w:basedOn w:val="NoParagraphStyle"/>
    <w:uiPriority w:val="99"/>
    <w:rsid w:val="00D61F12"/>
    <w:pPr>
      <w:suppressAutoHyphens/>
      <w:spacing w:after="140" w:line="260" w:lineRule="atLeast"/>
    </w:pPr>
    <w:rPr>
      <w:rFonts w:ascii="GrandesignNeueSerif" w:hAnsi="GrandesignNeueSerif" w:cs="GrandesignNeueSerif"/>
      <w:sz w:val="18"/>
      <w:szCs w:val="18"/>
    </w:rPr>
  </w:style>
  <w:style w:type="paragraph" w:customStyle="1" w:styleId="7BodyTextItalics11pt14pt">
    <w:name w:val="7 Body Text Italics 11pt/14pt"/>
    <w:basedOn w:val="NoParagraphStyle"/>
    <w:uiPriority w:val="99"/>
    <w:rsid w:val="00D61F12"/>
    <w:pPr>
      <w:spacing w:before="113" w:line="280" w:lineRule="atLeast"/>
    </w:pPr>
    <w:rPr>
      <w:i/>
      <w:iCs/>
      <w:sz w:val="22"/>
      <w:szCs w:val="22"/>
    </w:rPr>
  </w:style>
  <w:style w:type="paragraph" w:customStyle="1" w:styleId="BasicParagraph">
    <w:name w:val="[Basic Paragraph]"/>
    <w:basedOn w:val="NoParagraphStyle"/>
    <w:uiPriority w:val="99"/>
    <w:rsid w:val="00D61F12"/>
  </w:style>
  <w:style w:type="character" w:customStyle="1" w:styleId="BodyTextBOLD">
    <w:name w:val="Body Text BOLD"/>
    <w:uiPriority w:val="99"/>
    <w:rsid w:val="00D61F12"/>
    <w:rPr>
      <w:rFonts w:ascii="GrandesignNeueSerif-Bold" w:hAnsi="GrandesignNeueSerif-Bold" w:cs="GrandesignNeueSerif-Bold"/>
      <w:b/>
      <w:bCs/>
      <w:sz w:val="18"/>
      <w:szCs w:val="18"/>
    </w:rPr>
  </w:style>
  <w:style w:type="paragraph" w:customStyle="1" w:styleId="TOCHeadingA">
    <w:name w:val="TOC Heading A"/>
    <w:basedOn w:val="Normal"/>
    <w:uiPriority w:val="99"/>
    <w:rsid w:val="00D61F12"/>
    <w:pPr>
      <w:widowControl w:val="0"/>
      <w:tabs>
        <w:tab w:val="left" w:pos="480"/>
        <w:tab w:val="right" w:pos="9340"/>
        <w:tab w:val="right" w:pos="9720"/>
      </w:tabs>
      <w:suppressAutoHyphens/>
      <w:autoSpaceDE w:val="0"/>
      <w:autoSpaceDN w:val="0"/>
      <w:adjustRightInd w:val="0"/>
      <w:spacing w:after="0" w:line="288" w:lineRule="auto"/>
      <w:textAlignment w:val="center"/>
    </w:pPr>
    <w:rPr>
      <w:rFonts w:ascii="DINOT-Medium" w:hAnsi="DINOT-Medium" w:cs="DINOT-Medium"/>
      <w:caps/>
      <w:color w:val="000000"/>
      <w:spacing w:val="-8"/>
      <w:sz w:val="28"/>
      <w:szCs w:val="28"/>
      <w:lang w:val="en-GB"/>
    </w:rPr>
  </w:style>
  <w:style w:type="paragraph" w:customStyle="1" w:styleId="TOCHeadingBspacebefore">
    <w:name w:val="TOC Heading B (space before)"/>
    <w:basedOn w:val="Normal"/>
    <w:uiPriority w:val="99"/>
    <w:rsid w:val="00D61F12"/>
    <w:pPr>
      <w:widowControl w:val="0"/>
      <w:tabs>
        <w:tab w:val="left" w:pos="480"/>
        <w:tab w:val="right" w:pos="9340"/>
        <w:tab w:val="right" w:pos="9720"/>
      </w:tabs>
      <w:suppressAutoHyphens/>
      <w:autoSpaceDE w:val="0"/>
      <w:autoSpaceDN w:val="0"/>
      <w:adjustRightInd w:val="0"/>
      <w:spacing w:before="369" w:after="0" w:line="700" w:lineRule="atLeast"/>
      <w:textAlignment w:val="center"/>
    </w:pPr>
    <w:rPr>
      <w:rFonts w:ascii="DINOT-Medium" w:hAnsi="DINOT-Medium" w:cs="DINOT-Medium"/>
      <w:caps/>
      <w:color w:val="000000"/>
      <w:spacing w:val="-10"/>
      <w:sz w:val="32"/>
      <w:szCs w:val="32"/>
      <w:lang w:val="en-GB"/>
    </w:rPr>
  </w:style>
  <w:style w:type="paragraph" w:customStyle="1" w:styleId="TOCHeadingC">
    <w:name w:val="TOC Heading C"/>
    <w:basedOn w:val="Normal"/>
    <w:uiPriority w:val="99"/>
    <w:rsid w:val="00D61F12"/>
    <w:pPr>
      <w:widowControl w:val="0"/>
      <w:tabs>
        <w:tab w:val="left" w:pos="480"/>
        <w:tab w:val="right" w:pos="9340"/>
        <w:tab w:val="right" w:pos="9720"/>
      </w:tabs>
      <w:suppressAutoHyphens/>
      <w:autoSpaceDE w:val="0"/>
      <w:autoSpaceDN w:val="0"/>
      <w:adjustRightInd w:val="0"/>
      <w:spacing w:after="0" w:line="300" w:lineRule="atLeast"/>
      <w:textAlignment w:val="center"/>
    </w:pPr>
    <w:rPr>
      <w:rFonts w:ascii="DINOT-Medium" w:hAnsi="DINOT-Medium" w:cs="DINOT-Medium"/>
      <w:caps/>
      <w:color w:val="000000"/>
      <w:spacing w:val="-7"/>
      <w:sz w:val="24"/>
      <w:szCs w:val="24"/>
      <w:lang w:val="en-GB"/>
    </w:rPr>
  </w:style>
  <w:style w:type="paragraph" w:customStyle="1" w:styleId="3SubHeadingB">
    <w:name w:val="3 Sub Heading B"/>
    <w:basedOn w:val="NoParagraphStyle"/>
    <w:next w:val="5BodyText9pt13pt"/>
    <w:uiPriority w:val="99"/>
    <w:rsid w:val="00D61F12"/>
    <w:pPr>
      <w:suppressAutoHyphens/>
      <w:spacing w:before="57" w:after="57" w:line="240" w:lineRule="atLeast"/>
    </w:pPr>
    <w:rPr>
      <w:rFonts w:ascii="DINOT-Medium" w:hAnsi="DINOT-Medium" w:cs="DINOT-Medium"/>
      <w:caps/>
      <w:spacing w:val="12"/>
      <w:sz w:val="20"/>
      <w:szCs w:val="20"/>
    </w:rPr>
  </w:style>
  <w:style w:type="character" w:customStyle="1" w:styleId="BodyTextItalics">
    <w:name w:val="Body Text Italics"/>
    <w:uiPriority w:val="99"/>
    <w:rsid w:val="00D61F12"/>
    <w:rPr>
      <w:rFonts w:ascii="GrandesignNeueSerif-Italic" w:hAnsi="GrandesignNeueSerif-Italic" w:cs="GrandesignNeueSerif-Italic"/>
      <w:i/>
      <w:iCs/>
      <w:sz w:val="18"/>
      <w:szCs w:val="18"/>
    </w:rPr>
  </w:style>
  <w:style w:type="paragraph" w:customStyle="1" w:styleId="5aBodyTextINDENT9pt13pt">
    <w:name w:val="5.a Body Text INDENT 9pt/13pt"/>
    <w:basedOn w:val="NoParagraphStyle"/>
    <w:uiPriority w:val="99"/>
    <w:rsid w:val="00D61F12"/>
    <w:pPr>
      <w:suppressAutoHyphens/>
      <w:spacing w:after="28" w:line="260" w:lineRule="atLeast"/>
      <w:ind w:left="227" w:hanging="227"/>
    </w:pPr>
    <w:rPr>
      <w:rFonts w:ascii="GrandesignNeueSerif" w:hAnsi="GrandesignNeueSerif" w:cs="GrandesignNeueSerif"/>
      <w:sz w:val="18"/>
      <w:szCs w:val="18"/>
    </w:rPr>
  </w:style>
  <w:style w:type="paragraph" w:customStyle="1" w:styleId="1cChapterTagline">
    <w:name w:val="1c Chapter Tagline"/>
    <w:basedOn w:val="NoParagraphStyle"/>
    <w:uiPriority w:val="99"/>
    <w:rsid w:val="00D61F12"/>
    <w:pPr>
      <w:suppressAutoHyphens/>
      <w:spacing w:before="113" w:line="420" w:lineRule="atLeast"/>
    </w:pPr>
    <w:rPr>
      <w:rFonts w:ascii="DINOT-Light" w:hAnsi="DINOT-Light" w:cs="DINOT-Light"/>
      <w:caps/>
      <w:spacing w:val="-11"/>
      <w:sz w:val="28"/>
      <w:szCs w:val="36"/>
    </w:rPr>
  </w:style>
  <w:style w:type="paragraph" w:customStyle="1" w:styleId="14PullQuotes">
    <w:name w:val="14 Pull Quotes"/>
    <w:basedOn w:val="NoParagraphStyle"/>
    <w:uiPriority w:val="99"/>
    <w:rsid w:val="00D61F12"/>
    <w:pPr>
      <w:suppressAutoHyphens/>
      <w:spacing w:line="240" w:lineRule="auto"/>
    </w:pPr>
    <w:rPr>
      <w:rFonts w:ascii="DINOT-Medium" w:hAnsi="DINOT-Medium" w:cs="DINOT-Medium"/>
      <w:caps/>
      <w:spacing w:val="12"/>
      <w:sz w:val="20"/>
      <w:szCs w:val="20"/>
    </w:rPr>
  </w:style>
  <w:style w:type="paragraph" w:customStyle="1" w:styleId="10FigureHeading">
    <w:name w:val="10 Figure Heading"/>
    <w:basedOn w:val="Normal"/>
    <w:uiPriority w:val="99"/>
    <w:rsid w:val="00D61F12"/>
    <w:pPr>
      <w:widowControl w:val="0"/>
      <w:suppressAutoHyphens/>
      <w:autoSpaceDE w:val="0"/>
      <w:autoSpaceDN w:val="0"/>
      <w:adjustRightInd w:val="0"/>
      <w:spacing w:before="113" w:after="0" w:line="220" w:lineRule="atLeast"/>
      <w:textAlignment w:val="center"/>
    </w:pPr>
    <w:rPr>
      <w:rFonts w:ascii="DINOT-Bold" w:hAnsi="DINOT-Bold" w:cs="DINOT-Bold"/>
      <w:b/>
      <w:bCs/>
      <w:caps/>
      <w:color w:val="000000"/>
      <w:sz w:val="20"/>
      <w:szCs w:val="24"/>
      <w:lang w:val="en-GB"/>
    </w:rPr>
  </w:style>
  <w:style w:type="paragraph" w:customStyle="1" w:styleId="Breakoutbox9pt13pt">
    <w:name w:val="Break out box 9pt/13pt"/>
    <w:basedOn w:val="5BodyText9pt13pt"/>
    <w:uiPriority w:val="99"/>
    <w:rsid w:val="00D61F12"/>
    <w:rPr>
      <w:color w:val="FFFFFF"/>
    </w:rPr>
  </w:style>
  <w:style w:type="paragraph" w:customStyle="1" w:styleId="5BodyText10pt14pt">
    <w:name w:val="5 Body Text 10pt/14pt"/>
    <w:basedOn w:val="NoParagraphStyle"/>
    <w:uiPriority w:val="99"/>
    <w:rsid w:val="00D61F12"/>
    <w:pPr>
      <w:suppressAutoHyphens/>
      <w:spacing w:after="140" w:line="270" w:lineRule="atLeast"/>
    </w:pPr>
    <w:rPr>
      <w:rFonts w:ascii="GrandesignNeueSerif" w:hAnsi="GrandesignNeueSerif" w:cs="GrandesignNeueSerif"/>
      <w:sz w:val="20"/>
      <w:szCs w:val="20"/>
    </w:rPr>
  </w:style>
  <w:style w:type="paragraph" w:customStyle="1" w:styleId="Breakoutbox1014DINHEADING">
    <w:name w:val="Break out box 10/14 DIN HEADING"/>
    <w:basedOn w:val="Breakoutbox9pt13pt"/>
    <w:uiPriority w:val="99"/>
    <w:rsid w:val="00D61F12"/>
    <w:rPr>
      <w:rFonts w:ascii="DINOT-Bold" w:hAnsi="DINOT-Bold" w:cs="DINOT-Bold"/>
      <w:b/>
      <w:bCs/>
      <w:caps/>
    </w:rPr>
  </w:style>
  <w:style w:type="paragraph" w:customStyle="1" w:styleId="8MapDiagramHeading">
    <w:name w:val="8 Map Diagram Heading"/>
    <w:basedOn w:val="Normal"/>
    <w:uiPriority w:val="99"/>
    <w:rsid w:val="00D61F12"/>
    <w:pPr>
      <w:widowControl w:val="0"/>
      <w:suppressAutoHyphens/>
      <w:autoSpaceDE w:val="0"/>
      <w:autoSpaceDN w:val="0"/>
      <w:adjustRightInd w:val="0"/>
      <w:spacing w:before="113" w:after="0" w:line="220" w:lineRule="atLeast"/>
      <w:textAlignment w:val="center"/>
    </w:pPr>
    <w:rPr>
      <w:rFonts w:ascii="DINOT-Bold" w:hAnsi="DINOT-Bold" w:cs="DINOT-Bold"/>
      <w:b/>
      <w:bCs/>
      <w:caps/>
      <w:color w:val="000000"/>
      <w:sz w:val="20"/>
      <w:szCs w:val="24"/>
      <w:lang w:val="en-GB"/>
    </w:rPr>
  </w:style>
  <w:style w:type="paragraph" w:customStyle="1" w:styleId="9MapDiagramChartSource">
    <w:name w:val="9 Map Diagram Chart Source"/>
    <w:basedOn w:val="NoParagraphStyle"/>
    <w:uiPriority w:val="99"/>
    <w:rsid w:val="00D61F12"/>
    <w:pPr>
      <w:suppressAutoHyphens/>
      <w:spacing w:before="57" w:line="220" w:lineRule="atLeast"/>
    </w:pPr>
    <w:rPr>
      <w:rFonts w:ascii="DINOT-Light" w:hAnsi="DINOT-Light" w:cs="DINOT-Light"/>
      <w:caps/>
      <w:sz w:val="16"/>
      <w:szCs w:val="16"/>
    </w:rPr>
  </w:style>
  <w:style w:type="paragraph" w:customStyle="1" w:styleId="8aMapDiagramChartTitle">
    <w:name w:val="8a Map Diagram Chart Title"/>
    <w:basedOn w:val="NoParagraphStyle"/>
    <w:uiPriority w:val="99"/>
    <w:rsid w:val="00D61F12"/>
    <w:pPr>
      <w:suppressAutoHyphens/>
      <w:spacing w:before="113" w:line="280" w:lineRule="atLeast"/>
    </w:pPr>
    <w:rPr>
      <w:rFonts w:ascii="DINOT" w:hAnsi="DINOT" w:cs="DINOT"/>
      <w:caps/>
      <w:sz w:val="22"/>
      <w:szCs w:val="22"/>
    </w:rPr>
  </w:style>
  <w:style w:type="character" w:customStyle="1" w:styleId="BreakoutBOxWhiteDINtext">
    <w:name w:val="Break out BOx White DIN text"/>
    <w:uiPriority w:val="99"/>
    <w:rsid w:val="00D61F12"/>
    <w:rPr>
      <w:rFonts w:ascii="DINOT-Bold" w:hAnsi="DINOT-Bold" w:cs="DINOT-Bold"/>
      <w:b/>
      <w:bCs/>
      <w:caps/>
    </w:rPr>
  </w:style>
  <w:style w:type="character" w:customStyle="1" w:styleId="BodyTextforimportantstuff">
    <w:name w:val="Body Text for important stuff"/>
    <w:basedOn w:val="BodyTextBOLD"/>
    <w:uiPriority w:val="99"/>
    <w:rsid w:val="00D61F12"/>
    <w:rPr>
      <w:rFonts w:ascii="DINOT" w:hAnsi="DINOT" w:cs="DINOT"/>
      <w:b/>
      <w:bCs/>
      <w:caps/>
      <w:sz w:val="21"/>
      <w:szCs w:val="21"/>
    </w:rPr>
  </w:style>
  <w:style w:type="paragraph" w:customStyle="1" w:styleId="11TableHeadingBold">
    <w:name w:val="11 Table Heading Bold"/>
    <w:basedOn w:val="8MapDiagramHeading"/>
    <w:uiPriority w:val="99"/>
    <w:rsid w:val="00D61F12"/>
  </w:style>
  <w:style w:type="paragraph" w:customStyle="1" w:styleId="15CaseStudyHeading">
    <w:name w:val="15 Case Study Heading"/>
    <w:basedOn w:val="1ChapterHeading"/>
    <w:uiPriority w:val="99"/>
    <w:rsid w:val="00D61F12"/>
    <w:rPr>
      <w:sz w:val="32"/>
    </w:rPr>
  </w:style>
  <w:style w:type="paragraph" w:customStyle="1" w:styleId="15aCaseStudySubHead">
    <w:name w:val="15a Case Study Sub Head"/>
    <w:basedOn w:val="NoParagraphStyle"/>
    <w:uiPriority w:val="99"/>
    <w:rsid w:val="00D61F12"/>
    <w:pPr>
      <w:suppressAutoHyphens/>
      <w:spacing w:before="113" w:line="420" w:lineRule="atLeast"/>
    </w:pPr>
    <w:rPr>
      <w:rFonts w:ascii="DINOT-Light" w:hAnsi="DINOT-Light" w:cs="DINOT-Light"/>
      <w:caps/>
      <w:spacing w:val="-11"/>
      <w:sz w:val="26"/>
      <w:szCs w:val="36"/>
    </w:rPr>
  </w:style>
  <w:style w:type="paragraph" w:customStyle="1" w:styleId="Importantsubheading">
    <w:name w:val="Important sub heading"/>
    <w:basedOn w:val="1bChapterSubhead"/>
    <w:uiPriority w:val="99"/>
    <w:rsid w:val="00D61F12"/>
    <w:pPr>
      <w:spacing w:before="113" w:after="113" w:line="280" w:lineRule="atLeast"/>
    </w:pPr>
    <w:rPr>
      <w:spacing w:val="-15"/>
      <w:sz w:val="30"/>
      <w:szCs w:val="30"/>
    </w:rPr>
  </w:style>
  <w:style w:type="paragraph" w:customStyle="1" w:styleId="3aSubHeadingB2">
    <w:name w:val="3.a Sub Heading B.2"/>
    <w:basedOn w:val="3SubHeadingB"/>
    <w:uiPriority w:val="99"/>
    <w:rsid w:val="00D61F12"/>
    <w:pPr>
      <w:spacing w:line="260" w:lineRule="atLeast"/>
    </w:pPr>
    <w:rPr>
      <w:rFonts w:ascii="DINOT-Black" w:hAnsi="DINOT-Black" w:cs="DINOT-Black"/>
      <w:spacing w:val="16"/>
      <w:sz w:val="26"/>
      <w:szCs w:val="26"/>
    </w:rPr>
  </w:style>
  <w:style w:type="paragraph" w:customStyle="1" w:styleId="CaseStudyBasetext">
    <w:name w:val="Case Study Base text"/>
    <w:basedOn w:val="3SubHeadingB"/>
    <w:uiPriority w:val="99"/>
    <w:rsid w:val="00D61F12"/>
    <w:pPr>
      <w:spacing w:line="240" w:lineRule="auto"/>
    </w:pPr>
    <w:rPr>
      <w:spacing w:val="16"/>
      <w:sz w:val="18"/>
      <w:szCs w:val="26"/>
    </w:rPr>
  </w:style>
  <w:style w:type="paragraph" w:customStyle="1" w:styleId="Importantsubheading1">
    <w:name w:val="Important sub heading 1"/>
    <w:basedOn w:val="NoParagraphStyle"/>
    <w:uiPriority w:val="99"/>
    <w:rsid w:val="00D61F12"/>
    <w:pPr>
      <w:suppressAutoHyphens/>
      <w:spacing w:before="113" w:after="113" w:line="280" w:lineRule="atLeast"/>
    </w:pPr>
    <w:rPr>
      <w:rFonts w:ascii="DINOT-Medium" w:hAnsi="DINOT-Medium" w:cs="DINOT-Medium"/>
      <w:caps/>
      <w:spacing w:val="-15"/>
      <w:sz w:val="30"/>
      <w:szCs w:val="30"/>
    </w:rPr>
  </w:style>
  <w:style w:type="paragraph" w:customStyle="1" w:styleId="FastFactsunderline">
    <w:name w:val="Fast Facts underline"/>
    <w:basedOn w:val="3SubHeadingB"/>
    <w:uiPriority w:val="99"/>
    <w:rsid w:val="00D61F12"/>
    <w:pPr>
      <w:pBdr>
        <w:bottom w:val="single" w:sz="6" w:space="2" w:color="auto"/>
      </w:pBdr>
      <w:spacing w:before="113" w:after="113"/>
    </w:pPr>
  </w:style>
  <w:style w:type="paragraph" w:customStyle="1" w:styleId="VoxPopsQuotetext">
    <w:name w:val="Vox Pops Quote text"/>
    <w:basedOn w:val="Normal"/>
    <w:uiPriority w:val="99"/>
    <w:rsid w:val="00D61F12"/>
    <w:pPr>
      <w:widowControl w:val="0"/>
      <w:suppressAutoHyphens/>
      <w:autoSpaceDE w:val="0"/>
      <w:autoSpaceDN w:val="0"/>
      <w:adjustRightInd w:val="0"/>
      <w:spacing w:after="0" w:line="260" w:lineRule="atLeast"/>
      <w:ind w:firstLine="737"/>
      <w:textAlignment w:val="center"/>
    </w:pPr>
    <w:rPr>
      <w:rFonts w:ascii="GrandesignNeueSerif" w:hAnsi="GrandesignNeueSerif" w:cs="GrandesignNeueSerif"/>
      <w:i/>
      <w:iCs/>
      <w:color w:val="FFFFFF"/>
      <w:spacing w:val="7"/>
      <w:lang w:val="en-GB"/>
    </w:rPr>
  </w:style>
  <w:style w:type="paragraph" w:customStyle="1" w:styleId="ChapterHeading">
    <w:name w:val="Chapter Heading"/>
    <w:basedOn w:val="Normal"/>
    <w:rsid w:val="00D61F12"/>
    <w:pPr>
      <w:keepNext/>
      <w:keepLines/>
      <w:numPr>
        <w:numId w:val="7"/>
      </w:numPr>
      <w:spacing w:before="120" w:after="480" w:line="276" w:lineRule="auto"/>
      <w:outlineLvl w:val="0"/>
    </w:pPr>
    <w:rPr>
      <w:rFonts w:eastAsiaTheme="majorEastAsia" w:cstheme="majorBidi"/>
      <w:b/>
      <w:bCs/>
      <w:sz w:val="36"/>
      <w:szCs w:val="28"/>
    </w:rPr>
  </w:style>
  <w:style w:type="paragraph" w:customStyle="1" w:styleId="MINISTERSPREMIER">
    <w:name w:val="MINISTERS/PREMIER"/>
    <w:basedOn w:val="1ChapterHeadingNEW"/>
    <w:qFormat/>
    <w:rsid w:val="00D61F12"/>
    <w:pPr>
      <w:jc w:val="left"/>
    </w:pPr>
  </w:style>
  <w:style w:type="paragraph" w:customStyle="1" w:styleId="1ChapterHeadingNEW">
    <w:name w:val="1 Chapter Heading NEW"/>
    <w:basedOn w:val="1ChapterHeading"/>
    <w:uiPriority w:val="99"/>
    <w:rsid w:val="00D61F12"/>
    <w:pPr>
      <w:spacing w:line="420" w:lineRule="atLeast"/>
      <w:jc w:val="right"/>
    </w:pPr>
    <w:rPr>
      <w:spacing w:val="-22"/>
      <w:szCs w:val="44"/>
    </w:rPr>
  </w:style>
  <w:style w:type="paragraph" w:customStyle="1" w:styleId="Tabletextstyle">
    <w:name w:val="Table text style"/>
    <w:basedOn w:val="Normal"/>
    <w:uiPriority w:val="99"/>
    <w:rsid w:val="00D61F12"/>
    <w:pPr>
      <w:widowControl w:val="0"/>
      <w:suppressAutoHyphens/>
      <w:autoSpaceDE w:val="0"/>
      <w:autoSpaceDN w:val="0"/>
      <w:adjustRightInd w:val="0"/>
      <w:spacing w:before="57" w:after="0" w:line="220" w:lineRule="atLeast"/>
      <w:textAlignment w:val="center"/>
    </w:pPr>
    <w:rPr>
      <w:rFonts w:ascii="DINOT" w:eastAsia="Times New Roman" w:hAnsi="DINOT" w:cs="DINOT"/>
      <w:color w:val="000000"/>
      <w:sz w:val="20"/>
      <w:szCs w:val="20"/>
      <w:lang w:val="en-GB"/>
    </w:rPr>
  </w:style>
  <w:style w:type="paragraph" w:customStyle="1" w:styleId="12bTabletextBULLETS">
    <w:name w:val="12b Table text BULLETS"/>
    <w:basedOn w:val="Normal"/>
    <w:uiPriority w:val="99"/>
    <w:rsid w:val="00D61F12"/>
    <w:pPr>
      <w:widowControl w:val="0"/>
      <w:suppressAutoHyphens/>
      <w:autoSpaceDE w:val="0"/>
      <w:autoSpaceDN w:val="0"/>
      <w:adjustRightInd w:val="0"/>
      <w:spacing w:before="140" w:after="0" w:line="220" w:lineRule="atLeast"/>
      <w:ind w:left="240" w:hanging="240"/>
      <w:textAlignment w:val="center"/>
    </w:pPr>
    <w:rPr>
      <w:rFonts w:ascii="DINOT" w:eastAsia="Times New Roman" w:hAnsi="DINOT" w:cs="DINOT"/>
      <w:color w:val="000000"/>
      <w:sz w:val="20"/>
      <w:szCs w:val="20"/>
      <w:lang w:val="en-GB"/>
    </w:rPr>
  </w:style>
  <w:style w:type="paragraph" w:customStyle="1" w:styleId="2SubHeadingA">
    <w:name w:val="2 Sub Heading A"/>
    <w:basedOn w:val="NoParagraphStyle"/>
    <w:uiPriority w:val="99"/>
    <w:rsid w:val="00D61F12"/>
    <w:pPr>
      <w:suppressAutoHyphens/>
      <w:spacing w:before="140" w:line="280" w:lineRule="atLeast"/>
    </w:pPr>
    <w:rPr>
      <w:rFonts w:ascii="DINOT" w:eastAsia="Times New Roman" w:hAnsi="DINOT" w:cs="DINOT"/>
      <w:spacing w:val="17"/>
      <w:sz w:val="28"/>
      <w:szCs w:val="28"/>
    </w:rPr>
  </w:style>
  <w:style w:type="paragraph" w:customStyle="1" w:styleId="ACTIONINDENTFINAL">
    <w:name w:val="ACTION INDENT FINAL"/>
    <w:basedOn w:val="Normal"/>
    <w:uiPriority w:val="99"/>
    <w:rsid w:val="00D61F12"/>
    <w:pPr>
      <w:widowControl w:val="0"/>
      <w:suppressAutoHyphens/>
      <w:autoSpaceDE w:val="0"/>
      <w:autoSpaceDN w:val="0"/>
      <w:adjustRightInd w:val="0"/>
      <w:spacing w:after="120"/>
      <w:ind w:left="737" w:hanging="369"/>
      <w:textAlignment w:val="center"/>
    </w:pPr>
    <w:rPr>
      <w:rFonts w:ascii="GrandesignNeueSerif" w:eastAsia="Times New Roman" w:hAnsi="GrandesignNeueSerif" w:cs="Calibri"/>
      <w:color w:val="000000"/>
      <w:sz w:val="18"/>
      <w:lang w:val="en-GB" w:eastAsia="en-US"/>
    </w:rPr>
  </w:style>
  <w:style w:type="paragraph" w:customStyle="1" w:styleId="2ChapterHeadingtagline2">
    <w:name w:val="2 Chapter Heading tagline 2"/>
    <w:basedOn w:val="NoParagraphStyle"/>
    <w:uiPriority w:val="99"/>
    <w:rsid w:val="00D61F12"/>
    <w:pPr>
      <w:spacing w:before="57"/>
    </w:pPr>
    <w:rPr>
      <w:rFonts w:ascii="DINOT-Light" w:eastAsia="Times New Roman" w:hAnsi="DINOT-Light" w:cs="DINOT-Light"/>
      <w:caps/>
      <w:sz w:val="38"/>
      <w:szCs w:val="38"/>
    </w:rPr>
  </w:style>
  <w:style w:type="paragraph" w:customStyle="1" w:styleId="4SubHeadingb">
    <w:name w:val="4 Sub Heading b"/>
    <w:basedOn w:val="NoParagraphStyle"/>
    <w:uiPriority w:val="99"/>
    <w:rsid w:val="00D61F12"/>
    <w:pPr>
      <w:suppressAutoHyphens/>
    </w:pPr>
    <w:rPr>
      <w:rFonts w:ascii="DINOT-LightItalic" w:eastAsia="Times New Roman" w:hAnsi="DINOT-LightItalic" w:cs="DINOT-LightItalic"/>
      <w:i/>
      <w:iCs/>
      <w:color w:val="auto"/>
      <w:spacing w:val="16"/>
      <w:sz w:val="26"/>
      <w:szCs w:val="26"/>
    </w:rPr>
  </w:style>
  <w:style w:type="paragraph" w:customStyle="1" w:styleId="VoxPopsPeopleName">
    <w:name w:val="Vox Pops People Name"/>
    <w:basedOn w:val="4SubHeadingb"/>
    <w:uiPriority w:val="99"/>
    <w:rsid w:val="00D61F12"/>
    <w:pPr>
      <w:spacing w:line="200" w:lineRule="atLeast"/>
    </w:pPr>
    <w:rPr>
      <w:rFonts w:ascii="DINOT-Medium" w:hAnsi="DINOT-Medium" w:cs="DINOT-Medium"/>
      <w:caps/>
      <w:color w:val="FFFFFF"/>
      <w:spacing w:val="11"/>
      <w:sz w:val="18"/>
      <w:szCs w:val="18"/>
    </w:rPr>
  </w:style>
  <w:style w:type="paragraph" w:customStyle="1" w:styleId="8MapDiagramChartTitle">
    <w:name w:val="8 Map Diagram Chart Title"/>
    <w:basedOn w:val="NoParagraphStyle"/>
    <w:uiPriority w:val="99"/>
    <w:rsid w:val="00D61F12"/>
    <w:pPr>
      <w:suppressAutoHyphens/>
      <w:spacing w:before="113" w:line="280" w:lineRule="atLeast"/>
    </w:pPr>
    <w:rPr>
      <w:rFonts w:ascii="DINOT-Bold" w:eastAsia="Times New Roman" w:hAnsi="DINOT-Bold" w:cs="DINOT-Bold"/>
      <w:b/>
      <w:bCs/>
      <w:caps/>
      <w:sz w:val="22"/>
      <w:szCs w:val="22"/>
    </w:rPr>
  </w:style>
  <w:style w:type="paragraph" w:customStyle="1" w:styleId="12Graphlegendtext">
    <w:name w:val="12 Graph legend text"/>
    <w:basedOn w:val="NoParagraphStyle"/>
    <w:uiPriority w:val="99"/>
    <w:rsid w:val="00D61F12"/>
    <w:pPr>
      <w:suppressAutoHyphens/>
    </w:pPr>
    <w:rPr>
      <w:rFonts w:ascii="DINOT" w:eastAsia="Times New Roman" w:hAnsi="DINOT" w:cs="DINOT"/>
      <w:caps/>
      <w:sz w:val="14"/>
      <w:szCs w:val="14"/>
    </w:rPr>
  </w:style>
  <w:style w:type="paragraph" w:customStyle="1" w:styleId="6BodyText11pt14pt">
    <w:name w:val="6 Body Text 11pt/14pt"/>
    <w:basedOn w:val="NoParagraphStyle"/>
    <w:uiPriority w:val="99"/>
    <w:rsid w:val="00D61F12"/>
    <w:pPr>
      <w:suppressAutoHyphens/>
      <w:spacing w:before="113" w:line="280" w:lineRule="atLeast"/>
    </w:pPr>
    <w:rPr>
      <w:rFonts w:ascii="Skolar" w:eastAsia="Times New Roman" w:hAnsi="Skolar" w:cs="Skolar"/>
      <w:sz w:val="22"/>
      <w:szCs w:val="22"/>
    </w:rPr>
  </w:style>
  <w:style w:type="paragraph" w:customStyle="1" w:styleId="TabletextstyleBOLDHeading">
    <w:name w:val="Table text style BOLD Heading"/>
    <w:basedOn w:val="Tabletextstyle"/>
    <w:uiPriority w:val="99"/>
    <w:rsid w:val="00D61F12"/>
  </w:style>
  <w:style w:type="paragraph" w:customStyle="1" w:styleId="12Tabletextstyle">
    <w:name w:val="12 Table text style"/>
    <w:basedOn w:val="BasicParagraph"/>
    <w:uiPriority w:val="99"/>
    <w:rsid w:val="00D61F12"/>
    <w:pPr>
      <w:suppressAutoHyphens/>
      <w:spacing w:before="57" w:line="220" w:lineRule="atLeast"/>
    </w:pPr>
    <w:rPr>
      <w:rFonts w:ascii="DINOT" w:eastAsia="Times New Roman" w:hAnsi="DINOT" w:cs="DINOT"/>
      <w:sz w:val="20"/>
      <w:szCs w:val="20"/>
    </w:rPr>
  </w:style>
  <w:style w:type="paragraph" w:customStyle="1" w:styleId="6BodyText10pt14pt">
    <w:name w:val="6 Body Text 10pt/14pt"/>
    <w:basedOn w:val="NoParagraphStyle"/>
    <w:uiPriority w:val="99"/>
    <w:rsid w:val="00D61F12"/>
    <w:pPr>
      <w:suppressAutoHyphens/>
      <w:spacing w:before="113" w:line="280" w:lineRule="atLeast"/>
    </w:pPr>
    <w:rPr>
      <w:rFonts w:ascii="GrandesignNeueSerif" w:eastAsia="Times New Roman" w:hAnsi="GrandesignNeueSerif" w:cs="GrandesignNeueSerif"/>
      <w:sz w:val="20"/>
      <w:szCs w:val="20"/>
    </w:rPr>
  </w:style>
  <w:style w:type="paragraph" w:customStyle="1" w:styleId="13Tabletextstyle">
    <w:name w:val="13 Table text style"/>
    <w:basedOn w:val="6BodyText10pt14pt"/>
    <w:uiPriority w:val="99"/>
    <w:rsid w:val="00D61F12"/>
    <w:pPr>
      <w:spacing w:line="200" w:lineRule="atLeast"/>
    </w:pPr>
    <w:rPr>
      <w:rFonts w:ascii="DINOT" w:hAnsi="DINOT" w:cs="DINOT"/>
      <w:sz w:val="18"/>
      <w:szCs w:val="18"/>
    </w:rPr>
  </w:style>
  <w:style w:type="paragraph" w:customStyle="1" w:styleId="13aTabletextbullets">
    <w:name w:val="13a Table text bullets"/>
    <w:basedOn w:val="NoParagraphStyle"/>
    <w:uiPriority w:val="99"/>
    <w:rsid w:val="00D61F12"/>
    <w:pPr>
      <w:suppressAutoHyphens/>
      <w:spacing w:before="57" w:line="200" w:lineRule="atLeast"/>
      <w:ind w:left="240" w:hanging="240"/>
    </w:pPr>
    <w:rPr>
      <w:rFonts w:ascii="DINOT" w:eastAsia="Times New Roman" w:hAnsi="DINOT" w:cs="DINOT"/>
      <w:sz w:val="18"/>
      <w:szCs w:val="18"/>
    </w:rPr>
  </w:style>
  <w:style w:type="paragraph" w:customStyle="1" w:styleId="BREAKOUTBOX">
    <w:name w:val="BREAK OUT BOX"/>
    <w:basedOn w:val="body"/>
    <w:qFormat/>
    <w:rsid w:val="00D61F12"/>
    <w:rPr>
      <w:rFonts w:ascii="Calibri" w:hAnsi="Calibri"/>
      <w:b/>
      <w:color w:val="000000"/>
    </w:rPr>
  </w:style>
  <w:style w:type="paragraph" w:customStyle="1" w:styleId="1bChapterSubhead2lines">
    <w:name w:val="1b Chapter Subhead 2 lines"/>
    <w:basedOn w:val="NoParagraphStyle"/>
    <w:next w:val="1cChapterTagline"/>
    <w:uiPriority w:val="99"/>
    <w:rsid w:val="00D61F12"/>
    <w:pPr>
      <w:suppressAutoHyphens/>
      <w:spacing w:after="454" w:line="360" w:lineRule="atLeast"/>
    </w:pPr>
    <w:rPr>
      <w:rFonts w:ascii="DINOT-Medium" w:hAnsi="DINOT-Medium" w:cs="DINOT-Medium"/>
      <w:caps/>
      <w:color w:val="005E79"/>
      <w:spacing w:val="-18"/>
      <w:sz w:val="36"/>
      <w:szCs w:val="36"/>
    </w:rPr>
  </w:style>
  <w:style w:type="character" w:customStyle="1" w:styleId="BodyTextIndentChar">
    <w:name w:val="Body Text Indent Char"/>
    <w:uiPriority w:val="99"/>
    <w:rsid w:val="00D61F12"/>
    <w:rPr>
      <w:rFonts w:ascii="Calibri" w:hAnsi="Calibri"/>
      <w:sz w:val="22"/>
    </w:rPr>
  </w:style>
  <w:style w:type="paragraph" w:styleId="BodyText2">
    <w:name w:val="Body Text 2"/>
    <w:basedOn w:val="Normal"/>
    <w:link w:val="BodyText2Char"/>
    <w:uiPriority w:val="99"/>
    <w:rsid w:val="00D61F12"/>
    <w:pPr>
      <w:pBdr>
        <w:top w:val="single" w:sz="4" w:space="1" w:color="auto"/>
        <w:left w:val="single" w:sz="4" w:space="4" w:color="auto"/>
        <w:bottom w:val="single" w:sz="4" w:space="1" w:color="auto"/>
        <w:right w:val="single" w:sz="4" w:space="4" w:color="auto"/>
      </w:pBdr>
      <w:spacing w:after="120"/>
    </w:pPr>
    <w:rPr>
      <w:rFonts w:ascii="Calibri" w:eastAsia="Times New Roman" w:hAnsi="Calibri" w:cs="Calibri"/>
    </w:rPr>
  </w:style>
  <w:style w:type="character" w:customStyle="1" w:styleId="BodyText2Char">
    <w:name w:val="Body Text 2 Char"/>
    <w:basedOn w:val="DefaultParagraphFont"/>
    <w:link w:val="BodyText2"/>
    <w:uiPriority w:val="99"/>
    <w:rsid w:val="00D61F12"/>
    <w:rPr>
      <w:rFonts w:ascii="Calibri" w:eastAsia="Times New Roman" w:hAnsi="Calibri" w:cs="Calibri"/>
      <w:lang w:eastAsia="en-AU"/>
    </w:rPr>
  </w:style>
  <w:style w:type="character" w:customStyle="1" w:styleId="BodyTextIndentChar1">
    <w:name w:val="Body Text Indent Char1"/>
    <w:basedOn w:val="DefaultParagraphFont"/>
    <w:uiPriority w:val="99"/>
    <w:rsid w:val="00D61F12"/>
    <w:rPr>
      <w:rFonts w:ascii="Times New Roman" w:hAnsi="Times New Roman" w:cs="Times New Roman"/>
      <w:lang w:eastAsia="en-US"/>
    </w:rPr>
  </w:style>
  <w:style w:type="paragraph" w:styleId="BodyText">
    <w:name w:val="Body Text"/>
    <w:basedOn w:val="Normal"/>
    <w:link w:val="BodyTextChar"/>
    <w:uiPriority w:val="99"/>
    <w:rsid w:val="00D61F12"/>
    <w:pPr>
      <w:spacing w:after="120"/>
    </w:pPr>
    <w:rPr>
      <w:rFonts w:ascii="Calibri" w:eastAsia="Times New Roman" w:hAnsi="Calibri" w:cs="Calibri"/>
    </w:rPr>
  </w:style>
  <w:style w:type="character" w:customStyle="1" w:styleId="BodyTextChar">
    <w:name w:val="Body Text Char"/>
    <w:basedOn w:val="DefaultParagraphFont"/>
    <w:link w:val="BodyText"/>
    <w:uiPriority w:val="99"/>
    <w:rsid w:val="00D61F12"/>
    <w:rPr>
      <w:rFonts w:ascii="Calibri" w:eastAsia="Times New Roman" w:hAnsi="Calibri" w:cs="Calibri"/>
      <w:lang w:eastAsia="en-AU"/>
    </w:rPr>
  </w:style>
  <w:style w:type="paragraph" w:customStyle="1" w:styleId="ACTIONSFINAL">
    <w:name w:val="ACTIONS FINAL"/>
    <w:basedOn w:val="NoParagraphStyle"/>
    <w:uiPriority w:val="99"/>
    <w:rsid w:val="00D61F12"/>
    <w:pPr>
      <w:suppressAutoHyphens/>
      <w:spacing w:after="28" w:line="250" w:lineRule="atLeast"/>
      <w:ind w:left="227" w:hanging="227"/>
    </w:pPr>
    <w:rPr>
      <w:rFonts w:ascii="GrandesignNeueSerif" w:hAnsi="GrandesignNeueSerif" w:cs="GrandesignNeueSerif"/>
      <w:sz w:val="18"/>
      <w:szCs w:val="18"/>
    </w:rPr>
  </w:style>
  <w:style w:type="paragraph" w:customStyle="1" w:styleId="1bChapterSubhead1line">
    <w:name w:val="1b Chapter Subhead 1 line"/>
    <w:basedOn w:val="NoParagraphStyle"/>
    <w:next w:val="1cChapterTagline"/>
    <w:uiPriority w:val="99"/>
    <w:rsid w:val="00D61F12"/>
    <w:pPr>
      <w:suppressAutoHyphens/>
      <w:spacing w:after="794" w:line="360" w:lineRule="atLeast"/>
    </w:pPr>
    <w:rPr>
      <w:rFonts w:ascii="DINOT-Medium" w:hAnsi="DINOT-Medium" w:cs="DINOT-Medium"/>
      <w:caps/>
      <w:color w:val="005E79"/>
      <w:spacing w:val="-18"/>
      <w:sz w:val="36"/>
      <w:szCs w:val="36"/>
    </w:rPr>
  </w:style>
  <w:style w:type="paragraph" w:customStyle="1" w:styleId="SubSubHeadingNEW">
    <w:name w:val="Sub Sub Heading NEW"/>
    <w:basedOn w:val="2SubHeadingA"/>
    <w:uiPriority w:val="99"/>
    <w:rsid w:val="00D61F12"/>
    <w:pPr>
      <w:spacing w:before="0" w:line="180" w:lineRule="atLeast"/>
    </w:pPr>
    <w:rPr>
      <w:rFonts w:ascii="DINOT-Bold" w:eastAsiaTheme="minorEastAsia" w:hAnsi="DINOT-Bold" w:cs="DINOT-Bold"/>
      <w:b/>
      <w:bCs/>
      <w:caps/>
      <w:spacing w:val="0"/>
      <w:sz w:val="18"/>
      <w:szCs w:val="18"/>
    </w:rPr>
  </w:style>
  <w:style w:type="paragraph" w:customStyle="1" w:styleId="1bChapterSubhead3lines">
    <w:name w:val="1b Chapter Subhead 3 lines"/>
    <w:basedOn w:val="NoParagraphStyle"/>
    <w:next w:val="1cChapterTagline"/>
    <w:uiPriority w:val="99"/>
    <w:rsid w:val="00D61F12"/>
    <w:pPr>
      <w:suppressAutoHyphens/>
      <w:spacing w:after="113" w:line="360" w:lineRule="atLeast"/>
    </w:pPr>
    <w:rPr>
      <w:rFonts w:ascii="DINOT-Medium" w:hAnsi="DINOT-Medium" w:cs="DINOT-Medium"/>
      <w:caps/>
      <w:color w:val="005E79"/>
      <w:spacing w:val="-18"/>
      <w:sz w:val="36"/>
      <w:szCs w:val="36"/>
    </w:rPr>
  </w:style>
  <w:style w:type="paragraph" w:customStyle="1" w:styleId="Importantsubheading2attopcolumn">
    <w:name w:val="Important sub heading 2 at top column"/>
    <w:basedOn w:val="NoParagraphStyle"/>
    <w:uiPriority w:val="99"/>
    <w:rsid w:val="00D61F12"/>
    <w:pPr>
      <w:suppressAutoHyphens/>
      <w:spacing w:before="113" w:after="113" w:line="280" w:lineRule="atLeast"/>
    </w:pPr>
    <w:rPr>
      <w:rFonts w:ascii="DINOT-Medium" w:hAnsi="DINOT-Medium" w:cs="DINOT-Medium"/>
      <w:caps/>
      <w:spacing w:val="-15"/>
      <w:sz w:val="30"/>
      <w:szCs w:val="30"/>
    </w:rPr>
  </w:style>
  <w:style w:type="paragraph" w:customStyle="1" w:styleId="5aBodyTextBold9pt13pt">
    <w:name w:val="5a Body Text Bold 9pt/13pt"/>
    <w:basedOn w:val="NoParagraphStyle"/>
    <w:uiPriority w:val="99"/>
    <w:rsid w:val="00D61F12"/>
    <w:pPr>
      <w:tabs>
        <w:tab w:val="left" w:pos="1460"/>
        <w:tab w:val="right" w:pos="14080"/>
      </w:tabs>
      <w:suppressAutoHyphens/>
      <w:spacing w:after="113" w:line="250" w:lineRule="atLeast"/>
    </w:pPr>
    <w:rPr>
      <w:rFonts w:ascii="GrandesignNeueSerif-Bold" w:hAnsi="GrandesignNeueSerif-Bold" w:cs="GrandesignNeueSerif-Bold"/>
      <w:b/>
      <w:bCs/>
      <w:sz w:val="18"/>
      <w:szCs w:val="18"/>
    </w:rPr>
  </w:style>
  <w:style w:type="paragraph" w:customStyle="1" w:styleId="TOCInitiativeHeadingTOCs">
    <w:name w:val="TOC Initiative Heading (TOCs)"/>
    <w:basedOn w:val="BasicParagraph"/>
    <w:uiPriority w:val="99"/>
    <w:rsid w:val="00D61F12"/>
    <w:pPr>
      <w:tabs>
        <w:tab w:val="right" w:pos="10148"/>
        <w:tab w:val="right" w:pos="14080"/>
      </w:tabs>
      <w:spacing w:line="220" w:lineRule="atLeast"/>
      <w:ind w:left="283"/>
    </w:pPr>
    <w:rPr>
      <w:rFonts w:ascii="DINOT-Bold" w:hAnsi="DINOT-Bold" w:cs="DINOT-Bold"/>
      <w:b/>
      <w:bCs/>
      <w:caps/>
      <w:sz w:val="18"/>
      <w:szCs w:val="18"/>
    </w:rPr>
  </w:style>
  <w:style w:type="paragraph" w:customStyle="1" w:styleId="TOCDirectionheadingTOCs">
    <w:name w:val="TOC Direction heading (TOCs)"/>
    <w:basedOn w:val="NoParagraphStyle"/>
    <w:uiPriority w:val="99"/>
    <w:rsid w:val="00D61F12"/>
    <w:pPr>
      <w:tabs>
        <w:tab w:val="right" w:pos="10148"/>
        <w:tab w:val="right" w:pos="14080"/>
      </w:tabs>
      <w:suppressAutoHyphens/>
      <w:spacing w:before="113" w:line="200" w:lineRule="atLeast"/>
    </w:pPr>
    <w:rPr>
      <w:rFonts w:ascii="DINOT-Bold" w:hAnsi="DINOT-Bold" w:cs="DINOT-Bold"/>
      <w:b/>
      <w:bCs/>
      <w:caps/>
      <w:color w:val="0070C0"/>
      <w:sz w:val="20"/>
      <w:szCs w:val="20"/>
    </w:rPr>
  </w:style>
  <w:style w:type="paragraph" w:customStyle="1" w:styleId="TOCInitiativeTextTOCs">
    <w:name w:val="TOC Initiative Text (TOCs)"/>
    <w:basedOn w:val="BasicParagraph"/>
    <w:uiPriority w:val="99"/>
    <w:rsid w:val="00D61F12"/>
    <w:pPr>
      <w:tabs>
        <w:tab w:val="right" w:pos="10148"/>
        <w:tab w:val="right" w:pos="14080"/>
      </w:tabs>
      <w:spacing w:line="220" w:lineRule="atLeast"/>
      <w:ind w:left="283"/>
    </w:pPr>
    <w:rPr>
      <w:rFonts w:ascii="DINOT" w:hAnsi="DINOT" w:cs="DINOT"/>
      <w:sz w:val="18"/>
      <w:szCs w:val="18"/>
    </w:rPr>
  </w:style>
  <w:style w:type="character" w:customStyle="1" w:styleId="BodyTextBoldforMACs">
    <w:name w:val="Body Text Bold for MACs"/>
    <w:uiPriority w:val="99"/>
    <w:rsid w:val="00D61F12"/>
    <w:rPr>
      <w:b/>
    </w:rPr>
  </w:style>
  <w:style w:type="paragraph" w:customStyle="1" w:styleId="MELBURNIANSSAID">
    <w:name w:val="MELBURNIANS SAID..."/>
    <w:basedOn w:val="1ChapterHeading"/>
    <w:qFormat/>
    <w:rsid w:val="00D61F12"/>
    <w:rPr>
      <w:rFonts w:ascii="DINOT-Bold" w:hAnsi="DINOT-Bold" w:cs="DINOT-Bold"/>
      <w:b/>
      <w:bCs/>
      <w:spacing w:val="0"/>
      <w:sz w:val="20"/>
      <w:szCs w:val="24"/>
    </w:rPr>
  </w:style>
  <w:style w:type="paragraph" w:customStyle="1" w:styleId="CLUSTERS">
    <w:name w:val="CLUSTERS"/>
    <w:basedOn w:val="1ChapterHeading"/>
    <w:qFormat/>
    <w:rsid w:val="00D61F12"/>
  </w:style>
  <w:style w:type="paragraph" w:customStyle="1" w:styleId="Figurehead">
    <w:name w:val="Figure head"/>
    <w:basedOn w:val="Normal"/>
    <w:qFormat/>
    <w:rsid w:val="00D61F12"/>
    <w:rPr>
      <w:rFonts w:ascii="Calibri" w:eastAsiaTheme="minorHAnsi" w:hAnsi="Calibri"/>
      <w:sz w:val="24"/>
      <w:lang w:eastAsia="en-US"/>
    </w:rPr>
  </w:style>
  <w:style w:type="paragraph" w:styleId="ListNumber">
    <w:name w:val="List Number"/>
    <w:basedOn w:val="BodyText"/>
    <w:uiPriority w:val="99"/>
    <w:semiHidden/>
    <w:rsid w:val="00D61F12"/>
    <w:pPr>
      <w:numPr>
        <w:numId w:val="8"/>
      </w:numPr>
      <w:spacing w:before="120" w:line="240" w:lineRule="atLeast"/>
      <w:contextualSpacing/>
    </w:pPr>
    <w:rPr>
      <w:rFonts w:eastAsiaTheme="minorHAnsi" w:cstheme="minorBidi"/>
      <w:color w:val="000000" w:themeColor="text1"/>
      <w:lang w:eastAsia="en-US"/>
    </w:rPr>
  </w:style>
  <w:style w:type="paragraph" w:styleId="EndnoteText">
    <w:name w:val="endnote text"/>
    <w:basedOn w:val="Normal"/>
    <w:link w:val="EndnoteTextChar"/>
    <w:uiPriority w:val="99"/>
    <w:unhideWhenUsed/>
    <w:rsid w:val="00D61F12"/>
    <w:pPr>
      <w:spacing w:after="0"/>
    </w:pPr>
    <w:rPr>
      <w:sz w:val="20"/>
      <w:szCs w:val="20"/>
    </w:rPr>
  </w:style>
  <w:style w:type="character" w:customStyle="1" w:styleId="EndnoteTextChar">
    <w:name w:val="Endnote Text Char"/>
    <w:basedOn w:val="DefaultParagraphFont"/>
    <w:link w:val="EndnoteText"/>
    <w:uiPriority w:val="99"/>
    <w:rsid w:val="00D61F12"/>
    <w:rPr>
      <w:rFonts w:eastAsiaTheme="minorEastAsia"/>
      <w:sz w:val="20"/>
      <w:szCs w:val="20"/>
      <w:lang w:eastAsia="en-AU"/>
    </w:rPr>
  </w:style>
  <w:style w:type="character" w:styleId="EndnoteReference">
    <w:name w:val="endnote reference"/>
    <w:basedOn w:val="DefaultParagraphFont"/>
    <w:uiPriority w:val="99"/>
    <w:semiHidden/>
    <w:unhideWhenUsed/>
    <w:rsid w:val="00D61F12"/>
    <w:rPr>
      <w:vertAlign w:val="superscript"/>
    </w:rPr>
  </w:style>
  <w:style w:type="character" w:customStyle="1" w:styleId="ListParagraphChar">
    <w:name w:val="List Paragraph Char"/>
    <w:link w:val="ListParagraph"/>
    <w:uiPriority w:val="34"/>
    <w:locked/>
    <w:rsid w:val="00D61F12"/>
    <w:rPr>
      <w:rFonts w:eastAsiaTheme="minorEastAsia"/>
      <w:lang w:eastAsia="en-AU"/>
    </w:rPr>
  </w:style>
  <w:style w:type="paragraph" w:customStyle="1" w:styleId="DecimalAligned">
    <w:name w:val="Decimal Aligned"/>
    <w:basedOn w:val="Normal"/>
    <w:uiPriority w:val="40"/>
    <w:qFormat/>
    <w:rsid w:val="00D61F12"/>
    <w:pPr>
      <w:tabs>
        <w:tab w:val="decimal" w:pos="360"/>
      </w:tabs>
      <w:spacing w:after="200" w:line="276" w:lineRule="auto"/>
    </w:pPr>
    <w:rPr>
      <w:rFonts w:eastAsiaTheme="minorHAnsi"/>
      <w:lang w:val="en-US" w:eastAsia="ja-JP"/>
    </w:rPr>
  </w:style>
  <w:style w:type="table" w:styleId="MediumShading1-Accent5">
    <w:name w:val="Medium Shading 1 Accent 5"/>
    <w:basedOn w:val="TableNormal"/>
    <w:uiPriority w:val="63"/>
    <w:rsid w:val="00D61F1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D61F12"/>
    <w:rPr>
      <w:i/>
      <w:iCs/>
      <w:color w:val="7F7F7F" w:themeColor="text1" w:themeTint="80"/>
    </w:rPr>
  </w:style>
  <w:style w:type="character" w:styleId="Strong">
    <w:name w:val="Strong"/>
    <w:basedOn w:val="DefaultParagraphFont"/>
    <w:uiPriority w:val="22"/>
    <w:qFormat/>
    <w:rsid w:val="00D61F12"/>
    <w:rPr>
      <w:b/>
      <w:bCs/>
    </w:rPr>
  </w:style>
  <w:style w:type="paragraph" w:customStyle="1" w:styleId="Pa15">
    <w:name w:val="Pa15"/>
    <w:basedOn w:val="Normal"/>
    <w:next w:val="Normal"/>
    <w:uiPriority w:val="99"/>
    <w:rsid w:val="00D61F12"/>
    <w:pPr>
      <w:autoSpaceDE w:val="0"/>
      <w:autoSpaceDN w:val="0"/>
      <w:adjustRightInd w:val="0"/>
      <w:spacing w:after="0" w:line="211" w:lineRule="atLeast"/>
    </w:pPr>
    <w:rPr>
      <w:rFonts w:ascii="Helvetica 65 Medium" w:eastAsiaTheme="minorHAnsi" w:hAnsi="Helvetica 65 Medium"/>
      <w:sz w:val="24"/>
      <w:szCs w:val="24"/>
      <w:lang w:eastAsia="en-US"/>
    </w:rPr>
  </w:style>
  <w:style w:type="paragraph" w:customStyle="1" w:styleId="Bullets">
    <w:name w:val="Bullets"/>
    <w:basedOn w:val="Normal"/>
    <w:link w:val="BulletsChar"/>
    <w:qFormat/>
    <w:rsid w:val="00D61F12"/>
    <w:pPr>
      <w:numPr>
        <w:numId w:val="9"/>
      </w:numPr>
      <w:spacing w:after="40"/>
    </w:pPr>
    <w:rPr>
      <w:rFonts w:asciiTheme="majorHAnsi" w:eastAsia="Times New Roman" w:hAnsiTheme="majorHAnsi" w:cstheme="majorHAnsi"/>
      <w:color w:val="000000" w:themeColor="text1"/>
      <w:sz w:val="20"/>
      <w:szCs w:val="20"/>
      <w:lang w:eastAsia="en-US"/>
    </w:rPr>
  </w:style>
  <w:style w:type="character" w:customStyle="1" w:styleId="BulletsChar">
    <w:name w:val="Bullets Char"/>
    <w:basedOn w:val="DefaultParagraphFont"/>
    <w:link w:val="Bullets"/>
    <w:rsid w:val="00D61F12"/>
    <w:rPr>
      <w:rFonts w:asciiTheme="majorHAnsi" w:eastAsia="Times New Roman" w:hAnsiTheme="majorHAnsi" w:cstheme="majorHAnsi"/>
      <w:color w:val="000000" w:themeColor="text1"/>
      <w:sz w:val="20"/>
      <w:szCs w:val="20"/>
    </w:rPr>
  </w:style>
  <w:style w:type="paragraph" w:customStyle="1" w:styleId="PPFBodytext">
    <w:name w:val="PPF_Body text"/>
    <w:basedOn w:val="Normal"/>
    <w:link w:val="PPFBodytextChar"/>
    <w:qFormat/>
    <w:rsid w:val="00D61F12"/>
    <w:pPr>
      <w:spacing w:before="80" w:after="0"/>
      <w:ind w:left="1560"/>
    </w:pPr>
    <w:rPr>
      <w:rFonts w:ascii="Times New Roman" w:eastAsia="Times New Roman" w:hAnsi="Times New Roman" w:cs="Times New Roman"/>
      <w:sz w:val="20"/>
      <w:szCs w:val="20"/>
    </w:rPr>
  </w:style>
  <w:style w:type="character" w:customStyle="1" w:styleId="PPFBodytextChar">
    <w:name w:val="PPF_Body text Char"/>
    <w:basedOn w:val="DefaultParagraphFont"/>
    <w:link w:val="PPFBodytext"/>
    <w:rsid w:val="00D61F12"/>
    <w:rPr>
      <w:rFonts w:ascii="Times New Roman" w:eastAsia="Times New Roman" w:hAnsi="Times New Roman" w:cs="Times New Roman"/>
      <w:sz w:val="20"/>
      <w:szCs w:val="20"/>
      <w:lang w:eastAsia="en-AU"/>
    </w:rPr>
  </w:style>
  <w:style w:type="character" w:customStyle="1" w:styleId="A4">
    <w:name w:val="A4"/>
    <w:uiPriority w:val="99"/>
    <w:rsid w:val="00D61F12"/>
    <w:rPr>
      <w:rFonts w:cs="TradeGothic LT CondEighteen"/>
      <w:color w:val="000000"/>
      <w:sz w:val="23"/>
      <w:szCs w:val="23"/>
    </w:rPr>
  </w:style>
  <w:style w:type="character" w:customStyle="1" w:styleId="A1">
    <w:name w:val="A1"/>
    <w:uiPriority w:val="99"/>
    <w:rsid w:val="00D61F12"/>
    <w:rPr>
      <w:rFonts w:cs="Museo Slab 500"/>
      <w:i/>
      <w:iCs/>
      <w:color w:val="000000"/>
      <w:sz w:val="28"/>
      <w:szCs w:val="28"/>
    </w:rPr>
  </w:style>
  <w:style w:type="paragraph" w:customStyle="1" w:styleId="Normalbullet">
    <w:name w:val="Normal bullet"/>
    <w:basedOn w:val="Normal"/>
    <w:uiPriority w:val="99"/>
    <w:qFormat/>
    <w:rsid w:val="00D61F12"/>
    <w:pPr>
      <w:spacing w:before="80" w:after="0"/>
      <w:ind w:left="567" w:hanging="567"/>
    </w:pPr>
    <w:rPr>
      <w:rFonts w:ascii="Calibri" w:eastAsia="MS Mincho" w:hAnsi="Calibri" w:cs="Calibri"/>
      <w:szCs w:val="20"/>
    </w:rPr>
  </w:style>
  <w:style w:type="paragraph" w:styleId="Caption">
    <w:name w:val="caption"/>
    <w:basedOn w:val="Normal"/>
    <w:next w:val="Normal"/>
    <w:uiPriority w:val="99"/>
    <w:unhideWhenUsed/>
    <w:qFormat/>
    <w:rsid w:val="00D61F12"/>
    <w:pPr>
      <w:spacing w:after="200"/>
    </w:pPr>
    <w:rPr>
      <w:b/>
      <w:bCs/>
      <w:color w:val="4F81BD" w:themeColor="accent1"/>
      <w:sz w:val="18"/>
      <w:szCs w:val="18"/>
    </w:rPr>
  </w:style>
  <w:style w:type="paragraph" w:styleId="TableofFigures">
    <w:name w:val="table of figures"/>
    <w:basedOn w:val="Normal"/>
    <w:next w:val="Normal"/>
    <w:uiPriority w:val="99"/>
    <w:unhideWhenUsed/>
    <w:rsid w:val="00D61F12"/>
    <w:pPr>
      <w:spacing w:after="0"/>
    </w:pPr>
  </w:style>
  <w:style w:type="table" w:customStyle="1" w:styleId="SGStexttable">
    <w:name w:val="SGS text table"/>
    <w:basedOn w:val="TableNormal"/>
    <w:uiPriority w:val="99"/>
    <w:qFormat/>
    <w:rsid w:val="00D61F12"/>
    <w:pPr>
      <w:spacing w:after="0" w:line="240" w:lineRule="auto"/>
    </w:pPr>
    <w:rPr>
      <w:rFonts w:eastAsiaTheme="minorEastAsia"/>
      <w:kern w:val="2"/>
      <w:sz w:val="16"/>
      <w:szCs w:val="21"/>
      <w:lang w:val="en-US" w:eastAsia="zh-CN"/>
    </w:rPr>
    <w:tblPr>
      <w:tbl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blBorders>
    </w:tblPr>
    <w:tcPr>
      <w:tcMar>
        <w:left w:w="0" w:type="dxa"/>
        <w:right w:w="0" w:type="dxa"/>
      </w:tcMar>
    </w:tcPr>
    <w:tblStylePr w:type="firstRow">
      <w:rPr>
        <w:rFonts w:asciiTheme="minorHAnsi" w:hAnsiTheme="minorHAnsi"/>
        <w:b/>
        <w:sz w:val="16"/>
      </w:rPr>
    </w:tblStylePr>
  </w:style>
  <w:style w:type="character" w:customStyle="1" w:styleId="A7">
    <w:name w:val="A7"/>
    <w:uiPriority w:val="99"/>
    <w:rsid w:val="00D61F12"/>
    <w:rPr>
      <w:rFonts w:cs="VIC SemiBold"/>
      <w:b/>
      <w:bCs/>
      <w:color w:val="000000"/>
      <w:sz w:val="52"/>
      <w:szCs w:val="52"/>
    </w:rPr>
  </w:style>
  <w:style w:type="paragraph" w:customStyle="1" w:styleId="Pa3">
    <w:name w:val="Pa3"/>
    <w:basedOn w:val="Default"/>
    <w:next w:val="Default"/>
    <w:uiPriority w:val="99"/>
    <w:rsid w:val="00D61F12"/>
    <w:pPr>
      <w:spacing w:line="281" w:lineRule="atLeast"/>
    </w:pPr>
    <w:rPr>
      <w:rFonts w:ascii="VIC SemiBold" w:eastAsiaTheme="minorEastAsia" w:hAnsi="VIC SemiBold" w:cstheme="minorBidi"/>
      <w:color w:val="auto"/>
      <w:lang w:eastAsia="en-AU"/>
    </w:rPr>
  </w:style>
  <w:style w:type="character" w:customStyle="1" w:styleId="A8">
    <w:name w:val="A8"/>
    <w:uiPriority w:val="99"/>
    <w:rsid w:val="00D61F12"/>
    <w:rPr>
      <w:rFonts w:ascii="VIC Light" w:hAnsi="VIC Light" w:cs="VIC Light"/>
      <w:color w:val="000000"/>
      <w:sz w:val="20"/>
      <w:szCs w:val="20"/>
    </w:rPr>
  </w:style>
  <w:style w:type="paragraph" w:customStyle="1" w:styleId="MediaReleaseQuotes">
    <w:name w:val="Media Release Quotes"/>
    <w:basedOn w:val="Normal"/>
    <w:qFormat/>
    <w:rsid w:val="00D61F12"/>
    <w:pPr>
      <w:spacing w:after="240" w:line="288" w:lineRule="auto"/>
    </w:pPr>
    <w:rPr>
      <w:rFonts w:ascii="Calibri" w:eastAsia="Times New Roman" w:hAnsi="Calibri" w:cs="Times New Roman"/>
      <w:i/>
      <w:sz w:val="24"/>
      <w:szCs w:val="20"/>
      <w:lang w:eastAsia="en-US"/>
    </w:rPr>
  </w:style>
  <w:style w:type="character" w:customStyle="1" w:styleId="A0">
    <w:name w:val="A0"/>
    <w:uiPriority w:val="99"/>
    <w:rsid w:val="00D61F12"/>
    <w:rPr>
      <w:rFonts w:cs="VIC Light"/>
      <w:color w:val="000000"/>
      <w:sz w:val="27"/>
      <w:szCs w:val="27"/>
    </w:rPr>
  </w:style>
  <w:style w:type="paragraph" w:customStyle="1" w:styleId="Pa60">
    <w:name w:val="Pa60"/>
    <w:basedOn w:val="Default"/>
    <w:next w:val="Default"/>
    <w:uiPriority w:val="99"/>
    <w:rsid w:val="00D61F12"/>
    <w:pPr>
      <w:spacing w:line="141" w:lineRule="atLeast"/>
    </w:pPr>
    <w:rPr>
      <w:rFonts w:ascii="VIC Light" w:eastAsiaTheme="minorEastAsia" w:hAnsi="VIC Light" w:cstheme="minorBidi"/>
      <w:color w:val="auto"/>
      <w:lang w:eastAsia="en-AU"/>
    </w:rPr>
  </w:style>
  <w:style w:type="paragraph" w:customStyle="1" w:styleId="body">
    <w:name w:val="body"/>
    <w:basedOn w:val="Normal"/>
    <w:link w:val="bodyChar"/>
    <w:qFormat/>
    <w:rsid w:val="00D61F12"/>
    <w:pPr>
      <w:spacing w:before="240" w:line="320" w:lineRule="atLeast"/>
    </w:pPr>
    <w:rPr>
      <w:rFonts w:cs="Arial"/>
      <w:sz w:val="24"/>
      <w:szCs w:val="24"/>
    </w:rPr>
  </w:style>
  <w:style w:type="paragraph" w:customStyle="1" w:styleId="Pa46">
    <w:name w:val="Pa46"/>
    <w:basedOn w:val="Default"/>
    <w:next w:val="Default"/>
    <w:uiPriority w:val="99"/>
    <w:rsid w:val="00D61F12"/>
    <w:pPr>
      <w:spacing w:line="121" w:lineRule="atLeast"/>
    </w:pPr>
    <w:rPr>
      <w:rFonts w:ascii="VIC" w:eastAsiaTheme="minorEastAsia" w:hAnsi="VIC" w:cstheme="minorBidi"/>
      <w:color w:val="auto"/>
      <w:lang w:eastAsia="en-AU"/>
    </w:rPr>
  </w:style>
  <w:style w:type="character" w:customStyle="1" w:styleId="bodyChar">
    <w:name w:val="body Char"/>
    <w:basedOn w:val="DefaultParagraphFont"/>
    <w:link w:val="body"/>
    <w:rsid w:val="00D61F12"/>
    <w:rPr>
      <w:rFonts w:eastAsiaTheme="minorEastAsia" w:cs="Arial"/>
      <w:sz w:val="24"/>
      <w:szCs w:val="24"/>
      <w:lang w:eastAsia="en-AU"/>
    </w:rPr>
  </w:style>
  <w:style w:type="paragraph" w:customStyle="1" w:styleId="Pa41">
    <w:name w:val="Pa41"/>
    <w:basedOn w:val="Default"/>
    <w:next w:val="Default"/>
    <w:uiPriority w:val="99"/>
    <w:rsid w:val="00D61F12"/>
    <w:pPr>
      <w:spacing w:line="161" w:lineRule="atLeast"/>
    </w:pPr>
    <w:rPr>
      <w:rFonts w:ascii="VIC Light" w:eastAsiaTheme="minorEastAsia" w:hAnsi="VIC Light" w:cstheme="minorBidi"/>
      <w:color w:val="auto"/>
      <w:lang w:eastAsia="en-AU"/>
    </w:rPr>
  </w:style>
  <w:style w:type="paragraph" w:customStyle="1" w:styleId="Pa103">
    <w:name w:val="Pa103"/>
    <w:basedOn w:val="Default"/>
    <w:next w:val="Default"/>
    <w:uiPriority w:val="99"/>
    <w:rsid w:val="00D61F12"/>
    <w:pPr>
      <w:spacing w:line="241" w:lineRule="atLeast"/>
    </w:pPr>
    <w:rPr>
      <w:rFonts w:ascii="VIC Medium" w:eastAsiaTheme="minorEastAsia" w:hAnsi="VIC Medium" w:cstheme="minorBidi"/>
      <w:color w:val="auto"/>
      <w:lang w:eastAsia="en-AU"/>
    </w:rPr>
  </w:style>
  <w:style w:type="character" w:customStyle="1" w:styleId="A6">
    <w:name w:val="A6"/>
    <w:uiPriority w:val="99"/>
    <w:rsid w:val="00D61F12"/>
    <w:rPr>
      <w:rFonts w:cs="VIC Medium"/>
      <w:color w:val="000000"/>
      <w:sz w:val="18"/>
      <w:szCs w:val="18"/>
    </w:rPr>
  </w:style>
  <w:style w:type="paragraph" w:styleId="Title">
    <w:name w:val="Title"/>
    <w:basedOn w:val="Normal"/>
    <w:next w:val="Normal"/>
    <w:link w:val="TitleChar"/>
    <w:uiPriority w:val="10"/>
    <w:qFormat/>
    <w:rsid w:val="00D61F12"/>
    <w:pPr>
      <w:spacing w:after="300"/>
      <w:contextualSpacing/>
    </w:pPr>
    <w:rPr>
      <w:rFonts w:ascii="Calibri" w:eastAsiaTheme="majorEastAsia" w:hAnsi="Calibri" w:cstheme="majorBidi"/>
      <w:b/>
      <w:color w:val="000000" w:themeColor="text1"/>
      <w:spacing w:val="5"/>
      <w:kern w:val="28"/>
      <w:sz w:val="56"/>
      <w:szCs w:val="52"/>
    </w:rPr>
  </w:style>
  <w:style w:type="character" w:customStyle="1" w:styleId="TitleChar">
    <w:name w:val="Title Char"/>
    <w:basedOn w:val="DefaultParagraphFont"/>
    <w:link w:val="Title"/>
    <w:uiPriority w:val="10"/>
    <w:rsid w:val="00D61F12"/>
    <w:rPr>
      <w:rFonts w:ascii="Calibri" w:eastAsiaTheme="majorEastAsia" w:hAnsi="Calibri" w:cstheme="majorBidi"/>
      <w:b/>
      <w:color w:val="000000" w:themeColor="text1"/>
      <w:spacing w:val="5"/>
      <w:kern w:val="28"/>
      <w:sz w:val="56"/>
      <w:szCs w:val="52"/>
      <w:lang w:eastAsia="en-AU"/>
    </w:rPr>
  </w:style>
  <w:style w:type="paragraph" w:customStyle="1" w:styleId="Tableheader">
    <w:name w:val="Table header"/>
    <w:basedOn w:val="Normal"/>
    <w:link w:val="TableheaderChar"/>
    <w:qFormat/>
    <w:rsid w:val="00D61F12"/>
    <w:pPr>
      <w:spacing w:after="0"/>
    </w:pPr>
    <w:rPr>
      <w:rFonts w:eastAsia="Times New Roman" w:cs="Times New Roman"/>
      <w:b/>
      <w:bCs/>
      <w:color w:val="000000"/>
    </w:rPr>
  </w:style>
  <w:style w:type="character" w:customStyle="1" w:styleId="TableheaderChar">
    <w:name w:val="Table header Char"/>
    <w:basedOn w:val="DefaultParagraphFont"/>
    <w:link w:val="Tableheader"/>
    <w:rsid w:val="00D61F12"/>
    <w:rPr>
      <w:rFonts w:eastAsia="Times New Roman" w:cs="Times New Roman"/>
      <w:b/>
      <w:bCs/>
      <w:color w:val="00000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F12"/>
    <w:pPr>
      <w:spacing w:after="220" w:line="240" w:lineRule="auto"/>
    </w:pPr>
    <w:rPr>
      <w:rFonts w:eastAsiaTheme="minorEastAsia"/>
      <w:lang w:eastAsia="en-AU"/>
    </w:rPr>
  </w:style>
  <w:style w:type="paragraph" w:styleId="Heading1">
    <w:name w:val="heading 1"/>
    <w:basedOn w:val="Normal"/>
    <w:next w:val="Normal"/>
    <w:link w:val="Heading1Char"/>
    <w:autoRedefine/>
    <w:uiPriority w:val="99"/>
    <w:qFormat/>
    <w:rsid w:val="00D61F12"/>
    <w:pPr>
      <w:keepNext/>
      <w:keepLines/>
      <w:pBdr>
        <w:bottom w:val="single" w:sz="4" w:space="8" w:color="auto"/>
      </w:pBdr>
      <w:spacing w:after="360"/>
      <w:outlineLvl w:val="0"/>
    </w:pPr>
    <w:rPr>
      <w:rFonts w:ascii="Verdana" w:eastAsiaTheme="majorEastAsia" w:hAnsi="Verdana" w:cstheme="majorBidi"/>
      <w:b/>
      <w:bCs/>
      <w:sz w:val="32"/>
      <w:szCs w:val="28"/>
    </w:rPr>
  </w:style>
  <w:style w:type="paragraph" w:styleId="Heading2">
    <w:name w:val="heading 2"/>
    <w:basedOn w:val="Normal"/>
    <w:next w:val="Normal"/>
    <w:link w:val="Heading2Char"/>
    <w:uiPriority w:val="99"/>
    <w:unhideWhenUsed/>
    <w:qFormat/>
    <w:rsid w:val="00D61F12"/>
    <w:pPr>
      <w:keepNext/>
      <w:keepLines/>
      <w:spacing w:after="300"/>
      <w:outlineLvl w:val="1"/>
    </w:pPr>
    <w:rPr>
      <w:rFonts w:ascii="Calibri" w:eastAsiaTheme="majorEastAsia" w:hAnsi="Calibri" w:cstheme="majorBidi"/>
      <w:b/>
      <w:bCs/>
      <w:sz w:val="32"/>
      <w:szCs w:val="26"/>
    </w:rPr>
  </w:style>
  <w:style w:type="paragraph" w:styleId="Heading3">
    <w:name w:val="heading 3"/>
    <w:basedOn w:val="Normal"/>
    <w:next w:val="Normal"/>
    <w:link w:val="Heading3Char"/>
    <w:autoRedefine/>
    <w:uiPriority w:val="99"/>
    <w:unhideWhenUsed/>
    <w:qFormat/>
    <w:rsid w:val="00D61F12"/>
    <w:pPr>
      <w:keepNext/>
      <w:keepLines/>
      <w:spacing w:after="240"/>
      <w:outlineLvl w:val="2"/>
    </w:pPr>
    <w:rPr>
      <w:rFonts w:ascii="Calibri" w:eastAsiaTheme="majorEastAsia" w:hAnsi="Calibri" w:cstheme="majorBidi"/>
      <w:b/>
      <w:bCs/>
      <w:sz w:val="28"/>
    </w:rPr>
  </w:style>
  <w:style w:type="paragraph" w:styleId="Heading4">
    <w:name w:val="heading 4"/>
    <w:basedOn w:val="Normal"/>
    <w:next w:val="Normal"/>
    <w:link w:val="Heading4Char"/>
    <w:uiPriority w:val="99"/>
    <w:unhideWhenUsed/>
    <w:qFormat/>
    <w:rsid w:val="00D61F12"/>
    <w:pPr>
      <w:keepNext/>
      <w:keepLines/>
      <w:outlineLvl w:val="3"/>
    </w:pPr>
    <w:rPr>
      <w:rFonts w:ascii="Calibri" w:eastAsiaTheme="majorEastAsia" w:hAnsi="Calibri" w:cstheme="majorBidi"/>
      <w:b/>
      <w:bCs/>
      <w:iCs/>
      <w:color w:val="000000" w:themeColor="text1"/>
      <w:sz w:val="24"/>
    </w:rPr>
  </w:style>
  <w:style w:type="paragraph" w:styleId="Heading5">
    <w:name w:val="heading 5"/>
    <w:basedOn w:val="Normal"/>
    <w:next w:val="Normal"/>
    <w:link w:val="Heading5Char"/>
    <w:uiPriority w:val="99"/>
    <w:unhideWhenUsed/>
    <w:qFormat/>
    <w:rsid w:val="00D61F1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D61F12"/>
    <w:pPr>
      <w:numPr>
        <w:ilvl w:val="5"/>
        <w:numId w:val="1"/>
      </w:numPr>
      <w:spacing w:before="240" w:after="60"/>
      <w:outlineLvl w:val="5"/>
    </w:pPr>
    <w:rPr>
      <w:rFonts w:ascii="Calibri" w:eastAsia="Times New Roman" w:hAnsi="Calibri" w:cs="Calibri"/>
      <w:b/>
      <w:bCs/>
    </w:rPr>
  </w:style>
  <w:style w:type="paragraph" w:styleId="Heading7">
    <w:name w:val="heading 7"/>
    <w:basedOn w:val="Normal"/>
    <w:next w:val="Normal"/>
    <w:link w:val="Heading7Char"/>
    <w:uiPriority w:val="99"/>
    <w:qFormat/>
    <w:rsid w:val="00D61F12"/>
    <w:pPr>
      <w:numPr>
        <w:ilvl w:val="6"/>
        <w:numId w:val="1"/>
      </w:numPr>
      <w:spacing w:before="240" w:after="60"/>
      <w:jc w:val="both"/>
      <w:outlineLvl w:val="6"/>
    </w:pPr>
    <w:rPr>
      <w:rFonts w:ascii="Calibri" w:eastAsia="Times New Roman" w:hAnsi="Calibri" w:cs="Calibri"/>
      <w:sz w:val="24"/>
      <w:szCs w:val="24"/>
    </w:rPr>
  </w:style>
  <w:style w:type="paragraph" w:styleId="Heading8">
    <w:name w:val="heading 8"/>
    <w:basedOn w:val="Normal"/>
    <w:next w:val="Normal"/>
    <w:link w:val="Heading8Char"/>
    <w:uiPriority w:val="99"/>
    <w:rsid w:val="00D61F12"/>
    <w:pPr>
      <w:numPr>
        <w:ilvl w:val="7"/>
        <w:numId w:val="1"/>
      </w:numPr>
      <w:spacing w:before="240" w:after="60"/>
      <w:jc w:val="both"/>
      <w:outlineLvl w:val="7"/>
    </w:pPr>
    <w:rPr>
      <w:rFonts w:ascii="Calibri" w:eastAsia="Times New Roman" w:hAnsi="Calibri" w:cs="Calibri"/>
      <w:i/>
      <w:iCs/>
      <w:sz w:val="24"/>
      <w:szCs w:val="24"/>
    </w:rPr>
  </w:style>
  <w:style w:type="paragraph" w:styleId="Heading9">
    <w:name w:val="heading 9"/>
    <w:basedOn w:val="Normal"/>
    <w:next w:val="Normal"/>
    <w:link w:val="Heading9Char"/>
    <w:uiPriority w:val="99"/>
    <w:rsid w:val="00D61F12"/>
    <w:pPr>
      <w:numPr>
        <w:ilvl w:val="8"/>
        <w:numId w:val="1"/>
      </w:numPr>
      <w:spacing w:before="240" w:after="60"/>
      <w:jc w:val="both"/>
      <w:outlineLvl w:val="8"/>
    </w:pPr>
    <w:rPr>
      <w:rFonts w:ascii="Cambria" w:eastAsia="Times New Roman"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1F12"/>
    <w:rPr>
      <w:rFonts w:ascii="Verdana" w:eastAsiaTheme="majorEastAsia" w:hAnsi="Verdana" w:cstheme="majorBidi"/>
      <w:b/>
      <w:bCs/>
      <w:sz w:val="32"/>
      <w:szCs w:val="28"/>
      <w:lang w:eastAsia="en-AU"/>
    </w:rPr>
  </w:style>
  <w:style w:type="character" w:customStyle="1" w:styleId="Heading2Char">
    <w:name w:val="Heading 2 Char"/>
    <w:basedOn w:val="DefaultParagraphFont"/>
    <w:link w:val="Heading2"/>
    <w:uiPriority w:val="99"/>
    <w:rsid w:val="00D61F12"/>
    <w:rPr>
      <w:rFonts w:ascii="Calibri" w:eastAsiaTheme="majorEastAsia" w:hAnsi="Calibri" w:cstheme="majorBidi"/>
      <w:b/>
      <w:bCs/>
      <w:sz w:val="32"/>
      <w:szCs w:val="26"/>
      <w:lang w:eastAsia="en-AU"/>
    </w:rPr>
  </w:style>
  <w:style w:type="character" w:customStyle="1" w:styleId="Heading3Char">
    <w:name w:val="Heading 3 Char"/>
    <w:basedOn w:val="DefaultParagraphFont"/>
    <w:link w:val="Heading3"/>
    <w:uiPriority w:val="99"/>
    <w:rsid w:val="00D61F12"/>
    <w:rPr>
      <w:rFonts w:ascii="Calibri" w:eastAsiaTheme="majorEastAsia" w:hAnsi="Calibri" w:cstheme="majorBidi"/>
      <w:b/>
      <w:bCs/>
      <w:sz w:val="28"/>
      <w:lang w:eastAsia="en-AU"/>
    </w:rPr>
  </w:style>
  <w:style w:type="character" w:customStyle="1" w:styleId="Heading4Char">
    <w:name w:val="Heading 4 Char"/>
    <w:basedOn w:val="DefaultParagraphFont"/>
    <w:link w:val="Heading4"/>
    <w:uiPriority w:val="99"/>
    <w:rsid w:val="00D61F12"/>
    <w:rPr>
      <w:rFonts w:ascii="Calibri" w:eastAsiaTheme="majorEastAsia" w:hAnsi="Calibri" w:cstheme="majorBidi"/>
      <w:b/>
      <w:bCs/>
      <w:iCs/>
      <w:color w:val="000000" w:themeColor="text1"/>
      <w:sz w:val="24"/>
      <w:lang w:eastAsia="en-AU"/>
    </w:rPr>
  </w:style>
  <w:style w:type="character" w:customStyle="1" w:styleId="Heading5Char">
    <w:name w:val="Heading 5 Char"/>
    <w:basedOn w:val="DefaultParagraphFont"/>
    <w:link w:val="Heading5"/>
    <w:uiPriority w:val="99"/>
    <w:rsid w:val="00D61F12"/>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9"/>
    <w:rsid w:val="00D61F12"/>
    <w:rPr>
      <w:rFonts w:ascii="Calibri" w:eastAsia="Times New Roman" w:hAnsi="Calibri" w:cs="Calibri"/>
      <w:b/>
      <w:bCs/>
      <w:lang w:eastAsia="en-AU"/>
    </w:rPr>
  </w:style>
  <w:style w:type="character" w:customStyle="1" w:styleId="Heading7Char">
    <w:name w:val="Heading 7 Char"/>
    <w:basedOn w:val="DefaultParagraphFont"/>
    <w:link w:val="Heading7"/>
    <w:uiPriority w:val="99"/>
    <w:rsid w:val="00D61F12"/>
    <w:rPr>
      <w:rFonts w:ascii="Calibri" w:eastAsia="Times New Roman" w:hAnsi="Calibri" w:cs="Calibri"/>
      <w:sz w:val="24"/>
      <w:szCs w:val="24"/>
      <w:lang w:eastAsia="en-AU"/>
    </w:rPr>
  </w:style>
  <w:style w:type="character" w:customStyle="1" w:styleId="Heading8Char">
    <w:name w:val="Heading 8 Char"/>
    <w:basedOn w:val="DefaultParagraphFont"/>
    <w:link w:val="Heading8"/>
    <w:uiPriority w:val="99"/>
    <w:rsid w:val="00D61F12"/>
    <w:rPr>
      <w:rFonts w:ascii="Calibri" w:eastAsia="Times New Roman" w:hAnsi="Calibri" w:cs="Calibri"/>
      <w:i/>
      <w:iCs/>
      <w:sz w:val="24"/>
      <w:szCs w:val="24"/>
      <w:lang w:eastAsia="en-AU"/>
    </w:rPr>
  </w:style>
  <w:style w:type="character" w:customStyle="1" w:styleId="Heading9Char">
    <w:name w:val="Heading 9 Char"/>
    <w:basedOn w:val="DefaultParagraphFont"/>
    <w:link w:val="Heading9"/>
    <w:uiPriority w:val="99"/>
    <w:rsid w:val="00D61F12"/>
    <w:rPr>
      <w:rFonts w:ascii="Cambria" w:eastAsia="Times New Roman" w:hAnsi="Cambria" w:cs="Cambria"/>
      <w:sz w:val="24"/>
      <w:szCs w:val="24"/>
      <w:lang w:eastAsia="en-AU"/>
    </w:rPr>
  </w:style>
  <w:style w:type="paragraph" w:styleId="Revision">
    <w:name w:val="Revision"/>
    <w:hidden/>
    <w:uiPriority w:val="99"/>
    <w:rsid w:val="00D61F12"/>
    <w:pPr>
      <w:spacing w:after="0" w:line="240" w:lineRule="auto"/>
    </w:pPr>
    <w:rPr>
      <w:rFonts w:ascii="Times New Roman" w:eastAsia="Times New Roman" w:hAnsi="Times New Roman" w:cs="Times New Roman"/>
      <w:sz w:val="20"/>
      <w:szCs w:val="20"/>
      <w:lang w:eastAsia="en-AU"/>
    </w:rPr>
  </w:style>
  <w:style w:type="character" w:customStyle="1" w:styleId="BodyTextIndentChar2">
    <w:name w:val="Body Text Indent Char2"/>
    <w:basedOn w:val="DefaultParagraphFont"/>
    <w:uiPriority w:val="99"/>
    <w:semiHidden/>
    <w:rsid w:val="00D61F12"/>
  </w:style>
  <w:style w:type="paragraph" w:styleId="ListParagraph">
    <w:name w:val="List Paragraph"/>
    <w:basedOn w:val="Normal"/>
    <w:link w:val="ListParagraphChar"/>
    <w:uiPriority w:val="34"/>
    <w:qFormat/>
    <w:rsid w:val="00D61F12"/>
    <w:pPr>
      <w:ind w:left="720"/>
      <w:contextualSpacing/>
    </w:pPr>
  </w:style>
  <w:style w:type="paragraph" w:styleId="TOC1">
    <w:name w:val="toc 1"/>
    <w:basedOn w:val="Normal"/>
    <w:next w:val="Normal"/>
    <w:uiPriority w:val="39"/>
    <w:qFormat/>
    <w:rsid w:val="00D61F12"/>
    <w:pPr>
      <w:spacing w:after="40"/>
    </w:pPr>
    <w:rPr>
      <w:rFonts w:ascii="Calibri" w:hAnsi="Calibri"/>
      <w:b/>
      <w:bCs/>
      <w:noProof/>
      <w:sz w:val="24"/>
      <w:szCs w:val="24"/>
    </w:rPr>
  </w:style>
  <w:style w:type="paragraph" w:styleId="FootnoteText">
    <w:name w:val="footnote text"/>
    <w:basedOn w:val="Normal"/>
    <w:link w:val="FootnoteTextChar"/>
    <w:unhideWhenUsed/>
    <w:qFormat/>
    <w:rsid w:val="00D61F12"/>
    <w:pPr>
      <w:spacing w:after="0"/>
    </w:pPr>
    <w:rPr>
      <w:sz w:val="20"/>
      <w:szCs w:val="20"/>
    </w:rPr>
  </w:style>
  <w:style w:type="character" w:customStyle="1" w:styleId="FootnoteTextChar">
    <w:name w:val="Footnote Text Char"/>
    <w:basedOn w:val="DefaultParagraphFont"/>
    <w:link w:val="FootnoteText"/>
    <w:rsid w:val="00D61F12"/>
    <w:rPr>
      <w:rFonts w:eastAsiaTheme="minorEastAsia"/>
      <w:sz w:val="20"/>
      <w:szCs w:val="20"/>
      <w:lang w:eastAsia="en-AU"/>
    </w:rPr>
  </w:style>
  <w:style w:type="character" w:styleId="FootnoteReference">
    <w:name w:val="footnote reference"/>
    <w:basedOn w:val="DefaultParagraphFont"/>
    <w:unhideWhenUsed/>
    <w:rsid w:val="00D61F12"/>
    <w:rPr>
      <w:vertAlign w:val="superscript"/>
    </w:rPr>
  </w:style>
  <w:style w:type="paragraph" w:styleId="Footer">
    <w:name w:val="footer"/>
    <w:basedOn w:val="Normal"/>
    <w:link w:val="FooterChar"/>
    <w:uiPriority w:val="99"/>
    <w:unhideWhenUsed/>
    <w:rsid w:val="00D61F12"/>
    <w:pPr>
      <w:tabs>
        <w:tab w:val="center" w:pos="4513"/>
        <w:tab w:val="right" w:pos="9026"/>
      </w:tabs>
      <w:spacing w:after="0"/>
    </w:pPr>
  </w:style>
  <w:style w:type="character" w:customStyle="1" w:styleId="FooterChar">
    <w:name w:val="Footer Char"/>
    <w:basedOn w:val="DefaultParagraphFont"/>
    <w:link w:val="Footer"/>
    <w:uiPriority w:val="99"/>
    <w:rsid w:val="00D61F12"/>
    <w:rPr>
      <w:rFonts w:eastAsiaTheme="minorEastAsia"/>
      <w:lang w:eastAsia="en-AU"/>
    </w:rPr>
  </w:style>
  <w:style w:type="paragraph" w:customStyle="1" w:styleId="Figureheading">
    <w:name w:val="Figure heading"/>
    <w:basedOn w:val="Normal"/>
    <w:uiPriority w:val="99"/>
    <w:rsid w:val="00D61F12"/>
    <w:pPr>
      <w:widowControl w:val="0"/>
      <w:suppressAutoHyphens/>
      <w:autoSpaceDE w:val="0"/>
      <w:autoSpaceDN w:val="0"/>
      <w:adjustRightInd w:val="0"/>
      <w:textAlignment w:val="center"/>
    </w:pPr>
    <w:rPr>
      <w:rFonts w:ascii="Calibri" w:hAnsi="Calibri" w:cs="DINOT-Bold"/>
      <w:b/>
      <w:bCs/>
      <w:color w:val="000000"/>
      <w:szCs w:val="24"/>
      <w:lang w:val="en-GB"/>
    </w:rPr>
  </w:style>
  <w:style w:type="paragraph" w:customStyle="1" w:styleId="Mapheading">
    <w:name w:val="Map heading"/>
    <w:basedOn w:val="Normal"/>
    <w:uiPriority w:val="99"/>
    <w:rsid w:val="00D61F12"/>
    <w:pPr>
      <w:widowControl w:val="0"/>
      <w:suppressAutoHyphens/>
      <w:autoSpaceDE w:val="0"/>
      <w:autoSpaceDN w:val="0"/>
      <w:adjustRightInd w:val="0"/>
      <w:spacing w:line="220" w:lineRule="atLeast"/>
      <w:textAlignment w:val="center"/>
    </w:pPr>
    <w:rPr>
      <w:rFonts w:cs="DINOT-Bold"/>
      <w:b/>
      <w:bCs/>
      <w:color w:val="000000"/>
      <w:szCs w:val="24"/>
      <w:lang w:val="en-GB"/>
    </w:rPr>
  </w:style>
  <w:style w:type="paragraph" w:customStyle="1" w:styleId="Tableheading">
    <w:name w:val="Table heading"/>
    <w:basedOn w:val="Mapheading"/>
    <w:uiPriority w:val="99"/>
    <w:rsid w:val="00D61F12"/>
    <w:pPr>
      <w:spacing w:line="240" w:lineRule="auto"/>
    </w:pPr>
  </w:style>
  <w:style w:type="paragraph" w:styleId="TOCHeading">
    <w:name w:val="TOC Heading"/>
    <w:basedOn w:val="Heading1"/>
    <w:next w:val="Normal"/>
    <w:uiPriority w:val="39"/>
    <w:semiHidden/>
    <w:unhideWhenUsed/>
    <w:qFormat/>
    <w:rsid w:val="00D61F12"/>
    <w:pPr>
      <w:spacing w:before="480" w:after="0"/>
      <w:outlineLvl w:val="9"/>
    </w:pPr>
    <w:rPr>
      <w:rFonts w:asciiTheme="majorHAnsi" w:hAnsiTheme="majorHAnsi"/>
      <w:color w:val="365F91" w:themeColor="accent1" w:themeShade="BF"/>
      <w:sz w:val="28"/>
      <w:lang w:val="en-US"/>
    </w:rPr>
  </w:style>
  <w:style w:type="paragraph" w:styleId="Index1">
    <w:name w:val="index 1"/>
    <w:basedOn w:val="Heading2"/>
    <w:next w:val="Normal"/>
    <w:autoRedefine/>
    <w:uiPriority w:val="99"/>
    <w:semiHidden/>
    <w:unhideWhenUsed/>
    <w:rsid w:val="00D61F12"/>
    <w:pPr>
      <w:spacing w:after="0"/>
      <w:ind w:left="220" w:hanging="220"/>
    </w:pPr>
  </w:style>
  <w:style w:type="paragraph" w:styleId="Index2">
    <w:name w:val="index 2"/>
    <w:basedOn w:val="Normal"/>
    <w:next w:val="Normal"/>
    <w:autoRedefine/>
    <w:uiPriority w:val="99"/>
    <w:semiHidden/>
    <w:unhideWhenUsed/>
    <w:rsid w:val="00D61F12"/>
    <w:pPr>
      <w:numPr>
        <w:ilvl w:val="2"/>
        <w:numId w:val="1"/>
      </w:numPr>
      <w:spacing w:after="0"/>
      <w:ind w:left="440" w:hanging="220"/>
      <w:outlineLvl w:val="2"/>
    </w:pPr>
    <w:rPr>
      <w:b/>
    </w:rPr>
  </w:style>
  <w:style w:type="paragraph" w:styleId="Index3">
    <w:name w:val="index 3"/>
    <w:basedOn w:val="Normal"/>
    <w:next w:val="Normal"/>
    <w:autoRedefine/>
    <w:uiPriority w:val="99"/>
    <w:semiHidden/>
    <w:unhideWhenUsed/>
    <w:rsid w:val="00D61F12"/>
    <w:pPr>
      <w:numPr>
        <w:numId w:val="2"/>
      </w:numPr>
      <w:spacing w:after="0"/>
      <w:ind w:left="660" w:hanging="220"/>
    </w:pPr>
  </w:style>
  <w:style w:type="paragraph" w:styleId="Index4">
    <w:name w:val="index 4"/>
    <w:basedOn w:val="Normal"/>
    <w:next w:val="Normal"/>
    <w:autoRedefine/>
    <w:uiPriority w:val="99"/>
    <w:semiHidden/>
    <w:unhideWhenUsed/>
    <w:rsid w:val="00D61F12"/>
    <w:pPr>
      <w:spacing w:after="0"/>
      <w:ind w:left="880" w:hanging="220"/>
    </w:pPr>
  </w:style>
  <w:style w:type="paragraph" w:customStyle="1" w:styleId="Directionheading">
    <w:name w:val="Direction heading"/>
    <w:basedOn w:val="Normal"/>
    <w:uiPriority w:val="99"/>
    <w:rsid w:val="00D61F12"/>
    <w:pPr>
      <w:widowControl w:val="0"/>
      <w:suppressAutoHyphens/>
      <w:autoSpaceDE w:val="0"/>
      <w:autoSpaceDN w:val="0"/>
      <w:adjustRightInd w:val="0"/>
      <w:textAlignment w:val="center"/>
    </w:pPr>
    <w:rPr>
      <w:rFonts w:cs="DINOT-Black"/>
      <w:b/>
      <w:spacing w:val="-9"/>
      <w:sz w:val="32"/>
      <w:szCs w:val="30"/>
      <w:lang w:val="en-GB"/>
    </w:rPr>
  </w:style>
  <w:style w:type="paragraph" w:customStyle="1" w:styleId="Initiativeheading">
    <w:name w:val="Initiative heading"/>
    <w:basedOn w:val="Normal"/>
    <w:uiPriority w:val="99"/>
    <w:rsid w:val="00D61F12"/>
    <w:pPr>
      <w:widowControl w:val="0"/>
      <w:suppressAutoHyphens/>
      <w:autoSpaceDE w:val="0"/>
      <w:autoSpaceDN w:val="0"/>
      <w:adjustRightInd w:val="0"/>
      <w:textAlignment w:val="center"/>
    </w:pPr>
    <w:rPr>
      <w:rFonts w:cs="DINOT-Black"/>
      <w:b/>
      <w:sz w:val="26"/>
      <w:szCs w:val="24"/>
      <w:lang w:val="en-GB"/>
    </w:rPr>
  </w:style>
  <w:style w:type="paragraph" w:styleId="TOC2">
    <w:name w:val="toc 2"/>
    <w:basedOn w:val="Normal"/>
    <w:next w:val="Normal"/>
    <w:uiPriority w:val="39"/>
    <w:qFormat/>
    <w:rsid w:val="00D61F12"/>
    <w:pPr>
      <w:spacing w:after="20"/>
      <w:ind w:left="284"/>
    </w:pPr>
  </w:style>
  <w:style w:type="paragraph" w:styleId="TOC3">
    <w:name w:val="toc 3"/>
    <w:basedOn w:val="Normal"/>
    <w:next w:val="Normal"/>
    <w:autoRedefine/>
    <w:uiPriority w:val="39"/>
    <w:rsid w:val="00D61F12"/>
    <w:pPr>
      <w:tabs>
        <w:tab w:val="right" w:leader="dot" w:pos="8755"/>
      </w:tabs>
      <w:spacing w:after="20"/>
      <w:ind w:left="442"/>
    </w:pPr>
    <w:rPr>
      <w:noProof/>
      <w:sz w:val="20"/>
      <w:szCs w:val="20"/>
    </w:rPr>
  </w:style>
  <w:style w:type="paragraph" w:styleId="TOC4">
    <w:name w:val="toc 4"/>
    <w:basedOn w:val="Normal"/>
    <w:next w:val="Normal"/>
    <w:autoRedefine/>
    <w:uiPriority w:val="39"/>
    <w:rsid w:val="00D61F12"/>
    <w:pPr>
      <w:tabs>
        <w:tab w:val="right" w:leader="dot" w:pos="8755"/>
      </w:tabs>
      <w:spacing w:after="20"/>
      <w:ind w:left="658"/>
    </w:pPr>
    <w:rPr>
      <w:noProof/>
      <w:sz w:val="18"/>
      <w:szCs w:val="18"/>
    </w:rPr>
  </w:style>
  <w:style w:type="paragraph" w:styleId="TOC5">
    <w:name w:val="toc 5"/>
    <w:basedOn w:val="Normal"/>
    <w:next w:val="Normal"/>
    <w:uiPriority w:val="39"/>
    <w:rsid w:val="00D61F12"/>
    <w:pPr>
      <w:tabs>
        <w:tab w:val="left" w:pos="2080"/>
        <w:tab w:val="right" w:leader="dot" w:pos="8789"/>
      </w:tabs>
      <w:spacing w:after="20"/>
      <w:ind w:left="567"/>
    </w:pPr>
    <w:rPr>
      <w:noProof/>
      <w:sz w:val="18"/>
      <w:szCs w:val="18"/>
    </w:rPr>
  </w:style>
  <w:style w:type="paragraph" w:styleId="TOC6">
    <w:name w:val="toc 6"/>
    <w:basedOn w:val="Normal"/>
    <w:next w:val="Normal"/>
    <w:uiPriority w:val="39"/>
    <w:rsid w:val="00D61F12"/>
    <w:pPr>
      <w:tabs>
        <w:tab w:val="left" w:pos="2367"/>
        <w:tab w:val="right" w:leader="dot" w:pos="8755"/>
      </w:tabs>
      <w:spacing w:after="20"/>
      <w:ind w:left="1702" w:hanging="851"/>
    </w:pPr>
    <w:rPr>
      <w:noProof/>
      <w:sz w:val="18"/>
      <w:szCs w:val="18"/>
    </w:rPr>
  </w:style>
  <w:style w:type="paragraph" w:styleId="TOC7">
    <w:name w:val="toc 7"/>
    <w:basedOn w:val="Normal"/>
    <w:next w:val="Normal"/>
    <w:autoRedefine/>
    <w:uiPriority w:val="39"/>
    <w:rsid w:val="00D61F12"/>
    <w:pPr>
      <w:spacing w:after="100"/>
      <w:ind w:left="1320"/>
    </w:pPr>
  </w:style>
  <w:style w:type="paragraph" w:styleId="TOC8">
    <w:name w:val="toc 8"/>
    <w:basedOn w:val="Normal"/>
    <w:next w:val="Normal"/>
    <w:autoRedefine/>
    <w:uiPriority w:val="39"/>
    <w:rsid w:val="00D61F12"/>
    <w:pPr>
      <w:spacing w:after="100"/>
      <w:ind w:left="1540"/>
    </w:pPr>
  </w:style>
  <w:style w:type="paragraph" w:styleId="TOC9">
    <w:name w:val="toc 9"/>
    <w:basedOn w:val="Normal"/>
    <w:next w:val="Normal"/>
    <w:autoRedefine/>
    <w:uiPriority w:val="39"/>
    <w:rsid w:val="00D61F12"/>
    <w:pPr>
      <w:spacing w:after="100"/>
      <w:ind w:left="1760"/>
    </w:pPr>
  </w:style>
  <w:style w:type="character" w:styleId="Hyperlink">
    <w:name w:val="Hyperlink"/>
    <w:basedOn w:val="DefaultParagraphFont"/>
    <w:uiPriority w:val="99"/>
    <w:unhideWhenUsed/>
    <w:rsid w:val="00D61F12"/>
    <w:rPr>
      <w:color w:val="0000FF" w:themeColor="hyperlink"/>
      <w:u w:val="single"/>
    </w:rPr>
  </w:style>
  <w:style w:type="paragraph" w:styleId="Header">
    <w:name w:val="header"/>
    <w:basedOn w:val="Normal"/>
    <w:link w:val="HeaderChar"/>
    <w:uiPriority w:val="99"/>
    <w:unhideWhenUsed/>
    <w:rsid w:val="00D61F12"/>
    <w:pPr>
      <w:tabs>
        <w:tab w:val="center" w:pos="4513"/>
        <w:tab w:val="right" w:pos="9026"/>
      </w:tabs>
      <w:spacing w:after="0"/>
    </w:pPr>
  </w:style>
  <w:style w:type="character" w:customStyle="1" w:styleId="HeaderChar">
    <w:name w:val="Header Char"/>
    <w:basedOn w:val="DefaultParagraphFont"/>
    <w:link w:val="Header"/>
    <w:uiPriority w:val="99"/>
    <w:rsid w:val="00D61F12"/>
    <w:rPr>
      <w:rFonts w:eastAsiaTheme="minorEastAsia"/>
      <w:lang w:eastAsia="en-AU"/>
    </w:rPr>
  </w:style>
  <w:style w:type="character" w:styleId="CommentReference">
    <w:name w:val="annotation reference"/>
    <w:basedOn w:val="DefaultParagraphFont"/>
    <w:uiPriority w:val="99"/>
    <w:semiHidden/>
    <w:unhideWhenUsed/>
    <w:rsid w:val="00D61F12"/>
    <w:rPr>
      <w:sz w:val="16"/>
      <w:szCs w:val="16"/>
    </w:rPr>
  </w:style>
  <w:style w:type="paragraph" w:styleId="CommentText">
    <w:name w:val="annotation text"/>
    <w:basedOn w:val="Normal"/>
    <w:link w:val="CommentTextChar"/>
    <w:uiPriority w:val="99"/>
    <w:unhideWhenUsed/>
    <w:rsid w:val="00D61F12"/>
    <w:rPr>
      <w:sz w:val="20"/>
      <w:szCs w:val="20"/>
    </w:rPr>
  </w:style>
  <w:style w:type="character" w:customStyle="1" w:styleId="CommentTextChar">
    <w:name w:val="Comment Text Char"/>
    <w:basedOn w:val="DefaultParagraphFont"/>
    <w:link w:val="CommentText"/>
    <w:uiPriority w:val="99"/>
    <w:rsid w:val="00D61F12"/>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D61F12"/>
    <w:rPr>
      <w:b/>
      <w:bCs/>
    </w:rPr>
  </w:style>
  <w:style w:type="character" w:customStyle="1" w:styleId="CommentSubjectChar">
    <w:name w:val="Comment Subject Char"/>
    <w:basedOn w:val="CommentTextChar"/>
    <w:link w:val="CommentSubject"/>
    <w:uiPriority w:val="99"/>
    <w:semiHidden/>
    <w:rsid w:val="00D61F12"/>
    <w:rPr>
      <w:rFonts w:eastAsiaTheme="minorEastAsia"/>
      <w:b/>
      <w:bCs/>
      <w:sz w:val="20"/>
      <w:szCs w:val="20"/>
      <w:lang w:eastAsia="en-AU"/>
    </w:rPr>
  </w:style>
  <w:style w:type="paragraph" w:styleId="NormalWeb">
    <w:name w:val="Normal (Web)"/>
    <w:basedOn w:val="Normal"/>
    <w:uiPriority w:val="99"/>
    <w:unhideWhenUsed/>
    <w:rsid w:val="00D61F12"/>
    <w:pPr>
      <w:spacing w:before="100" w:beforeAutospacing="1" w:after="100" w:afterAutospacing="1"/>
    </w:pPr>
    <w:rPr>
      <w:rFonts w:ascii="Times New Roman" w:eastAsia="Times New Roman" w:hAnsi="Times New Roman" w:cs="Times New Roman"/>
      <w:sz w:val="24"/>
      <w:szCs w:val="24"/>
    </w:rPr>
  </w:style>
  <w:style w:type="paragraph" w:customStyle="1" w:styleId="Tabletext">
    <w:name w:val="Table text"/>
    <w:basedOn w:val="Normal"/>
    <w:uiPriority w:val="4"/>
    <w:unhideWhenUsed/>
    <w:qFormat/>
    <w:rsid w:val="00D61F12"/>
    <w:pPr>
      <w:spacing w:before="60" w:after="60"/>
    </w:pPr>
    <w:rPr>
      <w:rFonts w:ascii="Calibri" w:eastAsia="Times New Roman" w:hAnsi="Calibri" w:cs="Tahoma"/>
      <w:sz w:val="20"/>
      <w:szCs w:val="20"/>
    </w:rPr>
  </w:style>
  <w:style w:type="paragraph" w:customStyle="1" w:styleId="Dotpoint">
    <w:name w:val="Dot point"/>
    <w:basedOn w:val="Normal"/>
    <w:uiPriority w:val="2"/>
    <w:qFormat/>
    <w:rsid w:val="00D61F12"/>
    <w:pPr>
      <w:numPr>
        <w:numId w:val="3"/>
      </w:numPr>
      <w:spacing w:after="80"/>
    </w:pPr>
    <w:rPr>
      <w:rFonts w:ascii="Calibri" w:eastAsia="Times New Roman" w:hAnsi="Calibri" w:cs="Times New Roman"/>
      <w:szCs w:val="20"/>
      <w:lang w:eastAsia="en-US"/>
    </w:rPr>
  </w:style>
  <w:style w:type="paragraph" w:customStyle="1" w:styleId="Normalpre-dotpoint">
    <w:name w:val="Normal pre-dot point"/>
    <w:basedOn w:val="Normal"/>
    <w:next w:val="Dotpoint"/>
    <w:uiPriority w:val="1"/>
    <w:qFormat/>
    <w:rsid w:val="00D61F12"/>
    <w:pPr>
      <w:spacing w:after="80"/>
    </w:pPr>
    <w:rPr>
      <w:rFonts w:ascii="Calibri" w:eastAsia="Times New Roman" w:hAnsi="Calibri" w:cs="Times New Roman"/>
      <w:szCs w:val="20"/>
      <w:lang w:eastAsia="en-US"/>
    </w:rPr>
  </w:style>
  <w:style w:type="paragraph" w:customStyle="1" w:styleId="Tabletextdotpoint">
    <w:name w:val="Table text dot point"/>
    <w:basedOn w:val="Tabletext"/>
    <w:qFormat/>
    <w:rsid w:val="00D61F12"/>
    <w:pPr>
      <w:numPr>
        <w:numId w:val="5"/>
      </w:numPr>
      <w:ind w:left="284" w:hanging="284"/>
    </w:pPr>
    <w:rPr>
      <w:rFonts w:cs="Times New Roman"/>
      <w:lang w:eastAsia="en-US"/>
    </w:rPr>
  </w:style>
  <w:style w:type="paragraph" w:customStyle="1" w:styleId="Dotpointlast">
    <w:name w:val="Dot point last"/>
    <w:basedOn w:val="Dotpoint"/>
    <w:next w:val="Normal"/>
    <w:uiPriority w:val="3"/>
    <w:qFormat/>
    <w:rsid w:val="00D61F12"/>
    <w:pPr>
      <w:numPr>
        <w:numId w:val="4"/>
      </w:numPr>
      <w:tabs>
        <w:tab w:val="num" w:pos="426"/>
      </w:tabs>
      <w:spacing w:after="220"/>
      <w:ind w:left="426" w:hanging="426"/>
    </w:pPr>
  </w:style>
  <w:style w:type="paragraph" w:styleId="BalloonText">
    <w:name w:val="Balloon Text"/>
    <w:basedOn w:val="Normal"/>
    <w:link w:val="BalloonTextChar"/>
    <w:uiPriority w:val="99"/>
    <w:unhideWhenUsed/>
    <w:rsid w:val="00D61F12"/>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D61F12"/>
    <w:rPr>
      <w:rFonts w:ascii="Tahoma" w:eastAsiaTheme="minorEastAsia" w:hAnsi="Tahoma" w:cs="Tahoma"/>
      <w:sz w:val="16"/>
      <w:szCs w:val="16"/>
      <w:lang w:eastAsia="en-AU"/>
    </w:rPr>
  </w:style>
  <w:style w:type="table" w:styleId="TableGrid">
    <w:name w:val="Table Grid"/>
    <w:basedOn w:val="TableNormal"/>
    <w:uiPriority w:val="59"/>
    <w:rsid w:val="00D61F12"/>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1F12"/>
    <w:pPr>
      <w:autoSpaceDE w:val="0"/>
      <w:autoSpaceDN w:val="0"/>
      <w:adjustRightInd w:val="0"/>
      <w:spacing w:after="0" w:line="240" w:lineRule="auto"/>
    </w:pPr>
    <w:rPr>
      <w:rFonts w:ascii="Roboto" w:hAnsi="Roboto" w:cs="Roboto"/>
      <w:color w:val="000000"/>
      <w:sz w:val="24"/>
      <w:szCs w:val="24"/>
    </w:rPr>
  </w:style>
  <w:style w:type="paragraph" w:customStyle="1" w:styleId="5BodyText9pt125pt">
    <w:name w:val="5 Body Text 9pt/12.5pt"/>
    <w:basedOn w:val="Normal"/>
    <w:uiPriority w:val="99"/>
    <w:rsid w:val="00D61F12"/>
    <w:pPr>
      <w:widowControl w:val="0"/>
      <w:suppressAutoHyphens/>
      <w:autoSpaceDE w:val="0"/>
      <w:autoSpaceDN w:val="0"/>
      <w:adjustRightInd w:val="0"/>
      <w:spacing w:after="57" w:line="250" w:lineRule="atLeast"/>
      <w:textAlignment w:val="center"/>
    </w:pPr>
    <w:rPr>
      <w:rFonts w:ascii="GrandesignNeueSerif" w:hAnsi="GrandesignNeueSerif" w:cs="GrandesignNeueSerif"/>
      <w:color w:val="000000"/>
      <w:sz w:val="18"/>
      <w:szCs w:val="18"/>
      <w:lang w:val="en-GB"/>
    </w:rPr>
  </w:style>
  <w:style w:type="paragraph" w:customStyle="1" w:styleId="DIRECTIONHEADING0">
    <w:name w:val="DIRECTION HEADING"/>
    <w:basedOn w:val="Normal"/>
    <w:uiPriority w:val="99"/>
    <w:rsid w:val="00D61F12"/>
    <w:pPr>
      <w:widowControl w:val="0"/>
      <w:suppressAutoHyphens/>
      <w:autoSpaceDE w:val="0"/>
      <w:autoSpaceDN w:val="0"/>
      <w:adjustRightInd w:val="0"/>
      <w:spacing w:before="113" w:after="113" w:line="260" w:lineRule="atLeast"/>
      <w:textAlignment w:val="center"/>
    </w:pPr>
    <w:rPr>
      <w:rFonts w:ascii="DINOT-Black" w:hAnsi="DINOT-Black" w:cs="DINOT-Black"/>
      <w:caps/>
      <w:color w:val="0070C0"/>
      <w:spacing w:val="-9"/>
      <w:sz w:val="30"/>
      <w:szCs w:val="30"/>
      <w:lang w:val="en-GB"/>
    </w:rPr>
  </w:style>
  <w:style w:type="paragraph" w:customStyle="1" w:styleId="INITIATIVETEXT">
    <w:name w:val="INITIATIVE TEXT"/>
    <w:basedOn w:val="Normal"/>
    <w:uiPriority w:val="99"/>
    <w:rsid w:val="00D61F12"/>
    <w:pPr>
      <w:widowControl w:val="0"/>
      <w:tabs>
        <w:tab w:val="right" w:pos="4660"/>
      </w:tabs>
      <w:suppressAutoHyphens/>
      <w:autoSpaceDE w:val="0"/>
      <w:autoSpaceDN w:val="0"/>
      <w:adjustRightInd w:val="0"/>
      <w:spacing w:after="57" w:line="240" w:lineRule="atLeast"/>
      <w:textAlignment w:val="center"/>
    </w:pPr>
    <w:rPr>
      <w:rFonts w:ascii="DINOT" w:hAnsi="DINOT" w:cs="DINOT"/>
      <w:caps/>
      <w:color w:val="005E79"/>
      <w:sz w:val="24"/>
      <w:szCs w:val="24"/>
      <w:lang w:val="en-GB"/>
    </w:rPr>
  </w:style>
  <w:style w:type="paragraph" w:customStyle="1" w:styleId="INITIATIVEHEADINGBOLD">
    <w:name w:val="INITIATIVE HEADING BOLD"/>
    <w:basedOn w:val="INITIATIVETEXT"/>
    <w:uiPriority w:val="99"/>
    <w:rsid w:val="00D61F12"/>
    <w:pPr>
      <w:tabs>
        <w:tab w:val="clear" w:pos="4660"/>
        <w:tab w:val="right" w:pos="4300"/>
      </w:tabs>
      <w:spacing w:before="113"/>
    </w:pPr>
    <w:rPr>
      <w:rFonts w:ascii="DINOT-Black" w:hAnsi="DINOT-Black" w:cs="DINOT-Black"/>
    </w:rPr>
  </w:style>
  <w:style w:type="paragraph" w:customStyle="1" w:styleId="DIRECTIONlineunder">
    <w:name w:val="DIRECTION line under"/>
    <w:basedOn w:val="Normal"/>
    <w:uiPriority w:val="99"/>
    <w:rsid w:val="00D61F12"/>
    <w:pPr>
      <w:widowControl w:val="0"/>
      <w:pBdr>
        <w:bottom w:val="single" w:sz="8" w:space="8" w:color="0070C0"/>
      </w:pBdr>
      <w:suppressAutoHyphens/>
      <w:autoSpaceDE w:val="0"/>
      <w:autoSpaceDN w:val="0"/>
      <w:adjustRightInd w:val="0"/>
      <w:spacing w:after="140" w:line="250" w:lineRule="atLeast"/>
      <w:textAlignment w:val="center"/>
    </w:pPr>
    <w:rPr>
      <w:rFonts w:ascii="GrandesignNeueSerif" w:hAnsi="GrandesignNeueSerif" w:cs="GrandesignNeueSerif"/>
      <w:color w:val="000000"/>
      <w:sz w:val="18"/>
      <w:szCs w:val="18"/>
      <w:lang w:val="en-GB"/>
    </w:rPr>
  </w:style>
  <w:style w:type="paragraph" w:customStyle="1" w:styleId="RESPONSIBLEAGENCY">
    <w:name w:val="RESPONSIBLE AGENCY"/>
    <w:basedOn w:val="Normal"/>
    <w:uiPriority w:val="99"/>
    <w:rsid w:val="00D61F12"/>
    <w:pPr>
      <w:widowControl w:val="0"/>
      <w:suppressAutoHyphens/>
      <w:autoSpaceDE w:val="0"/>
      <w:autoSpaceDN w:val="0"/>
      <w:adjustRightInd w:val="0"/>
      <w:spacing w:before="113" w:after="57" w:line="160" w:lineRule="atLeast"/>
      <w:ind w:left="227"/>
      <w:textAlignment w:val="center"/>
    </w:pPr>
    <w:rPr>
      <w:rFonts w:ascii="DINOT-Bold" w:hAnsi="DINOT-Bold" w:cs="DINOT-Bold"/>
      <w:b/>
      <w:bCs/>
      <w:caps/>
      <w:sz w:val="16"/>
      <w:szCs w:val="16"/>
      <w:lang w:val="en-GB"/>
    </w:rPr>
  </w:style>
  <w:style w:type="paragraph" w:customStyle="1" w:styleId="CASESTUDY">
    <w:name w:val="CASE STUDY"/>
    <w:basedOn w:val="1ChapterHeading"/>
    <w:qFormat/>
    <w:rsid w:val="00D61F12"/>
  </w:style>
  <w:style w:type="paragraph" w:customStyle="1" w:styleId="1ChapterHeading">
    <w:name w:val="1 Chapter Heading"/>
    <w:basedOn w:val="NoParagraphStyle"/>
    <w:next w:val="Normal"/>
    <w:uiPriority w:val="99"/>
    <w:rsid w:val="00D61F12"/>
    <w:pPr>
      <w:spacing w:line="460" w:lineRule="atLeast"/>
    </w:pPr>
    <w:rPr>
      <w:rFonts w:ascii="DINOT-Black" w:hAnsi="DINOT-Black" w:cs="DINOT-Black"/>
      <w:caps/>
      <w:spacing w:val="-29"/>
      <w:sz w:val="44"/>
      <w:szCs w:val="58"/>
    </w:rPr>
  </w:style>
  <w:style w:type="paragraph" w:customStyle="1" w:styleId="NoParagraphStyle">
    <w:name w:val="[No Paragraph Style]"/>
    <w:rsid w:val="00D61F1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en-AU"/>
    </w:rPr>
  </w:style>
  <w:style w:type="paragraph" w:customStyle="1" w:styleId="SUBREGIONS">
    <w:name w:val="SUBREGIONS"/>
    <w:basedOn w:val="1ChapterHeading"/>
    <w:qFormat/>
    <w:rsid w:val="00D61F12"/>
  </w:style>
  <w:style w:type="paragraph" w:customStyle="1" w:styleId="BreakoutBoxText">
    <w:name w:val="Breakout Box Text"/>
    <w:basedOn w:val="Normal"/>
    <w:qFormat/>
    <w:rsid w:val="00D61F12"/>
    <w:pPr>
      <w:spacing w:after="200"/>
      <w:ind w:left="284"/>
    </w:pPr>
    <w:rPr>
      <w:sz w:val="24"/>
    </w:rPr>
  </w:style>
  <w:style w:type="paragraph" w:customStyle="1" w:styleId="1bChapterSubhead">
    <w:name w:val="1b Chapter Subhead"/>
    <w:basedOn w:val="Normal"/>
    <w:next w:val="Normal"/>
    <w:uiPriority w:val="99"/>
    <w:rsid w:val="00D61F12"/>
    <w:pPr>
      <w:widowControl w:val="0"/>
      <w:suppressAutoHyphens/>
      <w:autoSpaceDE w:val="0"/>
      <w:autoSpaceDN w:val="0"/>
      <w:adjustRightInd w:val="0"/>
      <w:spacing w:after="170" w:line="360" w:lineRule="atLeast"/>
      <w:textAlignment w:val="center"/>
    </w:pPr>
    <w:rPr>
      <w:rFonts w:ascii="DINOT-Medium" w:hAnsi="DINOT-Medium" w:cs="DINOT-Medium"/>
      <w:caps/>
      <w:color w:val="005E79"/>
      <w:spacing w:val="-20"/>
      <w:sz w:val="40"/>
      <w:szCs w:val="40"/>
      <w:lang w:val="en-GB"/>
    </w:rPr>
  </w:style>
  <w:style w:type="paragraph" w:customStyle="1" w:styleId="5BodyText9pt13pt">
    <w:name w:val="5 Body Text 9pt/13pt"/>
    <w:basedOn w:val="NoParagraphStyle"/>
    <w:uiPriority w:val="99"/>
    <w:rsid w:val="00D61F12"/>
    <w:pPr>
      <w:suppressAutoHyphens/>
      <w:spacing w:after="140" w:line="260" w:lineRule="atLeast"/>
    </w:pPr>
    <w:rPr>
      <w:rFonts w:ascii="GrandesignNeueSerif" w:hAnsi="GrandesignNeueSerif" w:cs="GrandesignNeueSerif"/>
      <w:sz w:val="18"/>
      <w:szCs w:val="18"/>
    </w:rPr>
  </w:style>
  <w:style w:type="paragraph" w:customStyle="1" w:styleId="7BodyTextItalics11pt14pt">
    <w:name w:val="7 Body Text Italics 11pt/14pt"/>
    <w:basedOn w:val="NoParagraphStyle"/>
    <w:uiPriority w:val="99"/>
    <w:rsid w:val="00D61F12"/>
    <w:pPr>
      <w:spacing w:before="113" w:line="280" w:lineRule="atLeast"/>
    </w:pPr>
    <w:rPr>
      <w:i/>
      <w:iCs/>
      <w:sz w:val="22"/>
      <w:szCs w:val="22"/>
    </w:rPr>
  </w:style>
  <w:style w:type="paragraph" w:customStyle="1" w:styleId="BasicParagraph">
    <w:name w:val="[Basic Paragraph]"/>
    <w:basedOn w:val="NoParagraphStyle"/>
    <w:uiPriority w:val="99"/>
    <w:rsid w:val="00D61F12"/>
  </w:style>
  <w:style w:type="character" w:customStyle="1" w:styleId="BodyTextBOLD">
    <w:name w:val="Body Text BOLD"/>
    <w:uiPriority w:val="99"/>
    <w:rsid w:val="00D61F12"/>
    <w:rPr>
      <w:rFonts w:ascii="GrandesignNeueSerif-Bold" w:hAnsi="GrandesignNeueSerif-Bold" w:cs="GrandesignNeueSerif-Bold"/>
      <w:b/>
      <w:bCs/>
      <w:sz w:val="18"/>
      <w:szCs w:val="18"/>
    </w:rPr>
  </w:style>
  <w:style w:type="paragraph" w:customStyle="1" w:styleId="TOCHeadingA">
    <w:name w:val="TOC Heading A"/>
    <w:basedOn w:val="Normal"/>
    <w:uiPriority w:val="99"/>
    <w:rsid w:val="00D61F12"/>
    <w:pPr>
      <w:widowControl w:val="0"/>
      <w:tabs>
        <w:tab w:val="left" w:pos="480"/>
        <w:tab w:val="right" w:pos="9340"/>
        <w:tab w:val="right" w:pos="9720"/>
      </w:tabs>
      <w:suppressAutoHyphens/>
      <w:autoSpaceDE w:val="0"/>
      <w:autoSpaceDN w:val="0"/>
      <w:adjustRightInd w:val="0"/>
      <w:spacing w:after="0" w:line="288" w:lineRule="auto"/>
      <w:textAlignment w:val="center"/>
    </w:pPr>
    <w:rPr>
      <w:rFonts w:ascii="DINOT-Medium" w:hAnsi="DINOT-Medium" w:cs="DINOT-Medium"/>
      <w:caps/>
      <w:color w:val="000000"/>
      <w:spacing w:val="-8"/>
      <w:sz w:val="28"/>
      <w:szCs w:val="28"/>
      <w:lang w:val="en-GB"/>
    </w:rPr>
  </w:style>
  <w:style w:type="paragraph" w:customStyle="1" w:styleId="TOCHeadingBspacebefore">
    <w:name w:val="TOC Heading B (space before)"/>
    <w:basedOn w:val="Normal"/>
    <w:uiPriority w:val="99"/>
    <w:rsid w:val="00D61F12"/>
    <w:pPr>
      <w:widowControl w:val="0"/>
      <w:tabs>
        <w:tab w:val="left" w:pos="480"/>
        <w:tab w:val="right" w:pos="9340"/>
        <w:tab w:val="right" w:pos="9720"/>
      </w:tabs>
      <w:suppressAutoHyphens/>
      <w:autoSpaceDE w:val="0"/>
      <w:autoSpaceDN w:val="0"/>
      <w:adjustRightInd w:val="0"/>
      <w:spacing w:before="369" w:after="0" w:line="700" w:lineRule="atLeast"/>
      <w:textAlignment w:val="center"/>
    </w:pPr>
    <w:rPr>
      <w:rFonts w:ascii="DINOT-Medium" w:hAnsi="DINOT-Medium" w:cs="DINOT-Medium"/>
      <w:caps/>
      <w:color w:val="000000"/>
      <w:spacing w:val="-10"/>
      <w:sz w:val="32"/>
      <w:szCs w:val="32"/>
      <w:lang w:val="en-GB"/>
    </w:rPr>
  </w:style>
  <w:style w:type="paragraph" w:customStyle="1" w:styleId="TOCHeadingC">
    <w:name w:val="TOC Heading C"/>
    <w:basedOn w:val="Normal"/>
    <w:uiPriority w:val="99"/>
    <w:rsid w:val="00D61F12"/>
    <w:pPr>
      <w:widowControl w:val="0"/>
      <w:tabs>
        <w:tab w:val="left" w:pos="480"/>
        <w:tab w:val="right" w:pos="9340"/>
        <w:tab w:val="right" w:pos="9720"/>
      </w:tabs>
      <w:suppressAutoHyphens/>
      <w:autoSpaceDE w:val="0"/>
      <w:autoSpaceDN w:val="0"/>
      <w:adjustRightInd w:val="0"/>
      <w:spacing w:after="0" w:line="300" w:lineRule="atLeast"/>
      <w:textAlignment w:val="center"/>
    </w:pPr>
    <w:rPr>
      <w:rFonts w:ascii="DINOT-Medium" w:hAnsi="DINOT-Medium" w:cs="DINOT-Medium"/>
      <w:caps/>
      <w:color w:val="000000"/>
      <w:spacing w:val="-7"/>
      <w:sz w:val="24"/>
      <w:szCs w:val="24"/>
      <w:lang w:val="en-GB"/>
    </w:rPr>
  </w:style>
  <w:style w:type="paragraph" w:customStyle="1" w:styleId="3SubHeadingB">
    <w:name w:val="3 Sub Heading B"/>
    <w:basedOn w:val="NoParagraphStyle"/>
    <w:next w:val="5BodyText9pt13pt"/>
    <w:uiPriority w:val="99"/>
    <w:rsid w:val="00D61F12"/>
    <w:pPr>
      <w:suppressAutoHyphens/>
      <w:spacing w:before="57" w:after="57" w:line="240" w:lineRule="atLeast"/>
    </w:pPr>
    <w:rPr>
      <w:rFonts w:ascii="DINOT-Medium" w:hAnsi="DINOT-Medium" w:cs="DINOT-Medium"/>
      <w:caps/>
      <w:spacing w:val="12"/>
      <w:sz w:val="20"/>
      <w:szCs w:val="20"/>
    </w:rPr>
  </w:style>
  <w:style w:type="character" w:customStyle="1" w:styleId="BodyTextItalics">
    <w:name w:val="Body Text Italics"/>
    <w:uiPriority w:val="99"/>
    <w:rsid w:val="00D61F12"/>
    <w:rPr>
      <w:rFonts w:ascii="GrandesignNeueSerif-Italic" w:hAnsi="GrandesignNeueSerif-Italic" w:cs="GrandesignNeueSerif-Italic"/>
      <w:i/>
      <w:iCs/>
      <w:sz w:val="18"/>
      <w:szCs w:val="18"/>
    </w:rPr>
  </w:style>
  <w:style w:type="paragraph" w:customStyle="1" w:styleId="5aBodyTextINDENT9pt13pt">
    <w:name w:val="5.a Body Text INDENT 9pt/13pt"/>
    <w:basedOn w:val="NoParagraphStyle"/>
    <w:uiPriority w:val="99"/>
    <w:rsid w:val="00D61F12"/>
    <w:pPr>
      <w:suppressAutoHyphens/>
      <w:spacing w:after="28" w:line="260" w:lineRule="atLeast"/>
      <w:ind w:left="227" w:hanging="227"/>
    </w:pPr>
    <w:rPr>
      <w:rFonts w:ascii="GrandesignNeueSerif" w:hAnsi="GrandesignNeueSerif" w:cs="GrandesignNeueSerif"/>
      <w:sz w:val="18"/>
      <w:szCs w:val="18"/>
    </w:rPr>
  </w:style>
  <w:style w:type="paragraph" w:customStyle="1" w:styleId="1cChapterTagline">
    <w:name w:val="1c Chapter Tagline"/>
    <w:basedOn w:val="NoParagraphStyle"/>
    <w:uiPriority w:val="99"/>
    <w:rsid w:val="00D61F12"/>
    <w:pPr>
      <w:suppressAutoHyphens/>
      <w:spacing w:before="113" w:line="420" w:lineRule="atLeast"/>
    </w:pPr>
    <w:rPr>
      <w:rFonts w:ascii="DINOT-Light" w:hAnsi="DINOT-Light" w:cs="DINOT-Light"/>
      <w:caps/>
      <w:spacing w:val="-11"/>
      <w:sz w:val="28"/>
      <w:szCs w:val="36"/>
    </w:rPr>
  </w:style>
  <w:style w:type="paragraph" w:customStyle="1" w:styleId="14PullQuotes">
    <w:name w:val="14 Pull Quotes"/>
    <w:basedOn w:val="NoParagraphStyle"/>
    <w:uiPriority w:val="99"/>
    <w:rsid w:val="00D61F12"/>
    <w:pPr>
      <w:suppressAutoHyphens/>
      <w:spacing w:line="240" w:lineRule="auto"/>
    </w:pPr>
    <w:rPr>
      <w:rFonts w:ascii="DINOT-Medium" w:hAnsi="DINOT-Medium" w:cs="DINOT-Medium"/>
      <w:caps/>
      <w:spacing w:val="12"/>
      <w:sz w:val="20"/>
      <w:szCs w:val="20"/>
    </w:rPr>
  </w:style>
  <w:style w:type="paragraph" w:customStyle="1" w:styleId="10FigureHeading">
    <w:name w:val="10 Figure Heading"/>
    <w:basedOn w:val="Normal"/>
    <w:uiPriority w:val="99"/>
    <w:rsid w:val="00D61F12"/>
    <w:pPr>
      <w:widowControl w:val="0"/>
      <w:suppressAutoHyphens/>
      <w:autoSpaceDE w:val="0"/>
      <w:autoSpaceDN w:val="0"/>
      <w:adjustRightInd w:val="0"/>
      <w:spacing w:before="113" w:after="0" w:line="220" w:lineRule="atLeast"/>
      <w:textAlignment w:val="center"/>
    </w:pPr>
    <w:rPr>
      <w:rFonts w:ascii="DINOT-Bold" w:hAnsi="DINOT-Bold" w:cs="DINOT-Bold"/>
      <w:b/>
      <w:bCs/>
      <w:caps/>
      <w:color w:val="000000"/>
      <w:sz w:val="20"/>
      <w:szCs w:val="24"/>
      <w:lang w:val="en-GB"/>
    </w:rPr>
  </w:style>
  <w:style w:type="paragraph" w:customStyle="1" w:styleId="Breakoutbox9pt13pt">
    <w:name w:val="Break out box 9pt/13pt"/>
    <w:basedOn w:val="5BodyText9pt13pt"/>
    <w:uiPriority w:val="99"/>
    <w:rsid w:val="00D61F12"/>
    <w:rPr>
      <w:color w:val="FFFFFF"/>
    </w:rPr>
  </w:style>
  <w:style w:type="paragraph" w:customStyle="1" w:styleId="5BodyText10pt14pt">
    <w:name w:val="5 Body Text 10pt/14pt"/>
    <w:basedOn w:val="NoParagraphStyle"/>
    <w:uiPriority w:val="99"/>
    <w:rsid w:val="00D61F12"/>
    <w:pPr>
      <w:suppressAutoHyphens/>
      <w:spacing w:after="140" w:line="270" w:lineRule="atLeast"/>
    </w:pPr>
    <w:rPr>
      <w:rFonts w:ascii="GrandesignNeueSerif" w:hAnsi="GrandesignNeueSerif" w:cs="GrandesignNeueSerif"/>
      <w:sz w:val="20"/>
      <w:szCs w:val="20"/>
    </w:rPr>
  </w:style>
  <w:style w:type="paragraph" w:customStyle="1" w:styleId="Breakoutbox1014DINHEADING">
    <w:name w:val="Break out box 10/14 DIN HEADING"/>
    <w:basedOn w:val="Breakoutbox9pt13pt"/>
    <w:uiPriority w:val="99"/>
    <w:rsid w:val="00D61F12"/>
    <w:rPr>
      <w:rFonts w:ascii="DINOT-Bold" w:hAnsi="DINOT-Bold" w:cs="DINOT-Bold"/>
      <w:b/>
      <w:bCs/>
      <w:caps/>
    </w:rPr>
  </w:style>
  <w:style w:type="paragraph" w:customStyle="1" w:styleId="8MapDiagramHeading">
    <w:name w:val="8 Map Diagram Heading"/>
    <w:basedOn w:val="Normal"/>
    <w:uiPriority w:val="99"/>
    <w:rsid w:val="00D61F12"/>
    <w:pPr>
      <w:widowControl w:val="0"/>
      <w:suppressAutoHyphens/>
      <w:autoSpaceDE w:val="0"/>
      <w:autoSpaceDN w:val="0"/>
      <w:adjustRightInd w:val="0"/>
      <w:spacing w:before="113" w:after="0" w:line="220" w:lineRule="atLeast"/>
      <w:textAlignment w:val="center"/>
    </w:pPr>
    <w:rPr>
      <w:rFonts w:ascii="DINOT-Bold" w:hAnsi="DINOT-Bold" w:cs="DINOT-Bold"/>
      <w:b/>
      <w:bCs/>
      <w:caps/>
      <w:color w:val="000000"/>
      <w:sz w:val="20"/>
      <w:szCs w:val="24"/>
      <w:lang w:val="en-GB"/>
    </w:rPr>
  </w:style>
  <w:style w:type="paragraph" w:customStyle="1" w:styleId="9MapDiagramChartSource">
    <w:name w:val="9 Map Diagram Chart Source"/>
    <w:basedOn w:val="NoParagraphStyle"/>
    <w:uiPriority w:val="99"/>
    <w:rsid w:val="00D61F12"/>
    <w:pPr>
      <w:suppressAutoHyphens/>
      <w:spacing w:before="57" w:line="220" w:lineRule="atLeast"/>
    </w:pPr>
    <w:rPr>
      <w:rFonts w:ascii="DINOT-Light" w:hAnsi="DINOT-Light" w:cs="DINOT-Light"/>
      <w:caps/>
      <w:sz w:val="16"/>
      <w:szCs w:val="16"/>
    </w:rPr>
  </w:style>
  <w:style w:type="paragraph" w:customStyle="1" w:styleId="8aMapDiagramChartTitle">
    <w:name w:val="8a Map Diagram Chart Title"/>
    <w:basedOn w:val="NoParagraphStyle"/>
    <w:uiPriority w:val="99"/>
    <w:rsid w:val="00D61F12"/>
    <w:pPr>
      <w:suppressAutoHyphens/>
      <w:spacing w:before="113" w:line="280" w:lineRule="atLeast"/>
    </w:pPr>
    <w:rPr>
      <w:rFonts w:ascii="DINOT" w:hAnsi="DINOT" w:cs="DINOT"/>
      <w:caps/>
      <w:sz w:val="22"/>
      <w:szCs w:val="22"/>
    </w:rPr>
  </w:style>
  <w:style w:type="character" w:customStyle="1" w:styleId="BreakoutBOxWhiteDINtext">
    <w:name w:val="Break out BOx White DIN text"/>
    <w:uiPriority w:val="99"/>
    <w:rsid w:val="00D61F12"/>
    <w:rPr>
      <w:rFonts w:ascii="DINOT-Bold" w:hAnsi="DINOT-Bold" w:cs="DINOT-Bold"/>
      <w:b/>
      <w:bCs/>
      <w:caps/>
    </w:rPr>
  </w:style>
  <w:style w:type="character" w:customStyle="1" w:styleId="BodyTextforimportantstuff">
    <w:name w:val="Body Text for important stuff"/>
    <w:basedOn w:val="BodyTextBOLD"/>
    <w:uiPriority w:val="99"/>
    <w:rsid w:val="00D61F12"/>
    <w:rPr>
      <w:rFonts w:ascii="DINOT" w:hAnsi="DINOT" w:cs="DINOT"/>
      <w:b/>
      <w:bCs/>
      <w:caps/>
      <w:sz w:val="21"/>
      <w:szCs w:val="21"/>
    </w:rPr>
  </w:style>
  <w:style w:type="paragraph" w:customStyle="1" w:styleId="11TableHeadingBold">
    <w:name w:val="11 Table Heading Bold"/>
    <w:basedOn w:val="8MapDiagramHeading"/>
    <w:uiPriority w:val="99"/>
    <w:rsid w:val="00D61F12"/>
  </w:style>
  <w:style w:type="paragraph" w:customStyle="1" w:styleId="15CaseStudyHeading">
    <w:name w:val="15 Case Study Heading"/>
    <w:basedOn w:val="1ChapterHeading"/>
    <w:uiPriority w:val="99"/>
    <w:rsid w:val="00D61F12"/>
    <w:rPr>
      <w:sz w:val="32"/>
    </w:rPr>
  </w:style>
  <w:style w:type="paragraph" w:customStyle="1" w:styleId="15aCaseStudySubHead">
    <w:name w:val="15a Case Study Sub Head"/>
    <w:basedOn w:val="NoParagraphStyle"/>
    <w:uiPriority w:val="99"/>
    <w:rsid w:val="00D61F12"/>
    <w:pPr>
      <w:suppressAutoHyphens/>
      <w:spacing w:before="113" w:line="420" w:lineRule="atLeast"/>
    </w:pPr>
    <w:rPr>
      <w:rFonts w:ascii="DINOT-Light" w:hAnsi="DINOT-Light" w:cs="DINOT-Light"/>
      <w:caps/>
      <w:spacing w:val="-11"/>
      <w:sz w:val="26"/>
      <w:szCs w:val="36"/>
    </w:rPr>
  </w:style>
  <w:style w:type="paragraph" w:customStyle="1" w:styleId="Importantsubheading">
    <w:name w:val="Important sub heading"/>
    <w:basedOn w:val="1bChapterSubhead"/>
    <w:uiPriority w:val="99"/>
    <w:rsid w:val="00D61F12"/>
    <w:pPr>
      <w:spacing w:before="113" w:after="113" w:line="280" w:lineRule="atLeast"/>
    </w:pPr>
    <w:rPr>
      <w:spacing w:val="-15"/>
      <w:sz w:val="30"/>
      <w:szCs w:val="30"/>
    </w:rPr>
  </w:style>
  <w:style w:type="paragraph" w:customStyle="1" w:styleId="3aSubHeadingB2">
    <w:name w:val="3.a Sub Heading B.2"/>
    <w:basedOn w:val="3SubHeadingB"/>
    <w:uiPriority w:val="99"/>
    <w:rsid w:val="00D61F12"/>
    <w:pPr>
      <w:spacing w:line="260" w:lineRule="atLeast"/>
    </w:pPr>
    <w:rPr>
      <w:rFonts w:ascii="DINOT-Black" w:hAnsi="DINOT-Black" w:cs="DINOT-Black"/>
      <w:spacing w:val="16"/>
      <w:sz w:val="26"/>
      <w:szCs w:val="26"/>
    </w:rPr>
  </w:style>
  <w:style w:type="paragraph" w:customStyle="1" w:styleId="CaseStudyBasetext">
    <w:name w:val="Case Study Base text"/>
    <w:basedOn w:val="3SubHeadingB"/>
    <w:uiPriority w:val="99"/>
    <w:rsid w:val="00D61F12"/>
    <w:pPr>
      <w:spacing w:line="240" w:lineRule="auto"/>
    </w:pPr>
    <w:rPr>
      <w:spacing w:val="16"/>
      <w:sz w:val="18"/>
      <w:szCs w:val="26"/>
    </w:rPr>
  </w:style>
  <w:style w:type="paragraph" w:customStyle="1" w:styleId="Importantsubheading1">
    <w:name w:val="Important sub heading 1"/>
    <w:basedOn w:val="NoParagraphStyle"/>
    <w:uiPriority w:val="99"/>
    <w:rsid w:val="00D61F12"/>
    <w:pPr>
      <w:suppressAutoHyphens/>
      <w:spacing w:before="113" w:after="113" w:line="280" w:lineRule="atLeast"/>
    </w:pPr>
    <w:rPr>
      <w:rFonts w:ascii="DINOT-Medium" w:hAnsi="DINOT-Medium" w:cs="DINOT-Medium"/>
      <w:caps/>
      <w:spacing w:val="-15"/>
      <w:sz w:val="30"/>
      <w:szCs w:val="30"/>
    </w:rPr>
  </w:style>
  <w:style w:type="paragraph" w:customStyle="1" w:styleId="FastFactsunderline">
    <w:name w:val="Fast Facts underline"/>
    <w:basedOn w:val="3SubHeadingB"/>
    <w:uiPriority w:val="99"/>
    <w:rsid w:val="00D61F12"/>
    <w:pPr>
      <w:pBdr>
        <w:bottom w:val="single" w:sz="6" w:space="2" w:color="auto"/>
      </w:pBdr>
      <w:spacing w:before="113" w:after="113"/>
    </w:pPr>
  </w:style>
  <w:style w:type="paragraph" w:customStyle="1" w:styleId="VoxPopsQuotetext">
    <w:name w:val="Vox Pops Quote text"/>
    <w:basedOn w:val="Normal"/>
    <w:uiPriority w:val="99"/>
    <w:rsid w:val="00D61F12"/>
    <w:pPr>
      <w:widowControl w:val="0"/>
      <w:suppressAutoHyphens/>
      <w:autoSpaceDE w:val="0"/>
      <w:autoSpaceDN w:val="0"/>
      <w:adjustRightInd w:val="0"/>
      <w:spacing w:after="0" w:line="260" w:lineRule="atLeast"/>
      <w:ind w:firstLine="737"/>
      <w:textAlignment w:val="center"/>
    </w:pPr>
    <w:rPr>
      <w:rFonts w:ascii="GrandesignNeueSerif" w:hAnsi="GrandesignNeueSerif" w:cs="GrandesignNeueSerif"/>
      <w:i/>
      <w:iCs/>
      <w:color w:val="FFFFFF"/>
      <w:spacing w:val="7"/>
      <w:lang w:val="en-GB"/>
    </w:rPr>
  </w:style>
  <w:style w:type="paragraph" w:customStyle="1" w:styleId="ChapterHeading">
    <w:name w:val="Chapter Heading"/>
    <w:basedOn w:val="Normal"/>
    <w:rsid w:val="00D61F12"/>
    <w:pPr>
      <w:keepNext/>
      <w:keepLines/>
      <w:numPr>
        <w:numId w:val="7"/>
      </w:numPr>
      <w:spacing w:before="120" w:after="480" w:line="276" w:lineRule="auto"/>
      <w:outlineLvl w:val="0"/>
    </w:pPr>
    <w:rPr>
      <w:rFonts w:eastAsiaTheme="majorEastAsia" w:cstheme="majorBidi"/>
      <w:b/>
      <w:bCs/>
      <w:sz w:val="36"/>
      <w:szCs w:val="28"/>
    </w:rPr>
  </w:style>
  <w:style w:type="paragraph" w:customStyle="1" w:styleId="MINISTERSPREMIER">
    <w:name w:val="MINISTERS/PREMIER"/>
    <w:basedOn w:val="1ChapterHeadingNEW"/>
    <w:qFormat/>
    <w:rsid w:val="00D61F12"/>
    <w:pPr>
      <w:jc w:val="left"/>
    </w:pPr>
  </w:style>
  <w:style w:type="paragraph" w:customStyle="1" w:styleId="1ChapterHeadingNEW">
    <w:name w:val="1 Chapter Heading NEW"/>
    <w:basedOn w:val="1ChapterHeading"/>
    <w:uiPriority w:val="99"/>
    <w:rsid w:val="00D61F12"/>
    <w:pPr>
      <w:spacing w:line="420" w:lineRule="atLeast"/>
      <w:jc w:val="right"/>
    </w:pPr>
    <w:rPr>
      <w:spacing w:val="-22"/>
      <w:szCs w:val="44"/>
    </w:rPr>
  </w:style>
  <w:style w:type="paragraph" w:customStyle="1" w:styleId="Tabletextstyle">
    <w:name w:val="Table text style"/>
    <w:basedOn w:val="Normal"/>
    <w:uiPriority w:val="99"/>
    <w:rsid w:val="00D61F12"/>
    <w:pPr>
      <w:widowControl w:val="0"/>
      <w:suppressAutoHyphens/>
      <w:autoSpaceDE w:val="0"/>
      <w:autoSpaceDN w:val="0"/>
      <w:adjustRightInd w:val="0"/>
      <w:spacing w:before="57" w:after="0" w:line="220" w:lineRule="atLeast"/>
      <w:textAlignment w:val="center"/>
    </w:pPr>
    <w:rPr>
      <w:rFonts w:ascii="DINOT" w:eastAsia="Times New Roman" w:hAnsi="DINOT" w:cs="DINOT"/>
      <w:color w:val="000000"/>
      <w:sz w:val="20"/>
      <w:szCs w:val="20"/>
      <w:lang w:val="en-GB"/>
    </w:rPr>
  </w:style>
  <w:style w:type="paragraph" w:customStyle="1" w:styleId="12bTabletextBULLETS">
    <w:name w:val="12b Table text BULLETS"/>
    <w:basedOn w:val="Normal"/>
    <w:uiPriority w:val="99"/>
    <w:rsid w:val="00D61F12"/>
    <w:pPr>
      <w:widowControl w:val="0"/>
      <w:suppressAutoHyphens/>
      <w:autoSpaceDE w:val="0"/>
      <w:autoSpaceDN w:val="0"/>
      <w:adjustRightInd w:val="0"/>
      <w:spacing w:before="140" w:after="0" w:line="220" w:lineRule="atLeast"/>
      <w:ind w:left="240" w:hanging="240"/>
      <w:textAlignment w:val="center"/>
    </w:pPr>
    <w:rPr>
      <w:rFonts w:ascii="DINOT" w:eastAsia="Times New Roman" w:hAnsi="DINOT" w:cs="DINOT"/>
      <w:color w:val="000000"/>
      <w:sz w:val="20"/>
      <w:szCs w:val="20"/>
      <w:lang w:val="en-GB"/>
    </w:rPr>
  </w:style>
  <w:style w:type="paragraph" w:customStyle="1" w:styleId="2SubHeadingA">
    <w:name w:val="2 Sub Heading A"/>
    <w:basedOn w:val="NoParagraphStyle"/>
    <w:uiPriority w:val="99"/>
    <w:rsid w:val="00D61F12"/>
    <w:pPr>
      <w:suppressAutoHyphens/>
      <w:spacing w:before="140" w:line="280" w:lineRule="atLeast"/>
    </w:pPr>
    <w:rPr>
      <w:rFonts w:ascii="DINOT" w:eastAsia="Times New Roman" w:hAnsi="DINOT" w:cs="DINOT"/>
      <w:spacing w:val="17"/>
      <w:sz w:val="28"/>
      <w:szCs w:val="28"/>
    </w:rPr>
  </w:style>
  <w:style w:type="paragraph" w:customStyle="1" w:styleId="ACTIONINDENTFINAL">
    <w:name w:val="ACTION INDENT FINAL"/>
    <w:basedOn w:val="Normal"/>
    <w:uiPriority w:val="99"/>
    <w:rsid w:val="00D61F12"/>
    <w:pPr>
      <w:widowControl w:val="0"/>
      <w:suppressAutoHyphens/>
      <w:autoSpaceDE w:val="0"/>
      <w:autoSpaceDN w:val="0"/>
      <w:adjustRightInd w:val="0"/>
      <w:spacing w:after="120"/>
      <w:ind w:left="737" w:hanging="369"/>
      <w:textAlignment w:val="center"/>
    </w:pPr>
    <w:rPr>
      <w:rFonts w:ascii="GrandesignNeueSerif" w:eastAsia="Times New Roman" w:hAnsi="GrandesignNeueSerif" w:cs="Calibri"/>
      <w:color w:val="000000"/>
      <w:sz w:val="18"/>
      <w:lang w:val="en-GB" w:eastAsia="en-US"/>
    </w:rPr>
  </w:style>
  <w:style w:type="paragraph" w:customStyle="1" w:styleId="2ChapterHeadingtagline2">
    <w:name w:val="2 Chapter Heading tagline 2"/>
    <w:basedOn w:val="NoParagraphStyle"/>
    <w:uiPriority w:val="99"/>
    <w:rsid w:val="00D61F12"/>
    <w:pPr>
      <w:spacing w:before="57"/>
    </w:pPr>
    <w:rPr>
      <w:rFonts w:ascii="DINOT-Light" w:eastAsia="Times New Roman" w:hAnsi="DINOT-Light" w:cs="DINOT-Light"/>
      <w:caps/>
      <w:sz w:val="38"/>
      <w:szCs w:val="38"/>
    </w:rPr>
  </w:style>
  <w:style w:type="paragraph" w:customStyle="1" w:styleId="4SubHeadingb">
    <w:name w:val="4 Sub Heading b"/>
    <w:basedOn w:val="NoParagraphStyle"/>
    <w:uiPriority w:val="99"/>
    <w:rsid w:val="00D61F12"/>
    <w:pPr>
      <w:suppressAutoHyphens/>
    </w:pPr>
    <w:rPr>
      <w:rFonts w:ascii="DINOT-LightItalic" w:eastAsia="Times New Roman" w:hAnsi="DINOT-LightItalic" w:cs="DINOT-LightItalic"/>
      <w:i/>
      <w:iCs/>
      <w:color w:val="auto"/>
      <w:spacing w:val="16"/>
      <w:sz w:val="26"/>
      <w:szCs w:val="26"/>
    </w:rPr>
  </w:style>
  <w:style w:type="paragraph" w:customStyle="1" w:styleId="VoxPopsPeopleName">
    <w:name w:val="Vox Pops People Name"/>
    <w:basedOn w:val="4SubHeadingb"/>
    <w:uiPriority w:val="99"/>
    <w:rsid w:val="00D61F12"/>
    <w:pPr>
      <w:spacing w:line="200" w:lineRule="atLeast"/>
    </w:pPr>
    <w:rPr>
      <w:rFonts w:ascii="DINOT-Medium" w:hAnsi="DINOT-Medium" w:cs="DINOT-Medium"/>
      <w:caps/>
      <w:color w:val="FFFFFF"/>
      <w:spacing w:val="11"/>
      <w:sz w:val="18"/>
      <w:szCs w:val="18"/>
    </w:rPr>
  </w:style>
  <w:style w:type="paragraph" w:customStyle="1" w:styleId="8MapDiagramChartTitle">
    <w:name w:val="8 Map Diagram Chart Title"/>
    <w:basedOn w:val="NoParagraphStyle"/>
    <w:uiPriority w:val="99"/>
    <w:rsid w:val="00D61F12"/>
    <w:pPr>
      <w:suppressAutoHyphens/>
      <w:spacing w:before="113" w:line="280" w:lineRule="atLeast"/>
    </w:pPr>
    <w:rPr>
      <w:rFonts w:ascii="DINOT-Bold" w:eastAsia="Times New Roman" w:hAnsi="DINOT-Bold" w:cs="DINOT-Bold"/>
      <w:b/>
      <w:bCs/>
      <w:caps/>
      <w:sz w:val="22"/>
      <w:szCs w:val="22"/>
    </w:rPr>
  </w:style>
  <w:style w:type="paragraph" w:customStyle="1" w:styleId="12Graphlegendtext">
    <w:name w:val="12 Graph legend text"/>
    <w:basedOn w:val="NoParagraphStyle"/>
    <w:uiPriority w:val="99"/>
    <w:rsid w:val="00D61F12"/>
    <w:pPr>
      <w:suppressAutoHyphens/>
    </w:pPr>
    <w:rPr>
      <w:rFonts w:ascii="DINOT" w:eastAsia="Times New Roman" w:hAnsi="DINOT" w:cs="DINOT"/>
      <w:caps/>
      <w:sz w:val="14"/>
      <w:szCs w:val="14"/>
    </w:rPr>
  </w:style>
  <w:style w:type="paragraph" w:customStyle="1" w:styleId="6BodyText11pt14pt">
    <w:name w:val="6 Body Text 11pt/14pt"/>
    <w:basedOn w:val="NoParagraphStyle"/>
    <w:uiPriority w:val="99"/>
    <w:rsid w:val="00D61F12"/>
    <w:pPr>
      <w:suppressAutoHyphens/>
      <w:spacing w:before="113" w:line="280" w:lineRule="atLeast"/>
    </w:pPr>
    <w:rPr>
      <w:rFonts w:ascii="Skolar" w:eastAsia="Times New Roman" w:hAnsi="Skolar" w:cs="Skolar"/>
      <w:sz w:val="22"/>
      <w:szCs w:val="22"/>
    </w:rPr>
  </w:style>
  <w:style w:type="paragraph" w:customStyle="1" w:styleId="TabletextstyleBOLDHeading">
    <w:name w:val="Table text style BOLD Heading"/>
    <w:basedOn w:val="Tabletextstyle"/>
    <w:uiPriority w:val="99"/>
    <w:rsid w:val="00D61F12"/>
  </w:style>
  <w:style w:type="paragraph" w:customStyle="1" w:styleId="12Tabletextstyle">
    <w:name w:val="12 Table text style"/>
    <w:basedOn w:val="BasicParagraph"/>
    <w:uiPriority w:val="99"/>
    <w:rsid w:val="00D61F12"/>
    <w:pPr>
      <w:suppressAutoHyphens/>
      <w:spacing w:before="57" w:line="220" w:lineRule="atLeast"/>
    </w:pPr>
    <w:rPr>
      <w:rFonts w:ascii="DINOT" w:eastAsia="Times New Roman" w:hAnsi="DINOT" w:cs="DINOT"/>
      <w:sz w:val="20"/>
      <w:szCs w:val="20"/>
    </w:rPr>
  </w:style>
  <w:style w:type="paragraph" w:customStyle="1" w:styleId="6BodyText10pt14pt">
    <w:name w:val="6 Body Text 10pt/14pt"/>
    <w:basedOn w:val="NoParagraphStyle"/>
    <w:uiPriority w:val="99"/>
    <w:rsid w:val="00D61F12"/>
    <w:pPr>
      <w:suppressAutoHyphens/>
      <w:spacing w:before="113" w:line="280" w:lineRule="atLeast"/>
    </w:pPr>
    <w:rPr>
      <w:rFonts w:ascii="GrandesignNeueSerif" w:eastAsia="Times New Roman" w:hAnsi="GrandesignNeueSerif" w:cs="GrandesignNeueSerif"/>
      <w:sz w:val="20"/>
      <w:szCs w:val="20"/>
    </w:rPr>
  </w:style>
  <w:style w:type="paragraph" w:customStyle="1" w:styleId="13Tabletextstyle">
    <w:name w:val="13 Table text style"/>
    <w:basedOn w:val="6BodyText10pt14pt"/>
    <w:uiPriority w:val="99"/>
    <w:rsid w:val="00D61F12"/>
    <w:pPr>
      <w:spacing w:line="200" w:lineRule="atLeast"/>
    </w:pPr>
    <w:rPr>
      <w:rFonts w:ascii="DINOT" w:hAnsi="DINOT" w:cs="DINOT"/>
      <w:sz w:val="18"/>
      <w:szCs w:val="18"/>
    </w:rPr>
  </w:style>
  <w:style w:type="paragraph" w:customStyle="1" w:styleId="13aTabletextbullets">
    <w:name w:val="13a Table text bullets"/>
    <w:basedOn w:val="NoParagraphStyle"/>
    <w:uiPriority w:val="99"/>
    <w:rsid w:val="00D61F12"/>
    <w:pPr>
      <w:suppressAutoHyphens/>
      <w:spacing w:before="57" w:line="200" w:lineRule="atLeast"/>
      <w:ind w:left="240" w:hanging="240"/>
    </w:pPr>
    <w:rPr>
      <w:rFonts w:ascii="DINOT" w:eastAsia="Times New Roman" w:hAnsi="DINOT" w:cs="DINOT"/>
      <w:sz w:val="18"/>
      <w:szCs w:val="18"/>
    </w:rPr>
  </w:style>
  <w:style w:type="paragraph" w:customStyle="1" w:styleId="BREAKOUTBOX">
    <w:name w:val="BREAK OUT BOX"/>
    <w:basedOn w:val="body"/>
    <w:qFormat/>
    <w:rsid w:val="00D61F12"/>
    <w:rPr>
      <w:rFonts w:ascii="Calibri" w:hAnsi="Calibri"/>
      <w:b/>
      <w:color w:val="000000"/>
    </w:rPr>
  </w:style>
  <w:style w:type="paragraph" w:customStyle="1" w:styleId="1bChapterSubhead2lines">
    <w:name w:val="1b Chapter Subhead 2 lines"/>
    <w:basedOn w:val="NoParagraphStyle"/>
    <w:next w:val="1cChapterTagline"/>
    <w:uiPriority w:val="99"/>
    <w:rsid w:val="00D61F12"/>
    <w:pPr>
      <w:suppressAutoHyphens/>
      <w:spacing w:after="454" w:line="360" w:lineRule="atLeast"/>
    </w:pPr>
    <w:rPr>
      <w:rFonts w:ascii="DINOT-Medium" w:hAnsi="DINOT-Medium" w:cs="DINOT-Medium"/>
      <w:caps/>
      <w:color w:val="005E79"/>
      <w:spacing w:val="-18"/>
      <w:sz w:val="36"/>
      <w:szCs w:val="36"/>
    </w:rPr>
  </w:style>
  <w:style w:type="character" w:customStyle="1" w:styleId="BodyTextIndentChar">
    <w:name w:val="Body Text Indent Char"/>
    <w:uiPriority w:val="99"/>
    <w:rsid w:val="00D61F12"/>
    <w:rPr>
      <w:rFonts w:ascii="Calibri" w:hAnsi="Calibri"/>
      <w:sz w:val="22"/>
    </w:rPr>
  </w:style>
  <w:style w:type="paragraph" w:styleId="BodyText2">
    <w:name w:val="Body Text 2"/>
    <w:basedOn w:val="Normal"/>
    <w:link w:val="BodyText2Char"/>
    <w:uiPriority w:val="99"/>
    <w:rsid w:val="00D61F12"/>
    <w:pPr>
      <w:pBdr>
        <w:top w:val="single" w:sz="4" w:space="1" w:color="auto"/>
        <w:left w:val="single" w:sz="4" w:space="4" w:color="auto"/>
        <w:bottom w:val="single" w:sz="4" w:space="1" w:color="auto"/>
        <w:right w:val="single" w:sz="4" w:space="4" w:color="auto"/>
      </w:pBdr>
      <w:spacing w:after="120"/>
    </w:pPr>
    <w:rPr>
      <w:rFonts w:ascii="Calibri" w:eastAsia="Times New Roman" w:hAnsi="Calibri" w:cs="Calibri"/>
    </w:rPr>
  </w:style>
  <w:style w:type="character" w:customStyle="1" w:styleId="BodyText2Char">
    <w:name w:val="Body Text 2 Char"/>
    <w:basedOn w:val="DefaultParagraphFont"/>
    <w:link w:val="BodyText2"/>
    <w:uiPriority w:val="99"/>
    <w:rsid w:val="00D61F12"/>
    <w:rPr>
      <w:rFonts w:ascii="Calibri" w:eastAsia="Times New Roman" w:hAnsi="Calibri" w:cs="Calibri"/>
      <w:lang w:eastAsia="en-AU"/>
    </w:rPr>
  </w:style>
  <w:style w:type="character" w:customStyle="1" w:styleId="BodyTextIndentChar1">
    <w:name w:val="Body Text Indent Char1"/>
    <w:basedOn w:val="DefaultParagraphFont"/>
    <w:uiPriority w:val="99"/>
    <w:rsid w:val="00D61F12"/>
    <w:rPr>
      <w:rFonts w:ascii="Times New Roman" w:hAnsi="Times New Roman" w:cs="Times New Roman"/>
      <w:lang w:eastAsia="en-US"/>
    </w:rPr>
  </w:style>
  <w:style w:type="paragraph" w:styleId="BodyText">
    <w:name w:val="Body Text"/>
    <w:basedOn w:val="Normal"/>
    <w:link w:val="BodyTextChar"/>
    <w:uiPriority w:val="99"/>
    <w:rsid w:val="00D61F12"/>
    <w:pPr>
      <w:spacing w:after="120"/>
    </w:pPr>
    <w:rPr>
      <w:rFonts w:ascii="Calibri" w:eastAsia="Times New Roman" w:hAnsi="Calibri" w:cs="Calibri"/>
    </w:rPr>
  </w:style>
  <w:style w:type="character" w:customStyle="1" w:styleId="BodyTextChar">
    <w:name w:val="Body Text Char"/>
    <w:basedOn w:val="DefaultParagraphFont"/>
    <w:link w:val="BodyText"/>
    <w:uiPriority w:val="99"/>
    <w:rsid w:val="00D61F12"/>
    <w:rPr>
      <w:rFonts w:ascii="Calibri" w:eastAsia="Times New Roman" w:hAnsi="Calibri" w:cs="Calibri"/>
      <w:lang w:eastAsia="en-AU"/>
    </w:rPr>
  </w:style>
  <w:style w:type="paragraph" w:customStyle="1" w:styleId="ACTIONSFINAL">
    <w:name w:val="ACTIONS FINAL"/>
    <w:basedOn w:val="NoParagraphStyle"/>
    <w:uiPriority w:val="99"/>
    <w:rsid w:val="00D61F12"/>
    <w:pPr>
      <w:suppressAutoHyphens/>
      <w:spacing w:after="28" w:line="250" w:lineRule="atLeast"/>
      <w:ind w:left="227" w:hanging="227"/>
    </w:pPr>
    <w:rPr>
      <w:rFonts w:ascii="GrandesignNeueSerif" w:hAnsi="GrandesignNeueSerif" w:cs="GrandesignNeueSerif"/>
      <w:sz w:val="18"/>
      <w:szCs w:val="18"/>
    </w:rPr>
  </w:style>
  <w:style w:type="paragraph" w:customStyle="1" w:styleId="1bChapterSubhead1line">
    <w:name w:val="1b Chapter Subhead 1 line"/>
    <w:basedOn w:val="NoParagraphStyle"/>
    <w:next w:val="1cChapterTagline"/>
    <w:uiPriority w:val="99"/>
    <w:rsid w:val="00D61F12"/>
    <w:pPr>
      <w:suppressAutoHyphens/>
      <w:spacing w:after="794" w:line="360" w:lineRule="atLeast"/>
    </w:pPr>
    <w:rPr>
      <w:rFonts w:ascii="DINOT-Medium" w:hAnsi="DINOT-Medium" w:cs="DINOT-Medium"/>
      <w:caps/>
      <w:color w:val="005E79"/>
      <w:spacing w:val="-18"/>
      <w:sz w:val="36"/>
      <w:szCs w:val="36"/>
    </w:rPr>
  </w:style>
  <w:style w:type="paragraph" w:customStyle="1" w:styleId="SubSubHeadingNEW">
    <w:name w:val="Sub Sub Heading NEW"/>
    <w:basedOn w:val="2SubHeadingA"/>
    <w:uiPriority w:val="99"/>
    <w:rsid w:val="00D61F12"/>
    <w:pPr>
      <w:spacing w:before="0" w:line="180" w:lineRule="atLeast"/>
    </w:pPr>
    <w:rPr>
      <w:rFonts w:ascii="DINOT-Bold" w:eastAsiaTheme="minorEastAsia" w:hAnsi="DINOT-Bold" w:cs="DINOT-Bold"/>
      <w:b/>
      <w:bCs/>
      <w:caps/>
      <w:spacing w:val="0"/>
      <w:sz w:val="18"/>
      <w:szCs w:val="18"/>
    </w:rPr>
  </w:style>
  <w:style w:type="paragraph" w:customStyle="1" w:styleId="1bChapterSubhead3lines">
    <w:name w:val="1b Chapter Subhead 3 lines"/>
    <w:basedOn w:val="NoParagraphStyle"/>
    <w:next w:val="1cChapterTagline"/>
    <w:uiPriority w:val="99"/>
    <w:rsid w:val="00D61F12"/>
    <w:pPr>
      <w:suppressAutoHyphens/>
      <w:spacing w:after="113" w:line="360" w:lineRule="atLeast"/>
    </w:pPr>
    <w:rPr>
      <w:rFonts w:ascii="DINOT-Medium" w:hAnsi="DINOT-Medium" w:cs="DINOT-Medium"/>
      <w:caps/>
      <w:color w:val="005E79"/>
      <w:spacing w:val="-18"/>
      <w:sz w:val="36"/>
      <w:szCs w:val="36"/>
    </w:rPr>
  </w:style>
  <w:style w:type="paragraph" w:customStyle="1" w:styleId="Importantsubheading2attopcolumn">
    <w:name w:val="Important sub heading 2 at top column"/>
    <w:basedOn w:val="NoParagraphStyle"/>
    <w:uiPriority w:val="99"/>
    <w:rsid w:val="00D61F12"/>
    <w:pPr>
      <w:suppressAutoHyphens/>
      <w:spacing w:before="113" w:after="113" w:line="280" w:lineRule="atLeast"/>
    </w:pPr>
    <w:rPr>
      <w:rFonts w:ascii="DINOT-Medium" w:hAnsi="DINOT-Medium" w:cs="DINOT-Medium"/>
      <w:caps/>
      <w:spacing w:val="-15"/>
      <w:sz w:val="30"/>
      <w:szCs w:val="30"/>
    </w:rPr>
  </w:style>
  <w:style w:type="paragraph" w:customStyle="1" w:styleId="5aBodyTextBold9pt13pt">
    <w:name w:val="5a Body Text Bold 9pt/13pt"/>
    <w:basedOn w:val="NoParagraphStyle"/>
    <w:uiPriority w:val="99"/>
    <w:rsid w:val="00D61F12"/>
    <w:pPr>
      <w:tabs>
        <w:tab w:val="left" w:pos="1460"/>
        <w:tab w:val="right" w:pos="14080"/>
      </w:tabs>
      <w:suppressAutoHyphens/>
      <w:spacing w:after="113" w:line="250" w:lineRule="atLeast"/>
    </w:pPr>
    <w:rPr>
      <w:rFonts w:ascii="GrandesignNeueSerif-Bold" w:hAnsi="GrandesignNeueSerif-Bold" w:cs="GrandesignNeueSerif-Bold"/>
      <w:b/>
      <w:bCs/>
      <w:sz w:val="18"/>
      <w:szCs w:val="18"/>
    </w:rPr>
  </w:style>
  <w:style w:type="paragraph" w:customStyle="1" w:styleId="TOCInitiativeHeadingTOCs">
    <w:name w:val="TOC Initiative Heading (TOCs)"/>
    <w:basedOn w:val="BasicParagraph"/>
    <w:uiPriority w:val="99"/>
    <w:rsid w:val="00D61F12"/>
    <w:pPr>
      <w:tabs>
        <w:tab w:val="right" w:pos="10148"/>
        <w:tab w:val="right" w:pos="14080"/>
      </w:tabs>
      <w:spacing w:line="220" w:lineRule="atLeast"/>
      <w:ind w:left="283"/>
    </w:pPr>
    <w:rPr>
      <w:rFonts w:ascii="DINOT-Bold" w:hAnsi="DINOT-Bold" w:cs="DINOT-Bold"/>
      <w:b/>
      <w:bCs/>
      <w:caps/>
      <w:sz w:val="18"/>
      <w:szCs w:val="18"/>
    </w:rPr>
  </w:style>
  <w:style w:type="paragraph" w:customStyle="1" w:styleId="TOCDirectionheadingTOCs">
    <w:name w:val="TOC Direction heading (TOCs)"/>
    <w:basedOn w:val="NoParagraphStyle"/>
    <w:uiPriority w:val="99"/>
    <w:rsid w:val="00D61F12"/>
    <w:pPr>
      <w:tabs>
        <w:tab w:val="right" w:pos="10148"/>
        <w:tab w:val="right" w:pos="14080"/>
      </w:tabs>
      <w:suppressAutoHyphens/>
      <w:spacing w:before="113" w:line="200" w:lineRule="atLeast"/>
    </w:pPr>
    <w:rPr>
      <w:rFonts w:ascii="DINOT-Bold" w:hAnsi="DINOT-Bold" w:cs="DINOT-Bold"/>
      <w:b/>
      <w:bCs/>
      <w:caps/>
      <w:color w:val="0070C0"/>
      <w:sz w:val="20"/>
      <w:szCs w:val="20"/>
    </w:rPr>
  </w:style>
  <w:style w:type="paragraph" w:customStyle="1" w:styleId="TOCInitiativeTextTOCs">
    <w:name w:val="TOC Initiative Text (TOCs)"/>
    <w:basedOn w:val="BasicParagraph"/>
    <w:uiPriority w:val="99"/>
    <w:rsid w:val="00D61F12"/>
    <w:pPr>
      <w:tabs>
        <w:tab w:val="right" w:pos="10148"/>
        <w:tab w:val="right" w:pos="14080"/>
      </w:tabs>
      <w:spacing w:line="220" w:lineRule="atLeast"/>
      <w:ind w:left="283"/>
    </w:pPr>
    <w:rPr>
      <w:rFonts w:ascii="DINOT" w:hAnsi="DINOT" w:cs="DINOT"/>
      <w:sz w:val="18"/>
      <w:szCs w:val="18"/>
    </w:rPr>
  </w:style>
  <w:style w:type="character" w:customStyle="1" w:styleId="BodyTextBoldforMACs">
    <w:name w:val="Body Text Bold for MACs"/>
    <w:uiPriority w:val="99"/>
    <w:rsid w:val="00D61F12"/>
    <w:rPr>
      <w:b/>
    </w:rPr>
  </w:style>
  <w:style w:type="paragraph" w:customStyle="1" w:styleId="MELBURNIANSSAID">
    <w:name w:val="MELBURNIANS SAID..."/>
    <w:basedOn w:val="1ChapterHeading"/>
    <w:qFormat/>
    <w:rsid w:val="00D61F12"/>
    <w:rPr>
      <w:rFonts w:ascii="DINOT-Bold" w:hAnsi="DINOT-Bold" w:cs="DINOT-Bold"/>
      <w:b/>
      <w:bCs/>
      <w:spacing w:val="0"/>
      <w:sz w:val="20"/>
      <w:szCs w:val="24"/>
    </w:rPr>
  </w:style>
  <w:style w:type="paragraph" w:customStyle="1" w:styleId="CLUSTERS">
    <w:name w:val="CLUSTERS"/>
    <w:basedOn w:val="1ChapterHeading"/>
    <w:qFormat/>
    <w:rsid w:val="00D61F12"/>
  </w:style>
  <w:style w:type="paragraph" w:customStyle="1" w:styleId="Figurehead">
    <w:name w:val="Figure head"/>
    <w:basedOn w:val="Normal"/>
    <w:qFormat/>
    <w:rsid w:val="00D61F12"/>
    <w:rPr>
      <w:rFonts w:ascii="Calibri" w:eastAsiaTheme="minorHAnsi" w:hAnsi="Calibri"/>
      <w:sz w:val="24"/>
      <w:lang w:eastAsia="en-US"/>
    </w:rPr>
  </w:style>
  <w:style w:type="paragraph" w:styleId="ListNumber">
    <w:name w:val="List Number"/>
    <w:basedOn w:val="BodyText"/>
    <w:uiPriority w:val="99"/>
    <w:semiHidden/>
    <w:rsid w:val="00D61F12"/>
    <w:pPr>
      <w:numPr>
        <w:numId w:val="8"/>
      </w:numPr>
      <w:spacing w:before="120" w:line="240" w:lineRule="atLeast"/>
      <w:contextualSpacing/>
    </w:pPr>
    <w:rPr>
      <w:rFonts w:eastAsiaTheme="minorHAnsi" w:cstheme="minorBidi"/>
      <w:color w:val="000000" w:themeColor="text1"/>
      <w:lang w:eastAsia="en-US"/>
    </w:rPr>
  </w:style>
  <w:style w:type="paragraph" w:styleId="EndnoteText">
    <w:name w:val="endnote text"/>
    <w:basedOn w:val="Normal"/>
    <w:link w:val="EndnoteTextChar"/>
    <w:uiPriority w:val="99"/>
    <w:unhideWhenUsed/>
    <w:rsid w:val="00D61F12"/>
    <w:pPr>
      <w:spacing w:after="0"/>
    </w:pPr>
    <w:rPr>
      <w:sz w:val="20"/>
      <w:szCs w:val="20"/>
    </w:rPr>
  </w:style>
  <w:style w:type="character" w:customStyle="1" w:styleId="EndnoteTextChar">
    <w:name w:val="Endnote Text Char"/>
    <w:basedOn w:val="DefaultParagraphFont"/>
    <w:link w:val="EndnoteText"/>
    <w:uiPriority w:val="99"/>
    <w:rsid w:val="00D61F12"/>
    <w:rPr>
      <w:rFonts w:eastAsiaTheme="minorEastAsia"/>
      <w:sz w:val="20"/>
      <w:szCs w:val="20"/>
      <w:lang w:eastAsia="en-AU"/>
    </w:rPr>
  </w:style>
  <w:style w:type="character" w:styleId="EndnoteReference">
    <w:name w:val="endnote reference"/>
    <w:basedOn w:val="DefaultParagraphFont"/>
    <w:uiPriority w:val="99"/>
    <w:semiHidden/>
    <w:unhideWhenUsed/>
    <w:rsid w:val="00D61F12"/>
    <w:rPr>
      <w:vertAlign w:val="superscript"/>
    </w:rPr>
  </w:style>
  <w:style w:type="character" w:customStyle="1" w:styleId="ListParagraphChar">
    <w:name w:val="List Paragraph Char"/>
    <w:link w:val="ListParagraph"/>
    <w:uiPriority w:val="34"/>
    <w:locked/>
    <w:rsid w:val="00D61F12"/>
    <w:rPr>
      <w:rFonts w:eastAsiaTheme="minorEastAsia"/>
      <w:lang w:eastAsia="en-AU"/>
    </w:rPr>
  </w:style>
  <w:style w:type="paragraph" w:customStyle="1" w:styleId="DecimalAligned">
    <w:name w:val="Decimal Aligned"/>
    <w:basedOn w:val="Normal"/>
    <w:uiPriority w:val="40"/>
    <w:qFormat/>
    <w:rsid w:val="00D61F12"/>
    <w:pPr>
      <w:tabs>
        <w:tab w:val="decimal" w:pos="360"/>
      </w:tabs>
      <w:spacing w:after="200" w:line="276" w:lineRule="auto"/>
    </w:pPr>
    <w:rPr>
      <w:rFonts w:eastAsiaTheme="minorHAnsi"/>
      <w:lang w:val="en-US" w:eastAsia="ja-JP"/>
    </w:rPr>
  </w:style>
  <w:style w:type="table" w:styleId="MediumShading1-Accent5">
    <w:name w:val="Medium Shading 1 Accent 5"/>
    <w:basedOn w:val="TableNormal"/>
    <w:uiPriority w:val="63"/>
    <w:rsid w:val="00D61F1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D61F12"/>
    <w:rPr>
      <w:i/>
      <w:iCs/>
      <w:color w:val="7F7F7F" w:themeColor="text1" w:themeTint="80"/>
    </w:rPr>
  </w:style>
  <w:style w:type="character" w:styleId="Strong">
    <w:name w:val="Strong"/>
    <w:basedOn w:val="DefaultParagraphFont"/>
    <w:uiPriority w:val="22"/>
    <w:qFormat/>
    <w:rsid w:val="00D61F12"/>
    <w:rPr>
      <w:b/>
      <w:bCs/>
    </w:rPr>
  </w:style>
  <w:style w:type="paragraph" w:customStyle="1" w:styleId="Pa15">
    <w:name w:val="Pa15"/>
    <w:basedOn w:val="Normal"/>
    <w:next w:val="Normal"/>
    <w:uiPriority w:val="99"/>
    <w:rsid w:val="00D61F12"/>
    <w:pPr>
      <w:autoSpaceDE w:val="0"/>
      <w:autoSpaceDN w:val="0"/>
      <w:adjustRightInd w:val="0"/>
      <w:spacing w:after="0" w:line="211" w:lineRule="atLeast"/>
    </w:pPr>
    <w:rPr>
      <w:rFonts w:ascii="Helvetica 65 Medium" w:eastAsiaTheme="minorHAnsi" w:hAnsi="Helvetica 65 Medium"/>
      <w:sz w:val="24"/>
      <w:szCs w:val="24"/>
      <w:lang w:eastAsia="en-US"/>
    </w:rPr>
  </w:style>
  <w:style w:type="paragraph" w:customStyle="1" w:styleId="Bullets">
    <w:name w:val="Bullets"/>
    <w:basedOn w:val="Normal"/>
    <w:link w:val="BulletsChar"/>
    <w:qFormat/>
    <w:rsid w:val="00D61F12"/>
    <w:pPr>
      <w:numPr>
        <w:numId w:val="9"/>
      </w:numPr>
      <w:spacing w:after="40"/>
    </w:pPr>
    <w:rPr>
      <w:rFonts w:asciiTheme="majorHAnsi" w:eastAsia="Times New Roman" w:hAnsiTheme="majorHAnsi" w:cstheme="majorHAnsi"/>
      <w:color w:val="000000" w:themeColor="text1"/>
      <w:sz w:val="20"/>
      <w:szCs w:val="20"/>
      <w:lang w:eastAsia="en-US"/>
    </w:rPr>
  </w:style>
  <w:style w:type="character" w:customStyle="1" w:styleId="BulletsChar">
    <w:name w:val="Bullets Char"/>
    <w:basedOn w:val="DefaultParagraphFont"/>
    <w:link w:val="Bullets"/>
    <w:rsid w:val="00D61F12"/>
    <w:rPr>
      <w:rFonts w:asciiTheme="majorHAnsi" w:eastAsia="Times New Roman" w:hAnsiTheme="majorHAnsi" w:cstheme="majorHAnsi"/>
      <w:color w:val="000000" w:themeColor="text1"/>
      <w:sz w:val="20"/>
      <w:szCs w:val="20"/>
    </w:rPr>
  </w:style>
  <w:style w:type="paragraph" w:customStyle="1" w:styleId="PPFBodytext">
    <w:name w:val="PPF_Body text"/>
    <w:basedOn w:val="Normal"/>
    <w:link w:val="PPFBodytextChar"/>
    <w:qFormat/>
    <w:rsid w:val="00D61F12"/>
    <w:pPr>
      <w:spacing w:before="80" w:after="0"/>
      <w:ind w:left="1560"/>
    </w:pPr>
    <w:rPr>
      <w:rFonts w:ascii="Times New Roman" w:eastAsia="Times New Roman" w:hAnsi="Times New Roman" w:cs="Times New Roman"/>
      <w:sz w:val="20"/>
      <w:szCs w:val="20"/>
    </w:rPr>
  </w:style>
  <w:style w:type="character" w:customStyle="1" w:styleId="PPFBodytextChar">
    <w:name w:val="PPF_Body text Char"/>
    <w:basedOn w:val="DefaultParagraphFont"/>
    <w:link w:val="PPFBodytext"/>
    <w:rsid w:val="00D61F12"/>
    <w:rPr>
      <w:rFonts w:ascii="Times New Roman" w:eastAsia="Times New Roman" w:hAnsi="Times New Roman" w:cs="Times New Roman"/>
      <w:sz w:val="20"/>
      <w:szCs w:val="20"/>
      <w:lang w:eastAsia="en-AU"/>
    </w:rPr>
  </w:style>
  <w:style w:type="character" w:customStyle="1" w:styleId="A4">
    <w:name w:val="A4"/>
    <w:uiPriority w:val="99"/>
    <w:rsid w:val="00D61F12"/>
    <w:rPr>
      <w:rFonts w:cs="TradeGothic LT CondEighteen"/>
      <w:color w:val="000000"/>
      <w:sz w:val="23"/>
      <w:szCs w:val="23"/>
    </w:rPr>
  </w:style>
  <w:style w:type="character" w:customStyle="1" w:styleId="A1">
    <w:name w:val="A1"/>
    <w:uiPriority w:val="99"/>
    <w:rsid w:val="00D61F12"/>
    <w:rPr>
      <w:rFonts w:cs="Museo Slab 500"/>
      <w:i/>
      <w:iCs/>
      <w:color w:val="000000"/>
      <w:sz w:val="28"/>
      <w:szCs w:val="28"/>
    </w:rPr>
  </w:style>
  <w:style w:type="paragraph" w:customStyle="1" w:styleId="Normalbullet">
    <w:name w:val="Normal bullet"/>
    <w:basedOn w:val="Normal"/>
    <w:uiPriority w:val="99"/>
    <w:qFormat/>
    <w:rsid w:val="00D61F12"/>
    <w:pPr>
      <w:spacing w:before="80" w:after="0"/>
      <w:ind w:left="567" w:hanging="567"/>
    </w:pPr>
    <w:rPr>
      <w:rFonts w:ascii="Calibri" w:eastAsia="MS Mincho" w:hAnsi="Calibri" w:cs="Calibri"/>
      <w:szCs w:val="20"/>
    </w:rPr>
  </w:style>
  <w:style w:type="paragraph" w:styleId="Caption">
    <w:name w:val="caption"/>
    <w:basedOn w:val="Normal"/>
    <w:next w:val="Normal"/>
    <w:uiPriority w:val="99"/>
    <w:unhideWhenUsed/>
    <w:qFormat/>
    <w:rsid w:val="00D61F12"/>
    <w:pPr>
      <w:spacing w:after="200"/>
    </w:pPr>
    <w:rPr>
      <w:b/>
      <w:bCs/>
      <w:color w:val="4F81BD" w:themeColor="accent1"/>
      <w:sz w:val="18"/>
      <w:szCs w:val="18"/>
    </w:rPr>
  </w:style>
  <w:style w:type="paragraph" w:styleId="TableofFigures">
    <w:name w:val="table of figures"/>
    <w:basedOn w:val="Normal"/>
    <w:next w:val="Normal"/>
    <w:uiPriority w:val="99"/>
    <w:unhideWhenUsed/>
    <w:rsid w:val="00D61F12"/>
    <w:pPr>
      <w:spacing w:after="0"/>
    </w:pPr>
  </w:style>
  <w:style w:type="table" w:customStyle="1" w:styleId="SGStexttable">
    <w:name w:val="SGS text table"/>
    <w:basedOn w:val="TableNormal"/>
    <w:uiPriority w:val="99"/>
    <w:qFormat/>
    <w:rsid w:val="00D61F12"/>
    <w:pPr>
      <w:spacing w:after="0" w:line="240" w:lineRule="auto"/>
    </w:pPr>
    <w:rPr>
      <w:rFonts w:eastAsiaTheme="minorEastAsia"/>
      <w:kern w:val="2"/>
      <w:sz w:val="16"/>
      <w:szCs w:val="21"/>
      <w:lang w:val="en-US" w:eastAsia="zh-CN"/>
    </w:rPr>
    <w:tblPr>
      <w:tbl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blBorders>
    </w:tblPr>
    <w:tcPr>
      <w:tcMar>
        <w:left w:w="0" w:type="dxa"/>
        <w:right w:w="0" w:type="dxa"/>
      </w:tcMar>
    </w:tcPr>
    <w:tblStylePr w:type="firstRow">
      <w:rPr>
        <w:rFonts w:asciiTheme="minorHAnsi" w:hAnsiTheme="minorHAnsi"/>
        <w:b/>
        <w:sz w:val="16"/>
      </w:rPr>
    </w:tblStylePr>
  </w:style>
  <w:style w:type="character" w:customStyle="1" w:styleId="A7">
    <w:name w:val="A7"/>
    <w:uiPriority w:val="99"/>
    <w:rsid w:val="00D61F12"/>
    <w:rPr>
      <w:rFonts w:cs="VIC SemiBold"/>
      <w:b/>
      <w:bCs/>
      <w:color w:val="000000"/>
      <w:sz w:val="52"/>
      <w:szCs w:val="52"/>
    </w:rPr>
  </w:style>
  <w:style w:type="paragraph" w:customStyle="1" w:styleId="Pa3">
    <w:name w:val="Pa3"/>
    <w:basedOn w:val="Default"/>
    <w:next w:val="Default"/>
    <w:uiPriority w:val="99"/>
    <w:rsid w:val="00D61F12"/>
    <w:pPr>
      <w:spacing w:line="281" w:lineRule="atLeast"/>
    </w:pPr>
    <w:rPr>
      <w:rFonts w:ascii="VIC SemiBold" w:eastAsiaTheme="minorEastAsia" w:hAnsi="VIC SemiBold" w:cstheme="minorBidi"/>
      <w:color w:val="auto"/>
      <w:lang w:eastAsia="en-AU"/>
    </w:rPr>
  </w:style>
  <w:style w:type="character" w:customStyle="1" w:styleId="A8">
    <w:name w:val="A8"/>
    <w:uiPriority w:val="99"/>
    <w:rsid w:val="00D61F12"/>
    <w:rPr>
      <w:rFonts w:ascii="VIC Light" w:hAnsi="VIC Light" w:cs="VIC Light"/>
      <w:color w:val="000000"/>
      <w:sz w:val="20"/>
      <w:szCs w:val="20"/>
    </w:rPr>
  </w:style>
  <w:style w:type="paragraph" w:customStyle="1" w:styleId="MediaReleaseQuotes">
    <w:name w:val="Media Release Quotes"/>
    <w:basedOn w:val="Normal"/>
    <w:qFormat/>
    <w:rsid w:val="00D61F12"/>
    <w:pPr>
      <w:spacing w:after="240" w:line="288" w:lineRule="auto"/>
    </w:pPr>
    <w:rPr>
      <w:rFonts w:ascii="Calibri" w:eastAsia="Times New Roman" w:hAnsi="Calibri" w:cs="Times New Roman"/>
      <w:i/>
      <w:sz w:val="24"/>
      <w:szCs w:val="20"/>
      <w:lang w:eastAsia="en-US"/>
    </w:rPr>
  </w:style>
  <w:style w:type="character" w:customStyle="1" w:styleId="A0">
    <w:name w:val="A0"/>
    <w:uiPriority w:val="99"/>
    <w:rsid w:val="00D61F12"/>
    <w:rPr>
      <w:rFonts w:cs="VIC Light"/>
      <w:color w:val="000000"/>
      <w:sz w:val="27"/>
      <w:szCs w:val="27"/>
    </w:rPr>
  </w:style>
  <w:style w:type="paragraph" w:customStyle="1" w:styleId="Pa60">
    <w:name w:val="Pa60"/>
    <w:basedOn w:val="Default"/>
    <w:next w:val="Default"/>
    <w:uiPriority w:val="99"/>
    <w:rsid w:val="00D61F12"/>
    <w:pPr>
      <w:spacing w:line="141" w:lineRule="atLeast"/>
    </w:pPr>
    <w:rPr>
      <w:rFonts w:ascii="VIC Light" w:eastAsiaTheme="minorEastAsia" w:hAnsi="VIC Light" w:cstheme="minorBidi"/>
      <w:color w:val="auto"/>
      <w:lang w:eastAsia="en-AU"/>
    </w:rPr>
  </w:style>
  <w:style w:type="paragraph" w:customStyle="1" w:styleId="body">
    <w:name w:val="body"/>
    <w:basedOn w:val="Normal"/>
    <w:link w:val="bodyChar"/>
    <w:qFormat/>
    <w:rsid w:val="00D61F12"/>
    <w:pPr>
      <w:spacing w:before="240" w:line="320" w:lineRule="atLeast"/>
    </w:pPr>
    <w:rPr>
      <w:rFonts w:cs="Arial"/>
      <w:sz w:val="24"/>
      <w:szCs w:val="24"/>
    </w:rPr>
  </w:style>
  <w:style w:type="paragraph" w:customStyle="1" w:styleId="Pa46">
    <w:name w:val="Pa46"/>
    <w:basedOn w:val="Default"/>
    <w:next w:val="Default"/>
    <w:uiPriority w:val="99"/>
    <w:rsid w:val="00D61F12"/>
    <w:pPr>
      <w:spacing w:line="121" w:lineRule="atLeast"/>
    </w:pPr>
    <w:rPr>
      <w:rFonts w:ascii="VIC" w:eastAsiaTheme="minorEastAsia" w:hAnsi="VIC" w:cstheme="minorBidi"/>
      <w:color w:val="auto"/>
      <w:lang w:eastAsia="en-AU"/>
    </w:rPr>
  </w:style>
  <w:style w:type="character" w:customStyle="1" w:styleId="bodyChar">
    <w:name w:val="body Char"/>
    <w:basedOn w:val="DefaultParagraphFont"/>
    <w:link w:val="body"/>
    <w:rsid w:val="00D61F12"/>
    <w:rPr>
      <w:rFonts w:eastAsiaTheme="minorEastAsia" w:cs="Arial"/>
      <w:sz w:val="24"/>
      <w:szCs w:val="24"/>
      <w:lang w:eastAsia="en-AU"/>
    </w:rPr>
  </w:style>
  <w:style w:type="paragraph" w:customStyle="1" w:styleId="Pa41">
    <w:name w:val="Pa41"/>
    <w:basedOn w:val="Default"/>
    <w:next w:val="Default"/>
    <w:uiPriority w:val="99"/>
    <w:rsid w:val="00D61F12"/>
    <w:pPr>
      <w:spacing w:line="161" w:lineRule="atLeast"/>
    </w:pPr>
    <w:rPr>
      <w:rFonts w:ascii="VIC Light" w:eastAsiaTheme="minorEastAsia" w:hAnsi="VIC Light" w:cstheme="minorBidi"/>
      <w:color w:val="auto"/>
      <w:lang w:eastAsia="en-AU"/>
    </w:rPr>
  </w:style>
  <w:style w:type="paragraph" w:customStyle="1" w:styleId="Pa103">
    <w:name w:val="Pa103"/>
    <w:basedOn w:val="Default"/>
    <w:next w:val="Default"/>
    <w:uiPriority w:val="99"/>
    <w:rsid w:val="00D61F12"/>
    <w:pPr>
      <w:spacing w:line="241" w:lineRule="atLeast"/>
    </w:pPr>
    <w:rPr>
      <w:rFonts w:ascii="VIC Medium" w:eastAsiaTheme="minorEastAsia" w:hAnsi="VIC Medium" w:cstheme="minorBidi"/>
      <w:color w:val="auto"/>
      <w:lang w:eastAsia="en-AU"/>
    </w:rPr>
  </w:style>
  <w:style w:type="character" w:customStyle="1" w:styleId="A6">
    <w:name w:val="A6"/>
    <w:uiPriority w:val="99"/>
    <w:rsid w:val="00D61F12"/>
    <w:rPr>
      <w:rFonts w:cs="VIC Medium"/>
      <w:color w:val="000000"/>
      <w:sz w:val="18"/>
      <w:szCs w:val="18"/>
    </w:rPr>
  </w:style>
  <w:style w:type="paragraph" w:styleId="Title">
    <w:name w:val="Title"/>
    <w:basedOn w:val="Normal"/>
    <w:next w:val="Normal"/>
    <w:link w:val="TitleChar"/>
    <w:uiPriority w:val="10"/>
    <w:qFormat/>
    <w:rsid w:val="00D61F12"/>
    <w:pPr>
      <w:spacing w:after="300"/>
      <w:contextualSpacing/>
    </w:pPr>
    <w:rPr>
      <w:rFonts w:ascii="Calibri" w:eastAsiaTheme="majorEastAsia" w:hAnsi="Calibri" w:cstheme="majorBidi"/>
      <w:b/>
      <w:color w:val="000000" w:themeColor="text1"/>
      <w:spacing w:val="5"/>
      <w:kern w:val="28"/>
      <w:sz w:val="56"/>
      <w:szCs w:val="52"/>
    </w:rPr>
  </w:style>
  <w:style w:type="character" w:customStyle="1" w:styleId="TitleChar">
    <w:name w:val="Title Char"/>
    <w:basedOn w:val="DefaultParagraphFont"/>
    <w:link w:val="Title"/>
    <w:uiPriority w:val="10"/>
    <w:rsid w:val="00D61F12"/>
    <w:rPr>
      <w:rFonts w:ascii="Calibri" w:eastAsiaTheme="majorEastAsia" w:hAnsi="Calibri" w:cstheme="majorBidi"/>
      <w:b/>
      <w:color w:val="000000" w:themeColor="text1"/>
      <w:spacing w:val="5"/>
      <w:kern w:val="28"/>
      <w:sz w:val="56"/>
      <w:szCs w:val="52"/>
      <w:lang w:eastAsia="en-AU"/>
    </w:rPr>
  </w:style>
  <w:style w:type="paragraph" w:customStyle="1" w:styleId="Tableheader">
    <w:name w:val="Table header"/>
    <w:basedOn w:val="Normal"/>
    <w:link w:val="TableheaderChar"/>
    <w:qFormat/>
    <w:rsid w:val="00D61F12"/>
    <w:pPr>
      <w:spacing w:after="0"/>
    </w:pPr>
    <w:rPr>
      <w:rFonts w:eastAsia="Times New Roman" w:cs="Times New Roman"/>
      <w:b/>
      <w:bCs/>
      <w:color w:val="000000"/>
    </w:rPr>
  </w:style>
  <w:style w:type="character" w:customStyle="1" w:styleId="TableheaderChar">
    <w:name w:val="Table header Char"/>
    <w:basedOn w:val="DefaultParagraphFont"/>
    <w:link w:val="Tableheader"/>
    <w:rsid w:val="00D61F12"/>
    <w:rPr>
      <w:rFonts w:eastAsia="Times New Roman" w:cs="Times New Roman"/>
      <w:b/>
      <w:bCs/>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5078</Words>
  <Characters>28946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Everett</dc:creator>
  <cp:lastModifiedBy>Michael Everett</cp:lastModifiedBy>
  <cp:revision>1</cp:revision>
  <dcterms:created xsi:type="dcterms:W3CDTF">2017-03-08T22:26:00Z</dcterms:created>
  <dcterms:modified xsi:type="dcterms:W3CDTF">2017-03-08T22:28:00Z</dcterms:modified>
</cp:coreProperties>
</file>