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E52" w:rsidRDefault="00B53E52">
      <w:pPr>
        <w:pStyle w:val="Mainheading"/>
        <w:rPr>
          <w:color w:val="009081"/>
        </w:rPr>
      </w:pPr>
      <w:r>
        <w:rPr>
          <w:color w:val="009081"/>
        </w:rPr>
        <w:t xml:space="preserve">Residential Land </w:t>
      </w:r>
    </w:p>
    <w:p w:rsidR="00B53E52" w:rsidRPr="008C1492" w:rsidRDefault="00B53E52">
      <w:pPr>
        <w:pStyle w:val="Mainheading"/>
        <w:rPr>
          <w:color w:val="009081"/>
          <w:sz w:val="144"/>
        </w:rPr>
      </w:pPr>
      <w:r w:rsidRPr="008C1492">
        <w:rPr>
          <w:color w:val="009081"/>
          <w:sz w:val="144"/>
        </w:rPr>
        <w:t>bulletin</w:t>
      </w:r>
    </w:p>
    <w:p w:rsidR="00B53E52" w:rsidRDefault="00B53E52" w:rsidP="008C1492">
      <w:pPr>
        <w:pStyle w:val="Bodytext"/>
        <w:rPr>
          <w:rFonts w:ascii="Frutiger-Bold" w:hAnsi="Frutiger-Bold" w:cs="Frutiger-Bold"/>
          <w:b/>
          <w:bCs/>
          <w:color w:val="009081"/>
          <w:sz w:val="22"/>
        </w:rPr>
      </w:pPr>
      <w:r>
        <w:rPr>
          <w:rFonts w:ascii="Frutiger-Bold" w:hAnsi="Frutiger-Bold" w:cs="Frutiger-Bold"/>
          <w:b/>
          <w:bCs/>
          <w:color w:val="009081"/>
          <w:lang w:val="en-US"/>
        </w:rPr>
        <w:t xml:space="preserve">ISSN 1035 9168 </w:t>
      </w:r>
      <w:r>
        <w:rPr>
          <w:rFonts w:ascii="Frutiger-Bold" w:hAnsi="Frutiger-Bold" w:cs="Frutiger-Bold"/>
          <w:b/>
          <w:bCs/>
          <w:color w:val="009081"/>
          <w:lang w:val="en-US"/>
        </w:rPr>
        <w:tab/>
      </w:r>
      <w:r>
        <w:rPr>
          <w:rFonts w:ascii="Frutiger-Bold" w:hAnsi="Frutiger-Bold" w:cs="Frutiger-Bold"/>
          <w:b/>
          <w:bCs/>
          <w:color w:val="009081"/>
          <w:sz w:val="22"/>
        </w:rPr>
        <w:t>June Quarter 2010</w:t>
      </w:r>
    </w:p>
    <w:p w:rsidR="00B53E52" w:rsidRDefault="00B53E52">
      <w:pPr>
        <w:pStyle w:val="Mainheading"/>
        <w:rPr>
          <w:color w:val="009081"/>
        </w:rPr>
      </w:pPr>
    </w:p>
    <w:p w:rsidR="00B53E52" w:rsidRDefault="00B53E52">
      <w:pPr>
        <w:pStyle w:val="Mainheading"/>
        <w:rPr>
          <w:color w:val="009081"/>
        </w:rPr>
      </w:pPr>
      <w:r>
        <w:rPr>
          <w:color w:val="009081"/>
        </w:rPr>
        <w:t>Overview</w:t>
      </w:r>
    </w:p>
    <w:p w:rsidR="00B53E52" w:rsidRDefault="00B53E52">
      <w:pPr>
        <w:pStyle w:val="Introbullets"/>
        <w:spacing w:after="113"/>
        <w:rPr>
          <w:sz w:val="20"/>
        </w:rPr>
      </w:pPr>
      <w:r>
        <w:rPr>
          <w:rStyle w:val="Introbullet"/>
          <w:rFonts w:cs="ZapfDingbatsStd"/>
          <w:color w:val="009081"/>
        </w:rPr>
        <w:t>■</w:t>
      </w:r>
      <w:r>
        <w:rPr>
          <w:rStyle w:val="Introbullet"/>
          <w:rFonts w:cs="ZapfDingbatsStd"/>
        </w:rPr>
        <w:tab/>
      </w:r>
      <w:r>
        <w:rPr>
          <w:sz w:val="20"/>
        </w:rPr>
        <w:t>In the June 2010 quarter Metropolitan Melbourne recorded the highest number of lots in subdivision plans for a quarter since recording began in 1996.</w:t>
      </w:r>
    </w:p>
    <w:p w:rsidR="00B53E52" w:rsidRDefault="00B53E52">
      <w:pPr>
        <w:pStyle w:val="Introbullets"/>
        <w:spacing w:after="113"/>
        <w:rPr>
          <w:sz w:val="20"/>
        </w:rPr>
      </w:pPr>
      <w:r>
        <w:rPr>
          <w:rStyle w:val="Introbullet"/>
          <w:rFonts w:cs="ZapfDingbatsStd"/>
          <w:color w:val="009081"/>
        </w:rPr>
        <w:t>■</w:t>
      </w:r>
      <w:r>
        <w:rPr>
          <w:rStyle w:val="Introbullet"/>
          <w:rFonts w:cs="ZapfDingbatsStd"/>
        </w:rPr>
        <w:tab/>
      </w:r>
      <w:r>
        <w:rPr>
          <w:sz w:val="20"/>
        </w:rPr>
        <w:t xml:space="preserve">The number of residential lots released in the June quarter was strong at 8448, similar to the December 2009 quarter though below the June quarter 2009. </w:t>
      </w:r>
    </w:p>
    <w:p w:rsidR="00B53E52" w:rsidRDefault="00B53E52">
      <w:pPr>
        <w:pStyle w:val="Introbullets"/>
        <w:spacing w:after="113"/>
        <w:rPr>
          <w:sz w:val="20"/>
        </w:rPr>
      </w:pPr>
      <w:r>
        <w:rPr>
          <w:rStyle w:val="Introbullet"/>
          <w:rFonts w:cs="ZapfDingbatsStd"/>
          <w:color w:val="009081"/>
        </w:rPr>
        <w:t>■</w:t>
      </w:r>
      <w:r>
        <w:rPr>
          <w:rStyle w:val="Introbullet"/>
          <w:rFonts w:cs="ZapfDingbatsStd"/>
        </w:rPr>
        <w:tab/>
      </w:r>
      <w:r>
        <w:rPr>
          <w:sz w:val="20"/>
        </w:rPr>
        <w:t>The number of dwelling approvals for the 2010 June quarter was the highest for any quarter recorded since September 2002.</w:t>
      </w:r>
    </w:p>
    <w:p w:rsidR="00B53E52" w:rsidRDefault="00B53E52">
      <w:pPr>
        <w:pStyle w:val="Subhead"/>
        <w:spacing w:before="57"/>
        <w:rPr>
          <w:color w:val="009081"/>
        </w:rPr>
      </w:pPr>
      <w:r>
        <w:rPr>
          <w:color w:val="009081"/>
        </w:rPr>
        <w:t>7 quarter moving average</w:t>
      </w:r>
    </w:p>
    <w:p w:rsidR="00B53E52" w:rsidRDefault="00B53E52">
      <w:pPr>
        <w:pStyle w:val="Bodytext"/>
      </w:pPr>
      <w:r>
        <w:rPr>
          <w:rStyle w:val="Bold"/>
          <w:bCs/>
        </w:rPr>
        <w:t>Lots in subdivision plans</w:t>
      </w:r>
      <w:r>
        <w:t>: The seven quarter moving average for lots in subdivision plans was 10,418 for the June 2010 quarter, up 3% from the previous seven quarter moving average. Both growth area municipalities and other municipalities showed increases in the seven quarter moving average from the previous seven quarter moving average, with a 2% and 4% increase respectively.</w:t>
      </w:r>
    </w:p>
    <w:p w:rsidR="00B53E52" w:rsidRDefault="00B53E52">
      <w:pPr>
        <w:pStyle w:val="Bodytext"/>
      </w:pPr>
      <w:r>
        <w:rPr>
          <w:rStyle w:val="Bold"/>
          <w:bCs/>
        </w:rPr>
        <w:t>Lots released:</w:t>
      </w:r>
      <w:r>
        <w:t xml:space="preserve"> The seven quarter moving average for Metropolitan Melbourne for lots released increased by 5% from the previous seven quarter moving average to 7,492 lots.</w:t>
      </w:r>
    </w:p>
    <w:p w:rsidR="00B53E52" w:rsidRDefault="00B53E52">
      <w:pPr>
        <w:pStyle w:val="Bodytext"/>
      </w:pPr>
      <w:r>
        <w:rPr>
          <w:rStyle w:val="Bold"/>
          <w:bCs/>
        </w:rPr>
        <w:t xml:space="preserve">Dwelling approvals: </w:t>
      </w:r>
      <w:r>
        <w:t>The seven quarter moving average for dwelling approvals was 8,934, a 3% increase from the previous seven quarter moving average and the highest seven quarter moving average since the March 2003 seven quarter moving average.</w:t>
      </w:r>
    </w:p>
    <w:p w:rsidR="00B53E52" w:rsidRDefault="00B53E52">
      <w:pPr>
        <w:pStyle w:val="Tabletitle"/>
        <w:spacing w:before="113" w:after="57"/>
      </w:pPr>
      <w:r>
        <w:t>Figure 1: Key land development indicators for metropolitan Melbourne – 7 quarter moving average</w:t>
      </w:r>
    </w:p>
    <w:p w:rsidR="00B53E52" w:rsidRDefault="00B53E52" w:rsidP="00EF3E0A">
      <w:pPr>
        <w:pStyle w:val="Tabletitle"/>
        <w:spacing w:before="113" w:after="57"/>
        <w:jc w:val="center"/>
      </w:pPr>
      <w:r w:rsidRPr="00A577D8">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i1025" type="#_x0000_t75" alt=":Figure 1-J-10.png" style="width:347.25pt;height:190.5pt;visibility:visible">
            <v:imagedata r:id="rId4" o:title="" croptop="12472f" cropright="34584f"/>
          </v:shape>
        </w:pict>
      </w:r>
    </w:p>
    <w:p w:rsidR="00B53E52" w:rsidRDefault="00B53E52" w:rsidP="008C1492">
      <w:pPr>
        <w:pStyle w:val="Tabletitle"/>
        <w:spacing w:before="113" w:after="57"/>
        <w:jc w:val="center"/>
      </w:pPr>
    </w:p>
    <w:p w:rsidR="00B53E52" w:rsidRDefault="00B53E52">
      <w:pPr>
        <w:pStyle w:val="Tablefootnote"/>
        <w:jc w:val="right"/>
        <w:rPr>
          <w:rStyle w:val="Bold"/>
          <w:b w:val="0"/>
          <w:spacing w:val="-1"/>
        </w:rPr>
      </w:pPr>
      <w:r>
        <w:rPr>
          <w:rStyle w:val="Bold"/>
          <w:bCs/>
          <w:spacing w:val="-1"/>
        </w:rPr>
        <w:t xml:space="preserve">Source: </w:t>
      </w:r>
      <w:r>
        <w:rPr>
          <w:rStyle w:val="Bold"/>
          <w:b w:val="0"/>
          <w:spacing w:val="-1"/>
        </w:rPr>
        <w:t>Spatial Analysis and Research Branch Survey of Councils</w:t>
      </w:r>
    </w:p>
    <w:p w:rsidR="00B53E52" w:rsidRDefault="00B53E52">
      <w:pPr>
        <w:pStyle w:val="Tablefootnote"/>
        <w:jc w:val="right"/>
        <w:rPr>
          <w:rStyle w:val="Bold"/>
          <w:b w:val="0"/>
          <w:spacing w:val="-1"/>
        </w:rPr>
      </w:pPr>
    </w:p>
    <w:p w:rsidR="00B53E52" w:rsidRDefault="00B53E52" w:rsidP="008C1492">
      <w:pPr>
        <w:pStyle w:val="Tabletitle"/>
      </w:pPr>
      <w:r>
        <w:rPr>
          <w:color w:val="009081"/>
          <w:spacing w:val="-2"/>
        </w:rPr>
        <w:br w:type="page"/>
      </w:r>
      <w:r>
        <w:t>Figure 2: Key land development indicators for metropolitan Melbourne by region – 7 quarter moving average</w:t>
      </w:r>
    </w:p>
    <w:p w:rsidR="00B53E52" w:rsidRDefault="00B53E52" w:rsidP="008C1492">
      <w:pPr>
        <w:pStyle w:val="Subhead"/>
        <w:rPr>
          <w:color w:val="009081"/>
        </w:rPr>
      </w:pPr>
      <w:r>
        <w:rPr>
          <w:color w:val="009081"/>
        </w:rPr>
        <w:t>West</w:t>
      </w:r>
    </w:p>
    <w:p w:rsidR="00B53E52" w:rsidRDefault="00B53E52" w:rsidP="008C1492">
      <w:pPr>
        <w:pStyle w:val="Subhead"/>
        <w:jc w:val="center"/>
        <w:rPr>
          <w:color w:val="009081"/>
        </w:rPr>
      </w:pPr>
      <w:r w:rsidRPr="00A577D8">
        <w:rPr>
          <w:noProof/>
          <w:color w:val="009081"/>
          <w:lang w:val="en-AU" w:eastAsia="en-AU"/>
        </w:rPr>
        <w:pict>
          <v:shape id="Picture 27" o:spid="_x0000_i1026" type="#_x0000_t75" alt=":Figure 2 west-J-10.png" style="width:395.25pt;height:186pt;visibility:visible">
            <v:imagedata r:id="rId5" o:title=""/>
          </v:shape>
        </w:pict>
      </w:r>
    </w:p>
    <w:p w:rsidR="00B53E52" w:rsidRDefault="00B53E52">
      <w:pPr>
        <w:pStyle w:val="Subhead"/>
        <w:spacing w:before="115"/>
        <w:rPr>
          <w:color w:val="009081"/>
          <w:spacing w:val="-2"/>
        </w:rPr>
      </w:pPr>
      <w:r>
        <w:rPr>
          <w:color w:val="009081"/>
          <w:spacing w:val="-2"/>
        </w:rPr>
        <w:t>North</w:t>
      </w:r>
    </w:p>
    <w:p w:rsidR="00B53E52" w:rsidRDefault="00B53E52" w:rsidP="008C1492">
      <w:pPr>
        <w:pStyle w:val="Subhead"/>
        <w:spacing w:before="115"/>
        <w:jc w:val="center"/>
        <w:rPr>
          <w:color w:val="009081"/>
          <w:spacing w:val="-2"/>
        </w:rPr>
      </w:pPr>
      <w:r w:rsidRPr="00A577D8">
        <w:rPr>
          <w:noProof/>
          <w:color w:val="009081"/>
          <w:spacing w:val="-2"/>
          <w:lang w:val="en-AU" w:eastAsia="en-AU"/>
        </w:rPr>
        <w:pict>
          <v:shape id="Picture 28" o:spid="_x0000_i1027" type="#_x0000_t75" alt=":Figure 2 north-J-10.png" style="width:399.75pt;height:185.25pt;visibility:visible">
            <v:imagedata r:id="rId6" o:title=""/>
          </v:shape>
        </w:pict>
      </w:r>
    </w:p>
    <w:p w:rsidR="00B53E52" w:rsidRDefault="00B53E52">
      <w:pPr>
        <w:pStyle w:val="Subhead"/>
        <w:spacing w:before="115"/>
        <w:rPr>
          <w:color w:val="009081"/>
          <w:spacing w:val="-2"/>
        </w:rPr>
      </w:pPr>
      <w:r>
        <w:rPr>
          <w:color w:val="009081"/>
          <w:spacing w:val="-2"/>
        </w:rPr>
        <w:t>Inner</w:t>
      </w:r>
    </w:p>
    <w:p w:rsidR="00B53E52" w:rsidRDefault="00B53E52" w:rsidP="008C1492">
      <w:pPr>
        <w:pStyle w:val="Subhead"/>
        <w:spacing w:before="115"/>
        <w:jc w:val="center"/>
        <w:rPr>
          <w:color w:val="009081"/>
          <w:spacing w:val="-2"/>
        </w:rPr>
      </w:pPr>
      <w:r w:rsidRPr="00A577D8">
        <w:rPr>
          <w:noProof/>
          <w:color w:val="009081"/>
          <w:spacing w:val="-2"/>
          <w:lang w:val="en-AU" w:eastAsia="en-AU"/>
        </w:rPr>
        <w:pict>
          <v:shape id="Picture 29" o:spid="_x0000_i1028" type="#_x0000_t75" alt=":Figure 2 inner-J-10.png" style="width:395.25pt;height:189pt;visibility:visible">
            <v:imagedata r:id="rId7" o:title=""/>
          </v:shape>
        </w:pict>
      </w:r>
    </w:p>
    <w:p w:rsidR="00B53E52" w:rsidRDefault="00B53E52">
      <w:pPr>
        <w:pStyle w:val="Subhead"/>
        <w:spacing w:before="115"/>
        <w:rPr>
          <w:color w:val="009081"/>
          <w:spacing w:val="-2"/>
        </w:rPr>
      </w:pPr>
      <w:r>
        <w:rPr>
          <w:color w:val="009081"/>
          <w:spacing w:val="-2"/>
        </w:rPr>
        <w:br w:type="page"/>
        <w:t>East</w:t>
      </w:r>
    </w:p>
    <w:p w:rsidR="00B53E52" w:rsidRDefault="00B53E52" w:rsidP="008C1492">
      <w:pPr>
        <w:pStyle w:val="Subhead"/>
        <w:spacing w:before="115"/>
        <w:jc w:val="center"/>
        <w:rPr>
          <w:color w:val="009081"/>
          <w:spacing w:val="-2"/>
        </w:rPr>
      </w:pPr>
      <w:r w:rsidRPr="00A577D8">
        <w:rPr>
          <w:noProof/>
          <w:color w:val="009081"/>
          <w:spacing w:val="-2"/>
          <w:lang w:val="en-AU" w:eastAsia="en-AU"/>
        </w:rPr>
        <w:pict>
          <v:shape id="Picture 30" o:spid="_x0000_i1029" type="#_x0000_t75" alt=":Figure 2 east-J-10.png" style="width:395.25pt;height:188.25pt;visibility:visible">
            <v:imagedata r:id="rId8" o:title=""/>
          </v:shape>
        </w:pict>
      </w:r>
    </w:p>
    <w:p w:rsidR="00B53E52" w:rsidRDefault="00B53E52">
      <w:pPr>
        <w:pStyle w:val="Subhead"/>
        <w:spacing w:before="115"/>
        <w:rPr>
          <w:color w:val="009081"/>
          <w:spacing w:val="-2"/>
        </w:rPr>
      </w:pPr>
      <w:r>
        <w:rPr>
          <w:color w:val="009081"/>
          <w:spacing w:val="-2"/>
        </w:rPr>
        <w:t>South</w:t>
      </w:r>
    </w:p>
    <w:p w:rsidR="00B53E52" w:rsidRDefault="00B53E52" w:rsidP="008C1492">
      <w:pPr>
        <w:pStyle w:val="Subhead"/>
        <w:spacing w:before="115"/>
        <w:jc w:val="center"/>
        <w:rPr>
          <w:color w:val="009081"/>
          <w:spacing w:val="-2"/>
        </w:rPr>
      </w:pPr>
      <w:r w:rsidRPr="00A577D8">
        <w:rPr>
          <w:noProof/>
          <w:color w:val="009081"/>
          <w:spacing w:val="-2"/>
          <w:lang w:val="en-AU" w:eastAsia="en-AU"/>
        </w:rPr>
        <w:pict>
          <v:shape id="Picture 31" o:spid="_x0000_i1030" type="#_x0000_t75" alt=":Figure 2 south-J-10.png" style="width:395.25pt;height:186pt;visibility:visible">
            <v:imagedata r:id="rId9" o:title=""/>
          </v:shape>
        </w:pict>
      </w:r>
    </w:p>
    <w:p w:rsidR="00B53E52" w:rsidRDefault="00B53E52" w:rsidP="008C1492">
      <w:pPr>
        <w:pStyle w:val="Tablefootnote"/>
        <w:jc w:val="right"/>
        <w:rPr>
          <w:rStyle w:val="Bold"/>
          <w:b w:val="0"/>
          <w:spacing w:val="-1"/>
        </w:rPr>
      </w:pPr>
      <w:r>
        <w:rPr>
          <w:rStyle w:val="Bold"/>
          <w:bCs/>
          <w:spacing w:val="-1"/>
        </w:rPr>
        <w:t xml:space="preserve">Source: </w:t>
      </w:r>
      <w:r>
        <w:rPr>
          <w:rStyle w:val="Bold"/>
          <w:b w:val="0"/>
          <w:spacing w:val="-1"/>
        </w:rPr>
        <w:t>Spatial Analysis and Research Branch Survey of Councils</w:t>
      </w:r>
    </w:p>
    <w:p w:rsidR="00B53E52" w:rsidRDefault="00B53E52">
      <w:pPr>
        <w:pStyle w:val="Subhead"/>
        <w:spacing w:before="115"/>
        <w:rPr>
          <w:color w:val="009081"/>
          <w:spacing w:val="-2"/>
        </w:rPr>
      </w:pPr>
    </w:p>
    <w:p w:rsidR="00B53E52" w:rsidRDefault="00B53E52">
      <w:pPr>
        <w:pStyle w:val="Subhead"/>
        <w:spacing w:before="115"/>
        <w:rPr>
          <w:color w:val="009081"/>
          <w:spacing w:val="-2"/>
        </w:rPr>
      </w:pPr>
      <w:r>
        <w:rPr>
          <w:color w:val="009081"/>
          <w:spacing w:val="-2"/>
        </w:rPr>
        <w:t xml:space="preserve">Residential lots in subdivision plans </w:t>
      </w:r>
      <w:r>
        <w:rPr>
          <w:color w:val="009081"/>
          <w:spacing w:val="-2"/>
          <w:sz w:val="16"/>
        </w:rPr>
        <w:t>(see table 1)</w:t>
      </w:r>
    </w:p>
    <w:p w:rsidR="00B53E52" w:rsidRDefault="00B53E52">
      <w:pPr>
        <w:pStyle w:val="Bullets1"/>
        <w:ind w:left="229" w:hanging="229"/>
        <w:rPr>
          <w:spacing w:val="-2"/>
          <w:sz w:val="19"/>
        </w:rPr>
      </w:pPr>
      <w:r>
        <w:rPr>
          <w:rFonts w:ascii="ZapfDingbatsStd" w:hAnsi="ZapfDingbatsStd" w:cs="ZapfDingbatsStd"/>
          <w:color w:val="009081"/>
          <w:spacing w:val="-2"/>
          <w:sz w:val="16"/>
        </w:rPr>
        <w:t>■</w:t>
      </w:r>
      <w:r>
        <w:rPr>
          <w:color w:val="009081"/>
          <w:spacing w:val="-2"/>
        </w:rPr>
        <w:tab/>
      </w:r>
      <w:r>
        <w:rPr>
          <w:spacing w:val="-2"/>
          <w:sz w:val="19"/>
        </w:rPr>
        <w:t>In the last four quarters there was a total of 43,041 lots in subdivision plans submitted to Metropolitan councils. This is a 3% increase from the previous four quarters. Of these 49% were located in growth areas and 51% were located in established areas.</w:t>
      </w:r>
    </w:p>
    <w:p w:rsidR="00B53E52" w:rsidRDefault="00B53E52">
      <w:pPr>
        <w:pStyle w:val="Bullets1"/>
        <w:ind w:left="229" w:hanging="229"/>
        <w:rPr>
          <w:spacing w:val="-2"/>
          <w:sz w:val="19"/>
        </w:rPr>
      </w:pPr>
      <w:r>
        <w:rPr>
          <w:rFonts w:ascii="ZapfDingbatsStd" w:hAnsi="ZapfDingbatsStd" w:cs="ZapfDingbatsStd"/>
          <w:color w:val="009081"/>
          <w:spacing w:val="-2"/>
          <w:sz w:val="16"/>
        </w:rPr>
        <w:t>■</w:t>
      </w:r>
      <w:r>
        <w:rPr>
          <w:color w:val="009081"/>
          <w:spacing w:val="-2"/>
        </w:rPr>
        <w:tab/>
      </w:r>
      <w:r>
        <w:rPr>
          <w:spacing w:val="-2"/>
          <w:sz w:val="19"/>
        </w:rPr>
        <w:t>There was a total of 11,595 lots in subdivision plans submitted to Metropolitan councils in the June 2010 quarter, a 6% increase from the previous quarter and the highest number of lots submitted for a quarter since recording began in 1996. This figure is likely to be slightly higher due to the data from the municipalities of Bayside and Whitehorse not being available at the time of printing.</w:t>
      </w:r>
    </w:p>
    <w:p w:rsidR="00B53E52" w:rsidRDefault="00B53E52">
      <w:pPr>
        <w:pStyle w:val="Bullets1"/>
        <w:spacing w:after="58"/>
        <w:ind w:left="231" w:hanging="231"/>
        <w:rPr>
          <w:spacing w:val="-2"/>
          <w:sz w:val="19"/>
        </w:rPr>
      </w:pPr>
      <w:r>
        <w:rPr>
          <w:rFonts w:ascii="ZapfDingbatsStd" w:hAnsi="ZapfDingbatsStd" w:cs="ZapfDingbatsStd"/>
          <w:color w:val="009081"/>
          <w:spacing w:val="-2"/>
          <w:sz w:val="16"/>
        </w:rPr>
        <w:t>■</w:t>
      </w:r>
      <w:r>
        <w:rPr>
          <w:color w:val="009081"/>
          <w:spacing w:val="-2"/>
        </w:rPr>
        <w:tab/>
      </w:r>
      <w:r>
        <w:rPr>
          <w:spacing w:val="-2"/>
          <w:sz w:val="19"/>
        </w:rPr>
        <w:t>The greatest percent increase from the previous quarter were the municipalities of Maroondah with 296 lots, Moonee Valley with 423 lots and Yarra with 326 lots. The greatest percent decrease from the previous quarter were the municipalities of Darebin with 102 lots, Port Phillip with 82 lots and Maribyrnong with 84 lots.</w:t>
      </w:r>
    </w:p>
    <w:p w:rsidR="00B53E52" w:rsidRDefault="00B53E52">
      <w:pPr>
        <w:pStyle w:val="Bullets1"/>
        <w:spacing w:after="57"/>
        <w:ind w:left="0" w:firstLine="0"/>
        <w:rPr>
          <w:rFonts w:ascii="Frutiger-Roman" w:hAnsi="Frutiger-Roman" w:cs="Frutiger-Roman"/>
          <w:color w:val="009081"/>
          <w:spacing w:val="-2"/>
          <w:sz w:val="24"/>
        </w:rPr>
      </w:pPr>
      <w:r>
        <w:rPr>
          <w:rFonts w:ascii="Frutiger-Roman" w:hAnsi="Frutiger-Roman" w:cs="Frutiger-Roman"/>
          <w:color w:val="009081"/>
          <w:spacing w:val="-2"/>
          <w:sz w:val="24"/>
        </w:rPr>
        <w:t>Residential lots released</w:t>
      </w:r>
      <w:r>
        <w:rPr>
          <w:rFonts w:ascii="Frutiger-Roman" w:hAnsi="Frutiger-Roman" w:cs="Frutiger-Roman"/>
          <w:color w:val="009081"/>
          <w:spacing w:val="-2"/>
          <w:sz w:val="24"/>
        </w:rPr>
        <w:br/>
      </w:r>
      <w:r>
        <w:rPr>
          <w:rFonts w:ascii="Frutiger-Roman" w:hAnsi="Frutiger-Roman" w:cs="Frutiger-Roman"/>
          <w:color w:val="009081"/>
          <w:spacing w:val="-2"/>
          <w:sz w:val="16"/>
        </w:rPr>
        <w:t>(see table 4)</w:t>
      </w:r>
    </w:p>
    <w:p w:rsidR="00B53E52" w:rsidRDefault="00B53E52">
      <w:pPr>
        <w:pStyle w:val="Bullets1"/>
        <w:ind w:left="229" w:hanging="229"/>
        <w:rPr>
          <w:spacing w:val="-2"/>
          <w:sz w:val="19"/>
        </w:rPr>
      </w:pPr>
      <w:r>
        <w:rPr>
          <w:rFonts w:ascii="ZapfDingbatsStd" w:hAnsi="ZapfDingbatsStd" w:cs="ZapfDingbatsStd"/>
          <w:color w:val="009081"/>
          <w:spacing w:val="-2"/>
          <w:sz w:val="16"/>
        </w:rPr>
        <w:t>■</w:t>
      </w:r>
      <w:r>
        <w:rPr>
          <w:color w:val="009081"/>
          <w:spacing w:val="-2"/>
        </w:rPr>
        <w:tab/>
      </w:r>
      <w:r>
        <w:rPr>
          <w:spacing w:val="-2"/>
          <w:sz w:val="19"/>
        </w:rPr>
        <w:t>In the last four quarters there was a total of 28,741 residential lots released by Metropolitan councils, (down 2% from the previous four quarters).</w:t>
      </w:r>
    </w:p>
    <w:p w:rsidR="00B53E52" w:rsidRDefault="00B53E52">
      <w:pPr>
        <w:pStyle w:val="Bullets1"/>
        <w:ind w:left="229" w:hanging="229"/>
        <w:rPr>
          <w:spacing w:val="-2"/>
          <w:sz w:val="19"/>
        </w:rPr>
      </w:pPr>
      <w:r>
        <w:rPr>
          <w:rFonts w:ascii="ZapfDingbatsStd" w:hAnsi="ZapfDingbatsStd" w:cs="ZapfDingbatsStd"/>
          <w:color w:val="009081"/>
          <w:spacing w:val="-2"/>
          <w:sz w:val="16"/>
        </w:rPr>
        <w:t>■</w:t>
      </w:r>
      <w:r>
        <w:rPr>
          <w:color w:val="009081"/>
          <w:spacing w:val="-2"/>
        </w:rPr>
        <w:tab/>
      </w:r>
      <w:r>
        <w:rPr>
          <w:spacing w:val="-2"/>
          <w:sz w:val="19"/>
        </w:rPr>
        <w:t xml:space="preserve">There was a total of 8,448 lots released in the June 2010 quarter, a 44% increase from the previous quarter. This number is similar to that for the December 2009 quarter though below the June 2009 quarter. </w:t>
      </w:r>
    </w:p>
    <w:p w:rsidR="00B53E52" w:rsidRDefault="00B53E52">
      <w:pPr>
        <w:pStyle w:val="Bullets1"/>
        <w:spacing w:after="57"/>
        <w:ind w:left="229" w:hanging="229"/>
        <w:rPr>
          <w:spacing w:val="-2"/>
          <w:sz w:val="19"/>
        </w:rPr>
      </w:pPr>
      <w:r>
        <w:rPr>
          <w:rFonts w:ascii="ZapfDingbatsStd" w:hAnsi="ZapfDingbatsStd" w:cs="ZapfDingbatsStd"/>
          <w:color w:val="009081"/>
          <w:spacing w:val="-2"/>
          <w:sz w:val="16"/>
        </w:rPr>
        <w:t>■</w:t>
      </w:r>
      <w:r>
        <w:rPr>
          <w:color w:val="009081"/>
          <w:spacing w:val="-2"/>
        </w:rPr>
        <w:tab/>
      </w:r>
      <w:r>
        <w:rPr>
          <w:spacing w:val="-2"/>
          <w:sz w:val="19"/>
        </w:rPr>
        <w:t>31% of lots released in the June quarter were located in the West, 30% were located in the South, 28% were located in the North, 8% were located in the East and 2% were located in the Inner municipalities.</w:t>
      </w:r>
    </w:p>
    <w:p w:rsidR="00B53E52" w:rsidRDefault="00B53E52">
      <w:pPr>
        <w:pStyle w:val="Bullets1"/>
        <w:spacing w:after="57"/>
        <w:ind w:left="115" w:firstLine="0"/>
        <w:rPr>
          <w:rFonts w:ascii="Frutiger-Roman" w:hAnsi="Frutiger-Roman" w:cs="Frutiger-Roman"/>
          <w:color w:val="009081"/>
          <w:spacing w:val="-2"/>
          <w:sz w:val="24"/>
        </w:rPr>
      </w:pPr>
      <w:r>
        <w:rPr>
          <w:rFonts w:ascii="Frutiger-Roman" w:hAnsi="Frutiger-Roman" w:cs="Frutiger-Roman"/>
          <w:color w:val="009081"/>
          <w:spacing w:val="-2"/>
          <w:sz w:val="24"/>
        </w:rPr>
        <w:t xml:space="preserve">Dwelling approvals </w:t>
      </w:r>
      <w:r>
        <w:rPr>
          <w:rFonts w:ascii="Frutiger-Roman" w:hAnsi="Frutiger-Roman" w:cs="Frutiger-Roman"/>
          <w:color w:val="009081"/>
          <w:spacing w:val="-2"/>
          <w:sz w:val="24"/>
        </w:rPr>
        <w:br/>
      </w:r>
      <w:r>
        <w:rPr>
          <w:rFonts w:ascii="Frutiger-Roman" w:hAnsi="Frutiger-Roman" w:cs="Frutiger-Roman"/>
          <w:color w:val="009081"/>
          <w:spacing w:val="-2"/>
          <w:sz w:val="16"/>
        </w:rPr>
        <w:t>(see table 5)</w:t>
      </w:r>
    </w:p>
    <w:p w:rsidR="00B53E52" w:rsidRDefault="00B53E52">
      <w:pPr>
        <w:pStyle w:val="Bullets1"/>
        <w:ind w:left="231" w:hanging="231"/>
        <w:rPr>
          <w:spacing w:val="-2"/>
          <w:sz w:val="19"/>
        </w:rPr>
      </w:pPr>
      <w:r>
        <w:rPr>
          <w:rFonts w:ascii="ZapfDingbatsStd" w:hAnsi="ZapfDingbatsStd" w:cs="ZapfDingbatsStd"/>
          <w:color w:val="009081"/>
          <w:spacing w:val="-2"/>
          <w:sz w:val="16"/>
        </w:rPr>
        <w:t>■</w:t>
      </w:r>
      <w:r>
        <w:rPr>
          <w:color w:val="009081"/>
          <w:spacing w:val="-2"/>
        </w:rPr>
        <w:tab/>
      </w:r>
      <w:r>
        <w:rPr>
          <w:spacing w:val="-2"/>
          <w:sz w:val="19"/>
        </w:rPr>
        <w:t>In the last four quarters there was a total of 39,972 dwelling approvals. This is a 7% increase from the previous four quarters. Of these 46% were located in growth areas and 54% were located in established areas, a similar proportion to the previous four quarters.</w:t>
      </w:r>
    </w:p>
    <w:p w:rsidR="00B53E52" w:rsidRDefault="00B53E52">
      <w:pPr>
        <w:pStyle w:val="Bullets1"/>
        <w:ind w:left="229" w:hanging="229"/>
        <w:rPr>
          <w:spacing w:val="-2"/>
          <w:sz w:val="19"/>
        </w:rPr>
      </w:pPr>
      <w:r>
        <w:rPr>
          <w:rFonts w:ascii="ZapfDingbatsStd" w:hAnsi="ZapfDingbatsStd" w:cs="ZapfDingbatsStd"/>
          <w:color w:val="009081"/>
          <w:spacing w:val="-2"/>
          <w:sz w:val="16"/>
        </w:rPr>
        <w:t>■</w:t>
      </w:r>
      <w:r>
        <w:rPr>
          <w:color w:val="009081"/>
          <w:spacing w:val="-2"/>
        </w:rPr>
        <w:tab/>
      </w:r>
      <w:r>
        <w:rPr>
          <w:spacing w:val="-2"/>
          <w:sz w:val="19"/>
        </w:rPr>
        <w:t xml:space="preserve">Dwelling approvals for the June quarter increased to 10,363, a 7% increase from the previous quarter and the highest for any quarter since the 2002 September quarter. 30% of dwelling approvals were located in the West, 25% in the South, 19% in the North, 16% in the East and 10% in inner Melbourne. </w:t>
      </w:r>
    </w:p>
    <w:p w:rsidR="00B53E52" w:rsidRDefault="00B53E52">
      <w:pPr>
        <w:pStyle w:val="Bullets1"/>
        <w:spacing w:after="57"/>
        <w:ind w:left="229" w:hanging="229"/>
        <w:rPr>
          <w:spacing w:val="-2"/>
          <w:sz w:val="19"/>
        </w:rPr>
      </w:pPr>
      <w:r>
        <w:rPr>
          <w:rFonts w:ascii="ZapfDingbatsStd" w:hAnsi="ZapfDingbatsStd" w:cs="ZapfDingbatsStd"/>
          <w:color w:val="009081"/>
          <w:spacing w:val="-2"/>
          <w:sz w:val="16"/>
        </w:rPr>
        <w:t>■</w:t>
      </w:r>
      <w:r>
        <w:rPr>
          <w:color w:val="009081"/>
          <w:spacing w:val="-2"/>
        </w:rPr>
        <w:tab/>
      </w:r>
      <w:r>
        <w:rPr>
          <w:spacing w:val="-2"/>
          <w:sz w:val="19"/>
        </w:rPr>
        <w:t>The highest percent increase of dwelling approvals in local government areas from the previous quarter were Maribyrnong with 278, Maroondah with 180 and Yarra Ranges with 386. The greatest percent decrease in local government areas were Stonnington with 112, Whitehorse with 142 and Monash with 212.</w:t>
      </w:r>
    </w:p>
    <w:p w:rsidR="00B53E52" w:rsidRDefault="00B53E52">
      <w:pPr>
        <w:pStyle w:val="Bullets1"/>
        <w:spacing w:after="57"/>
        <w:ind w:left="229" w:hanging="229"/>
        <w:rPr>
          <w:sz w:val="19"/>
        </w:rPr>
      </w:pPr>
    </w:p>
    <w:p w:rsidR="00B53E52" w:rsidRDefault="00B53E52">
      <w:pPr>
        <w:pStyle w:val="Tabletitle"/>
        <w:rPr>
          <w:sz w:val="18"/>
        </w:rPr>
        <w:sectPr w:rsidR="00B53E52">
          <w:pgSz w:w="11906" w:h="16838"/>
          <w:pgMar w:top="720" w:right="720" w:bottom="720" w:left="720" w:header="720" w:footer="720" w:gutter="0"/>
          <w:cols w:space="720"/>
          <w:noEndnote/>
        </w:sectPr>
      </w:pPr>
      <w:r>
        <w:rPr>
          <w:sz w:val="18"/>
        </w:rPr>
        <w:br w:type="page"/>
      </w:r>
    </w:p>
    <w:p w:rsidR="00B53E52" w:rsidRDefault="00B53E52">
      <w:pPr>
        <w:pStyle w:val="Tabletitle"/>
        <w:rPr>
          <w:sz w:val="18"/>
        </w:rPr>
      </w:pPr>
      <w:r>
        <w:rPr>
          <w:sz w:val="18"/>
        </w:rPr>
        <w:t>Table 1: Residential lots in subdivision plans submitted to councils</w:t>
      </w:r>
    </w:p>
    <w:tbl>
      <w:tblPr>
        <w:tblW w:w="0" w:type="auto"/>
        <w:tblInd w:w="8" w:type="dxa"/>
        <w:tblLayout w:type="fixed"/>
        <w:tblCellMar>
          <w:left w:w="0" w:type="dxa"/>
          <w:right w:w="0" w:type="dxa"/>
        </w:tblCellMar>
        <w:tblLook w:val="0000"/>
      </w:tblPr>
      <w:tblGrid>
        <w:gridCol w:w="1074"/>
        <w:gridCol w:w="486"/>
        <w:gridCol w:w="486"/>
        <w:gridCol w:w="486"/>
        <w:gridCol w:w="487"/>
        <w:gridCol w:w="495"/>
      </w:tblGrid>
      <w:tr w:rsidR="00B53E52" w:rsidRPr="00A577D8">
        <w:trPr>
          <w:trHeight w:val="60"/>
        </w:trPr>
        <w:tc>
          <w:tcPr>
            <w:tcW w:w="1074" w:type="dxa"/>
            <w:vMerge w:val="restart"/>
            <w:tcBorders>
              <w:top w:val="single" w:sz="6" w:space="0" w:color="FFFFFF"/>
              <w:left w:val="single" w:sz="6" w:space="0" w:color="FFFFFF"/>
              <w:bottom w:val="single" w:sz="8"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jc w:val="left"/>
              <w:rPr>
                <w:color w:val="FFFFFF"/>
              </w:rPr>
            </w:pPr>
            <w:r w:rsidRPr="008C1492">
              <w:rPr>
                <w:color w:val="FFFFFF"/>
                <w:sz w:val="14"/>
              </w:rPr>
              <w:t xml:space="preserve"> Municipality</w:t>
            </w:r>
          </w:p>
        </w:tc>
        <w:tc>
          <w:tcPr>
            <w:tcW w:w="2440" w:type="dxa"/>
            <w:gridSpan w:val="5"/>
            <w:tcBorders>
              <w:top w:val="single" w:sz="6" w:space="0" w:color="FFFFFF"/>
              <w:left w:val="single" w:sz="6" w:space="0" w:color="FFFFFF"/>
              <w:bottom w:val="single" w:sz="8"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rPr>
                <w:color w:val="FFFFFF"/>
              </w:rPr>
            </w:pPr>
            <w:r w:rsidRPr="008C1492">
              <w:rPr>
                <w:color w:val="FFFFFF"/>
                <w:sz w:val="14"/>
              </w:rPr>
              <w:t>Number of Lots per Quarter</w:t>
            </w:r>
          </w:p>
        </w:tc>
      </w:tr>
      <w:tr w:rsidR="00B53E52" w:rsidRPr="00A577D8">
        <w:trPr>
          <w:trHeight w:val="60"/>
        </w:trPr>
        <w:tc>
          <w:tcPr>
            <w:tcW w:w="1074" w:type="dxa"/>
            <w:vMerge/>
            <w:tcBorders>
              <w:top w:val="single" w:sz="8" w:space="0" w:color="FFFFFF"/>
              <w:left w:val="single" w:sz="6" w:space="0" w:color="FFFFFF"/>
              <w:bottom w:val="single" w:sz="6" w:space="0" w:color="FFFFFF"/>
              <w:right w:val="single" w:sz="6" w:space="0" w:color="FFFFFF"/>
            </w:tcBorders>
          </w:tcPr>
          <w:p w:rsidR="00B53E52" w:rsidRPr="008C1492" w:rsidRDefault="00B53E52">
            <w:pPr>
              <w:pStyle w:val="NoParagraphStyle"/>
              <w:spacing w:line="240" w:lineRule="auto"/>
              <w:textAlignment w:val="auto"/>
              <w:rPr>
                <w:rFonts w:ascii="Frutiger-Bold" w:hAnsi="Frutiger-Bold" w:cs="Times New Roman"/>
                <w:color w:val="FFFFFF"/>
                <w:lang w:val="en-US"/>
              </w:rPr>
            </w:pPr>
          </w:p>
        </w:tc>
        <w:tc>
          <w:tcPr>
            <w:tcW w:w="486" w:type="dxa"/>
            <w:tcBorders>
              <w:top w:val="single" w:sz="8" w:space="0" w:color="FFFFFF"/>
              <w:left w:val="single" w:sz="6" w:space="0" w:color="FFFFFF"/>
              <w:bottom w:val="single" w:sz="6"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rPr>
                <w:color w:val="FFFFFF"/>
              </w:rPr>
            </w:pPr>
            <w:r w:rsidRPr="008C1492">
              <w:rPr>
                <w:color w:val="FFFFFF"/>
                <w:sz w:val="14"/>
              </w:rPr>
              <w:t xml:space="preserve">Jun </w:t>
            </w:r>
            <w:r w:rsidRPr="008C1492">
              <w:rPr>
                <w:color w:val="FFFFFF"/>
                <w:sz w:val="14"/>
              </w:rPr>
              <w:br/>
              <w:t>‘09</w:t>
            </w:r>
          </w:p>
        </w:tc>
        <w:tc>
          <w:tcPr>
            <w:tcW w:w="486" w:type="dxa"/>
            <w:tcBorders>
              <w:top w:val="single" w:sz="8" w:space="0" w:color="FFFFFF"/>
              <w:left w:val="single" w:sz="6" w:space="0" w:color="FFFFFF"/>
              <w:bottom w:val="single" w:sz="6"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rPr>
                <w:color w:val="FFFFFF"/>
              </w:rPr>
            </w:pPr>
            <w:r w:rsidRPr="008C1492">
              <w:rPr>
                <w:color w:val="FFFFFF"/>
                <w:sz w:val="14"/>
              </w:rPr>
              <w:t>Sep</w:t>
            </w:r>
            <w:r w:rsidRPr="008C1492">
              <w:rPr>
                <w:color w:val="FFFFFF"/>
                <w:sz w:val="14"/>
              </w:rPr>
              <w:br/>
              <w:t>‘09</w:t>
            </w:r>
          </w:p>
        </w:tc>
        <w:tc>
          <w:tcPr>
            <w:tcW w:w="486" w:type="dxa"/>
            <w:tcBorders>
              <w:top w:val="single" w:sz="8" w:space="0" w:color="FFFFFF"/>
              <w:left w:val="single" w:sz="6" w:space="0" w:color="FFFFFF"/>
              <w:bottom w:val="single" w:sz="6"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rPr>
                <w:color w:val="FFFFFF"/>
              </w:rPr>
            </w:pPr>
            <w:r w:rsidRPr="008C1492">
              <w:rPr>
                <w:color w:val="FFFFFF"/>
                <w:sz w:val="14"/>
              </w:rPr>
              <w:t>Dec</w:t>
            </w:r>
            <w:r w:rsidRPr="008C1492">
              <w:rPr>
                <w:color w:val="FFFFFF"/>
                <w:sz w:val="14"/>
              </w:rPr>
              <w:br/>
              <w:t>‘09</w:t>
            </w:r>
          </w:p>
        </w:tc>
        <w:tc>
          <w:tcPr>
            <w:tcW w:w="487" w:type="dxa"/>
            <w:tcBorders>
              <w:top w:val="single" w:sz="8" w:space="0" w:color="FFFFFF"/>
              <w:left w:val="single" w:sz="6" w:space="0" w:color="FFFFFF"/>
              <w:bottom w:val="single" w:sz="6"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rPr>
                <w:color w:val="FFFFFF"/>
              </w:rPr>
            </w:pPr>
            <w:r w:rsidRPr="008C1492">
              <w:rPr>
                <w:color w:val="FFFFFF"/>
                <w:sz w:val="14"/>
              </w:rPr>
              <w:t>Mar</w:t>
            </w:r>
            <w:r w:rsidRPr="008C1492">
              <w:rPr>
                <w:color w:val="FFFFFF"/>
                <w:sz w:val="14"/>
              </w:rPr>
              <w:br/>
              <w:t>‘10</w:t>
            </w:r>
          </w:p>
        </w:tc>
        <w:tc>
          <w:tcPr>
            <w:tcW w:w="495" w:type="dxa"/>
            <w:tcBorders>
              <w:top w:val="single" w:sz="8" w:space="0" w:color="FFFFFF"/>
              <w:left w:val="single" w:sz="6" w:space="0" w:color="FFFFFF"/>
              <w:bottom w:val="single" w:sz="6"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rPr>
                <w:color w:val="FFFFFF"/>
              </w:rPr>
            </w:pPr>
            <w:r w:rsidRPr="008C1492">
              <w:rPr>
                <w:color w:val="FFFFFF"/>
                <w:sz w:val="14"/>
              </w:rPr>
              <w:t>Jun</w:t>
            </w:r>
            <w:r w:rsidRPr="008C1492">
              <w:rPr>
                <w:color w:val="FFFFFF"/>
                <w:sz w:val="14"/>
              </w:rPr>
              <w:br/>
              <w:t>‘10</w:t>
            </w:r>
          </w:p>
        </w:tc>
      </w:tr>
    </w:tbl>
    <w:p w:rsidR="00B53E52" w:rsidRDefault="00B53E52">
      <w:pPr>
        <w:pStyle w:val="Tabletext"/>
      </w:pPr>
      <w:r>
        <w:t>Melbourne</w:t>
      </w:r>
      <w:r>
        <w:tab/>
        <w:t>513</w:t>
      </w:r>
      <w:r>
        <w:tab/>
        <w:t>154</w:t>
      </w:r>
      <w:r>
        <w:tab/>
        <w:t>256</w:t>
      </w:r>
      <w:r>
        <w:tab/>
        <w:t>631</w:t>
      </w:r>
      <w:r>
        <w:tab/>
        <w:t>1,031</w:t>
      </w:r>
    </w:p>
    <w:p w:rsidR="00B53E52" w:rsidRDefault="00B53E52">
      <w:pPr>
        <w:pStyle w:val="Tabletext"/>
      </w:pPr>
      <w:r>
        <w:t>Port Phillip</w:t>
      </w:r>
      <w:r>
        <w:tab/>
        <w:t>175</w:t>
      </w:r>
      <w:r>
        <w:tab/>
        <w:t>194</w:t>
      </w:r>
      <w:r>
        <w:tab/>
        <w:t>282</w:t>
      </w:r>
      <w:r>
        <w:tab/>
        <w:t>194</w:t>
      </w:r>
      <w:r>
        <w:tab/>
        <w:t>82</w:t>
      </w:r>
    </w:p>
    <w:p w:rsidR="00B53E52" w:rsidRDefault="00B53E52">
      <w:pPr>
        <w:pStyle w:val="Tabletext"/>
      </w:pPr>
      <w:r>
        <w:t>Yarra</w:t>
      </w:r>
      <w:r>
        <w:tab/>
        <w:t>127</w:t>
      </w:r>
      <w:r>
        <w:tab/>
        <w:t>232</w:t>
      </w:r>
      <w:r>
        <w:tab/>
        <w:t>223</w:t>
      </w:r>
      <w:r>
        <w:tab/>
        <w:t>86</w:t>
      </w:r>
      <w:r>
        <w:tab/>
        <w:t>326</w:t>
      </w:r>
    </w:p>
    <w:p w:rsidR="00B53E52" w:rsidRDefault="00B53E52">
      <w:pPr>
        <w:pStyle w:val="Tableend"/>
      </w:pPr>
      <w:r>
        <w:t>Inner</w:t>
      </w:r>
      <w:r>
        <w:tab/>
        <w:t>815</w:t>
      </w:r>
      <w:r>
        <w:tab/>
        <w:t>580</w:t>
      </w:r>
      <w:r>
        <w:tab/>
        <w:t>761</w:t>
      </w:r>
      <w:r>
        <w:tab/>
        <w:t>911</w:t>
      </w:r>
      <w:r>
        <w:tab/>
        <w:t>1,439</w:t>
      </w:r>
    </w:p>
    <w:p w:rsidR="00B53E52" w:rsidRDefault="00B53E52">
      <w:pPr>
        <w:pStyle w:val="Tabletext"/>
      </w:pPr>
      <w:r>
        <w:t>Brimbank</w:t>
      </w:r>
      <w:r>
        <w:tab/>
        <w:t>159</w:t>
      </w:r>
      <w:r>
        <w:tab/>
        <w:t>281</w:t>
      </w:r>
      <w:r>
        <w:tab/>
        <w:t>330</w:t>
      </w:r>
      <w:r>
        <w:tab/>
        <w:t>224</w:t>
      </w:r>
      <w:r>
        <w:tab/>
        <w:t>124</w:t>
      </w:r>
    </w:p>
    <w:p w:rsidR="00B53E52" w:rsidRDefault="00B53E52">
      <w:pPr>
        <w:pStyle w:val="Tabletext"/>
      </w:pPr>
      <w:r>
        <w:t>Hobsons Bay</w:t>
      </w:r>
      <w:r>
        <w:tab/>
        <w:t>186</w:t>
      </w:r>
      <w:r>
        <w:tab/>
        <w:t>113</w:t>
      </w:r>
      <w:r>
        <w:tab/>
        <w:t>115</w:t>
      </w:r>
      <w:r>
        <w:tab/>
        <w:t>115</w:t>
      </w:r>
      <w:r>
        <w:tab/>
        <w:t>153</w:t>
      </w:r>
    </w:p>
    <w:p w:rsidR="00B53E52" w:rsidRDefault="00B53E52">
      <w:pPr>
        <w:pStyle w:val="Tabletext"/>
      </w:pPr>
      <w:r>
        <w:t>Maribyrnong</w:t>
      </w:r>
      <w:r>
        <w:tab/>
        <w:t>195</w:t>
      </w:r>
      <w:r>
        <w:tab/>
        <w:t>161</w:t>
      </w:r>
      <w:r>
        <w:tab/>
        <w:t>137</w:t>
      </w:r>
      <w:r>
        <w:tab/>
        <w:t>202</w:t>
      </w:r>
      <w:r>
        <w:tab/>
        <w:t>84</w:t>
      </w:r>
    </w:p>
    <w:p w:rsidR="00B53E52" w:rsidRPr="008C1492" w:rsidRDefault="00B53E52">
      <w:pPr>
        <w:pStyle w:val="Tablegrowth"/>
        <w:rPr>
          <w:color w:val="FF0000"/>
        </w:rPr>
      </w:pPr>
      <w:r w:rsidRPr="008C1492">
        <w:rPr>
          <w:color w:val="FF0000"/>
        </w:rPr>
        <w:t>Melton</w:t>
      </w:r>
      <w:r w:rsidRPr="008C1492">
        <w:rPr>
          <w:color w:val="FF0000"/>
        </w:rPr>
        <w:tab/>
        <w:t>1,050</w:t>
      </w:r>
      <w:r w:rsidRPr="008C1492">
        <w:rPr>
          <w:color w:val="FF0000"/>
        </w:rPr>
        <w:tab/>
        <w:t>910</w:t>
      </w:r>
      <w:r w:rsidRPr="008C1492">
        <w:rPr>
          <w:color w:val="FF0000"/>
        </w:rPr>
        <w:tab/>
        <w:t>363</w:t>
      </w:r>
      <w:r w:rsidRPr="008C1492">
        <w:rPr>
          <w:color w:val="FF0000"/>
        </w:rPr>
        <w:tab/>
        <w:t>647</w:t>
      </w:r>
      <w:r w:rsidRPr="008C1492">
        <w:rPr>
          <w:color w:val="FF0000"/>
        </w:rPr>
        <w:tab/>
        <w:t>770</w:t>
      </w:r>
    </w:p>
    <w:p w:rsidR="00B53E52" w:rsidRDefault="00B53E52">
      <w:pPr>
        <w:pStyle w:val="Tabletext"/>
      </w:pPr>
      <w:r>
        <w:t>Moonee Valley</w:t>
      </w:r>
      <w:r>
        <w:tab/>
        <w:t>113</w:t>
      </w:r>
      <w:r>
        <w:tab/>
        <w:t>40</w:t>
      </w:r>
      <w:r>
        <w:tab/>
        <w:t>153</w:t>
      </w:r>
      <w:r>
        <w:tab/>
        <w:t>182</w:t>
      </w:r>
      <w:r>
        <w:tab/>
        <w:t>423</w:t>
      </w:r>
    </w:p>
    <w:p w:rsidR="00B53E52" w:rsidRPr="008C1492" w:rsidRDefault="00B53E52">
      <w:pPr>
        <w:pStyle w:val="Tablegrowth"/>
        <w:rPr>
          <w:color w:val="FF0000"/>
        </w:rPr>
      </w:pPr>
      <w:r w:rsidRPr="008C1492">
        <w:rPr>
          <w:color w:val="FF0000"/>
        </w:rPr>
        <w:t>Wyndham</w:t>
      </w:r>
      <w:r w:rsidRPr="008C1492">
        <w:rPr>
          <w:color w:val="FF0000"/>
        </w:rPr>
        <w:tab/>
        <w:t>1,692</w:t>
      </w:r>
      <w:r w:rsidRPr="008C1492">
        <w:rPr>
          <w:color w:val="FF0000"/>
        </w:rPr>
        <w:tab/>
        <w:t>2,028</w:t>
      </w:r>
      <w:r w:rsidRPr="008C1492">
        <w:rPr>
          <w:color w:val="FF0000"/>
        </w:rPr>
        <w:tab/>
        <w:t>1,742</w:t>
      </w:r>
      <w:r w:rsidRPr="008C1492">
        <w:rPr>
          <w:color w:val="FF0000"/>
        </w:rPr>
        <w:tab/>
        <w:t>1,378</w:t>
      </w:r>
      <w:r w:rsidRPr="008C1492">
        <w:rPr>
          <w:color w:val="FF0000"/>
        </w:rPr>
        <w:tab/>
        <w:t>1,188</w:t>
      </w:r>
    </w:p>
    <w:p w:rsidR="00B53E52" w:rsidRDefault="00B53E52">
      <w:pPr>
        <w:pStyle w:val="Tableend"/>
      </w:pPr>
      <w:r>
        <w:t>West</w:t>
      </w:r>
      <w:r>
        <w:tab/>
        <w:t>3,395</w:t>
      </w:r>
      <w:r>
        <w:tab/>
        <w:t>3,533</w:t>
      </w:r>
      <w:r>
        <w:tab/>
        <w:t>2,840</w:t>
      </w:r>
      <w:r>
        <w:tab/>
        <w:t>2,748</w:t>
      </w:r>
      <w:r>
        <w:tab/>
        <w:t>2,742</w:t>
      </w:r>
    </w:p>
    <w:p w:rsidR="00B53E52" w:rsidRDefault="00B53E52">
      <w:pPr>
        <w:pStyle w:val="Tabletext"/>
      </w:pPr>
      <w:r>
        <w:t>Bayside</w:t>
      </w:r>
      <w:r>
        <w:tab/>
        <w:t>27</w:t>
      </w:r>
      <w:r>
        <w:tab/>
        <w:t>86</w:t>
      </w:r>
      <w:r>
        <w:tab/>
        <w:t>319</w:t>
      </w:r>
      <w:r>
        <w:tab/>
        <w:t>N/A</w:t>
      </w:r>
      <w:r>
        <w:tab/>
        <w:t>N/A</w:t>
      </w:r>
    </w:p>
    <w:p w:rsidR="00B53E52" w:rsidRPr="008C1492" w:rsidRDefault="00B53E52">
      <w:pPr>
        <w:pStyle w:val="Tablegrowth"/>
        <w:rPr>
          <w:color w:val="FF0000"/>
        </w:rPr>
      </w:pPr>
      <w:r w:rsidRPr="008C1492">
        <w:rPr>
          <w:color w:val="FF0000"/>
        </w:rPr>
        <w:t>Cardinia</w:t>
      </w:r>
      <w:r w:rsidRPr="008C1492">
        <w:rPr>
          <w:color w:val="FF0000"/>
        </w:rPr>
        <w:tab/>
        <w:t>129</w:t>
      </w:r>
      <w:r w:rsidRPr="008C1492">
        <w:rPr>
          <w:color w:val="FF0000"/>
        </w:rPr>
        <w:tab/>
        <w:t>103</w:t>
      </w:r>
      <w:r w:rsidRPr="008C1492">
        <w:rPr>
          <w:color w:val="FF0000"/>
        </w:rPr>
        <w:tab/>
        <w:t>103</w:t>
      </w:r>
      <w:r w:rsidRPr="008C1492">
        <w:rPr>
          <w:color w:val="FF0000"/>
        </w:rPr>
        <w:tab/>
        <w:t>745</w:t>
      </w:r>
      <w:r w:rsidRPr="008C1492">
        <w:rPr>
          <w:color w:val="FF0000"/>
        </w:rPr>
        <w:tab/>
        <w:t>424</w:t>
      </w:r>
    </w:p>
    <w:p w:rsidR="00B53E52" w:rsidRPr="008C1492" w:rsidRDefault="00B53E52">
      <w:pPr>
        <w:pStyle w:val="Tablegrowth"/>
        <w:rPr>
          <w:color w:val="FF0000"/>
        </w:rPr>
      </w:pPr>
      <w:r w:rsidRPr="008C1492">
        <w:rPr>
          <w:color w:val="FF0000"/>
        </w:rPr>
        <w:t>Casey</w:t>
      </w:r>
      <w:r w:rsidRPr="008C1492">
        <w:rPr>
          <w:color w:val="FF0000"/>
        </w:rPr>
        <w:tab/>
        <w:t>709</w:t>
      </w:r>
      <w:r w:rsidRPr="008C1492">
        <w:rPr>
          <w:color w:val="FF0000"/>
        </w:rPr>
        <w:tab/>
        <w:t>499</w:t>
      </w:r>
      <w:r w:rsidRPr="008C1492">
        <w:rPr>
          <w:color w:val="FF0000"/>
        </w:rPr>
        <w:tab/>
        <w:t>322</w:t>
      </w:r>
      <w:r w:rsidRPr="008C1492">
        <w:rPr>
          <w:color w:val="FF0000"/>
        </w:rPr>
        <w:tab/>
        <w:t>948</w:t>
      </w:r>
      <w:r w:rsidRPr="008C1492">
        <w:rPr>
          <w:color w:val="FF0000"/>
        </w:rPr>
        <w:tab/>
        <w:t>838</w:t>
      </w:r>
    </w:p>
    <w:p w:rsidR="00B53E52" w:rsidRDefault="00B53E52">
      <w:pPr>
        <w:pStyle w:val="Tabletext"/>
      </w:pPr>
      <w:r>
        <w:t>Frankston</w:t>
      </w:r>
      <w:r>
        <w:tab/>
        <w:t>473</w:t>
      </w:r>
      <w:r>
        <w:tab/>
        <w:t>355</w:t>
      </w:r>
      <w:r>
        <w:tab/>
        <w:t>349</w:t>
      </w:r>
      <w:r>
        <w:tab/>
        <w:t>191</w:t>
      </w:r>
      <w:r>
        <w:tab/>
        <w:t>412</w:t>
      </w:r>
    </w:p>
    <w:p w:rsidR="00B53E52" w:rsidRDefault="00B53E52">
      <w:pPr>
        <w:pStyle w:val="Tabletext"/>
      </w:pPr>
      <w:r>
        <w:t>Glen Eira</w:t>
      </w:r>
      <w:r>
        <w:tab/>
        <w:t>213</w:t>
      </w:r>
      <w:r>
        <w:tab/>
        <w:t>182</w:t>
      </w:r>
      <w:r>
        <w:tab/>
        <w:t>120</w:t>
      </w:r>
      <w:r>
        <w:tab/>
        <w:t>185</w:t>
      </w:r>
      <w:r>
        <w:tab/>
        <w:t>245</w:t>
      </w:r>
    </w:p>
    <w:p w:rsidR="00B53E52" w:rsidRDefault="00B53E52">
      <w:pPr>
        <w:pStyle w:val="Tabletext"/>
      </w:pPr>
      <w:r>
        <w:t xml:space="preserve">Greater </w:t>
      </w:r>
      <w:r>
        <w:br/>
        <w:t>Dandenong</w:t>
      </w:r>
      <w:r>
        <w:tab/>
      </w:r>
      <w:r>
        <w:rPr>
          <w:position w:val="6"/>
        </w:rPr>
        <w:t>157</w:t>
      </w:r>
      <w:r>
        <w:rPr>
          <w:position w:val="6"/>
        </w:rPr>
        <w:tab/>
        <w:t>168</w:t>
      </w:r>
      <w:r>
        <w:rPr>
          <w:position w:val="6"/>
        </w:rPr>
        <w:tab/>
        <w:t>232</w:t>
      </w:r>
      <w:r>
        <w:rPr>
          <w:position w:val="6"/>
        </w:rPr>
        <w:tab/>
        <w:t>482</w:t>
      </w:r>
      <w:r>
        <w:rPr>
          <w:position w:val="6"/>
        </w:rPr>
        <w:tab/>
        <w:t>670</w:t>
      </w:r>
    </w:p>
    <w:p w:rsidR="00B53E52" w:rsidRDefault="00B53E52">
      <w:pPr>
        <w:pStyle w:val="Tabletext"/>
      </w:pPr>
      <w:r>
        <w:t>Kingston</w:t>
      </w:r>
      <w:r>
        <w:tab/>
        <w:t>133</w:t>
      </w:r>
      <w:r>
        <w:tab/>
        <w:t>180</w:t>
      </w:r>
      <w:r>
        <w:tab/>
        <w:t>296</w:t>
      </w:r>
      <w:r>
        <w:tab/>
        <w:t>198</w:t>
      </w:r>
      <w:r>
        <w:tab/>
        <w:t>199</w:t>
      </w:r>
    </w:p>
    <w:p w:rsidR="00B53E52" w:rsidRDefault="00B53E52">
      <w:pPr>
        <w:pStyle w:val="Tabletext"/>
      </w:pPr>
      <w:r>
        <w:t xml:space="preserve">Mornington </w:t>
      </w:r>
      <w:r>
        <w:br/>
        <w:t>Peninsula</w:t>
      </w:r>
      <w:r>
        <w:tab/>
      </w:r>
      <w:r>
        <w:rPr>
          <w:position w:val="8"/>
        </w:rPr>
        <w:t>599</w:t>
      </w:r>
      <w:r>
        <w:rPr>
          <w:position w:val="8"/>
        </w:rPr>
        <w:tab/>
        <w:t>328</w:t>
      </w:r>
      <w:r>
        <w:rPr>
          <w:position w:val="8"/>
        </w:rPr>
        <w:tab/>
        <w:t>254</w:t>
      </w:r>
      <w:r>
        <w:rPr>
          <w:position w:val="8"/>
        </w:rPr>
        <w:tab/>
        <w:t>280</w:t>
      </w:r>
      <w:r>
        <w:rPr>
          <w:position w:val="8"/>
        </w:rPr>
        <w:tab/>
        <w:t>209</w:t>
      </w:r>
    </w:p>
    <w:p w:rsidR="00B53E52" w:rsidRDefault="00B53E52">
      <w:pPr>
        <w:pStyle w:val="Tableend"/>
      </w:pPr>
      <w:r>
        <w:t>South</w:t>
      </w:r>
      <w:r>
        <w:tab/>
        <w:t>2,440</w:t>
      </w:r>
      <w:r>
        <w:tab/>
        <w:t>1,901</w:t>
      </w:r>
      <w:r>
        <w:tab/>
        <w:t>1,995</w:t>
      </w:r>
      <w:r>
        <w:tab/>
        <w:t>3,029</w:t>
      </w:r>
      <w:r>
        <w:tab/>
        <w:t>2,997</w:t>
      </w:r>
    </w:p>
    <w:p w:rsidR="00B53E52" w:rsidRDefault="00B53E52">
      <w:pPr>
        <w:pStyle w:val="Tabletext"/>
      </w:pPr>
      <w:r>
        <w:t>Banyule</w:t>
      </w:r>
      <w:r>
        <w:tab/>
        <w:t>110</w:t>
      </w:r>
      <w:r>
        <w:tab/>
        <w:t>99</w:t>
      </w:r>
      <w:r>
        <w:tab/>
        <w:t>69</w:t>
      </w:r>
      <w:r>
        <w:tab/>
        <w:t>63</w:t>
      </w:r>
      <w:r>
        <w:tab/>
        <w:t>131</w:t>
      </w:r>
    </w:p>
    <w:p w:rsidR="00B53E52" w:rsidRDefault="00B53E52">
      <w:pPr>
        <w:pStyle w:val="Tabletext"/>
      </w:pPr>
      <w:r>
        <w:t>Darebin</w:t>
      </w:r>
      <w:r>
        <w:tab/>
        <w:t>242</w:t>
      </w:r>
      <w:r>
        <w:tab/>
        <w:t>218</w:t>
      </w:r>
      <w:r>
        <w:tab/>
        <w:t>246</w:t>
      </w:r>
      <w:r>
        <w:tab/>
        <w:t>259</w:t>
      </w:r>
      <w:r>
        <w:tab/>
        <w:t>102</w:t>
      </w:r>
    </w:p>
    <w:p w:rsidR="00B53E52" w:rsidRPr="008C1492" w:rsidRDefault="00B53E52">
      <w:pPr>
        <w:pStyle w:val="Tablegrowth"/>
        <w:rPr>
          <w:color w:val="FF0000"/>
        </w:rPr>
      </w:pPr>
      <w:r w:rsidRPr="008C1492">
        <w:rPr>
          <w:color w:val="FF0000"/>
        </w:rPr>
        <w:t>Hume</w:t>
      </w:r>
      <w:r w:rsidRPr="008C1492">
        <w:rPr>
          <w:color w:val="FF0000"/>
        </w:rPr>
        <w:tab/>
        <w:t>672</w:t>
      </w:r>
      <w:r w:rsidRPr="008C1492">
        <w:rPr>
          <w:color w:val="FF0000"/>
        </w:rPr>
        <w:tab/>
        <w:t>887</w:t>
      </w:r>
      <w:r w:rsidRPr="008C1492">
        <w:rPr>
          <w:color w:val="FF0000"/>
        </w:rPr>
        <w:tab/>
        <w:t>177</w:t>
      </w:r>
      <w:r w:rsidRPr="008C1492">
        <w:rPr>
          <w:color w:val="FF0000"/>
        </w:rPr>
        <w:tab/>
        <w:t>813</w:t>
      </w:r>
      <w:r w:rsidRPr="008C1492">
        <w:rPr>
          <w:color w:val="FF0000"/>
        </w:rPr>
        <w:tab/>
        <w:t>640</w:t>
      </w:r>
    </w:p>
    <w:p w:rsidR="00B53E52" w:rsidRDefault="00B53E52">
      <w:pPr>
        <w:pStyle w:val="Tabletext"/>
      </w:pPr>
      <w:r>
        <w:t>Moreland</w:t>
      </w:r>
      <w:r>
        <w:tab/>
        <w:t>264</w:t>
      </w:r>
      <w:r>
        <w:tab/>
        <w:t>333</w:t>
      </w:r>
      <w:r>
        <w:tab/>
        <w:t>246</w:t>
      </w:r>
      <w:r>
        <w:tab/>
        <w:t>496</w:t>
      </w:r>
      <w:r>
        <w:tab/>
        <w:t>413</w:t>
      </w:r>
    </w:p>
    <w:p w:rsidR="00B53E52" w:rsidRDefault="00B53E52">
      <w:pPr>
        <w:pStyle w:val="Tabletext"/>
      </w:pPr>
      <w:r>
        <w:t>Nillumbik</w:t>
      </w:r>
      <w:r>
        <w:tab/>
        <w:t>43</w:t>
      </w:r>
      <w:r>
        <w:tab/>
        <w:t>21</w:t>
      </w:r>
      <w:r>
        <w:tab/>
        <w:t>89</w:t>
      </w:r>
      <w:r>
        <w:tab/>
        <w:t>52</w:t>
      </w:r>
      <w:r>
        <w:tab/>
        <w:t>44</w:t>
      </w:r>
    </w:p>
    <w:p w:rsidR="00B53E52" w:rsidRPr="008C1492" w:rsidRDefault="00B53E52">
      <w:pPr>
        <w:pStyle w:val="Tablegrowth"/>
        <w:rPr>
          <w:color w:val="FF0000"/>
        </w:rPr>
      </w:pPr>
      <w:r w:rsidRPr="008C1492">
        <w:rPr>
          <w:color w:val="FF0000"/>
        </w:rPr>
        <w:t>Whittlesea</w:t>
      </w:r>
      <w:r w:rsidRPr="008C1492">
        <w:rPr>
          <w:color w:val="FF0000"/>
        </w:rPr>
        <w:tab/>
        <w:t>877</w:t>
      </w:r>
      <w:r w:rsidRPr="008C1492">
        <w:rPr>
          <w:color w:val="FF0000"/>
        </w:rPr>
        <w:tab/>
        <w:t>1,374</w:t>
      </w:r>
      <w:r w:rsidRPr="008C1492">
        <w:rPr>
          <w:color w:val="FF0000"/>
        </w:rPr>
        <w:tab/>
        <w:t>1,328</w:t>
      </w:r>
      <w:r w:rsidRPr="008C1492">
        <w:rPr>
          <w:color w:val="FF0000"/>
        </w:rPr>
        <w:tab/>
        <w:t>1,312</w:t>
      </w:r>
      <w:r w:rsidRPr="008C1492">
        <w:rPr>
          <w:color w:val="FF0000"/>
        </w:rPr>
        <w:tab/>
        <w:t>1,625</w:t>
      </w:r>
    </w:p>
    <w:p w:rsidR="00B53E52" w:rsidRDefault="00B53E52">
      <w:pPr>
        <w:pStyle w:val="Tableend"/>
      </w:pPr>
      <w:r>
        <w:t>North</w:t>
      </w:r>
      <w:r>
        <w:tab/>
        <w:t>2,208</w:t>
      </w:r>
      <w:r>
        <w:tab/>
        <w:t>2,932</w:t>
      </w:r>
      <w:r>
        <w:tab/>
        <w:t>2,155</w:t>
      </w:r>
      <w:r>
        <w:tab/>
        <w:t>2,995</w:t>
      </w:r>
      <w:r>
        <w:tab/>
        <w:t>2,955</w:t>
      </w:r>
    </w:p>
    <w:p w:rsidR="00B53E52" w:rsidRDefault="00B53E52">
      <w:pPr>
        <w:pStyle w:val="Tabletext"/>
      </w:pPr>
      <w:r>
        <w:t>Boroondara</w:t>
      </w:r>
      <w:r>
        <w:tab/>
        <w:t>321</w:t>
      </w:r>
      <w:r>
        <w:tab/>
        <w:t>237</w:t>
      </w:r>
      <w:r>
        <w:tab/>
        <w:t>80</w:t>
      </w:r>
      <w:r>
        <w:tab/>
        <w:t>82</w:t>
      </w:r>
      <w:r>
        <w:tab/>
        <w:t>156</w:t>
      </w:r>
    </w:p>
    <w:p w:rsidR="00B53E52" w:rsidRDefault="00B53E52">
      <w:pPr>
        <w:pStyle w:val="Tabletext"/>
      </w:pPr>
      <w:r>
        <w:t>Knox</w:t>
      </w:r>
      <w:r>
        <w:tab/>
        <w:t>88</w:t>
      </w:r>
      <w:r>
        <w:tab/>
        <w:t>82</w:t>
      </w:r>
      <w:r>
        <w:tab/>
        <w:t>101</w:t>
      </w:r>
      <w:r>
        <w:tab/>
        <w:t>57</w:t>
      </w:r>
      <w:r>
        <w:tab/>
        <w:t>113</w:t>
      </w:r>
    </w:p>
    <w:p w:rsidR="00B53E52" w:rsidRDefault="00B53E52">
      <w:pPr>
        <w:pStyle w:val="Tabletext"/>
      </w:pPr>
      <w:r>
        <w:t>Manningham</w:t>
      </w:r>
      <w:r>
        <w:tab/>
        <w:t>89</w:t>
      </w:r>
      <w:r>
        <w:tab/>
        <w:t>138</w:t>
      </w:r>
      <w:r>
        <w:tab/>
        <w:t>133</w:t>
      </w:r>
      <w:r>
        <w:tab/>
        <w:t>104</w:t>
      </w:r>
      <w:r>
        <w:tab/>
        <w:t>71</w:t>
      </w:r>
    </w:p>
    <w:p w:rsidR="00B53E52" w:rsidRDefault="00B53E52">
      <w:pPr>
        <w:pStyle w:val="Tabletext"/>
      </w:pPr>
      <w:r>
        <w:t>Maroondah</w:t>
      </w:r>
      <w:r>
        <w:tab/>
        <w:t>94</w:t>
      </w:r>
      <w:r>
        <w:tab/>
        <w:t>164</w:t>
      </w:r>
      <w:r>
        <w:tab/>
        <w:t>210</w:t>
      </w:r>
      <w:r>
        <w:tab/>
        <w:t>12</w:t>
      </w:r>
      <w:r>
        <w:tab/>
        <w:t>296</w:t>
      </w:r>
    </w:p>
    <w:p w:rsidR="00B53E52" w:rsidRDefault="00B53E52">
      <w:pPr>
        <w:pStyle w:val="Tabletext"/>
      </w:pPr>
      <w:r>
        <w:t>Monash</w:t>
      </w:r>
      <w:r>
        <w:tab/>
        <w:t>171</w:t>
      </w:r>
      <w:r>
        <w:tab/>
        <w:t>263</w:t>
      </w:r>
      <w:r>
        <w:tab/>
        <w:t>361</w:t>
      </w:r>
      <w:r>
        <w:tab/>
        <w:t>205</w:t>
      </w:r>
      <w:r>
        <w:tab/>
        <w:t>279</w:t>
      </w:r>
    </w:p>
    <w:p w:rsidR="00B53E52" w:rsidRDefault="00B53E52">
      <w:pPr>
        <w:pStyle w:val="Tabletext"/>
      </w:pPr>
      <w:r>
        <w:t>Stonnington</w:t>
      </w:r>
      <w:r>
        <w:tab/>
        <w:t>152</w:t>
      </w:r>
      <w:r>
        <w:tab/>
        <w:t>386</w:t>
      </w:r>
      <w:r>
        <w:tab/>
        <w:t>116</w:t>
      </w:r>
      <w:r>
        <w:tab/>
        <w:t>187</w:t>
      </w:r>
      <w:r>
        <w:tab/>
        <w:t>214</w:t>
      </w:r>
    </w:p>
    <w:p w:rsidR="00B53E52" w:rsidRDefault="00B53E52">
      <w:pPr>
        <w:pStyle w:val="Tabletext"/>
      </w:pPr>
      <w:r>
        <w:t>Whitehorse</w:t>
      </w:r>
      <w:r>
        <w:tab/>
        <w:t>112</w:t>
      </w:r>
      <w:r>
        <w:tab/>
        <w:t>170</w:t>
      </w:r>
      <w:r>
        <w:tab/>
        <w:t>143</w:t>
      </w:r>
      <w:r>
        <w:tab/>
        <w:t>453</w:t>
      </w:r>
      <w:r>
        <w:tab/>
        <w:t>N/A</w:t>
      </w:r>
    </w:p>
    <w:p w:rsidR="00B53E52" w:rsidRDefault="00B53E52">
      <w:pPr>
        <w:pStyle w:val="Tabletext"/>
      </w:pPr>
      <w:r>
        <w:t>Yarra Ranges</w:t>
      </w:r>
      <w:r>
        <w:tab/>
        <w:t>270</w:t>
      </w:r>
      <w:r>
        <w:tab/>
        <w:t>850</w:t>
      </w:r>
      <w:r>
        <w:tab/>
        <w:t>352</w:t>
      </w:r>
      <w:r>
        <w:tab/>
        <w:t>180</w:t>
      </w:r>
      <w:r>
        <w:tab/>
        <w:t>333</w:t>
      </w:r>
    </w:p>
    <w:p w:rsidR="00B53E52" w:rsidRDefault="00B53E52">
      <w:pPr>
        <w:pStyle w:val="Tableend"/>
      </w:pPr>
      <w:r>
        <w:t>East</w:t>
      </w:r>
      <w:r>
        <w:tab/>
        <w:t>1,297</w:t>
      </w:r>
      <w:r>
        <w:tab/>
        <w:t>2,290</w:t>
      </w:r>
      <w:r>
        <w:tab/>
        <w:t>1,496</w:t>
      </w:r>
      <w:r>
        <w:tab/>
        <w:t>1,280</w:t>
      </w:r>
      <w:r>
        <w:tab/>
        <w:t>1,462</w:t>
      </w:r>
    </w:p>
    <w:p w:rsidR="00B53E52" w:rsidRPr="008C1492" w:rsidRDefault="00B53E52">
      <w:pPr>
        <w:pStyle w:val="Tablegrowth"/>
        <w:rPr>
          <w:color w:val="FF0000"/>
        </w:rPr>
      </w:pPr>
      <w:r w:rsidRPr="008C1492">
        <w:rPr>
          <w:color w:val="FF0000"/>
        </w:rPr>
        <w:t xml:space="preserve">Growth area </w:t>
      </w:r>
      <w:r w:rsidRPr="008C1492">
        <w:rPr>
          <w:color w:val="FF0000"/>
        </w:rPr>
        <w:br/>
        <w:t>municipalities</w:t>
      </w:r>
      <w:r w:rsidRPr="008C1492">
        <w:rPr>
          <w:color w:val="FF0000"/>
        </w:rPr>
        <w:tab/>
      </w:r>
      <w:r w:rsidRPr="008C1492">
        <w:rPr>
          <w:color w:val="FF0000"/>
          <w:position w:val="8"/>
        </w:rPr>
        <w:t>5,129</w:t>
      </w:r>
      <w:r w:rsidRPr="008C1492">
        <w:rPr>
          <w:color w:val="FF0000"/>
          <w:position w:val="8"/>
        </w:rPr>
        <w:tab/>
        <w:t>5,801</w:t>
      </w:r>
      <w:r w:rsidRPr="008C1492">
        <w:rPr>
          <w:color w:val="FF0000"/>
          <w:position w:val="8"/>
        </w:rPr>
        <w:tab/>
        <w:t>4,035</w:t>
      </w:r>
      <w:r w:rsidRPr="008C1492">
        <w:rPr>
          <w:color w:val="FF0000"/>
          <w:position w:val="8"/>
        </w:rPr>
        <w:tab/>
        <w:t>5,843</w:t>
      </w:r>
      <w:r w:rsidRPr="008C1492">
        <w:rPr>
          <w:color w:val="FF0000"/>
          <w:position w:val="8"/>
        </w:rPr>
        <w:tab/>
        <w:t>5,485</w:t>
      </w:r>
    </w:p>
    <w:p w:rsidR="00B53E52" w:rsidRDefault="00B53E52">
      <w:pPr>
        <w:pStyle w:val="Tabletext"/>
        <w:rPr>
          <w:position w:val="8"/>
        </w:rPr>
      </w:pPr>
      <w:r>
        <w:t xml:space="preserve">Established </w:t>
      </w:r>
      <w:r>
        <w:br/>
        <w:t>municipalities</w:t>
      </w:r>
      <w:r>
        <w:tab/>
      </w:r>
      <w:r>
        <w:rPr>
          <w:position w:val="8"/>
        </w:rPr>
        <w:t>5,026</w:t>
      </w:r>
      <w:r>
        <w:rPr>
          <w:position w:val="8"/>
        </w:rPr>
        <w:tab/>
        <w:t>5,435</w:t>
      </w:r>
      <w:r>
        <w:rPr>
          <w:position w:val="8"/>
        </w:rPr>
        <w:tab/>
        <w:t>5,212</w:t>
      </w:r>
      <w:r>
        <w:rPr>
          <w:position w:val="8"/>
        </w:rPr>
        <w:tab/>
        <w:t>5,120</w:t>
      </w:r>
      <w:r>
        <w:rPr>
          <w:position w:val="8"/>
        </w:rPr>
        <w:tab/>
        <w:t>6,110</w:t>
      </w:r>
    </w:p>
    <w:p w:rsidR="00B53E52" w:rsidRDefault="00B53E52">
      <w:pPr>
        <w:pStyle w:val="Tableend"/>
      </w:pPr>
      <w:r>
        <w:t xml:space="preserve">TOTAL </w:t>
      </w:r>
      <w:r>
        <w:br/>
        <w:t>MELBOURNE</w:t>
      </w:r>
      <w:r>
        <w:tab/>
        <w:t>10,155</w:t>
      </w:r>
      <w:r>
        <w:tab/>
        <w:t>11,236</w:t>
      </w:r>
      <w:r>
        <w:tab/>
        <w:t>9,247</w:t>
      </w:r>
      <w:r>
        <w:tab/>
        <w:t>10,963</w:t>
      </w:r>
      <w:r>
        <w:tab/>
        <w:t>11,595</w:t>
      </w:r>
    </w:p>
    <w:p w:rsidR="00B53E52" w:rsidRDefault="00B53E52">
      <w:pPr>
        <w:pStyle w:val="Tablefootnote"/>
      </w:pPr>
      <w:r>
        <w:rPr>
          <w:rStyle w:val="Bold"/>
          <w:bCs/>
        </w:rPr>
        <w:t>Source</w:t>
      </w:r>
      <w:r>
        <w:t>: Spatial Analysis and Research Branch Survey of Councils</w:t>
      </w:r>
      <w:r>
        <w:br/>
        <w:t>N/A: Not Available</w:t>
      </w:r>
      <w:r>
        <w:br/>
      </w:r>
      <w:r>
        <w:rPr>
          <w:rStyle w:val="Italics"/>
          <w:iCs/>
        </w:rPr>
        <w:t>The data for 2008-09 for Stonnington has been revised since the June 2009 edition</w:t>
      </w:r>
      <w:r>
        <w:rPr>
          <w:rStyle w:val="Italics"/>
          <w:iCs/>
        </w:rPr>
        <w:tab/>
      </w:r>
      <w:r>
        <w:tab/>
      </w:r>
    </w:p>
    <w:p w:rsidR="00B53E52" w:rsidRDefault="00B53E52">
      <w:pPr>
        <w:pStyle w:val="Tablegrowth"/>
        <w:spacing w:before="57"/>
        <w:rPr>
          <w:position w:val="-2"/>
        </w:rPr>
      </w:pPr>
      <w:r>
        <w:rPr>
          <w:rStyle w:val="Bold"/>
          <w:bCs/>
          <w:position w:val="-2"/>
        </w:rPr>
        <w:t>Note</w:t>
      </w:r>
      <w:r>
        <w:rPr>
          <w:position w:val="-2"/>
        </w:rPr>
        <w:t>: Growth area municipalities highlighted</w:t>
      </w:r>
      <w:r>
        <w:rPr>
          <w:position w:val="-2"/>
        </w:rPr>
        <w:tab/>
      </w:r>
    </w:p>
    <w:p w:rsidR="00B53E52" w:rsidRDefault="00B53E52">
      <w:pPr>
        <w:pStyle w:val="Tabletitle"/>
        <w:rPr>
          <w:sz w:val="18"/>
        </w:rPr>
      </w:pPr>
    </w:p>
    <w:p w:rsidR="00B53E52" w:rsidRDefault="00B53E52">
      <w:pPr>
        <w:pStyle w:val="Tabletitle"/>
        <w:rPr>
          <w:sz w:val="18"/>
        </w:rPr>
      </w:pPr>
    </w:p>
    <w:p w:rsidR="00B53E52" w:rsidRDefault="00B53E52">
      <w:pPr>
        <w:pStyle w:val="Tabletitle"/>
        <w:rPr>
          <w:sz w:val="18"/>
        </w:rPr>
      </w:pPr>
    </w:p>
    <w:p w:rsidR="00B53E52" w:rsidRDefault="00B53E52">
      <w:pPr>
        <w:pStyle w:val="Tabletitle"/>
        <w:rPr>
          <w:sz w:val="18"/>
        </w:rPr>
      </w:pPr>
      <w:r>
        <w:rPr>
          <w:sz w:val="18"/>
        </w:rPr>
        <w:t>Table 2: Water supply conditions accepted for residential lots</w:t>
      </w:r>
    </w:p>
    <w:tbl>
      <w:tblPr>
        <w:tblW w:w="0" w:type="auto"/>
        <w:tblInd w:w="8" w:type="dxa"/>
        <w:tblLayout w:type="fixed"/>
        <w:tblCellMar>
          <w:left w:w="0" w:type="dxa"/>
          <w:right w:w="0" w:type="dxa"/>
        </w:tblCellMar>
        <w:tblLook w:val="0000"/>
      </w:tblPr>
      <w:tblGrid>
        <w:gridCol w:w="1074"/>
        <w:gridCol w:w="486"/>
        <w:gridCol w:w="486"/>
        <w:gridCol w:w="486"/>
        <w:gridCol w:w="487"/>
        <w:gridCol w:w="504"/>
      </w:tblGrid>
      <w:tr w:rsidR="00B53E52" w:rsidRPr="00A577D8">
        <w:trPr>
          <w:trHeight w:val="60"/>
        </w:trPr>
        <w:tc>
          <w:tcPr>
            <w:tcW w:w="1074" w:type="dxa"/>
            <w:vMerge w:val="restart"/>
            <w:tcBorders>
              <w:top w:val="single" w:sz="6" w:space="0" w:color="FFFFFF"/>
              <w:left w:val="single" w:sz="6" w:space="0" w:color="FFFFFF"/>
              <w:bottom w:val="single" w:sz="8"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jc w:val="left"/>
              <w:rPr>
                <w:color w:val="FFFFFF"/>
              </w:rPr>
            </w:pPr>
            <w:r w:rsidRPr="008C1492">
              <w:rPr>
                <w:color w:val="FFFFFF"/>
                <w:sz w:val="14"/>
              </w:rPr>
              <w:t xml:space="preserve"> Municipality</w:t>
            </w:r>
          </w:p>
        </w:tc>
        <w:tc>
          <w:tcPr>
            <w:tcW w:w="2449" w:type="dxa"/>
            <w:gridSpan w:val="5"/>
            <w:tcBorders>
              <w:top w:val="single" w:sz="6" w:space="0" w:color="FFFFFF"/>
              <w:left w:val="single" w:sz="6" w:space="0" w:color="FFFFFF"/>
              <w:bottom w:val="single" w:sz="8"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rPr>
                <w:color w:val="FFFFFF"/>
              </w:rPr>
            </w:pPr>
            <w:r w:rsidRPr="008C1492">
              <w:rPr>
                <w:color w:val="FFFFFF"/>
                <w:sz w:val="14"/>
              </w:rPr>
              <w:t>Number of Lots per Quarter</w:t>
            </w:r>
          </w:p>
        </w:tc>
      </w:tr>
      <w:tr w:rsidR="00B53E52" w:rsidRPr="00A577D8">
        <w:trPr>
          <w:trHeight w:val="60"/>
        </w:trPr>
        <w:tc>
          <w:tcPr>
            <w:tcW w:w="1074" w:type="dxa"/>
            <w:vMerge/>
            <w:tcBorders>
              <w:top w:val="single" w:sz="8" w:space="0" w:color="FFFFFF"/>
              <w:left w:val="single" w:sz="6" w:space="0" w:color="FFFFFF"/>
              <w:bottom w:val="single" w:sz="6" w:space="0" w:color="FFFFFF"/>
              <w:right w:val="single" w:sz="6" w:space="0" w:color="FFFFFF"/>
            </w:tcBorders>
          </w:tcPr>
          <w:p w:rsidR="00B53E52" w:rsidRPr="008C1492" w:rsidRDefault="00B53E52">
            <w:pPr>
              <w:pStyle w:val="NoParagraphStyle"/>
              <w:spacing w:line="240" w:lineRule="auto"/>
              <w:textAlignment w:val="auto"/>
              <w:rPr>
                <w:rFonts w:ascii="Frutiger-Bold" w:hAnsi="Frutiger-Bold" w:cs="Times New Roman"/>
                <w:color w:val="FFFFFF"/>
                <w:lang w:val="en-US"/>
              </w:rPr>
            </w:pPr>
          </w:p>
        </w:tc>
        <w:tc>
          <w:tcPr>
            <w:tcW w:w="486" w:type="dxa"/>
            <w:tcBorders>
              <w:top w:val="single" w:sz="8" w:space="0" w:color="FFFFFF"/>
              <w:left w:val="single" w:sz="6" w:space="0" w:color="FFFFFF"/>
              <w:bottom w:val="single" w:sz="6"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rPr>
                <w:color w:val="FFFFFF"/>
              </w:rPr>
            </w:pPr>
            <w:r w:rsidRPr="008C1492">
              <w:rPr>
                <w:color w:val="FFFFFF"/>
                <w:sz w:val="14"/>
              </w:rPr>
              <w:t xml:space="preserve">Jun </w:t>
            </w:r>
            <w:r w:rsidRPr="008C1492">
              <w:rPr>
                <w:color w:val="FFFFFF"/>
                <w:sz w:val="14"/>
              </w:rPr>
              <w:br/>
              <w:t>‘09</w:t>
            </w:r>
          </w:p>
        </w:tc>
        <w:tc>
          <w:tcPr>
            <w:tcW w:w="486" w:type="dxa"/>
            <w:tcBorders>
              <w:top w:val="single" w:sz="8" w:space="0" w:color="FFFFFF"/>
              <w:left w:val="single" w:sz="6" w:space="0" w:color="FFFFFF"/>
              <w:bottom w:val="single" w:sz="6"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rPr>
                <w:color w:val="FFFFFF"/>
              </w:rPr>
            </w:pPr>
            <w:r w:rsidRPr="008C1492">
              <w:rPr>
                <w:color w:val="FFFFFF"/>
                <w:sz w:val="14"/>
              </w:rPr>
              <w:t>Sep</w:t>
            </w:r>
            <w:r w:rsidRPr="008C1492">
              <w:rPr>
                <w:color w:val="FFFFFF"/>
                <w:sz w:val="14"/>
              </w:rPr>
              <w:br/>
              <w:t>‘09</w:t>
            </w:r>
          </w:p>
        </w:tc>
        <w:tc>
          <w:tcPr>
            <w:tcW w:w="486" w:type="dxa"/>
            <w:tcBorders>
              <w:top w:val="single" w:sz="8" w:space="0" w:color="FFFFFF"/>
              <w:left w:val="single" w:sz="6" w:space="0" w:color="FFFFFF"/>
              <w:bottom w:val="single" w:sz="6"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rPr>
                <w:color w:val="FFFFFF"/>
              </w:rPr>
            </w:pPr>
            <w:r w:rsidRPr="008C1492">
              <w:rPr>
                <w:color w:val="FFFFFF"/>
                <w:sz w:val="14"/>
              </w:rPr>
              <w:t>Dec</w:t>
            </w:r>
            <w:r w:rsidRPr="008C1492">
              <w:rPr>
                <w:color w:val="FFFFFF"/>
                <w:sz w:val="14"/>
              </w:rPr>
              <w:br/>
              <w:t>‘09</w:t>
            </w:r>
          </w:p>
        </w:tc>
        <w:tc>
          <w:tcPr>
            <w:tcW w:w="487" w:type="dxa"/>
            <w:tcBorders>
              <w:top w:val="single" w:sz="8" w:space="0" w:color="FFFFFF"/>
              <w:left w:val="single" w:sz="6" w:space="0" w:color="FFFFFF"/>
              <w:bottom w:val="single" w:sz="6"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rPr>
                <w:color w:val="FFFFFF"/>
              </w:rPr>
            </w:pPr>
            <w:r w:rsidRPr="008C1492">
              <w:rPr>
                <w:color w:val="FFFFFF"/>
                <w:sz w:val="14"/>
              </w:rPr>
              <w:t>Mar</w:t>
            </w:r>
            <w:r w:rsidRPr="008C1492">
              <w:rPr>
                <w:color w:val="FFFFFF"/>
                <w:sz w:val="14"/>
              </w:rPr>
              <w:br/>
              <w:t>‘10</w:t>
            </w:r>
          </w:p>
        </w:tc>
        <w:tc>
          <w:tcPr>
            <w:tcW w:w="504" w:type="dxa"/>
            <w:tcBorders>
              <w:top w:val="single" w:sz="8" w:space="0" w:color="FFFFFF"/>
              <w:left w:val="single" w:sz="6" w:space="0" w:color="FFFFFF"/>
              <w:bottom w:val="single" w:sz="6"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rPr>
                <w:color w:val="FFFFFF"/>
              </w:rPr>
            </w:pPr>
            <w:r w:rsidRPr="008C1492">
              <w:rPr>
                <w:color w:val="FFFFFF"/>
                <w:sz w:val="14"/>
              </w:rPr>
              <w:t>Jun</w:t>
            </w:r>
            <w:r w:rsidRPr="008C1492">
              <w:rPr>
                <w:color w:val="FFFFFF"/>
                <w:sz w:val="14"/>
              </w:rPr>
              <w:br/>
              <w:t>‘10</w:t>
            </w:r>
          </w:p>
        </w:tc>
      </w:tr>
    </w:tbl>
    <w:p w:rsidR="00B53E52" w:rsidRDefault="00B53E52">
      <w:pPr>
        <w:pStyle w:val="Tabletext"/>
      </w:pPr>
      <w:r>
        <w:t>Melbourne</w:t>
      </w:r>
      <w:r>
        <w:tab/>
        <w:t>166</w:t>
      </w:r>
      <w:r>
        <w:tab/>
        <w:t>19</w:t>
      </w:r>
      <w:r>
        <w:tab/>
        <w:t>10</w:t>
      </w:r>
      <w:r>
        <w:tab/>
        <w:t>20</w:t>
      </w:r>
      <w:r>
        <w:tab/>
        <w:t>6</w:t>
      </w:r>
    </w:p>
    <w:p w:rsidR="00B53E52" w:rsidRDefault="00B53E52">
      <w:pPr>
        <w:pStyle w:val="Tabletext"/>
      </w:pPr>
      <w:r>
        <w:t>Port Phillip</w:t>
      </w:r>
      <w:r>
        <w:tab/>
        <w:t>3</w:t>
      </w:r>
      <w:r>
        <w:tab/>
        <w:t>2</w:t>
      </w:r>
      <w:r>
        <w:tab/>
        <w:t>2</w:t>
      </w:r>
      <w:r>
        <w:tab/>
        <w:t>N/A</w:t>
      </w:r>
      <w:r>
        <w:tab/>
        <w:t>N/A</w:t>
      </w:r>
    </w:p>
    <w:p w:rsidR="00B53E52" w:rsidRDefault="00B53E52">
      <w:pPr>
        <w:pStyle w:val="Tabletext"/>
      </w:pPr>
      <w:r>
        <w:t>Yarra</w:t>
      </w:r>
      <w:r>
        <w:tab/>
        <w:t>4</w:t>
      </w:r>
      <w:r>
        <w:tab/>
        <w:t>9</w:t>
      </w:r>
      <w:r>
        <w:tab/>
        <w:t>18</w:t>
      </w:r>
      <w:r>
        <w:tab/>
        <w:t>10</w:t>
      </w:r>
      <w:r>
        <w:tab/>
        <w:t>N/A</w:t>
      </w:r>
    </w:p>
    <w:p w:rsidR="00B53E52" w:rsidRDefault="00B53E52">
      <w:pPr>
        <w:pStyle w:val="Tableend"/>
      </w:pPr>
      <w:r>
        <w:t>Inner</w:t>
      </w:r>
      <w:r>
        <w:tab/>
        <w:t>173</w:t>
      </w:r>
      <w:r>
        <w:tab/>
        <w:t>30</w:t>
      </w:r>
      <w:r>
        <w:tab/>
        <w:t>30</w:t>
      </w:r>
      <w:r>
        <w:tab/>
        <w:t>30</w:t>
      </w:r>
      <w:r>
        <w:tab/>
        <w:t>6</w:t>
      </w:r>
    </w:p>
    <w:p w:rsidR="00B53E52" w:rsidRDefault="00B53E52">
      <w:pPr>
        <w:pStyle w:val="Tabletext"/>
      </w:pPr>
      <w:r>
        <w:t>Brimbank</w:t>
      </w:r>
      <w:r>
        <w:tab/>
        <w:t>172</w:t>
      </w:r>
      <w:r>
        <w:tab/>
        <w:t>348</w:t>
      </w:r>
      <w:r>
        <w:tab/>
        <w:t>287</w:t>
      </w:r>
      <w:r>
        <w:tab/>
        <w:t>257</w:t>
      </w:r>
      <w:r>
        <w:tab/>
        <w:t>49</w:t>
      </w:r>
    </w:p>
    <w:p w:rsidR="00B53E52" w:rsidRDefault="00B53E52">
      <w:pPr>
        <w:pStyle w:val="Tabletext"/>
      </w:pPr>
      <w:r>
        <w:t>Hobsons Bay</w:t>
      </w:r>
      <w:r>
        <w:tab/>
        <w:t>4</w:t>
      </w:r>
      <w:r>
        <w:tab/>
        <w:t>6</w:t>
      </w:r>
      <w:r>
        <w:tab/>
        <w:t>7</w:t>
      </w:r>
      <w:r>
        <w:tab/>
        <w:t>8</w:t>
      </w:r>
      <w:r>
        <w:tab/>
        <w:t>18</w:t>
      </w:r>
    </w:p>
    <w:p w:rsidR="00B53E52" w:rsidRDefault="00B53E52">
      <w:pPr>
        <w:pStyle w:val="Tabletext"/>
      </w:pPr>
      <w:r>
        <w:t>Maribyrnong</w:t>
      </w:r>
      <w:r>
        <w:tab/>
        <w:t>81</w:t>
      </w:r>
      <w:r>
        <w:tab/>
        <w:t>56</w:t>
      </w:r>
      <w:r>
        <w:tab/>
        <w:t>12</w:t>
      </w:r>
      <w:r>
        <w:tab/>
        <w:t>36</w:t>
      </w:r>
      <w:r>
        <w:tab/>
        <w:t>17</w:t>
      </w:r>
    </w:p>
    <w:p w:rsidR="00B53E52" w:rsidRPr="008C1492" w:rsidRDefault="00B53E52">
      <w:pPr>
        <w:pStyle w:val="Tablegrowth"/>
        <w:rPr>
          <w:color w:val="FF0000"/>
        </w:rPr>
      </w:pPr>
      <w:r w:rsidRPr="008C1492">
        <w:rPr>
          <w:color w:val="FF0000"/>
        </w:rPr>
        <w:t>Melton</w:t>
      </w:r>
      <w:r w:rsidRPr="008C1492">
        <w:rPr>
          <w:color w:val="FF0000"/>
        </w:rPr>
        <w:tab/>
        <w:t>187</w:t>
      </w:r>
      <w:r w:rsidRPr="008C1492">
        <w:rPr>
          <w:color w:val="FF0000"/>
        </w:rPr>
        <w:tab/>
        <w:t>181</w:t>
      </w:r>
      <w:r w:rsidRPr="008C1492">
        <w:rPr>
          <w:color w:val="FF0000"/>
        </w:rPr>
        <w:tab/>
        <w:t>423</w:t>
      </w:r>
      <w:r w:rsidRPr="008C1492">
        <w:rPr>
          <w:color w:val="FF0000"/>
        </w:rPr>
        <w:tab/>
        <w:t>335</w:t>
      </w:r>
      <w:r w:rsidRPr="008C1492">
        <w:rPr>
          <w:color w:val="FF0000"/>
        </w:rPr>
        <w:tab/>
        <w:t>702</w:t>
      </w:r>
    </w:p>
    <w:p w:rsidR="00B53E52" w:rsidRDefault="00B53E52">
      <w:pPr>
        <w:pStyle w:val="Tabletext"/>
      </w:pPr>
      <w:r>
        <w:t>Moonee Valley</w:t>
      </w:r>
      <w:r>
        <w:tab/>
        <w:t>10</w:t>
      </w:r>
      <w:r>
        <w:tab/>
        <w:t>58</w:t>
      </w:r>
      <w:r>
        <w:tab/>
        <w:t>5</w:t>
      </w:r>
      <w:r>
        <w:tab/>
        <w:t>16</w:t>
      </w:r>
      <w:r>
        <w:tab/>
        <w:t>66</w:t>
      </w:r>
    </w:p>
    <w:p w:rsidR="00B53E52" w:rsidRPr="008C1492" w:rsidRDefault="00B53E52">
      <w:pPr>
        <w:pStyle w:val="Tablegrowth"/>
        <w:rPr>
          <w:color w:val="FF0000"/>
        </w:rPr>
      </w:pPr>
      <w:r w:rsidRPr="008C1492">
        <w:rPr>
          <w:color w:val="FF0000"/>
        </w:rPr>
        <w:t>Wyndham</w:t>
      </w:r>
      <w:r w:rsidRPr="008C1492">
        <w:rPr>
          <w:color w:val="FF0000"/>
        </w:rPr>
        <w:tab/>
        <w:t>1,398</w:t>
      </w:r>
      <w:r w:rsidRPr="008C1492">
        <w:rPr>
          <w:color w:val="FF0000"/>
        </w:rPr>
        <w:tab/>
        <w:t>1,487</w:t>
      </w:r>
      <w:r w:rsidRPr="008C1492">
        <w:rPr>
          <w:color w:val="FF0000"/>
        </w:rPr>
        <w:tab/>
        <w:t>1,057</w:t>
      </w:r>
      <w:r w:rsidRPr="008C1492">
        <w:rPr>
          <w:color w:val="FF0000"/>
        </w:rPr>
        <w:tab/>
        <w:t>1,676</w:t>
      </w:r>
      <w:r w:rsidRPr="008C1492">
        <w:rPr>
          <w:color w:val="FF0000"/>
        </w:rPr>
        <w:tab/>
        <w:t>1,200</w:t>
      </w:r>
    </w:p>
    <w:p w:rsidR="00B53E52" w:rsidRDefault="00B53E52">
      <w:pPr>
        <w:pStyle w:val="Tableend"/>
      </w:pPr>
      <w:r>
        <w:t>West</w:t>
      </w:r>
      <w:r>
        <w:tab/>
        <w:t>1,852</w:t>
      </w:r>
      <w:r>
        <w:tab/>
        <w:t>2,136</w:t>
      </w:r>
      <w:r>
        <w:tab/>
        <w:t>1,791</w:t>
      </w:r>
      <w:r>
        <w:tab/>
        <w:t>2,328</w:t>
      </w:r>
      <w:r>
        <w:tab/>
        <w:t>2,052</w:t>
      </w:r>
    </w:p>
    <w:p w:rsidR="00B53E52" w:rsidRDefault="00B53E52">
      <w:pPr>
        <w:pStyle w:val="Tabletext"/>
      </w:pPr>
      <w:r>
        <w:t>Bayside</w:t>
      </w:r>
      <w:r>
        <w:tab/>
        <w:t>4</w:t>
      </w:r>
      <w:r>
        <w:tab/>
        <w:t>10</w:t>
      </w:r>
      <w:r>
        <w:tab/>
        <w:t>6</w:t>
      </w:r>
      <w:r>
        <w:tab/>
        <w:t>7</w:t>
      </w:r>
      <w:r>
        <w:tab/>
        <w:t>N/A</w:t>
      </w:r>
    </w:p>
    <w:p w:rsidR="00B53E52" w:rsidRPr="008C1492" w:rsidRDefault="00B53E52">
      <w:pPr>
        <w:pStyle w:val="Tablegrowth"/>
        <w:rPr>
          <w:color w:val="FF0000"/>
        </w:rPr>
      </w:pPr>
      <w:r w:rsidRPr="008C1492">
        <w:rPr>
          <w:color w:val="FF0000"/>
        </w:rPr>
        <w:t>Cardinia</w:t>
      </w:r>
      <w:r w:rsidRPr="008C1492">
        <w:rPr>
          <w:color w:val="FF0000"/>
        </w:rPr>
        <w:tab/>
        <w:t>180</w:t>
      </w:r>
      <w:r w:rsidRPr="008C1492">
        <w:rPr>
          <w:color w:val="FF0000"/>
        </w:rPr>
        <w:tab/>
        <w:t>479</w:t>
      </w:r>
      <w:r w:rsidRPr="008C1492">
        <w:rPr>
          <w:color w:val="FF0000"/>
        </w:rPr>
        <w:tab/>
        <w:t>262</w:t>
      </w:r>
      <w:r w:rsidRPr="008C1492">
        <w:rPr>
          <w:color w:val="FF0000"/>
        </w:rPr>
        <w:tab/>
        <w:t>63</w:t>
      </w:r>
      <w:r w:rsidRPr="008C1492">
        <w:rPr>
          <w:color w:val="FF0000"/>
        </w:rPr>
        <w:tab/>
        <w:t>N/A</w:t>
      </w:r>
    </w:p>
    <w:p w:rsidR="00B53E52" w:rsidRPr="008C1492" w:rsidRDefault="00B53E52">
      <w:pPr>
        <w:pStyle w:val="Tablegrowth"/>
        <w:rPr>
          <w:color w:val="FF0000"/>
        </w:rPr>
      </w:pPr>
      <w:r w:rsidRPr="008C1492">
        <w:rPr>
          <w:color w:val="FF0000"/>
        </w:rPr>
        <w:t>Casey</w:t>
      </w:r>
      <w:r w:rsidRPr="008C1492">
        <w:rPr>
          <w:color w:val="FF0000"/>
        </w:rPr>
        <w:tab/>
        <w:t>436</w:t>
      </w:r>
      <w:r w:rsidRPr="008C1492">
        <w:rPr>
          <w:color w:val="FF0000"/>
        </w:rPr>
        <w:tab/>
        <w:t>669</w:t>
      </w:r>
      <w:r w:rsidRPr="008C1492">
        <w:rPr>
          <w:color w:val="FF0000"/>
        </w:rPr>
        <w:tab/>
        <w:t>384</w:t>
      </w:r>
      <w:r w:rsidRPr="008C1492">
        <w:rPr>
          <w:color w:val="FF0000"/>
        </w:rPr>
        <w:tab/>
        <w:t>58</w:t>
      </w:r>
      <w:r w:rsidRPr="008C1492">
        <w:rPr>
          <w:color w:val="FF0000"/>
        </w:rPr>
        <w:tab/>
        <w:t>N/A</w:t>
      </w:r>
    </w:p>
    <w:p w:rsidR="00B53E52" w:rsidRDefault="00B53E52">
      <w:pPr>
        <w:pStyle w:val="Tabletext"/>
      </w:pPr>
      <w:r>
        <w:t>Frankston</w:t>
      </w:r>
      <w:r>
        <w:tab/>
        <w:t>277</w:t>
      </w:r>
      <w:r>
        <w:tab/>
        <w:t>612</w:t>
      </w:r>
      <w:r>
        <w:tab/>
        <w:t>117</w:t>
      </w:r>
      <w:r>
        <w:tab/>
        <w:t>13</w:t>
      </w:r>
      <w:r>
        <w:tab/>
        <w:t>N/A</w:t>
      </w:r>
    </w:p>
    <w:p w:rsidR="00B53E52" w:rsidRDefault="00B53E52">
      <w:pPr>
        <w:pStyle w:val="Tabletext"/>
      </w:pPr>
      <w:r>
        <w:t>Glen Eira</w:t>
      </w:r>
      <w:r>
        <w:tab/>
        <w:t>4</w:t>
      </w:r>
      <w:r>
        <w:tab/>
        <w:t>8</w:t>
      </w:r>
      <w:r>
        <w:tab/>
        <w:t>6</w:t>
      </w:r>
      <w:r>
        <w:tab/>
        <w:t>21</w:t>
      </w:r>
      <w:r>
        <w:tab/>
        <w:t>N/A</w:t>
      </w:r>
    </w:p>
    <w:p w:rsidR="00B53E52" w:rsidRDefault="00B53E52">
      <w:pPr>
        <w:pStyle w:val="Tabletext"/>
      </w:pPr>
      <w:r>
        <w:t xml:space="preserve">Greater </w:t>
      </w:r>
      <w:r>
        <w:br/>
        <w:t>Dandenong</w:t>
      </w:r>
      <w:r>
        <w:tab/>
      </w:r>
      <w:r>
        <w:rPr>
          <w:position w:val="8"/>
        </w:rPr>
        <w:t>101</w:t>
      </w:r>
      <w:r>
        <w:rPr>
          <w:position w:val="8"/>
        </w:rPr>
        <w:tab/>
        <w:t>5</w:t>
      </w:r>
      <w:r>
        <w:rPr>
          <w:position w:val="8"/>
        </w:rPr>
        <w:tab/>
        <w:t>183</w:t>
      </w:r>
      <w:r>
        <w:rPr>
          <w:position w:val="8"/>
        </w:rPr>
        <w:tab/>
        <w:t>34</w:t>
      </w:r>
      <w:r>
        <w:rPr>
          <w:position w:val="8"/>
        </w:rPr>
        <w:tab/>
        <w:t>N/A</w:t>
      </w:r>
    </w:p>
    <w:p w:rsidR="00B53E52" w:rsidRDefault="00B53E52">
      <w:pPr>
        <w:pStyle w:val="Tabletext"/>
      </w:pPr>
      <w:r>
        <w:t>Kingston</w:t>
      </w:r>
      <w:r>
        <w:tab/>
        <w:t>23</w:t>
      </w:r>
      <w:r>
        <w:tab/>
        <w:t>22</w:t>
      </w:r>
      <w:r>
        <w:tab/>
        <w:t>22</w:t>
      </w:r>
      <w:r>
        <w:tab/>
        <w:t>15</w:t>
      </w:r>
      <w:r>
        <w:tab/>
        <w:t>N/A</w:t>
      </w:r>
    </w:p>
    <w:p w:rsidR="00B53E52" w:rsidRDefault="00B53E52">
      <w:pPr>
        <w:pStyle w:val="Tabletext"/>
      </w:pPr>
      <w:r>
        <w:t xml:space="preserve">Mornington </w:t>
      </w:r>
      <w:r>
        <w:br/>
        <w:t>Peninsula</w:t>
      </w:r>
      <w:r>
        <w:tab/>
      </w:r>
      <w:r>
        <w:rPr>
          <w:position w:val="8"/>
        </w:rPr>
        <w:t>114</w:t>
      </w:r>
      <w:r>
        <w:rPr>
          <w:position w:val="8"/>
        </w:rPr>
        <w:tab/>
        <w:t>93</w:t>
      </w:r>
      <w:r>
        <w:rPr>
          <w:position w:val="8"/>
        </w:rPr>
        <w:tab/>
        <w:t>81</w:t>
      </w:r>
      <w:r>
        <w:rPr>
          <w:position w:val="8"/>
        </w:rPr>
        <w:tab/>
        <w:t>42</w:t>
      </w:r>
      <w:r>
        <w:rPr>
          <w:position w:val="8"/>
        </w:rPr>
        <w:tab/>
        <w:t>N/A</w:t>
      </w:r>
    </w:p>
    <w:p w:rsidR="00B53E52" w:rsidRDefault="00B53E52">
      <w:pPr>
        <w:pStyle w:val="Tableend"/>
      </w:pPr>
      <w:r>
        <w:t>South</w:t>
      </w:r>
      <w:r>
        <w:tab/>
        <w:t>1,139</w:t>
      </w:r>
      <w:r>
        <w:tab/>
        <w:t>1,898</w:t>
      </w:r>
      <w:r>
        <w:tab/>
        <w:t>1,061</w:t>
      </w:r>
      <w:r>
        <w:tab/>
        <w:t>253</w:t>
      </w:r>
      <w:r>
        <w:tab/>
        <w:t>N/A</w:t>
      </w:r>
    </w:p>
    <w:p w:rsidR="00B53E52" w:rsidRDefault="00B53E52">
      <w:pPr>
        <w:pStyle w:val="Tabletext"/>
      </w:pPr>
      <w:r>
        <w:t>Banyule</w:t>
      </w:r>
      <w:r>
        <w:tab/>
        <w:t>193</w:t>
      </w:r>
      <w:r>
        <w:tab/>
        <w:t>135</w:t>
      </w:r>
      <w:r>
        <w:tab/>
        <w:t>150</w:t>
      </w:r>
      <w:r>
        <w:tab/>
        <w:t>89</w:t>
      </w:r>
      <w:r>
        <w:tab/>
        <w:t>N/A</w:t>
      </w:r>
    </w:p>
    <w:p w:rsidR="00B53E52" w:rsidRDefault="00B53E52">
      <w:pPr>
        <w:pStyle w:val="Tabletext"/>
      </w:pPr>
      <w:r>
        <w:t>Darebin</w:t>
      </w:r>
      <w:r>
        <w:tab/>
        <w:t>194</w:t>
      </w:r>
      <w:r>
        <w:tab/>
        <w:t>N/A</w:t>
      </w:r>
      <w:r>
        <w:tab/>
        <w:t>415</w:t>
      </w:r>
      <w:r>
        <w:tab/>
        <w:t>160</w:t>
      </w:r>
      <w:r>
        <w:tab/>
        <w:t>N/A</w:t>
      </w:r>
    </w:p>
    <w:p w:rsidR="00B53E52" w:rsidRPr="008C1492" w:rsidRDefault="00B53E52">
      <w:pPr>
        <w:pStyle w:val="Tablegrowth"/>
        <w:rPr>
          <w:color w:val="FF0000"/>
        </w:rPr>
      </w:pPr>
      <w:r w:rsidRPr="008C1492">
        <w:rPr>
          <w:color w:val="FF0000"/>
        </w:rPr>
        <w:t>Hume</w:t>
      </w:r>
      <w:r w:rsidRPr="008C1492">
        <w:rPr>
          <w:color w:val="FF0000"/>
        </w:rPr>
        <w:tab/>
        <w:t>375</w:t>
      </w:r>
      <w:r w:rsidRPr="008C1492">
        <w:rPr>
          <w:color w:val="FF0000"/>
        </w:rPr>
        <w:tab/>
        <w:t>641</w:t>
      </w:r>
      <w:r w:rsidRPr="008C1492">
        <w:rPr>
          <w:color w:val="FF0000"/>
        </w:rPr>
        <w:tab/>
        <w:t>541</w:t>
      </w:r>
      <w:r w:rsidRPr="008C1492">
        <w:rPr>
          <w:color w:val="FF0000"/>
        </w:rPr>
        <w:tab/>
        <w:t>330</w:t>
      </w:r>
      <w:r w:rsidRPr="008C1492">
        <w:rPr>
          <w:color w:val="FF0000"/>
        </w:rPr>
        <w:tab/>
        <w:t>133</w:t>
      </w:r>
    </w:p>
    <w:p w:rsidR="00B53E52" w:rsidRDefault="00B53E52">
      <w:pPr>
        <w:pStyle w:val="Tabletext"/>
      </w:pPr>
      <w:r>
        <w:t>Moreland</w:t>
      </w:r>
      <w:r>
        <w:tab/>
        <w:t>535</w:t>
      </w:r>
      <w:r>
        <w:tab/>
        <w:t>468</w:t>
      </w:r>
      <w:r>
        <w:tab/>
        <w:t>293</w:t>
      </w:r>
      <w:r>
        <w:tab/>
        <w:t>288</w:t>
      </w:r>
      <w:r>
        <w:tab/>
        <w:t>N/A</w:t>
      </w:r>
    </w:p>
    <w:p w:rsidR="00B53E52" w:rsidRDefault="00B53E52">
      <w:pPr>
        <w:pStyle w:val="Tabletext"/>
      </w:pPr>
      <w:r>
        <w:t>Nillumbik</w:t>
      </w:r>
      <w:r>
        <w:tab/>
        <w:t>58</w:t>
      </w:r>
      <w:r>
        <w:tab/>
        <w:t>412</w:t>
      </w:r>
      <w:r>
        <w:tab/>
        <w:t>357</w:t>
      </w:r>
      <w:r>
        <w:tab/>
        <w:t>252</w:t>
      </w:r>
      <w:r>
        <w:tab/>
        <w:t>N/A</w:t>
      </w:r>
    </w:p>
    <w:p w:rsidR="00B53E52" w:rsidRPr="008C1492" w:rsidRDefault="00B53E52">
      <w:pPr>
        <w:pStyle w:val="Tablegrowth"/>
        <w:rPr>
          <w:color w:val="FF0000"/>
        </w:rPr>
      </w:pPr>
      <w:r w:rsidRPr="008C1492">
        <w:rPr>
          <w:color w:val="FF0000"/>
        </w:rPr>
        <w:t>Whittlesea</w:t>
      </w:r>
      <w:r w:rsidRPr="008C1492">
        <w:rPr>
          <w:color w:val="FF0000"/>
        </w:rPr>
        <w:tab/>
        <w:t>644</w:t>
      </w:r>
      <w:r w:rsidRPr="008C1492">
        <w:rPr>
          <w:color w:val="FF0000"/>
        </w:rPr>
        <w:tab/>
        <w:t>613</w:t>
      </w:r>
      <w:r w:rsidRPr="008C1492">
        <w:rPr>
          <w:color w:val="FF0000"/>
        </w:rPr>
        <w:tab/>
        <w:t>953</w:t>
      </w:r>
      <w:r w:rsidRPr="008C1492">
        <w:rPr>
          <w:color w:val="FF0000"/>
        </w:rPr>
        <w:tab/>
        <w:t>754</w:t>
      </w:r>
      <w:r w:rsidRPr="008C1492">
        <w:rPr>
          <w:color w:val="FF0000"/>
        </w:rPr>
        <w:tab/>
        <w:t>N/A</w:t>
      </w:r>
    </w:p>
    <w:p w:rsidR="00B53E52" w:rsidRDefault="00B53E52">
      <w:pPr>
        <w:pStyle w:val="Tableend"/>
      </w:pPr>
      <w:r>
        <w:t>North</w:t>
      </w:r>
      <w:r>
        <w:tab/>
        <w:t>1,999</w:t>
      </w:r>
      <w:r>
        <w:tab/>
        <w:t>2,269</w:t>
      </w:r>
      <w:r>
        <w:tab/>
        <w:t>2,709</w:t>
      </w:r>
      <w:r>
        <w:tab/>
        <w:t>1,873</w:t>
      </w:r>
      <w:r>
        <w:tab/>
        <w:t>133</w:t>
      </w:r>
    </w:p>
    <w:p w:rsidR="00B53E52" w:rsidRDefault="00B53E52">
      <w:pPr>
        <w:pStyle w:val="Tabletext"/>
      </w:pPr>
      <w:r>
        <w:t>Boroondara</w:t>
      </w:r>
      <w:r>
        <w:tab/>
        <w:t>135</w:t>
      </w:r>
      <w:r>
        <w:tab/>
        <w:t>180</w:t>
      </w:r>
      <w:r>
        <w:tab/>
        <w:t>220</w:t>
      </w:r>
      <w:r>
        <w:tab/>
        <w:t>284</w:t>
      </w:r>
      <w:r>
        <w:tab/>
        <w:t>N/A</w:t>
      </w:r>
    </w:p>
    <w:p w:rsidR="00B53E52" w:rsidRDefault="00B53E52">
      <w:pPr>
        <w:pStyle w:val="Tabletext"/>
      </w:pPr>
      <w:r>
        <w:t>Knox</w:t>
      </w:r>
      <w:r>
        <w:tab/>
        <w:t>29</w:t>
      </w:r>
      <w:r>
        <w:tab/>
        <w:t>25</w:t>
      </w:r>
      <w:r>
        <w:tab/>
        <w:t>13</w:t>
      </w:r>
      <w:r>
        <w:tab/>
        <w:t>34</w:t>
      </w:r>
      <w:r>
        <w:tab/>
        <w:t>N/A</w:t>
      </w:r>
    </w:p>
    <w:p w:rsidR="00B53E52" w:rsidRDefault="00B53E52">
      <w:pPr>
        <w:pStyle w:val="Tabletext"/>
      </w:pPr>
      <w:r>
        <w:t>Manningham</w:t>
      </w:r>
      <w:r>
        <w:tab/>
        <w:t>93</w:t>
      </w:r>
      <w:r>
        <w:tab/>
        <w:t>78</w:t>
      </w:r>
      <w:r>
        <w:tab/>
        <w:t>77</w:t>
      </w:r>
      <w:r>
        <w:tab/>
        <w:t>64</w:t>
      </w:r>
      <w:r>
        <w:tab/>
        <w:t>N/A</w:t>
      </w:r>
    </w:p>
    <w:p w:rsidR="00B53E52" w:rsidRDefault="00B53E52">
      <w:pPr>
        <w:pStyle w:val="Tabletext"/>
      </w:pPr>
      <w:r>
        <w:t>Maroondah</w:t>
      </w:r>
      <w:r>
        <w:tab/>
        <w:t>140</w:t>
      </w:r>
      <w:r>
        <w:tab/>
        <w:t>142</w:t>
      </w:r>
      <w:r>
        <w:tab/>
        <w:t>202</w:t>
      </w:r>
      <w:r>
        <w:tab/>
        <w:t>119</w:t>
      </w:r>
      <w:r>
        <w:tab/>
        <w:t>N/A</w:t>
      </w:r>
    </w:p>
    <w:p w:rsidR="00B53E52" w:rsidRDefault="00B53E52">
      <w:pPr>
        <w:pStyle w:val="Tabletext"/>
      </w:pPr>
      <w:r>
        <w:t>Monash</w:t>
      </w:r>
      <w:r>
        <w:tab/>
        <w:t>113</w:t>
      </w:r>
      <w:r>
        <w:tab/>
        <w:t>142</w:t>
      </w:r>
      <w:r>
        <w:tab/>
        <w:t>165</w:t>
      </w:r>
      <w:r>
        <w:tab/>
        <w:t>205</w:t>
      </w:r>
      <w:r>
        <w:tab/>
        <w:t>N/A</w:t>
      </w:r>
    </w:p>
    <w:p w:rsidR="00B53E52" w:rsidRDefault="00B53E52">
      <w:pPr>
        <w:pStyle w:val="Tabletext"/>
      </w:pPr>
      <w:r>
        <w:t>Stonnington</w:t>
      </w:r>
      <w:r>
        <w:tab/>
        <w:t>23</w:t>
      </w:r>
      <w:r>
        <w:tab/>
        <w:t>17</w:t>
      </w:r>
      <w:r>
        <w:tab/>
        <w:t>106</w:t>
      </w:r>
      <w:r>
        <w:tab/>
        <w:t>36</w:t>
      </w:r>
      <w:r>
        <w:tab/>
        <w:t>N/A</w:t>
      </w:r>
    </w:p>
    <w:p w:rsidR="00B53E52" w:rsidRDefault="00B53E52">
      <w:pPr>
        <w:pStyle w:val="Tabletext"/>
      </w:pPr>
      <w:r>
        <w:t>Whitehorse</w:t>
      </w:r>
      <w:r>
        <w:tab/>
        <w:t>160</w:t>
      </w:r>
      <w:r>
        <w:tab/>
        <w:t>171</w:t>
      </w:r>
      <w:r>
        <w:tab/>
        <w:t>196</w:t>
      </w:r>
      <w:r>
        <w:tab/>
        <w:t>100</w:t>
      </w:r>
      <w:r>
        <w:tab/>
        <w:t>N/A</w:t>
      </w:r>
    </w:p>
    <w:p w:rsidR="00B53E52" w:rsidRDefault="00B53E52">
      <w:pPr>
        <w:pStyle w:val="Tabletext"/>
      </w:pPr>
      <w:r>
        <w:t>Yarra Ranges</w:t>
      </w:r>
      <w:r>
        <w:tab/>
        <w:t>135</w:t>
      </w:r>
      <w:r>
        <w:tab/>
        <w:t>122</w:t>
      </w:r>
      <w:r>
        <w:tab/>
        <w:t>207</w:t>
      </w:r>
      <w:r>
        <w:tab/>
        <w:t>119</w:t>
      </w:r>
      <w:r>
        <w:tab/>
        <w:t>N/A</w:t>
      </w:r>
    </w:p>
    <w:p w:rsidR="00B53E52" w:rsidRDefault="00B53E52">
      <w:pPr>
        <w:pStyle w:val="Tableend"/>
      </w:pPr>
      <w:r>
        <w:t>East</w:t>
      </w:r>
      <w:r>
        <w:tab/>
        <w:t>828</w:t>
      </w:r>
      <w:r>
        <w:tab/>
        <w:t>877</w:t>
      </w:r>
      <w:r>
        <w:tab/>
        <w:t>1,186</w:t>
      </w:r>
      <w:r>
        <w:tab/>
        <w:t>961</w:t>
      </w:r>
      <w:r>
        <w:tab/>
        <w:t>N/A</w:t>
      </w:r>
    </w:p>
    <w:p w:rsidR="00B53E52" w:rsidRPr="008C1492" w:rsidRDefault="00B53E52">
      <w:pPr>
        <w:pStyle w:val="Tablegrowth"/>
        <w:rPr>
          <w:color w:val="FF0000"/>
        </w:rPr>
      </w:pPr>
      <w:r w:rsidRPr="008C1492">
        <w:rPr>
          <w:color w:val="FF0000"/>
        </w:rPr>
        <w:t xml:space="preserve">Growth area </w:t>
      </w:r>
      <w:r w:rsidRPr="008C1492">
        <w:rPr>
          <w:color w:val="FF0000"/>
        </w:rPr>
        <w:br/>
        <w:t>municipalities</w:t>
      </w:r>
      <w:r w:rsidRPr="008C1492">
        <w:rPr>
          <w:color w:val="FF0000"/>
        </w:rPr>
        <w:tab/>
      </w:r>
      <w:r w:rsidRPr="008C1492">
        <w:rPr>
          <w:color w:val="FF0000"/>
          <w:position w:val="8"/>
        </w:rPr>
        <w:t>3,220</w:t>
      </w:r>
      <w:r w:rsidRPr="008C1492">
        <w:rPr>
          <w:color w:val="FF0000"/>
          <w:position w:val="8"/>
        </w:rPr>
        <w:tab/>
        <w:t>4,070</w:t>
      </w:r>
      <w:r w:rsidRPr="008C1492">
        <w:rPr>
          <w:color w:val="FF0000"/>
          <w:position w:val="8"/>
        </w:rPr>
        <w:tab/>
        <w:t>3,620</w:t>
      </w:r>
      <w:r w:rsidRPr="008C1492">
        <w:rPr>
          <w:color w:val="FF0000"/>
          <w:position w:val="8"/>
        </w:rPr>
        <w:tab/>
        <w:t>3,216</w:t>
      </w:r>
      <w:r w:rsidRPr="008C1492">
        <w:rPr>
          <w:color w:val="FF0000"/>
          <w:position w:val="8"/>
        </w:rPr>
        <w:tab/>
        <w:t>2,035</w:t>
      </w:r>
    </w:p>
    <w:p w:rsidR="00B53E52" w:rsidRDefault="00B53E52">
      <w:pPr>
        <w:pStyle w:val="Tabletext"/>
      </w:pPr>
      <w:r>
        <w:t xml:space="preserve">Established </w:t>
      </w:r>
      <w:r>
        <w:br/>
        <w:t>municipalities</w:t>
      </w:r>
      <w:r>
        <w:tab/>
      </w:r>
      <w:r>
        <w:rPr>
          <w:position w:val="8"/>
        </w:rPr>
        <w:t>2,771</w:t>
      </w:r>
      <w:r>
        <w:rPr>
          <w:position w:val="8"/>
        </w:rPr>
        <w:tab/>
        <w:t>3,140</w:t>
      </w:r>
      <w:r>
        <w:rPr>
          <w:position w:val="8"/>
        </w:rPr>
        <w:tab/>
        <w:t>3,157</w:t>
      </w:r>
      <w:r>
        <w:rPr>
          <w:position w:val="8"/>
        </w:rPr>
        <w:tab/>
        <w:t>2,229</w:t>
      </w:r>
      <w:r>
        <w:rPr>
          <w:position w:val="8"/>
        </w:rPr>
        <w:tab/>
        <w:t>156</w:t>
      </w:r>
    </w:p>
    <w:p w:rsidR="00B53E52" w:rsidRDefault="00B53E52">
      <w:pPr>
        <w:pStyle w:val="Tableend"/>
      </w:pPr>
      <w:r>
        <w:t xml:space="preserve">TOTAL </w:t>
      </w:r>
      <w:r>
        <w:br/>
        <w:t>MELBOURNE</w:t>
      </w:r>
      <w:r>
        <w:tab/>
        <w:t>5,991</w:t>
      </w:r>
      <w:r>
        <w:tab/>
        <w:t>7,210</w:t>
      </w:r>
      <w:r>
        <w:tab/>
        <w:t>6,777</w:t>
      </w:r>
      <w:r>
        <w:tab/>
        <w:t>5,445</w:t>
      </w:r>
      <w:r>
        <w:tab/>
        <w:t>2,191</w:t>
      </w:r>
    </w:p>
    <w:p w:rsidR="00B53E52" w:rsidRDefault="00B53E52">
      <w:pPr>
        <w:pStyle w:val="Tablefootnote"/>
        <w:rPr>
          <w:rStyle w:val="Bold"/>
          <w:bCs/>
        </w:rPr>
      </w:pPr>
      <w:r>
        <w:rPr>
          <w:rStyle w:val="Bold"/>
          <w:bCs/>
        </w:rPr>
        <w:t>Source</w:t>
      </w:r>
      <w:r>
        <w:t>: City West Wate and Western Water</w:t>
      </w:r>
      <w:r>
        <w:tab/>
      </w:r>
      <w:r>
        <w:rPr>
          <w:rStyle w:val="Bold"/>
          <w:bCs/>
        </w:rPr>
        <w:t xml:space="preserve">Note: </w:t>
      </w:r>
      <w:r>
        <w:rPr>
          <w:rStyle w:val="Bold"/>
          <w:b w:val="0"/>
        </w:rPr>
        <w:t xml:space="preserve">Data from Yarra Valley Water and South East Water not available and </w:t>
      </w:r>
      <w:r>
        <w:rPr>
          <w:rStyle w:val="Bold"/>
          <w:b w:val="0"/>
        </w:rPr>
        <w:tab/>
        <w:t>data from previous quarters Bulletin incorrect. Please see correction on website.</w:t>
      </w:r>
      <w:r>
        <w:rPr>
          <w:rStyle w:val="Bold"/>
          <w:bCs/>
        </w:rPr>
        <w:tab/>
      </w:r>
      <w:r>
        <w:rPr>
          <w:rStyle w:val="Bold"/>
          <w:bCs/>
        </w:rPr>
        <w:tab/>
      </w:r>
    </w:p>
    <w:p w:rsidR="00B53E52" w:rsidRDefault="00B53E52">
      <w:pPr>
        <w:pStyle w:val="Tablegrowth"/>
        <w:spacing w:before="113"/>
        <w:rPr>
          <w:position w:val="2"/>
        </w:rPr>
      </w:pPr>
      <w:r>
        <w:rPr>
          <w:rStyle w:val="Bold"/>
          <w:bCs/>
          <w:position w:val="2"/>
        </w:rPr>
        <w:tab/>
        <w:t>Note</w:t>
      </w:r>
      <w:r>
        <w:rPr>
          <w:position w:val="2"/>
        </w:rPr>
        <w:t>: Growth area municipalities highlighted</w:t>
      </w:r>
      <w:r>
        <w:rPr>
          <w:position w:val="2"/>
        </w:rPr>
        <w:tab/>
      </w:r>
    </w:p>
    <w:p w:rsidR="00B53E52" w:rsidRDefault="00B53E52">
      <w:pPr>
        <w:pStyle w:val="Tabletitle"/>
        <w:rPr>
          <w:sz w:val="18"/>
        </w:rPr>
      </w:pPr>
      <w:r>
        <w:rPr>
          <w:sz w:val="18"/>
        </w:rPr>
        <w:br w:type="page"/>
        <w:t>Table 3: Certification of residential lots</w:t>
      </w:r>
      <w:r>
        <w:rPr>
          <w:sz w:val="18"/>
        </w:rPr>
        <w:br/>
      </w:r>
    </w:p>
    <w:tbl>
      <w:tblPr>
        <w:tblW w:w="0" w:type="auto"/>
        <w:tblInd w:w="8" w:type="dxa"/>
        <w:tblLayout w:type="fixed"/>
        <w:tblCellMar>
          <w:left w:w="0" w:type="dxa"/>
          <w:right w:w="0" w:type="dxa"/>
        </w:tblCellMar>
        <w:tblLook w:val="0000"/>
      </w:tblPr>
      <w:tblGrid>
        <w:gridCol w:w="1074"/>
        <w:gridCol w:w="486"/>
        <w:gridCol w:w="486"/>
        <w:gridCol w:w="486"/>
        <w:gridCol w:w="487"/>
        <w:gridCol w:w="504"/>
      </w:tblGrid>
      <w:tr w:rsidR="00B53E52" w:rsidRPr="00A577D8">
        <w:trPr>
          <w:trHeight w:val="60"/>
        </w:trPr>
        <w:tc>
          <w:tcPr>
            <w:tcW w:w="1074" w:type="dxa"/>
            <w:vMerge w:val="restart"/>
            <w:tcBorders>
              <w:top w:val="single" w:sz="6" w:space="0" w:color="FFFFFF"/>
              <w:left w:val="single" w:sz="6" w:space="0" w:color="FFFFFF"/>
              <w:bottom w:val="single" w:sz="8"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jc w:val="left"/>
              <w:rPr>
                <w:color w:val="FFFFFF"/>
              </w:rPr>
            </w:pPr>
            <w:r w:rsidRPr="008C1492">
              <w:rPr>
                <w:color w:val="FFFFFF"/>
                <w:sz w:val="14"/>
              </w:rPr>
              <w:t xml:space="preserve"> Municipality</w:t>
            </w:r>
          </w:p>
        </w:tc>
        <w:tc>
          <w:tcPr>
            <w:tcW w:w="2449" w:type="dxa"/>
            <w:gridSpan w:val="5"/>
            <w:tcBorders>
              <w:top w:val="single" w:sz="6" w:space="0" w:color="FFFFFF"/>
              <w:left w:val="single" w:sz="6" w:space="0" w:color="FFFFFF"/>
              <w:bottom w:val="single" w:sz="8"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rPr>
                <w:color w:val="FFFFFF"/>
              </w:rPr>
            </w:pPr>
            <w:r w:rsidRPr="008C1492">
              <w:rPr>
                <w:color w:val="FFFFFF"/>
                <w:sz w:val="14"/>
              </w:rPr>
              <w:t>Number of Lots per Quarter</w:t>
            </w:r>
          </w:p>
        </w:tc>
      </w:tr>
      <w:tr w:rsidR="00B53E52" w:rsidRPr="00A577D8">
        <w:trPr>
          <w:trHeight w:val="60"/>
        </w:trPr>
        <w:tc>
          <w:tcPr>
            <w:tcW w:w="1074" w:type="dxa"/>
            <w:vMerge/>
            <w:tcBorders>
              <w:top w:val="single" w:sz="8" w:space="0" w:color="FFFFFF"/>
              <w:left w:val="single" w:sz="6" w:space="0" w:color="FFFFFF"/>
              <w:bottom w:val="single" w:sz="6" w:space="0" w:color="FFFFFF"/>
              <w:right w:val="single" w:sz="6" w:space="0" w:color="FFFFFF"/>
            </w:tcBorders>
          </w:tcPr>
          <w:p w:rsidR="00B53E52" w:rsidRPr="008C1492" w:rsidRDefault="00B53E52">
            <w:pPr>
              <w:pStyle w:val="NoParagraphStyle"/>
              <w:spacing w:line="240" w:lineRule="auto"/>
              <w:textAlignment w:val="auto"/>
              <w:rPr>
                <w:rFonts w:ascii="Frutiger-Bold" w:hAnsi="Frutiger-Bold" w:cs="Times New Roman"/>
                <w:color w:val="FFFFFF"/>
                <w:lang w:val="en-US"/>
              </w:rPr>
            </w:pPr>
          </w:p>
        </w:tc>
        <w:tc>
          <w:tcPr>
            <w:tcW w:w="486" w:type="dxa"/>
            <w:tcBorders>
              <w:top w:val="single" w:sz="8" w:space="0" w:color="FFFFFF"/>
              <w:left w:val="single" w:sz="6" w:space="0" w:color="FFFFFF"/>
              <w:bottom w:val="single" w:sz="6"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rPr>
                <w:color w:val="FFFFFF"/>
              </w:rPr>
            </w:pPr>
            <w:r w:rsidRPr="008C1492">
              <w:rPr>
                <w:color w:val="FFFFFF"/>
                <w:sz w:val="14"/>
              </w:rPr>
              <w:t xml:space="preserve">Jun </w:t>
            </w:r>
            <w:r w:rsidRPr="008C1492">
              <w:rPr>
                <w:color w:val="FFFFFF"/>
                <w:sz w:val="14"/>
              </w:rPr>
              <w:br/>
              <w:t>‘09</w:t>
            </w:r>
          </w:p>
        </w:tc>
        <w:tc>
          <w:tcPr>
            <w:tcW w:w="486" w:type="dxa"/>
            <w:tcBorders>
              <w:top w:val="single" w:sz="8" w:space="0" w:color="FFFFFF"/>
              <w:left w:val="single" w:sz="6" w:space="0" w:color="FFFFFF"/>
              <w:bottom w:val="single" w:sz="6"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rPr>
                <w:color w:val="FFFFFF"/>
              </w:rPr>
            </w:pPr>
            <w:r w:rsidRPr="008C1492">
              <w:rPr>
                <w:color w:val="FFFFFF"/>
                <w:sz w:val="14"/>
              </w:rPr>
              <w:t>Sep</w:t>
            </w:r>
            <w:r w:rsidRPr="008C1492">
              <w:rPr>
                <w:color w:val="FFFFFF"/>
                <w:sz w:val="14"/>
              </w:rPr>
              <w:br/>
              <w:t>‘09</w:t>
            </w:r>
          </w:p>
        </w:tc>
        <w:tc>
          <w:tcPr>
            <w:tcW w:w="486" w:type="dxa"/>
            <w:tcBorders>
              <w:top w:val="single" w:sz="8" w:space="0" w:color="FFFFFF"/>
              <w:left w:val="single" w:sz="6" w:space="0" w:color="FFFFFF"/>
              <w:bottom w:val="single" w:sz="6"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rPr>
                <w:color w:val="FFFFFF"/>
              </w:rPr>
            </w:pPr>
            <w:r w:rsidRPr="008C1492">
              <w:rPr>
                <w:color w:val="FFFFFF"/>
                <w:sz w:val="14"/>
              </w:rPr>
              <w:t>Dec</w:t>
            </w:r>
            <w:r w:rsidRPr="008C1492">
              <w:rPr>
                <w:color w:val="FFFFFF"/>
                <w:sz w:val="14"/>
              </w:rPr>
              <w:br/>
              <w:t>‘09</w:t>
            </w:r>
          </w:p>
        </w:tc>
        <w:tc>
          <w:tcPr>
            <w:tcW w:w="487" w:type="dxa"/>
            <w:tcBorders>
              <w:top w:val="single" w:sz="8" w:space="0" w:color="FFFFFF"/>
              <w:left w:val="single" w:sz="6" w:space="0" w:color="FFFFFF"/>
              <w:bottom w:val="single" w:sz="6"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rPr>
                <w:color w:val="FFFFFF"/>
              </w:rPr>
            </w:pPr>
            <w:r w:rsidRPr="008C1492">
              <w:rPr>
                <w:color w:val="FFFFFF"/>
                <w:sz w:val="14"/>
              </w:rPr>
              <w:t>Mar</w:t>
            </w:r>
            <w:r w:rsidRPr="008C1492">
              <w:rPr>
                <w:color w:val="FFFFFF"/>
                <w:sz w:val="14"/>
              </w:rPr>
              <w:br/>
              <w:t>‘10</w:t>
            </w:r>
          </w:p>
        </w:tc>
        <w:tc>
          <w:tcPr>
            <w:tcW w:w="504" w:type="dxa"/>
            <w:tcBorders>
              <w:top w:val="single" w:sz="8" w:space="0" w:color="FFFFFF"/>
              <w:left w:val="single" w:sz="6" w:space="0" w:color="FFFFFF"/>
              <w:bottom w:val="single" w:sz="6"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rPr>
                <w:color w:val="FFFFFF"/>
              </w:rPr>
            </w:pPr>
            <w:r w:rsidRPr="008C1492">
              <w:rPr>
                <w:color w:val="FFFFFF"/>
                <w:sz w:val="14"/>
              </w:rPr>
              <w:t>Jun</w:t>
            </w:r>
            <w:r w:rsidRPr="008C1492">
              <w:rPr>
                <w:color w:val="FFFFFF"/>
                <w:sz w:val="14"/>
              </w:rPr>
              <w:br/>
              <w:t>‘10</w:t>
            </w:r>
          </w:p>
        </w:tc>
      </w:tr>
    </w:tbl>
    <w:p w:rsidR="00B53E52" w:rsidRDefault="00B53E52">
      <w:pPr>
        <w:pStyle w:val="Tabletext"/>
      </w:pPr>
      <w:r>
        <w:t>Melbourne</w:t>
      </w:r>
      <w:r>
        <w:tab/>
        <w:t>2</w:t>
      </w:r>
      <w:r>
        <w:tab/>
        <w:t>0</w:t>
      </w:r>
      <w:r>
        <w:tab/>
        <w:t>0</w:t>
      </w:r>
      <w:r>
        <w:tab/>
        <w:t>2</w:t>
      </w:r>
      <w:r>
        <w:tab/>
        <w:t>0</w:t>
      </w:r>
    </w:p>
    <w:p w:rsidR="00B53E52" w:rsidRDefault="00B53E52">
      <w:pPr>
        <w:pStyle w:val="Tabletext"/>
      </w:pPr>
      <w:r>
        <w:t>Port Phillip</w:t>
      </w:r>
      <w:r>
        <w:tab/>
        <w:t>7</w:t>
      </w:r>
      <w:r>
        <w:tab/>
        <w:t>27</w:t>
      </w:r>
      <w:r>
        <w:tab/>
        <w:t>38</w:t>
      </w:r>
      <w:r>
        <w:tab/>
        <w:t>19</w:t>
      </w:r>
      <w:r>
        <w:tab/>
        <w:t>20</w:t>
      </w:r>
    </w:p>
    <w:p w:rsidR="00B53E52" w:rsidRDefault="00B53E52">
      <w:pPr>
        <w:pStyle w:val="Tabletext"/>
      </w:pPr>
      <w:r>
        <w:t>Yarra</w:t>
      </w:r>
      <w:r>
        <w:tab/>
        <w:t>90</w:t>
      </w:r>
      <w:r>
        <w:tab/>
        <w:t>49</w:t>
      </w:r>
      <w:r>
        <w:tab/>
        <w:t>225</w:t>
      </w:r>
      <w:r>
        <w:tab/>
        <w:t>33</w:t>
      </w:r>
      <w:r>
        <w:tab/>
        <w:t>86</w:t>
      </w:r>
    </w:p>
    <w:p w:rsidR="00B53E52" w:rsidRDefault="00B53E52">
      <w:pPr>
        <w:pStyle w:val="Tableend"/>
      </w:pPr>
      <w:r>
        <w:t>Inner</w:t>
      </w:r>
      <w:r>
        <w:tab/>
        <w:t>99</w:t>
      </w:r>
      <w:r>
        <w:tab/>
        <w:t>76</w:t>
      </w:r>
      <w:r>
        <w:tab/>
        <w:t>263</w:t>
      </w:r>
      <w:r>
        <w:tab/>
        <w:t>54</w:t>
      </w:r>
      <w:r>
        <w:tab/>
        <w:t>106</w:t>
      </w:r>
    </w:p>
    <w:p w:rsidR="00B53E52" w:rsidRDefault="00B53E52">
      <w:pPr>
        <w:pStyle w:val="Tabletext"/>
      </w:pPr>
      <w:r>
        <w:t>Brimbank</w:t>
      </w:r>
      <w:r>
        <w:tab/>
        <w:t>192</w:t>
      </w:r>
      <w:r>
        <w:tab/>
        <w:t>326</w:t>
      </w:r>
      <w:r>
        <w:tab/>
        <w:t>116</w:t>
      </w:r>
      <w:r>
        <w:tab/>
        <w:t>113</w:t>
      </w:r>
      <w:r>
        <w:tab/>
        <w:t>444</w:t>
      </w:r>
    </w:p>
    <w:p w:rsidR="00B53E52" w:rsidRDefault="00B53E52">
      <w:pPr>
        <w:pStyle w:val="Tabletext"/>
      </w:pPr>
      <w:r>
        <w:t>Hobsons Bay</w:t>
      </w:r>
      <w:r>
        <w:tab/>
        <w:t>107</w:t>
      </w:r>
      <w:r>
        <w:tab/>
        <w:t>142</w:t>
      </w:r>
      <w:r>
        <w:tab/>
        <w:t>214</w:t>
      </w:r>
      <w:r>
        <w:tab/>
        <w:t>105</w:t>
      </w:r>
      <w:r>
        <w:tab/>
        <w:t>118</w:t>
      </w:r>
    </w:p>
    <w:p w:rsidR="00B53E52" w:rsidRDefault="00B53E52">
      <w:pPr>
        <w:pStyle w:val="Tabletext"/>
      </w:pPr>
      <w:r>
        <w:t>Maribyrnong</w:t>
      </w:r>
      <w:r>
        <w:tab/>
        <w:t>170</w:t>
      </w:r>
      <w:r>
        <w:tab/>
        <w:t>168</w:t>
      </w:r>
      <w:r>
        <w:tab/>
        <w:t>112</w:t>
      </w:r>
      <w:r>
        <w:tab/>
        <w:t>208</w:t>
      </w:r>
      <w:r>
        <w:tab/>
        <w:t>91</w:t>
      </w:r>
    </w:p>
    <w:p w:rsidR="00B53E52" w:rsidRPr="008C1492" w:rsidRDefault="00B53E52">
      <w:pPr>
        <w:pStyle w:val="Tablegrowth"/>
        <w:rPr>
          <w:color w:val="FF0000"/>
        </w:rPr>
      </w:pPr>
      <w:r w:rsidRPr="008C1492">
        <w:rPr>
          <w:color w:val="FF0000"/>
        </w:rPr>
        <w:t>Melton</w:t>
      </w:r>
      <w:r w:rsidRPr="008C1492">
        <w:rPr>
          <w:color w:val="FF0000"/>
        </w:rPr>
        <w:tab/>
        <w:t>949</w:t>
      </w:r>
      <w:r w:rsidRPr="008C1492">
        <w:rPr>
          <w:color w:val="FF0000"/>
        </w:rPr>
        <w:tab/>
        <w:t>605</w:t>
      </w:r>
      <w:r w:rsidRPr="008C1492">
        <w:rPr>
          <w:color w:val="FF0000"/>
        </w:rPr>
        <w:tab/>
        <w:t>618</w:t>
      </w:r>
      <w:r w:rsidRPr="008C1492">
        <w:rPr>
          <w:color w:val="FF0000"/>
        </w:rPr>
        <w:tab/>
        <w:t>494</w:t>
      </w:r>
      <w:r w:rsidRPr="008C1492">
        <w:rPr>
          <w:color w:val="FF0000"/>
        </w:rPr>
        <w:tab/>
        <w:t>311</w:t>
      </w:r>
    </w:p>
    <w:p w:rsidR="00B53E52" w:rsidRDefault="00B53E52">
      <w:pPr>
        <w:pStyle w:val="Tabletext"/>
      </w:pPr>
      <w:r>
        <w:t>Moonee Valley</w:t>
      </w:r>
      <w:r>
        <w:tab/>
        <w:t>15</w:t>
      </w:r>
      <w:r>
        <w:tab/>
        <w:t>44</w:t>
      </w:r>
      <w:r>
        <w:tab/>
        <w:t>107</w:t>
      </w:r>
      <w:r>
        <w:tab/>
        <w:t>149</w:t>
      </w:r>
      <w:r>
        <w:tab/>
        <w:t>409</w:t>
      </w:r>
    </w:p>
    <w:p w:rsidR="00B53E52" w:rsidRPr="008C1492" w:rsidRDefault="00B53E52">
      <w:pPr>
        <w:pStyle w:val="Tablegrowth"/>
        <w:rPr>
          <w:color w:val="FF0000"/>
        </w:rPr>
      </w:pPr>
      <w:r w:rsidRPr="008C1492">
        <w:rPr>
          <w:color w:val="FF0000"/>
        </w:rPr>
        <w:t>Wyndham</w:t>
      </w:r>
      <w:r w:rsidRPr="008C1492">
        <w:rPr>
          <w:color w:val="FF0000"/>
        </w:rPr>
        <w:tab/>
        <w:t>1,599</w:t>
      </w:r>
      <w:r w:rsidRPr="008C1492">
        <w:rPr>
          <w:color w:val="FF0000"/>
        </w:rPr>
        <w:tab/>
        <w:t>1,588</w:t>
      </w:r>
      <w:r w:rsidRPr="008C1492">
        <w:rPr>
          <w:color w:val="FF0000"/>
        </w:rPr>
        <w:tab/>
        <w:t>1,759</w:t>
      </w:r>
      <w:r w:rsidRPr="008C1492">
        <w:rPr>
          <w:color w:val="FF0000"/>
        </w:rPr>
        <w:tab/>
        <w:t>1,016</w:t>
      </w:r>
      <w:r w:rsidRPr="008C1492">
        <w:rPr>
          <w:color w:val="FF0000"/>
        </w:rPr>
        <w:tab/>
        <w:t>1,755</w:t>
      </w:r>
    </w:p>
    <w:p w:rsidR="00B53E52" w:rsidRDefault="00B53E52">
      <w:pPr>
        <w:pStyle w:val="Tableend"/>
      </w:pPr>
      <w:r>
        <w:t>West</w:t>
      </w:r>
      <w:r>
        <w:tab/>
        <w:t>3,032</w:t>
      </w:r>
      <w:r>
        <w:tab/>
        <w:t>2,873</w:t>
      </w:r>
      <w:r>
        <w:tab/>
        <w:t>2,926</w:t>
      </w:r>
      <w:r>
        <w:tab/>
        <w:t>2,085</w:t>
      </w:r>
      <w:r>
        <w:tab/>
        <w:t>3,128</w:t>
      </w:r>
    </w:p>
    <w:p w:rsidR="00B53E52" w:rsidRDefault="00B53E52">
      <w:pPr>
        <w:pStyle w:val="Tabletext"/>
      </w:pPr>
      <w:r>
        <w:t>Bayside</w:t>
      </w:r>
      <w:r>
        <w:tab/>
        <w:t>25</w:t>
      </w:r>
      <w:r>
        <w:tab/>
        <w:t>0</w:t>
      </w:r>
      <w:r>
        <w:tab/>
        <w:t>0</w:t>
      </w:r>
      <w:r>
        <w:tab/>
        <w:t>N/A</w:t>
      </w:r>
      <w:r>
        <w:tab/>
        <w:t>N/A</w:t>
      </w:r>
    </w:p>
    <w:p w:rsidR="00B53E52" w:rsidRPr="008C1492" w:rsidRDefault="00B53E52">
      <w:pPr>
        <w:pStyle w:val="Tablegrowth"/>
        <w:rPr>
          <w:color w:val="FF0000"/>
        </w:rPr>
      </w:pPr>
      <w:r w:rsidRPr="008C1492">
        <w:rPr>
          <w:color w:val="FF0000"/>
        </w:rPr>
        <w:t>Cardinia</w:t>
      </w:r>
      <w:r w:rsidRPr="008C1492">
        <w:rPr>
          <w:color w:val="FF0000"/>
        </w:rPr>
        <w:tab/>
        <w:t>290</w:t>
      </w:r>
      <w:r w:rsidRPr="008C1492">
        <w:rPr>
          <w:color w:val="FF0000"/>
        </w:rPr>
        <w:tab/>
        <w:t>84</w:t>
      </w:r>
      <w:r w:rsidRPr="008C1492">
        <w:rPr>
          <w:color w:val="FF0000"/>
        </w:rPr>
        <w:tab/>
        <w:t>84</w:t>
      </w:r>
      <w:r w:rsidRPr="008C1492">
        <w:rPr>
          <w:color w:val="FF0000"/>
        </w:rPr>
        <w:tab/>
        <w:t>532</w:t>
      </w:r>
      <w:r w:rsidRPr="008C1492">
        <w:rPr>
          <w:color w:val="FF0000"/>
        </w:rPr>
        <w:tab/>
        <w:t>585</w:t>
      </w:r>
    </w:p>
    <w:p w:rsidR="00B53E52" w:rsidRPr="008C1492" w:rsidRDefault="00B53E52">
      <w:pPr>
        <w:pStyle w:val="Tablegrowth"/>
        <w:rPr>
          <w:color w:val="FF0000"/>
        </w:rPr>
      </w:pPr>
      <w:r w:rsidRPr="008C1492">
        <w:rPr>
          <w:color w:val="FF0000"/>
        </w:rPr>
        <w:t>Casey</w:t>
      </w:r>
      <w:r w:rsidRPr="008C1492">
        <w:rPr>
          <w:color w:val="FF0000"/>
        </w:rPr>
        <w:tab/>
        <w:t>1,170</w:t>
      </w:r>
      <w:r w:rsidRPr="008C1492">
        <w:rPr>
          <w:color w:val="FF0000"/>
        </w:rPr>
        <w:tab/>
        <w:t>514</w:t>
      </w:r>
      <w:r w:rsidRPr="008C1492">
        <w:rPr>
          <w:color w:val="FF0000"/>
        </w:rPr>
        <w:tab/>
        <w:t>538</w:t>
      </w:r>
      <w:r w:rsidRPr="008C1492">
        <w:rPr>
          <w:color w:val="FF0000"/>
        </w:rPr>
        <w:tab/>
        <w:t>236</w:t>
      </w:r>
      <w:r w:rsidRPr="008C1492">
        <w:rPr>
          <w:color w:val="FF0000"/>
        </w:rPr>
        <w:tab/>
        <w:t>996</w:t>
      </w:r>
    </w:p>
    <w:p w:rsidR="00B53E52" w:rsidRDefault="00B53E52">
      <w:pPr>
        <w:pStyle w:val="Tabletext"/>
      </w:pPr>
      <w:r>
        <w:t>Frankston</w:t>
      </w:r>
      <w:r>
        <w:tab/>
        <w:t>419</w:t>
      </w:r>
      <w:r>
        <w:tab/>
        <w:t>470</w:t>
      </w:r>
      <w:r>
        <w:tab/>
        <w:t>401</w:t>
      </w:r>
      <w:r>
        <w:tab/>
        <w:t>351</w:t>
      </w:r>
      <w:r>
        <w:tab/>
        <w:t>315</w:t>
      </w:r>
    </w:p>
    <w:p w:rsidR="00B53E52" w:rsidRDefault="00B53E52">
      <w:pPr>
        <w:pStyle w:val="Tabletext"/>
      </w:pPr>
      <w:r>
        <w:t>Glen Eira</w:t>
      </w:r>
      <w:r>
        <w:tab/>
        <w:t>171</w:t>
      </w:r>
      <w:r>
        <w:tab/>
        <w:t>184</w:t>
      </w:r>
      <w:r>
        <w:tab/>
        <w:t>147</w:t>
      </w:r>
      <w:r>
        <w:tab/>
        <w:t>134</w:t>
      </w:r>
      <w:r>
        <w:tab/>
        <w:t>160</w:t>
      </w:r>
    </w:p>
    <w:p w:rsidR="00B53E52" w:rsidRDefault="00B53E52">
      <w:pPr>
        <w:pStyle w:val="Tabletext"/>
        <w:rPr>
          <w:position w:val="8"/>
        </w:rPr>
      </w:pPr>
      <w:r>
        <w:t xml:space="preserve">Greater </w:t>
      </w:r>
      <w:r>
        <w:br/>
        <w:t>Dandenong</w:t>
      </w:r>
      <w:r>
        <w:tab/>
      </w:r>
      <w:r>
        <w:rPr>
          <w:position w:val="8"/>
        </w:rPr>
        <w:t>79</w:t>
      </w:r>
      <w:r>
        <w:rPr>
          <w:position w:val="8"/>
        </w:rPr>
        <w:tab/>
        <w:t>132</w:t>
      </w:r>
      <w:r>
        <w:rPr>
          <w:position w:val="8"/>
        </w:rPr>
        <w:tab/>
        <w:t>106</w:t>
      </w:r>
      <w:r>
        <w:rPr>
          <w:position w:val="8"/>
        </w:rPr>
        <w:tab/>
        <w:t>166</w:t>
      </w:r>
      <w:r>
        <w:rPr>
          <w:position w:val="8"/>
        </w:rPr>
        <w:tab/>
        <w:t>187</w:t>
      </w:r>
    </w:p>
    <w:p w:rsidR="00B53E52" w:rsidRDefault="00B53E52">
      <w:pPr>
        <w:pStyle w:val="Tabletext"/>
      </w:pPr>
      <w:r>
        <w:t>Kingston</w:t>
      </w:r>
      <w:r>
        <w:tab/>
        <w:t>95</w:t>
      </w:r>
      <w:r>
        <w:tab/>
        <w:t>163</w:t>
      </w:r>
      <w:r>
        <w:tab/>
        <w:t>203</w:t>
      </w:r>
      <w:r>
        <w:tab/>
        <w:t>144</w:t>
      </w:r>
      <w:r>
        <w:tab/>
        <w:t>147</w:t>
      </w:r>
    </w:p>
    <w:p w:rsidR="00B53E52" w:rsidRDefault="00B53E52">
      <w:pPr>
        <w:pStyle w:val="Tabletext"/>
      </w:pPr>
      <w:r>
        <w:t xml:space="preserve">Mornington </w:t>
      </w:r>
      <w:r>
        <w:br/>
        <w:t>Peninsula</w:t>
      </w:r>
      <w:r>
        <w:tab/>
      </w:r>
      <w:r>
        <w:rPr>
          <w:position w:val="8"/>
        </w:rPr>
        <w:t>319</w:t>
      </w:r>
      <w:r>
        <w:rPr>
          <w:position w:val="8"/>
        </w:rPr>
        <w:tab/>
        <w:t>230</w:t>
      </w:r>
      <w:r>
        <w:rPr>
          <w:position w:val="8"/>
        </w:rPr>
        <w:tab/>
        <w:t>501</w:t>
      </w:r>
      <w:r>
        <w:rPr>
          <w:position w:val="8"/>
        </w:rPr>
        <w:tab/>
        <w:t>157</w:t>
      </w:r>
      <w:r>
        <w:rPr>
          <w:position w:val="8"/>
        </w:rPr>
        <w:tab/>
        <w:t>331</w:t>
      </w:r>
    </w:p>
    <w:p w:rsidR="00B53E52" w:rsidRDefault="00B53E52">
      <w:pPr>
        <w:pStyle w:val="Tableend"/>
      </w:pPr>
      <w:r>
        <w:t>South</w:t>
      </w:r>
      <w:r>
        <w:tab/>
        <w:t>2,568</w:t>
      </w:r>
      <w:r>
        <w:tab/>
        <w:t>1,777</w:t>
      </w:r>
      <w:r>
        <w:tab/>
        <w:t>1,980</w:t>
      </w:r>
      <w:r>
        <w:tab/>
        <w:t>1,720</w:t>
      </w:r>
      <w:r>
        <w:tab/>
        <w:t>2,721</w:t>
      </w:r>
    </w:p>
    <w:p w:rsidR="00B53E52" w:rsidRDefault="00B53E52">
      <w:pPr>
        <w:pStyle w:val="Tabletext"/>
      </w:pPr>
      <w:r>
        <w:t>Banyule</w:t>
      </w:r>
      <w:r>
        <w:tab/>
        <w:t>171</w:t>
      </w:r>
      <w:r>
        <w:tab/>
        <w:t>44</w:t>
      </w:r>
      <w:r>
        <w:tab/>
        <w:t>52</w:t>
      </w:r>
      <w:r>
        <w:tab/>
        <w:t>31</w:t>
      </w:r>
      <w:r>
        <w:tab/>
        <w:t>57</w:t>
      </w:r>
    </w:p>
    <w:p w:rsidR="00B53E52" w:rsidRDefault="00B53E52">
      <w:pPr>
        <w:pStyle w:val="Tabletext"/>
      </w:pPr>
      <w:r>
        <w:t>Darebin</w:t>
      </w:r>
      <w:r>
        <w:tab/>
        <w:t>23</w:t>
      </w:r>
      <w:r>
        <w:tab/>
        <w:t>19</w:t>
      </w:r>
      <w:r>
        <w:tab/>
        <w:t>6</w:t>
      </w:r>
      <w:r>
        <w:tab/>
        <w:t>35</w:t>
      </w:r>
      <w:r>
        <w:tab/>
        <w:t>9</w:t>
      </w:r>
    </w:p>
    <w:p w:rsidR="00B53E52" w:rsidRPr="008C1492" w:rsidRDefault="00B53E52">
      <w:pPr>
        <w:pStyle w:val="Tablegrowth"/>
        <w:rPr>
          <w:color w:val="FF0000"/>
        </w:rPr>
      </w:pPr>
      <w:r w:rsidRPr="008C1492">
        <w:rPr>
          <w:color w:val="FF0000"/>
        </w:rPr>
        <w:t>Hume</w:t>
      </w:r>
      <w:r w:rsidRPr="008C1492">
        <w:rPr>
          <w:color w:val="FF0000"/>
        </w:rPr>
        <w:tab/>
        <w:t>236</w:t>
      </w:r>
      <w:r w:rsidRPr="008C1492">
        <w:rPr>
          <w:color w:val="FF0000"/>
        </w:rPr>
        <w:tab/>
        <w:t>673</w:t>
      </w:r>
      <w:r w:rsidRPr="008C1492">
        <w:rPr>
          <w:color w:val="FF0000"/>
        </w:rPr>
        <w:tab/>
        <w:t>408</w:t>
      </w:r>
      <w:r w:rsidRPr="008C1492">
        <w:rPr>
          <w:color w:val="FF0000"/>
        </w:rPr>
        <w:tab/>
        <w:t>68</w:t>
      </w:r>
      <w:r w:rsidRPr="008C1492">
        <w:rPr>
          <w:color w:val="FF0000"/>
        </w:rPr>
        <w:tab/>
        <w:t>517</w:t>
      </w:r>
    </w:p>
    <w:p w:rsidR="00B53E52" w:rsidRDefault="00B53E52">
      <w:pPr>
        <w:pStyle w:val="Tabletext"/>
      </w:pPr>
      <w:r>
        <w:t>Moreland</w:t>
      </w:r>
      <w:r>
        <w:tab/>
        <w:t>289</w:t>
      </w:r>
      <w:r>
        <w:tab/>
        <w:t>402</w:t>
      </w:r>
      <w:r>
        <w:tab/>
        <w:t>282</w:t>
      </w:r>
      <w:r>
        <w:tab/>
        <w:t>191</w:t>
      </w:r>
      <w:r>
        <w:tab/>
        <w:t>200</w:t>
      </w:r>
    </w:p>
    <w:p w:rsidR="00B53E52" w:rsidRDefault="00B53E52">
      <w:pPr>
        <w:pStyle w:val="Tabletext"/>
      </w:pPr>
      <w:r>
        <w:t>Nillumbik</w:t>
      </w:r>
      <w:r>
        <w:tab/>
        <w:t>48</w:t>
      </w:r>
      <w:r>
        <w:tab/>
        <w:t>12</w:t>
      </w:r>
      <w:r>
        <w:tab/>
        <w:t>65</w:t>
      </w:r>
      <w:r>
        <w:tab/>
        <w:t>25</w:t>
      </w:r>
      <w:r>
        <w:tab/>
        <w:t>67</w:t>
      </w:r>
    </w:p>
    <w:p w:rsidR="00B53E52" w:rsidRPr="008C1492" w:rsidRDefault="00B53E52">
      <w:pPr>
        <w:pStyle w:val="Tablegrowth"/>
        <w:rPr>
          <w:color w:val="FF0000"/>
        </w:rPr>
      </w:pPr>
      <w:r w:rsidRPr="008C1492">
        <w:rPr>
          <w:color w:val="FF0000"/>
        </w:rPr>
        <w:t>Whittlesea</w:t>
      </w:r>
      <w:r w:rsidRPr="008C1492">
        <w:rPr>
          <w:color w:val="FF0000"/>
        </w:rPr>
        <w:tab/>
        <w:t>753</w:t>
      </w:r>
      <w:r w:rsidRPr="008C1492">
        <w:rPr>
          <w:color w:val="FF0000"/>
        </w:rPr>
        <w:tab/>
        <w:t>1,200</w:t>
      </w:r>
      <w:r w:rsidRPr="008C1492">
        <w:rPr>
          <w:color w:val="FF0000"/>
        </w:rPr>
        <w:tab/>
        <w:t>1,061</w:t>
      </w:r>
      <w:r w:rsidRPr="008C1492">
        <w:rPr>
          <w:color w:val="FF0000"/>
        </w:rPr>
        <w:tab/>
        <w:t>1,281</w:t>
      </w:r>
      <w:r w:rsidRPr="008C1492">
        <w:rPr>
          <w:color w:val="FF0000"/>
        </w:rPr>
        <w:tab/>
        <w:t>1,327</w:t>
      </w:r>
    </w:p>
    <w:p w:rsidR="00B53E52" w:rsidRDefault="00B53E52">
      <w:pPr>
        <w:pStyle w:val="Tableend"/>
      </w:pPr>
      <w:r>
        <w:t>North</w:t>
      </w:r>
      <w:r>
        <w:tab/>
        <w:t>1,520</w:t>
      </w:r>
      <w:r>
        <w:tab/>
        <w:t>2,350</w:t>
      </w:r>
      <w:r>
        <w:tab/>
        <w:t>1,874</w:t>
      </w:r>
      <w:r>
        <w:tab/>
        <w:t>1,631</w:t>
      </w:r>
      <w:r>
        <w:tab/>
        <w:t>2,177</w:t>
      </w:r>
    </w:p>
    <w:p w:rsidR="00B53E52" w:rsidRDefault="00B53E52">
      <w:pPr>
        <w:pStyle w:val="Tabletext"/>
      </w:pPr>
      <w:r>
        <w:t>Boroondara</w:t>
      </w:r>
      <w:r>
        <w:tab/>
        <w:t>102</w:t>
      </w:r>
      <w:r>
        <w:tab/>
        <w:t>203</w:t>
      </w:r>
      <w:r>
        <w:tab/>
        <w:t>87</w:t>
      </w:r>
      <w:r>
        <w:tab/>
        <w:t>60</w:t>
      </w:r>
      <w:r>
        <w:tab/>
        <w:t>60</w:t>
      </w:r>
    </w:p>
    <w:p w:rsidR="00B53E52" w:rsidRDefault="00B53E52">
      <w:pPr>
        <w:pStyle w:val="Tabletext"/>
      </w:pPr>
      <w:r>
        <w:t>Knox</w:t>
      </w:r>
      <w:r>
        <w:tab/>
        <w:t>96</w:t>
      </w:r>
      <w:r>
        <w:tab/>
        <w:t>103</w:t>
      </w:r>
      <w:r>
        <w:tab/>
        <w:t>122</w:t>
      </w:r>
      <w:r>
        <w:tab/>
        <w:t>72</w:t>
      </w:r>
      <w:r>
        <w:tab/>
        <w:t>98</w:t>
      </w:r>
    </w:p>
    <w:p w:rsidR="00B53E52" w:rsidRDefault="00B53E52">
      <w:pPr>
        <w:pStyle w:val="Tabletext"/>
      </w:pPr>
      <w:r>
        <w:t>Manningham</w:t>
      </w:r>
      <w:r>
        <w:tab/>
        <w:t>77</w:t>
      </w:r>
      <w:r>
        <w:tab/>
        <w:t>77</w:t>
      </w:r>
      <w:r>
        <w:tab/>
        <w:t>59</w:t>
      </w:r>
      <w:r>
        <w:tab/>
        <w:t>66</w:t>
      </w:r>
      <w:r>
        <w:tab/>
        <w:t>116</w:t>
      </w:r>
    </w:p>
    <w:p w:rsidR="00B53E52" w:rsidRDefault="00B53E52">
      <w:pPr>
        <w:pStyle w:val="Tabletext"/>
      </w:pPr>
      <w:r>
        <w:t>Maroondah</w:t>
      </w:r>
      <w:r>
        <w:tab/>
        <w:t>53</w:t>
      </w:r>
      <w:r>
        <w:tab/>
        <w:t>16</w:t>
      </w:r>
      <w:r>
        <w:tab/>
        <w:t>24</w:t>
      </w:r>
      <w:r>
        <w:tab/>
        <w:t>10</w:t>
      </w:r>
      <w:r>
        <w:tab/>
        <w:t>62</w:t>
      </w:r>
    </w:p>
    <w:p w:rsidR="00B53E52" w:rsidRDefault="00B53E52">
      <w:pPr>
        <w:pStyle w:val="Tabletext"/>
      </w:pPr>
      <w:r>
        <w:t>Monash</w:t>
      </w:r>
      <w:r>
        <w:tab/>
        <w:t>111</w:t>
      </w:r>
      <w:r>
        <w:tab/>
        <w:t>154</w:t>
      </w:r>
      <w:r>
        <w:tab/>
        <w:t>123</w:t>
      </w:r>
      <w:r>
        <w:tab/>
        <w:t>235</w:t>
      </w:r>
      <w:r>
        <w:tab/>
        <w:t>209</w:t>
      </w:r>
    </w:p>
    <w:p w:rsidR="00B53E52" w:rsidRDefault="00B53E52">
      <w:pPr>
        <w:pStyle w:val="Tabletext"/>
      </w:pPr>
      <w:r>
        <w:t>Stonnington</w:t>
      </w:r>
      <w:r>
        <w:tab/>
        <w:t>815</w:t>
      </w:r>
      <w:r>
        <w:tab/>
        <w:t>111</w:t>
      </w:r>
      <w:r>
        <w:tab/>
        <w:t>340</w:t>
      </w:r>
      <w:r>
        <w:tab/>
        <w:t>55</w:t>
      </w:r>
      <w:r>
        <w:tab/>
        <w:t>88</w:t>
      </w:r>
    </w:p>
    <w:p w:rsidR="00B53E52" w:rsidRDefault="00B53E52">
      <w:pPr>
        <w:pStyle w:val="Tabletext"/>
      </w:pPr>
      <w:r>
        <w:t>Whitehorse</w:t>
      </w:r>
      <w:r>
        <w:tab/>
        <w:t>49</w:t>
      </w:r>
      <w:r>
        <w:tab/>
        <w:t>46</w:t>
      </w:r>
      <w:r>
        <w:tab/>
        <w:t>129</w:t>
      </w:r>
      <w:r>
        <w:tab/>
        <w:t>41</w:t>
      </w:r>
      <w:r>
        <w:tab/>
      </w:r>
    </w:p>
    <w:p w:rsidR="00B53E52" w:rsidRDefault="00B53E52">
      <w:pPr>
        <w:pStyle w:val="Tabletext"/>
      </w:pPr>
      <w:r>
        <w:t>Yarra Ranges</w:t>
      </w:r>
      <w:r>
        <w:tab/>
        <w:t>121</w:t>
      </w:r>
      <w:r>
        <w:tab/>
        <w:t>533</w:t>
      </w:r>
      <w:r>
        <w:tab/>
        <w:t>116</w:t>
      </w:r>
      <w:r>
        <w:tab/>
        <w:t>199</w:t>
      </w:r>
      <w:r>
        <w:tab/>
        <w:t>186</w:t>
      </w:r>
    </w:p>
    <w:p w:rsidR="00B53E52" w:rsidRDefault="00B53E52">
      <w:pPr>
        <w:pStyle w:val="Tableend"/>
      </w:pPr>
      <w:r>
        <w:t>East</w:t>
      </w:r>
      <w:r>
        <w:tab/>
        <w:t>1,424</w:t>
      </w:r>
      <w:r>
        <w:tab/>
        <w:t>1,243</w:t>
      </w:r>
      <w:r>
        <w:tab/>
        <w:t>1,000</w:t>
      </w:r>
      <w:r>
        <w:tab/>
        <w:t>738</w:t>
      </w:r>
      <w:r>
        <w:tab/>
        <w:t>819</w:t>
      </w:r>
    </w:p>
    <w:p w:rsidR="00B53E52" w:rsidRPr="008C1492" w:rsidRDefault="00B53E52">
      <w:pPr>
        <w:pStyle w:val="Tablegrowth"/>
        <w:rPr>
          <w:color w:val="FF0000"/>
          <w:position w:val="8"/>
        </w:rPr>
      </w:pPr>
      <w:r w:rsidRPr="008C1492">
        <w:rPr>
          <w:color w:val="FF0000"/>
        </w:rPr>
        <w:t xml:space="preserve">Growth area </w:t>
      </w:r>
      <w:r w:rsidRPr="008C1492">
        <w:rPr>
          <w:color w:val="FF0000"/>
        </w:rPr>
        <w:br/>
        <w:t>municipalities</w:t>
      </w:r>
      <w:r w:rsidRPr="008C1492">
        <w:rPr>
          <w:color w:val="FF0000"/>
        </w:rPr>
        <w:tab/>
      </w:r>
      <w:r w:rsidRPr="008C1492">
        <w:rPr>
          <w:color w:val="FF0000"/>
          <w:position w:val="8"/>
        </w:rPr>
        <w:t>4,997</w:t>
      </w:r>
      <w:r w:rsidRPr="008C1492">
        <w:rPr>
          <w:color w:val="FF0000"/>
          <w:position w:val="8"/>
        </w:rPr>
        <w:tab/>
        <w:t>4,664</w:t>
      </w:r>
      <w:r w:rsidRPr="008C1492">
        <w:rPr>
          <w:color w:val="FF0000"/>
          <w:position w:val="8"/>
        </w:rPr>
        <w:tab/>
        <w:t>4,468</w:t>
      </w:r>
      <w:r w:rsidRPr="008C1492">
        <w:rPr>
          <w:color w:val="FF0000"/>
          <w:position w:val="8"/>
        </w:rPr>
        <w:tab/>
        <w:t>3,627</w:t>
      </w:r>
      <w:r w:rsidRPr="008C1492">
        <w:rPr>
          <w:color w:val="FF0000"/>
          <w:position w:val="8"/>
        </w:rPr>
        <w:tab/>
        <w:t>5,491</w:t>
      </w:r>
    </w:p>
    <w:p w:rsidR="00B53E52" w:rsidRDefault="00B53E52">
      <w:pPr>
        <w:pStyle w:val="Tabletext"/>
      </w:pPr>
      <w:r>
        <w:t xml:space="preserve">Established </w:t>
      </w:r>
      <w:r>
        <w:br/>
        <w:t>municipalities</w:t>
      </w:r>
      <w:r>
        <w:tab/>
      </w:r>
      <w:r>
        <w:rPr>
          <w:position w:val="8"/>
        </w:rPr>
        <w:t>3,646</w:t>
      </w:r>
      <w:r>
        <w:rPr>
          <w:position w:val="8"/>
        </w:rPr>
        <w:tab/>
        <w:t>3,655</w:t>
      </w:r>
      <w:r>
        <w:rPr>
          <w:position w:val="8"/>
        </w:rPr>
        <w:tab/>
        <w:t>3,575</w:t>
      </w:r>
      <w:r>
        <w:rPr>
          <w:position w:val="8"/>
        </w:rPr>
        <w:tab/>
        <w:t>2,601</w:t>
      </w:r>
      <w:r>
        <w:rPr>
          <w:position w:val="8"/>
        </w:rPr>
        <w:tab/>
        <w:t>3,460</w:t>
      </w:r>
    </w:p>
    <w:p w:rsidR="00B53E52" w:rsidRDefault="00B53E52">
      <w:pPr>
        <w:pStyle w:val="Tableend"/>
      </w:pPr>
      <w:r>
        <w:t xml:space="preserve">TOTAL </w:t>
      </w:r>
      <w:r>
        <w:br/>
        <w:t>MELBOURNE</w:t>
      </w:r>
      <w:r>
        <w:tab/>
        <w:t>8,643</w:t>
      </w:r>
      <w:r>
        <w:tab/>
        <w:t>8,319</w:t>
      </w:r>
      <w:r>
        <w:tab/>
        <w:t>8,043</w:t>
      </w:r>
      <w:r>
        <w:tab/>
        <w:t>6,228</w:t>
      </w:r>
      <w:r>
        <w:tab/>
        <w:t>8,951</w:t>
      </w:r>
    </w:p>
    <w:p w:rsidR="00B53E52" w:rsidRDefault="00B53E52">
      <w:pPr>
        <w:pStyle w:val="Tablefootnote"/>
        <w:rPr>
          <w:rStyle w:val="Italics"/>
          <w:iCs/>
        </w:rPr>
      </w:pPr>
      <w:r>
        <w:rPr>
          <w:rStyle w:val="Bold"/>
          <w:bCs/>
        </w:rPr>
        <w:t>Source</w:t>
      </w:r>
      <w:r>
        <w:t>: Spatial Analysis and Research Branch Survey of Councils</w:t>
      </w:r>
      <w:r>
        <w:tab/>
      </w:r>
      <w:r>
        <w:tab/>
      </w:r>
      <w:r>
        <w:tab/>
      </w:r>
      <w:r>
        <w:tab/>
        <w:t>N/A: Not Available</w:t>
      </w:r>
      <w:r>
        <w:tab/>
      </w:r>
      <w:r>
        <w:tab/>
      </w:r>
      <w:r>
        <w:tab/>
      </w:r>
      <w:r>
        <w:tab/>
      </w:r>
      <w:r>
        <w:rPr>
          <w:rStyle w:val="Italics"/>
          <w:iCs/>
        </w:rPr>
        <w:t>The data for 2008-09 for Stonnington has been revised since the June 2009 edition</w:t>
      </w:r>
    </w:p>
    <w:p w:rsidR="00B53E52" w:rsidRDefault="00B53E52">
      <w:pPr>
        <w:pStyle w:val="Tablegrowth"/>
        <w:rPr>
          <w:position w:val="-8"/>
        </w:rPr>
      </w:pPr>
      <w:r>
        <w:rPr>
          <w:rStyle w:val="Bold"/>
          <w:bCs/>
          <w:position w:val="-8"/>
        </w:rPr>
        <w:t>Note</w:t>
      </w:r>
      <w:r>
        <w:rPr>
          <w:position w:val="-8"/>
        </w:rPr>
        <w:t>: Growth area municipalities highlighted</w:t>
      </w:r>
    </w:p>
    <w:p w:rsidR="00B53E52" w:rsidRDefault="00B53E52">
      <w:pPr>
        <w:pStyle w:val="Tabletitle"/>
        <w:rPr>
          <w:sz w:val="18"/>
        </w:rPr>
      </w:pPr>
      <w:r>
        <w:rPr>
          <w:sz w:val="18"/>
        </w:rPr>
        <w:br w:type="column"/>
        <w:t>Table 4: Residential lots released</w:t>
      </w:r>
    </w:p>
    <w:p w:rsidR="00B53E52" w:rsidRDefault="00B53E52">
      <w:pPr>
        <w:pStyle w:val="Tabletitle"/>
        <w:rPr>
          <w:sz w:val="18"/>
        </w:rPr>
      </w:pPr>
    </w:p>
    <w:tbl>
      <w:tblPr>
        <w:tblW w:w="0" w:type="auto"/>
        <w:tblInd w:w="8" w:type="dxa"/>
        <w:tblLayout w:type="fixed"/>
        <w:tblCellMar>
          <w:left w:w="0" w:type="dxa"/>
          <w:right w:w="0" w:type="dxa"/>
        </w:tblCellMar>
        <w:tblLook w:val="0000"/>
      </w:tblPr>
      <w:tblGrid>
        <w:gridCol w:w="1074"/>
        <w:gridCol w:w="486"/>
        <w:gridCol w:w="486"/>
        <w:gridCol w:w="486"/>
        <w:gridCol w:w="487"/>
        <w:gridCol w:w="496"/>
      </w:tblGrid>
      <w:tr w:rsidR="00B53E52" w:rsidRPr="00A577D8">
        <w:trPr>
          <w:trHeight w:val="60"/>
        </w:trPr>
        <w:tc>
          <w:tcPr>
            <w:tcW w:w="1074" w:type="dxa"/>
            <w:vMerge w:val="restart"/>
            <w:tcBorders>
              <w:top w:val="single" w:sz="6" w:space="0" w:color="FFFFFF"/>
              <w:left w:val="single" w:sz="6" w:space="0" w:color="FFFFFF"/>
              <w:bottom w:val="single" w:sz="8"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jc w:val="left"/>
              <w:rPr>
                <w:color w:val="FFFFFF"/>
              </w:rPr>
            </w:pPr>
            <w:r w:rsidRPr="008C1492">
              <w:rPr>
                <w:color w:val="FFFFFF"/>
                <w:sz w:val="14"/>
              </w:rPr>
              <w:t xml:space="preserve"> Municipality</w:t>
            </w:r>
          </w:p>
        </w:tc>
        <w:tc>
          <w:tcPr>
            <w:tcW w:w="2441" w:type="dxa"/>
            <w:gridSpan w:val="5"/>
            <w:tcBorders>
              <w:top w:val="single" w:sz="6" w:space="0" w:color="FFFFFF"/>
              <w:left w:val="single" w:sz="6" w:space="0" w:color="FFFFFF"/>
              <w:bottom w:val="single" w:sz="8"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rPr>
                <w:color w:val="FFFFFF"/>
              </w:rPr>
            </w:pPr>
            <w:r w:rsidRPr="008C1492">
              <w:rPr>
                <w:color w:val="FFFFFF"/>
                <w:sz w:val="14"/>
              </w:rPr>
              <w:t>Number of Lots per Quarter</w:t>
            </w:r>
          </w:p>
        </w:tc>
      </w:tr>
      <w:tr w:rsidR="00B53E52" w:rsidRPr="00A577D8">
        <w:trPr>
          <w:trHeight w:val="60"/>
        </w:trPr>
        <w:tc>
          <w:tcPr>
            <w:tcW w:w="1074" w:type="dxa"/>
            <w:vMerge/>
            <w:tcBorders>
              <w:top w:val="single" w:sz="8" w:space="0" w:color="FFFFFF"/>
              <w:left w:val="single" w:sz="6" w:space="0" w:color="FFFFFF"/>
              <w:bottom w:val="single" w:sz="6" w:space="0" w:color="FFFFFF"/>
              <w:right w:val="single" w:sz="6" w:space="0" w:color="FFFFFF"/>
            </w:tcBorders>
          </w:tcPr>
          <w:p w:rsidR="00B53E52" w:rsidRPr="008C1492" w:rsidRDefault="00B53E52">
            <w:pPr>
              <w:pStyle w:val="NoParagraphStyle"/>
              <w:spacing w:line="240" w:lineRule="auto"/>
              <w:textAlignment w:val="auto"/>
              <w:rPr>
                <w:rFonts w:ascii="Frutiger-Bold" w:hAnsi="Frutiger-Bold" w:cs="Times New Roman"/>
                <w:color w:val="FFFFFF"/>
                <w:lang w:val="en-US"/>
              </w:rPr>
            </w:pPr>
          </w:p>
        </w:tc>
        <w:tc>
          <w:tcPr>
            <w:tcW w:w="486" w:type="dxa"/>
            <w:tcBorders>
              <w:top w:val="single" w:sz="8" w:space="0" w:color="FFFFFF"/>
              <w:left w:val="single" w:sz="6" w:space="0" w:color="FFFFFF"/>
              <w:bottom w:val="single" w:sz="6"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rPr>
                <w:color w:val="FFFFFF"/>
              </w:rPr>
            </w:pPr>
            <w:r w:rsidRPr="008C1492">
              <w:rPr>
                <w:color w:val="FFFFFF"/>
                <w:sz w:val="14"/>
              </w:rPr>
              <w:t xml:space="preserve">Jun </w:t>
            </w:r>
            <w:r w:rsidRPr="008C1492">
              <w:rPr>
                <w:color w:val="FFFFFF"/>
                <w:sz w:val="14"/>
              </w:rPr>
              <w:br/>
              <w:t>‘09</w:t>
            </w:r>
          </w:p>
        </w:tc>
        <w:tc>
          <w:tcPr>
            <w:tcW w:w="486" w:type="dxa"/>
            <w:tcBorders>
              <w:top w:val="single" w:sz="8" w:space="0" w:color="FFFFFF"/>
              <w:left w:val="single" w:sz="6" w:space="0" w:color="FFFFFF"/>
              <w:bottom w:val="single" w:sz="6"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rPr>
                <w:color w:val="FFFFFF"/>
              </w:rPr>
            </w:pPr>
            <w:r w:rsidRPr="008C1492">
              <w:rPr>
                <w:color w:val="FFFFFF"/>
                <w:sz w:val="14"/>
              </w:rPr>
              <w:t>Sep</w:t>
            </w:r>
            <w:r w:rsidRPr="008C1492">
              <w:rPr>
                <w:color w:val="FFFFFF"/>
                <w:sz w:val="14"/>
              </w:rPr>
              <w:br/>
              <w:t>‘09</w:t>
            </w:r>
          </w:p>
        </w:tc>
        <w:tc>
          <w:tcPr>
            <w:tcW w:w="486" w:type="dxa"/>
            <w:tcBorders>
              <w:top w:val="single" w:sz="8" w:space="0" w:color="FFFFFF"/>
              <w:left w:val="single" w:sz="6" w:space="0" w:color="FFFFFF"/>
              <w:bottom w:val="single" w:sz="6"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rPr>
                <w:color w:val="FFFFFF"/>
              </w:rPr>
            </w:pPr>
            <w:r w:rsidRPr="008C1492">
              <w:rPr>
                <w:color w:val="FFFFFF"/>
                <w:sz w:val="14"/>
              </w:rPr>
              <w:t>Dec</w:t>
            </w:r>
            <w:r w:rsidRPr="008C1492">
              <w:rPr>
                <w:color w:val="FFFFFF"/>
                <w:sz w:val="14"/>
              </w:rPr>
              <w:br/>
              <w:t>‘09</w:t>
            </w:r>
          </w:p>
        </w:tc>
        <w:tc>
          <w:tcPr>
            <w:tcW w:w="487" w:type="dxa"/>
            <w:tcBorders>
              <w:top w:val="single" w:sz="8" w:space="0" w:color="FFFFFF"/>
              <w:left w:val="single" w:sz="6" w:space="0" w:color="FFFFFF"/>
              <w:bottom w:val="single" w:sz="6"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rPr>
                <w:color w:val="FFFFFF"/>
              </w:rPr>
            </w:pPr>
            <w:r w:rsidRPr="008C1492">
              <w:rPr>
                <w:color w:val="FFFFFF"/>
                <w:sz w:val="14"/>
              </w:rPr>
              <w:t>Mar</w:t>
            </w:r>
            <w:r w:rsidRPr="008C1492">
              <w:rPr>
                <w:color w:val="FFFFFF"/>
                <w:sz w:val="14"/>
              </w:rPr>
              <w:br/>
              <w:t>‘10</w:t>
            </w:r>
          </w:p>
        </w:tc>
        <w:tc>
          <w:tcPr>
            <w:tcW w:w="496" w:type="dxa"/>
            <w:tcBorders>
              <w:top w:val="single" w:sz="8" w:space="0" w:color="FFFFFF"/>
              <w:left w:val="single" w:sz="6" w:space="0" w:color="FFFFFF"/>
              <w:bottom w:val="single" w:sz="6"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rPr>
                <w:color w:val="FFFFFF"/>
              </w:rPr>
            </w:pPr>
            <w:r w:rsidRPr="008C1492">
              <w:rPr>
                <w:color w:val="FFFFFF"/>
                <w:sz w:val="14"/>
              </w:rPr>
              <w:t>Jun</w:t>
            </w:r>
            <w:r w:rsidRPr="008C1492">
              <w:rPr>
                <w:color w:val="FFFFFF"/>
                <w:sz w:val="14"/>
              </w:rPr>
              <w:br/>
              <w:t>‘10</w:t>
            </w:r>
          </w:p>
        </w:tc>
      </w:tr>
    </w:tbl>
    <w:p w:rsidR="00B53E52" w:rsidRDefault="00B53E52">
      <w:pPr>
        <w:pStyle w:val="Tabletext"/>
      </w:pPr>
      <w:r>
        <w:t>Melbourne</w:t>
      </w:r>
      <w:r>
        <w:tab/>
        <w:t>644</w:t>
      </w:r>
      <w:r>
        <w:tab/>
        <w:t>317</w:t>
      </w:r>
      <w:r>
        <w:tab/>
        <w:t>4</w:t>
      </w:r>
      <w:r>
        <w:tab/>
        <w:t>168</w:t>
      </w:r>
      <w:r>
        <w:tab/>
        <w:t>35</w:t>
      </w:r>
    </w:p>
    <w:p w:rsidR="00B53E52" w:rsidRDefault="00B53E52">
      <w:pPr>
        <w:pStyle w:val="Tabletext"/>
      </w:pPr>
      <w:r>
        <w:t>Port Phillip</w:t>
      </w:r>
      <w:r>
        <w:tab/>
        <w:t>22</w:t>
      </w:r>
      <w:r>
        <w:tab/>
        <w:t>22</w:t>
      </w:r>
      <w:r>
        <w:tab/>
        <w:t>26</w:t>
      </w:r>
      <w:r>
        <w:tab/>
        <w:t>15</w:t>
      </w:r>
      <w:r>
        <w:tab/>
        <w:t>26</w:t>
      </w:r>
    </w:p>
    <w:p w:rsidR="00B53E52" w:rsidRDefault="00B53E52">
      <w:pPr>
        <w:pStyle w:val="Tabletext"/>
      </w:pPr>
      <w:r>
        <w:t>Yarra</w:t>
      </w:r>
      <w:r>
        <w:tab/>
        <w:t>10</w:t>
      </w:r>
      <w:r>
        <w:tab/>
        <w:t>95</w:t>
      </w:r>
      <w:r>
        <w:tab/>
        <w:t>227</w:t>
      </w:r>
      <w:r>
        <w:tab/>
        <w:t>42</w:t>
      </w:r>
      <w:r>
        <w:tab/>
        <w:t>135</w:t>
      </w:r>
    </w:p>
    <w:p w:rsidR="00B53E52" w:rsidRDefault="00B53E52">
      <w:pPr>
        <w:pStyle w:val="Tableend"/>
      </w:pPr>
      <w:r>
        <w:t>Inner</w:t>
      </w:r>
      <w:r>
        <w:tab/>
        <w:t>676</w:t>
      </w:r>
      <w:r>
        <w:tab/>
        <w:t>434</w:t>
      </w:r>
      <w:r>
        <w:tab/>
        <w:t>257</w:t>
      </w:r>
      <w:r>
        <w:tab/>
        <w:t>225</w:t>
      </w:r>
      <w:r>
        <w:tab/>
        <w:t>196</w:t>
      </w:r>
    </w:p>
    <w:p w:rsidR="00B53E52" w:rsidRDefault="00B53E52">
      <w:pPr>
        <w:pStyle w:val="Tabletext"/>
      </w:pPr>
      <w:r>
        <w:t>Brimbank</w:t>
      </w:r>
      <w:r>
        <w:tab/>
        <w:t>206</w:t>
      </w:r>
      <w:r>
        <w:tab/>
        <w:t>314</w:t>
      </w:r>
      <w:r>
        <w:tab/>
        <w:t>379</w:t>
      </w:r>
      <w:r>
        <w:tab/>
        <w:t>43</w:t>
      </w:r>
      <w:r>
        <w:tab/>
        <w:t>124</w:t>
      </w:r>
    </w:p>
    <w:p w:rsidR="00B53E52" w:rsidRDefault="00B53E52">
      <w:pPr>
        <w:pStyle w:val="Tabletext"/>
      </w:pPr>
      <w:r>
        <w:t>Hobsons Bay</w:t>
      </w:r>
      <w:r>
        <w:tab/>
        <w:t>66</w:t>
      </w:r>
      <w:r>
        <w:tab/>
        <w:t>65</w:t>
      </w:r>
      <w:r>
        <w:tab/>
        <w:t>63</w:t>
      </w:r>
      <w:r>
        <w:tab/>
        <w:t>43</w:t>
      </w:r>
      <w:r>
        <w:tab/>
        <w:t>53</w:t>
      </w:r>
    </w:p>
    <w:p w:rsidR="00B53E52" w:rsidRDefault="00B53E52">
      <w:pPr>
        <w:pStyle w:val="Tabletext"/>
      </w:pPr>
      <w:r>
        <w:t>Maribyrnong</w:t>
      </w:r>
      <w:r>
        <w:tab/>
        <w:t>123</w:t>
      </w:r>
      <w:r>
        <w:tab/>
        <w:t>127</w:t>
      </w:r>
      <w:r>
        <w:tab/>
        <w:t>207</w:t>
      </w:r>
      <w:r>
        <w:tab/>
        <w:t>206</w:t>
      </w:r>
      <w:r>
        <w:tab/>
        <w:t>85</w:t>
      </w:r>
    </w:p>
    <w:p w:rsidR="00B53E52" w:rsidRPr="008C1492" w:rsidRDefault="00B53E52">
      <w:pPr>
        <w:pStyle w:val="Tablegrowth"/>
        <w:rPr>
          <w:color w:val="FF0000"/>
        </w:rPr>
      </w:pPr>
      <w:r w:rsidRPr="008C1492">
        <w:rPr>
          <w:color w:val="FF0000"/>
        </w:rPr>
        <w:t>Melton</w:t>
      </w:r>
      <w:r w:rsidRPr="008C1492">
        <w:rPr>
          <w:color w:val="FF0000"/>
        </w:rPr>
        <w:tab/>
        <w:t>424</w:t>
      </w:r>
      <w:r w:rsidRPr="008C1492">
        <w:rPr>
          <w:color w:val="FF0000"/>
        </w:rPr>
        <w:tab/>
        <w:t>352</w:t>
      </w:r>
      <w:r w:rsidRPr="008C1492">
        <w:rPr>
          <w:color w:val="FF0000"/>
        </w:rPr>
        <w:tab/>
        <w:t>781</w:t>
      </w:r>
      <w:r w:rsidRPr="008C1492">
        <w:rPr>
          <w:color w:val="FF0000"/>
        </w:rPr>
        <w:tab/>
        <w:t>458</w:t>
      </w:r>
      <w:r w:rsidRPr="008C1492">
        <w:rPr>
          <w:color w:val="FF0000"/>
        </w:rPr>
        <w:tab/>
        <w:t>528</w:t>
      </w:r>
    </w:p>
    <w:p w:rsidR="00B53E52" w:rsidRDefault="00B53E52">
      <w:pPr>
        <w:pStyle w:val="Tabletext"/>
      </w:pPr>
      <w:r>
        <w:t>Moonee Valley</w:t>
      </w:r>
      <w:r>
        <w:tab/>
        <w:t>8</w:t>
      </w:r>
      <w:r>
        <w:tab/>
        <w:t>58</w:t>
      </w:r>
      <w:r>
        <w:tab/>
        <w:t>79</w:t>
      </w:r>
      <w:r>
        <w:tab/>
        <w:t>66</w:t>
      </w:r>
      <w:r>
        <w:tab/>
        <w:t>63</w:t>
      </w:r>
    </w:p>
    <w:p w:rsidR="00B53E52" w:rsidRPr="008C1492" w:rsidRDefault="00B53E52">
      <w:pPr>
        <w:pStyle w:val="Tablegrowth"/>
        <w:rPr>
          <w:color w:val="FF0000"/>
        </w:rPr>
      </w:pPr>
      <w:r w:rsidRPr="008C1492">
        <w:rPr>
          <w:color w:val="FF0000"/>
        </w:rPr>
        <w:t>Wyndham</w:t>
      </w:r>
      <w:r w:rsidRPr="008C1492">
        <w:rPr>
          <w:color w:val="FF0000"/>
        </w:rPr>
        <w:tab/>
        <w:t>1,578</w:t>
      </w:r>
      <w:r w:rsidRPr="008C1492">
        <w:rPr>
          <w:color w:val="FF0000"/>
        </w:rPr>
        <w:tab/>
        <w:t>862</w:t>
      </w:r>
      <w:r w:rsidRPr="008C1492">
        <w:rPr>
          <w:color w:val="FF0000"/>
        </w:rPr>
        <w:tab/>
        <w:t>1,550</w:t>
      </w:r>
      <w:r w:rsidRPr="008C1492">
        <w:rPr>
          <w:color w:val="FF0000"/>
        </w:rPr>
        <w:tab/>
        <w:t>1,132</w:t>
      </w:r>
      <w:r w:rsidRPr="008C1492">
        <w:rPr>
          <w:color w:val="FF0000"/>
        </w:rPr>
        <w:tab/>
        <w:t>1,758</w:t>
      </w:r>
    </w:p>
    <w:p w:rsidR="00B53E52" w:rsidRDefault="00B53E52">
      <w:pPr>
        <w:pStyle w:val="Tableend"/>
      </w:pPr>
      <w:r>
        <w:t>West</w:t>
      </w:r>
      <w:r>
        <w:tab/>
        <w:t>2,405</w:t>
      </w:r>
      <w:r>
        <w:tab/>
        <w:t>1,778</w:t>
      </w:r>
      <w:r>
        <w:tab/>
        <w:t>3,059</w:t>
      </w:r>
      <w:r>
        <w:tab/>
        <w:t>1,948</w:t>
      </w:r>
      <w:r>
        <w:tab/>
        <w:t>2,611</w:t>
      </w:r>
    </w:p>
    <w:p w:rsidR="00B53E52" w:rsidRDefault="00B53E52">
      <w:pPr>
        <w:pStyle w:val="Tabletext"/>
      </w:pPr>
      <w:r>
        <w:t>Bayside</w:t>
      </w:r>
      <w:r>
        <w:tab/>
        <w:t>30</w:t>
      </w:r>
      <w:r>
        <w:tab/>
        <w:t>13</w:t>
      </w:r>
      <w:r>
        <w:tab/>
        <w:t>2</w:t>
      </w:r>
      <w:r>
        <w:tab/>
        <w:t>N/A</w:t>
      </w:r>
      <w:r>
        <w:tab/>
        <w:t>N/A</w:t>
      </w:r>
    </w:p>
    <w:p w:rsidR="00B53E52" w:rsidRPr="008C1492" w:rsidRDefault="00B53E52">
      <w:pPr>
        <w:pStyle w:val="Tablegrowth"/>
        <w:rPr>
          <w:color w:val="FF0000"/>
        </w:rPr>
      </w:pPr>
      <w:r w:rsidRPr="008C1492">
        <w:rPr>
          <w:color w:val="FF0000"/>
        </w:rPr>
        <w:t>Cardinia</w:t>
      </w:r>
      <w:r w:rsidRPr="008C1492">
        <w:rPr>
          <w:color w:val="FF0000"/>
        </w:rPr>
        <w:tab/>
        <w:t>290</w:t>
      </w:r>
      <w:r w:rsidRPr="008C1492">
        <w:rPr>
          <w:color w:val="FF0000"/>
        </w:rPr>
        <w:tab/>
        <w:t>228</w:t>
      </w:r>
      <w:r w:rsidRPr="008C1492">
        <w:rPr>
          <w:color w:val="FF0000"/>
        </w:rPr>
        <w:tab/>
        <w:t>228</w:t>
      </w:r>
      <w:r w:rsidRPr="008C1492">
        <w:rPr>
          <w:color w:val="FF0000"/>
        </w:rPr>
        <w:tab/>
        <w:t>317</w:t>
      </w:r>
      <w:r w:rsidRPr="008C1492">
        <w:rPr>
          <w:color w:val="FF0000"/>
        </w:rPr>
        <w:tab/>
        <w:t>658</w:t>
      </w:r>
    </w:p>
    <w:p w:rsidR="00B53E52" w:rsidRPr="008C1492" w:rsidRDefault="00B53E52">
      <w:pPr>
        <w:pStyle w:val="Tablegrowth"/>
        <w:rPr>
          <w:color w:val="FF0000"/>
        </w:rPr>
      </w:pPr>
      <w:r w:rsidRPr="008C1492">
        <w:rPr>
          <w:color w:val="FF0000"/>
        </w:rPr>
        <w:t>Casey</w:t>
      </w:r>
      <w:r w:rsidRPr="008C1492">
        <w:rPr>
          <w:color w:val="FF0000"/>
        </w:rPr>
        <w:tab/>
        <w:t>532</w:t>
      </w:r>
      <w:r w:rsidRPr="008C1492">
        <w:rPr>
          <w:color w:val="FF0000"/>
        </w:rPr>
        <w:tab/>
        <w:t>277</w:t>
      </w:r>
      <w:r w:rsidRPr="008C1492">
        <w:rPr>
          <w:color w:val="FF0000"/>
        </w:rPr>
        <w:tab/>
        <w:t>888</w:t>
      </w:r>
      <w:r w:rsidRPr="008C1492">
        <w:rPr>
          <w:color w:val="FF0000"/>
        </w:rPr>
        <w:tab/>
        <w:t>556</w:t>
      </w:r>
      <w:r w:rsidRPr="008C1492">
        <w:rPr>
          <w:color w:val="FF0000"/>
        </w:rPr>
        <w:tab/>
        <w:t>696</w:t>
      </w:r>
    </w:p>
    <w:p w:rsidR="00B53E52" w:rsidRDefault="00B53E52">
      <w:pPr>
        <w:pStyle w:val="Tabletext"/>
      </w:pPr>
      <w:r>
        <w:t>Frankston</w:t>
      </w:r>
      <w:r>
        <w:tab/>
        <w:t>250</w:t>
      </w:r>
      <w:r>
        <w:tab/>
        <w:t>136</w:t>
      </w:r>
      <w:r>
        <w:tab/>
        <w:t>457</w:t>
      </w:r>
      <w:r>
        <w:tab/>
        <w:t>200</w:t>
      </w:r>
      <w:r>
        <w:tab/>
        <w:t>364</w:t>
      </w:r>
    </w:p>
    <w:p w:rsidR="00B53E52" w:rsidRDefault="00B53E52">
      <w:pPr>
        <w:pStyle w:val="Tabletext"/>
      </w:pPr>
      <w:r>
        <w:t>Glen Eira</w:t>
      </w:r>
      <w:r>
        <w:tab/>
        <w:t>165</w:t>
      </w:r>
      <w:r>
        <w:tab/>
        <w:t>259</w:t>
      </w:r>
      <w:r>
        <w:tab/>
        <w:t>137</w:t>
      </w:r>
      <w:r>
        <w:tab/>
        <w:t>158</w:t>
      </w:r>
      <w:r>
        <w:tab/>
        <w:t>181</w:t>
      </w:r>
    </w:p>
    <w:p w:rsidR="00B53E52" w:rsidRDefault="00B53E52">
      <w:pPr>
        <w:pStyle w:val="Tabletext"/>
        <w:rPr>
          <w:position w:val="8"/>
        </w:rPr>
      </w:pPr>
      <w:r>
        <w:t xml:space="preserve">Greater </w:t>
      </w:r>
      <w:r>
        <w:br/>
        <w:t>Dandenong</w:t>
      </w:r>
      <w:r>
        <w:tab/>
      </w:r>
      <w:r>
        <w:rPr>
          <w:position w:val="8"/>
        </w:rPr>
        <w:t>104</w:t>
      </w:r>
      <w:r>
        <w:rPr>
          <w:position w:val="8"/>
        </w:rPr>
        <w:tab/>
        <w:t>127</w:t>
      </w:r>
      <w:r>
        <w:rPr>
          <w:position w:val="8"/>
        </w:rPr>
        <w:tab/>
        <w:t>112</w:t>
      </w:r>
      <w:r>
        <w:rPr>
          <w:position w:val="8"/>
        </w:rPr>
        <w:tab/>
        <w:t>105</w:t>
      </w:r>
      <w:r>
        <w:rPr>
          <w:position w:val="8"/>
        </w:rPr>
        <w:tab/>
        <w:t>230</w:t>
      </w:r>
    </w:p>
    <w:p w:rsidR="00B53E52" w:rsidRDefault="00B53E52">
      <w:pPr>
        <w:pStyle w:val="Tabletext"/>
      </w:pPr>
      <w:r>
        <w:t>Kingston</w:t>
      </w:r>
      <w:r>
        <w:tab/>
        <w:t>82</w:t>
      </w:r>
      <w:r>
        <w:tab/>
        <w:t>170</w:t>
      </w:r>
      <w:r>
        <w:tab/>
        <w:t>244</w:t>
      </w:r>
      <w:r>
        <w:tab/>
        <w:t>142</w:t>
      </w:r>
      <w:r>
        <w:tab/>
        <w:t>149</w:t>
      </w:r>
    </w:p>
    <w:p w:rsidR="00B53E52" w:rsidRDefault="00B53E52">
      <w:pPr>
        <w:pStyle w:val="Tabletext"/>
      </w:pPr>
      <w:r>
        <w:t xml:space="preserve">Mornington </w:t>
      </w:r>
      <w:r>
        <w:br/>
        <w:t>Peninsula</w:t>
      </w:r>
      <w:r>
        <w:tab/>
      </w:r>
      <w:r>
        <w:rPr>
          <w:position w:val="8"/>
        </w:rPr>
        <w:t>292</w:t>
      </w:r>
      <w:r>
        <w:rPr>
          <w:position w:val="8"/>
        </w:rPr>
        <w:tab/>
        <w:t>284</w:t>
      </w:r>
      <w:r>
        <w:rPr>
          <w:position w:val="8"/>
        </w:rPr>
        <w:tab/>
        <w:t>446</w:t>
      </w:r>
      <w:r>
        <w:rPr>
          <w:position w:val="8"/>
        </w:rPr>
        <w:tab/>
        <w:t>189</w:t>
      </w:r>
      <w:r>
        <w:rPr>
          <w:position w:val="8"/>
        </w:rPr>
        <w:tab/>
        <w:t>286</w:t>
      </w:r>
    </w:p>
    <w:p w:rsidR="00B53E52" w:rsidRDefault="00B53E52">
      <w:pPr>
        <w:pStyle w:val="Tableend"/>
      </w:pPr>
      <w:r>
        <w:t>South</w:t>
      </w:r>
      <w:r>
        <w:tab/>
        <w:t>1,745</w:t>
      </w:r>
      <w:r>
        <w:tab/>
        <w:t>1,494</w:t>
      </w:r>
      <w:r>
        <w:tab/>
        <w:t>2,514</w:t>
      </w:r>
      <w:r>
        <w:tab/>
        <w:t>1,667</w:t>
      </w:r>
      <w:r>
        <w:tab/>
        <w:t>2,564</w:t>
      </w:r>
    </w:p>
    <w:p w:rsidR="00B53E52" w:rsidRDefault="00B53E52">
      <w:pPr>
        <w:pStyle w:val="Tabletext"/>
      </w:pPr>
      <w:r>
        <w:t>Banyule</w:t>
      </w:r>
      <w:r>
        <w:tab/>
        <w:t>101</w:t>
      </w:r>
      <w:r>
        <w:tab/>
        <w:t>50</w:t>
      </w:r>
      <w:r>
        <w:tab/>
        <w:t>136</w:t>
      </w:r>
      <w:r>
        <w:tab/>
        <w:t>73</w:t>
      </w:r>
      <w:r>
        <w:tab/>
        <w:t>55</w:t>
      </w:r>
    </w:p>
    <w:p w:rsidR="00B53E52" w:rsidRDefault="00B53E52">
      <w:pPr>
        <w:pStyle w:val="Tabletext"/>
      </w:pPr>
      <w:r>
        <w:t>Darebin</w:t>
      </w:r>
      <w:r>
        <w:tab/>
        <w:t>23</w:t>
      </w:r>
      <w:r>
        <w:tab/>
        <w:t>40</w:t>
      </w:r>
      <w:r>
        <w:tab/>
        <w:t>15</w:t>
      </w:r>
      <w:r>
        <w:tab/>
        <w:t>21</w:t>
      </w:r>
      <w:r>
        <w:tab/>
        <w:t>40</w:t>
      </w:r>
    </w:p>
    <w:p w:rsidR="00B53E52" w:rsidRPr="008C1492" w:rsidRDefault="00B53E52">
      <w:pPr>
        <w:pStyle w:val="Tablegrowth"/>
        <w:rPr>
          <w:color w:val="FF0000"/>
        </w:rPr>
      </w:pPr>
      <w:r w:rsidRPr="008C1492">
        <w:rPr>
          <w:color w:val="FF0000"/>
        </w:rPr>
        <w:t>Hume</w:t>
      </w:r>
      <w:r w:rsidRPr="008C1492">
        <w:rPr>
          <w:color w:val="FF0000"/>
        </w:rPr>
        <w:tab/>
        <w:t>543</w:t>
      </w:r>
      <w:r w:rsidRPr="008C1492">
        <w:rPr>
          <w:color w:val="FF0000"/>
        </w:rPr>
        <w:tab/>
        <w:t>282</w:t>
      </w:r>
      <w:r w:rsidRPr="008C1492">
        <w:rPr>
          <w:color w:val="FF0000"/>
        </w:rPr>
        <w:tab/>
        <w:t>356</w:t>
      </w:r>
      <w:r w:rsidRPr="008C1492">
        <w:rPr>
          <w:color w:val="FF0000"/>
        </w:rPr>
        <w:tab/>
        <w:t>90</w:t>
      </w:r>
      <w:r w:rsidRPr="008C1492">
        <w:rPr>
          <w:color w:val="FF0000"/>
        </w:rPr>
        <w:tab/>
        <w:t>629</w:t>
      </w:r>
    </w:p>
    <w:p w:rsidR="00B53E52" w:rsidRDefault="00B53E52">
      <w:pPr>
        <w:pStyle w:val="Tabletext"/>
      </w:pPr>
      <w:r>
        <w:t>Moreland</w:t>
      </w:r>
      <w:r>
        <w:tab/>
        <w:t>292</w:t>
      </w:r>
      <w:r>
        <w:tab/>
        <w:t>326</w:t>
      </w:r>
      <w:r>
        <w:tab/>
        <w:t>334</w:t>
      </w:r>
      <w:r>
        <w:tab/>
        <w:t>198</w:t>
      </w:r>
      <w:r>
        <w:tab/>
        <w:t>220</w:t>
      </w:r>
    </w:p>
    <w:p w:rsidR="00B53E52" w:rsidRDefault="00B53E52">
      <w:pPr>
        <w:pStyle w:val="Tabletext"/>
      </w:pPr>
      <w:r>
        <w:t>Nillumbik</w:t>
      </w:r>
      <w:r>
        <w:tab/>
        <w:t>42</w:t>
      </w:r>
      <w:r>
        <w:tab/>
        <w:t>16</w:t>
      </w:r>
      <w:r>
        <w:tab/>
        <w:t>71</w:t>
      </w:r>
      <w:r>
        <w:tab/>
        <w:t>31</w:t>
      </w:r>
      <w:r>
        <w:tab/>
        <w:t>26</w:t>
      </w:r>
    </w:p>
    <w:p w:rsidR="00B53E52" w:rsidRPr="008C1492" w:rsidRDefault="00B53E52">
      <w:pPr>
        <w:pStyle w:val="Tablegrowth"/>
        <w:rPr>
          <w:color w:val="FF0000"/>
        </w:rPr>
      </w:pPr>
      <w:r w:rsidRPr="008C1492">
        <w:rPr>
          <w:color w:val="FF0000"/>
        </w:rPr>
        <w:t>Whittlesea</w:t>
      </w:r>
      <w:r w:rsidRPr="008C1492">
        <w:rPr>
          <w:color w:val="FF0000"/>
        </w:rPr>
        <w:tab/>
        <w:t>1,619</w:t>
      </w:r>
      <w:r w:rsidRPr="008C1492">
        <w:rPr>
          <w:color w:val="FF0000"/>
        </w:rPr>
        <w:tab/>
        <w:t>484</w:t>
      </w:r>
      <w:r w:rsidRPr="008C1492">
        <w:rPr>
          <w:color w:val="FF0000"/>
        </w:rPr>
        <w:tab/>
        <w:t>998</w:t>
      </w:r>
      <w:r w:rsidRPr="008C1492">
        <w:rPr>
          <w:color w:val="FF0000"/>
        </w:rPr>
        <w:tab/>
        <w:t>782</w:t>
      </w:r>
      <w:r w:rsidRPr="008C1492">
        <w:rPr>
          <w:color w:val="FF0000"/>
        </w:rPr>
        <w:tab/>
        <w:t>1,437</w:t>
      </w:r>
    </w:p>
    <w:p w:rsidR="00B53E52" w:rsidRDefault="00B53E52">
      <w:pPr>
        <w:pStyle w:val="Tableend"/>
      </w:pPr>
      <w:r>
        <w:t>North</w:t>
      </w:r>
      <w:r>
        <w:tab/>
        <w:t>2,620</w:t>
      </w:r>
      <w:r>
        <w:tab/>
        <w:t>1,198</w:t>
      </w:r>
      <w:r>
        <w:tab/>
        <w:t>1,910</w:t>
      </w:r>
      <w:r>
        <w:tab/>
        <w:t>1,195</w:t>
      </w:r>
      <w:r>
        <w:tab/>
        <w:t>2,407</w:t>
      </w:r>
    </w:p>
    <w:p w:rsidR="00B53E52" w:rsidRDefault="00B53E52">
      <w:pPr>
        <w:pStyle w:val="Tabletext"/>
      </w:pPr>
      <w:r>
        <w:t>Boroondara</w:t>
      </w:r>
      <w:r>
        <w:tab/>
        <w:t>123</w:t>
      </w:r>
      <w:r>
        <w:tab/>
        <w:t>136</w:t>
      </w:r>
      <w:r>
        <w:tab/>
        <w:t>66</w:t>
      </w:r>
      <w:r>
        <w:tab/>
        <w:t>96</w:t>
      </w:r>
      <w:r>
        <w:tab/>
        <w:t>119</w:t>
      </w:r>
    </w:p>
    <w:p w:rsidR="00B53E52" w:rsidRDefault="00B53E52">
      <w:pPr>
        <w:pStyle w:val="Tabletext"/>
      </w:pPr>
      <w:r>
        <w:t>Knox</w:t>
      </w:r>
      <w:r>
        <w:tab/>
        <w:t>94</w:t>
      </w:r>
      <w:r>
        <w:tab/>
        <w:t>130</w:t>
      </w:r>
      <w:r>
        <w:tab/>
        <w:t>90</w:t>
      </w:r>
      <w:r>
        <w:tab/>
        <w:t>82</w:t>
      </w:r>
      <w:r>
        <w:tab/>
        <w:t>76</w:t>
      </w:r>
    </w:p>
    <w:p w:rsidR="00B53E52" w:rsidRDefault="00B53E52">
      <w:pPr>
        <w:pStyle w:val="Tabletext"/>
      </w:pPr>
      <w:r>
        <w:t>Manningham</w:t>
      </w:r>
      <w:r>
        <w:tab/>
        <w:t>77</w:t>
      </w:r>
      <w:r>
        <w:tab/>
        <w:t>96</w:t>
      </w:r>
      <w:r>
        <w:tab/>
        <w:t>49</w:t>
      </w:r>
      <w:r>
        <w:tab/>
        <w:t>51</w:t>
      </w:r>
      <w:r>
        <w:tab/>
        <w:t>79</w:t>
      </w:r>
    </w:p>
    <w:p w:rsidR="00B53E52" w:rsidRDefault="00B53E52">
      <w:pPr>
        <w:pStyle w:val="Tabletext"/>
      </w:pPr>
      <w:r>
        <w:t>Maroondah</w:t>
      </w:r>
      <w:r>
        <w:tab/>
        <w:t>19</w:t>
      </w:r>
      <w:r>
        <w:tab/>
        <w:t>4</w:t>
      </w:r>
      <w:r>
        <w:tab/>
        <w:t>10</w:t>
      </w:r>
      <w:r>
        <w:tab/>
        <w:t>2</w:t>
      </w:r>
      <w:r>
        <w:tab/>
        <w:t>6</w:t>
      </w:r>
    </w:p>
    <w:p w:rsidR="00B53E52" w:rsidRDefault="00B53E52">
      <w:pPr>
        <w:pStyle w:val="Tabletext"/>
      </w:pPr>
      <w:r>
        <w:t>Monash</w:t>
      </w:r>
      <w:r>
        <w:tab/>
        <w:t>117</w:t>
      </w:r>
      <w:r>
        <w:tab/>
        <w:t>173</w:t>
      </w:r>
      <w:r>
        <w:tab/>
        <w:t>135</w:t>
      </w:r>
      <w:r>
        <w:tab/>
        <w:t>118</w:t>
      </w:r>
      <w:r>
        <w:tab/>
        <w:t>201</w:t>
      </w:r>
    </w:p>
    <w:p w:rsidR="00B53E52" w:rsidRDefault="00B53E52">
      <w:pPr>
        <w:pStyle w:val="Tabletext"/>
      </w:pPr>
      <w:r>
        <w:t>Stonnington</w:t>
      </w:r>
      <w:r>
        <w:tab/>
        <w:t>804</w:t>
      </w:r>
      <w:r>
        <w:tab/>
        <w:t>84</w:t>
      </w:r>
      <w:r>
        <w:tab/>
        <w:t>149</w:t>
      </w:r>
      <w:r>
        <w:tab/>
        <w:t>278</w:t>
      </w:r>
      <w:r>
        <w:tab/>
        <w:t>83</w:t>
      </w:r>
    </w:p>
    <w:p w:rsidR="00B53E52" w:rsidRDefault="00B53E52">
      <w:pPr>
        <w:pStyle w:val="Tabletext"/>
      </w:pPr>
      <w:r>
        <w:t>Whitehorse</w:t>
      </w:r>
      <w:r>
        <w:tab/>
        <w:t>138</w:t>
      </w:r>
      <w:r>
        <w:tab/>
        <w:t>93</w:t>
      </w:r>
      <w:r>
        <w:tab/>
        <w:t>84</w:t>
      </w:r>
      <w:r>
        <w:tab/>
        <w:t>83</w:t>
      </w:r>
      <w:r>
        <w:tab/>
        <w:t>N/A</w:t>
      </w:r>
    </w:p>
    <w:p w:rsidR="00B53E52" w:rsidRDefault="00B53E52">
      <w:pPr>
        <w:pStyle w:val="Tabletext"/>
      </w:pPr>
      <w:r>
        <w:t>Yarra Ranges</w:t>
      </w:r>
      <w:r>
        <w:tab/>
        <w:t>221</w:t>
      </w:r>
      <w:r>
        <w:tab/>
        <w:t>351</w:t>
      </w:r>
      <w:r>
        <w:tab/>
        <w:t>145</w:t>
      </w:r>
      <w:r>
        <w:tab/>
        <w:t>109</w:t>
      </w:r>
      <w:r>
        <w:tab/>
        <w:t>106</w:t>
      </w:r>
    </w:p>
    <w:p w:rsidR="00B53E52" w:rsidRDefault="00B53E52">
      <w:pPr>
        <w:pStyle w:val="Tableend"/>
      </w:pPr>
      <w:r>
        <w:t>East</w:t>
      </w:r>
      <w:r>
        <w:tab/>
        <w:t>1,593</w:t>
      </w:r>
      <w:r>
        <w:tab/>
        <w:t>1,067</w:t>
      </w:r>
      <w:r>
        <w:tab/>
        <w:t>728</w:t>
      </w:r>
      <w:r>
        <w:tab/>
        <w:t>819</w:t>
      </w:r>
      <w:r>
        <w:tab/>
        <w:t>670</w:t>
      </w:r>
    </w:p>
    <w:p w:rsidR="00B53E52" w:rsidRPr="008C1492" w:rsidRDefault="00B53E52">
      <w:pPr>
        <w:pStyle w:val="Tablegrowth"/>
        <w:rPr>
          <w:color w:val="FF0000"/>
        </w:rPr>
      </w:pPr>
      <w:r w:rsidRPr="008C1492">
        <w:rPr>
          <w:color w:val="FF0000"/>
        </w:rPr>
        <w:t xml:space="preserve">Growth area </w:t>
      </w:r>
      <w:r w:rsidRPr="008C1492">
        <w:rPr>
          <w:color w:val="FF0000"/>
        </w:rPr>
        <w:br/>
        <w:t>municipalities</w:t>
      </w:r>
      <w:r w:rsidRPr="008C1492">
        <w:rPr>
          <w:color w:val="FF0000"/>
        </w:rPr>
        <w:tab/>
      </w:r>
      <w:r w:rsidRPr="008C1492">
        <w:rPr>
          <w:color w:val="FF0000"/>
          <w:position w:val="8"/>
        </w:rPr>
        <w:t>4,986</w:t>
      </w:r>
      <w:r w:rsidRPr="008C1492">
        <w:rPr>
          <w:color w:val="FF0000"/>
          <w:position w:val="8"/>
        </w:rPr>
        <w:tab/>
        <w:t>2,485</w:t>
      </w:r>
      <w:r w:rsidRPr="008C1492">
        <w:rPr>
          <w:color w:val="FF0000"/>
          <w:position w:val="8"/>
        </w:rPr>
        <w:tab/>
        <w:t>4,801</w:t>
      </w:r>
      <w:r w:rsidRPr="008C1492">
        <w:rPr>
          <w:color w:val="FF0000"/>
          <w:position w:val="8"/>
        </w:rPr>
        <w:tab/>
        <w:t>3,335</w:t>
      </w:r>
      <w:r w:rsidRPr="008C1492">
        <w:rPr>
          <w:color w:val="FF0000"/>
          <w:position w:val="8"/>
        </w:rPr>
        <w:tab/>
        <w:t>5,706</w:t>
      </w:r>
    </w:p>
    <w:p w:rsidR="00B53E52" w:rsidRDefault="00B53E52">
      <w:pPr>
        <w:pStyle w:val="Tabletext"/>
      </w:pPr>
      <w:r>
        <w:t xml:space="preserve">Established </w:t>
      </w:r>
      <w:r>
        <w:br/>
        <w:t>municipalities</w:t>
      </w:r>
      <w:r>
        <w:tab/>
      </w:r>
      <w:r>
        <w:rPr>
          <w:position w:val="8"/>
        </w:rPr>
        <w:t>4,053</w:t>
      </w:r>
      <w:r>
        <w:rPr>
          <w:position w:val="8"/>
        </w:rPr>
        <w:tab/>
        <w:t>3,486</w:t>
      </w:r>
      <w:r>
        <w:rPr>
          <w:position w:val="8"/>
        </w:rPr>
        <w:tab/>
        <w:t>3,667</w:t>
      </w:r>
      <w:r>
        <w:rPr>
          <w:position w:val="8"/>
        </w:rPr>
        <w:tab/>
        <w:t>2,519</w:t>
      </w:r>
      <w:r>
        <w:rPr>
          <w:position w:val="8"/>
        </w:rPr>
        <w:tab/>
        <w:t>2,742</w:t>
      </w:r>
    </w:p>
    <w:p w:rsidR="00B53E52" w:rsidRDefault="00B53E52">
      <w:pPr>
        <w:pStyle w:val="Tableend"/>
      </w:pPr>
      <w:r>
        <w:t xml:space="preserve">TOTAL </w:t>
      </w:r>
      <w:r>
        <w:br/>
        <w:t>MELBOURNE</w:t>
      </w:r>
      <w:r>
        <w:tab/>
        <w:t>9,039</w:t>
      </w:r>
      <w:r>
        <w:tab/>
        <w:t>5,971</w:t>
      </w:r>
      <w:r>
        <w:tab/>
        <w:t>8,468</w:t>
      </w:r>
      <w:r>
        <w:tab/>
        <w:t>5,854</w:t>
      </w:r>
      <w:r>
        <w:tab/>
        <w:t>8,448</w:t>
      </w:r>
    </w:p>
    <w:p w:rsidR="00B53E52" w:rsidRDefault="00B53E52">
      <w:pPr>
        <w:pStyle w:val="Tablefootnote"/>
      </w:pPr>
      <w:r>
        <w:rPr>
          <w:rStyle w:val="Bold"/>
          <w:bCs/>
        </w:rPr>
        <w:t>Source</w:t>
      </w:r>
      <w:r>
        <w:t>: Spatial Analysis and Research Branch Survey of Councils</w:t>
      </w:r>
      <w:r>
        <w:tab/>
      </w:r>
      <w:r>
        <w:tab/>
      </w:r>
      <w:r>
        <w:tab/>
      </w:r>
      <w:r>
        <w:tab/>
      </w:r>
      <w:r>
        <w:rPr>
          <w:rStyle w:val="Bold"/>
          <w:bCs/>
        </w:rPr>
        <w:t>Note</w:t>
      </w:r>
      <w:r>
        <w:t>: Information for Wydham &amp; Brimbank sourced from VICMAP Property</w:t>
      </w:r>
      <w:r>
        <w:tab/>
      </w:r>
      <w:r>
        <w:tab/>
      </w:r>
      <w:r>
        <w:tab/>
      </w:r>
      <w:r>
        <w:br/>
        <w:t>N/A: Not Available</w:t>
      </w:r>
    </w:p>
    <w:p w:rsidR="00B53E52" w:rsidRDefault="00B53E52">
      <w:pPr>
        <w:pStyle w:val="Tablegrowth"/>
      </w:pPr>
      <w:r>
        <w:tab/>
      </w:r>
      <w:r>
        <w:tab/>
      </w:r>
      <w:r>
        <w:tab/>
      </w:r>
      <w:r>
        <w:tab/>
      </w:r>
      <w:r>
        <w:tab/>
      </w:r>
      <w:r>
        <w:br/>
      </w:r>
      <w:r>
        <w:rPr>
          <w:rStyle w:val="Bold"/>
          <w:bCs/>
          <w:position w:val="10"/>
        </w:rPr>
        <w:t>Note</w:t>
      </w:r>
      <w:r>
        <w:rPr>
          <w:position w:val="10"/>
        </w:rPr>
        <w:t>: Growth area municipalities highlighted</w:t>
      </w:r>
      <w:r>
        <w:rPr>
          <w:position w:val="10"/>
        </w:rPr>
        <w:tab/>
      </w:r>
      <w:r>
        <w:rPr>
          <w:position w:val="10"/>
        </w:rPr>
        <w:tab/>
      </w:r>
      <w:r>
        <w:rPr>
          <w:position w:val="10"/>
        </w:rPr>
        <w:tab/>
      </w:r>
      <w:r>
        <w:tab/>
      </w:r>
      <w:r>
        <w:tab/>
      </w:r>
      <w:r>
        <w:tab/>
      </w:r>
      <w:r>
        <w:tab/>
      </w:r>
      <w:r>
        <w:tab/>
      </w:r>
      <w:r>
        <w:tab/>
      </w:r>
      <w:r>
        <w:tab/>
      </w:r>
    </w:p>
    <w:p w:rsidR="00B53E52" w:rsidRDefault="00B53E52">
      <w:pPr>
        <w:pStyle w:val="Tabletitle"/>
        <w:rPr>
          <w:sz w:val="18"/>
        </w:rPr>
      </w:pPr>
      <w:r>
        <w:rPr>
          <w:sz w:val="18"/>
        </w:rPr>
        <w:br w:type="column"/>
        <w:t>Table 5: Dwelling approvals</w:t>
      </w:r>
    </w:p>
    <w:p w:rsidR="00B53E52" w:rsidRDefault="00B53E52">
      <w:pPr>
        <w:pStyle w:val="Tabletitle"/>
        <w:rPr>
          <w:sz w:val="18"/>
        </w:rPr>
      </w:pPr>
    </w:p>
    <w:tbl>
      <w:tblPr>
        <w:tblW w:w="0" w:type="auto"/>
        <w:tblInd w:w="8" w:type="dxa"/>
        <w:tblLayout w:type="fixed"/>
        <w:tblCellMar>
          <w:left w:w="0" w:type="dxa"/>
          <w:right w:w="0" w:type="dxa"/>
        </w:tblCellMar>
        <w:tblLook w:val="0000"/>
      </w:tblPr>
      <w:tblGrid>
        <w:gridCol w:w="1074"/>
        <w:gridCol w:w="486"/>
        <w:gridCol w:w="486"/>
        <w:gridCol w:w="486"/>
        <w:gridCol w:w="487"/>
        <w:gridCol w:w="439"/>
      </w:tblGrid>
      <w:tr w:rsidR="00B53E52" w:rsidRPr="00A577D8">
        <w:trPr>
          <w:trHeight w:val="60"/>
        </w:trPr>
        <w:tc>
          <w:tcPr>
            <w:tcW w:w="1074" w:type="dxa"/>
            <w:vMerge w:val="restart"/>
            <w:tcBorders>
              <w:top w:val="single" w:sz="6" w:space="0" w:color="FFFFFF"/>
              <w:left w:val="single" w:sz="6" w:space="0" w:color="FFFFFF"/>
              <w:bottom w:val="single" w:sz="8"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jc w:val="left"/>
              <w:rPr>
                <w:color w:val="FFFFFF"/>
              </w:rPr>
            </w:pPr>
            <w:r w:rsidRPr="008C1492">
              <w:rPr>
                <w:color w:val="FFFFFF"/>
                <w:sz w:val="14"/>
              </w:rPr>
              <w:t xml:space="preserve"> Municipality</w:t>
            </w:r>
          </w:p>
        </w:tc>
        <w:tc>
          <w:tcPr>
            <w:tcW w:w="2384" w:type="dxa"/>
            <w:gridSpan w:val="5"/>
            <w:tcBorders>
              <w:top w:val="single" w:sz="6" w:space="0" w:color="FFFFFF"/>
              <w:left w:val="single" w:sz="6" w:space="0" w:color="FFFFFF"/>
              <w:bottom w:val="single" w:sz="8"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rPr>
                <w:color w:val="FFFFFF"/>
              </w:rPr>
            </w:pPr>
            <w:r w:rsidRPr="008C1492">
              <w:rPr>
                <w:color w:val="FFFFFF"/>
                <w:sz w:val="14"/>
              </w:rPr>
              <w:t>Number of Lots per Quarter</w:t>
            </w:r>
          </w:p>
        </w:tc>
      </w:tr>
      <w:tr w:rsidR="00B53E52" w:rsidRPr="00A577D8">
        <w:trPr>
          <w:trHeight w:val="60"/>
        </w:trPr>
        <w:tc>
          <w:tcPr>
            <w:tcW w:w="1074" w:type="dxa"/>
            <w:vMerge/>
            <w:tcBorders>
              <w:top w:val="single" w:sz="8" w:space="0" w:color="FFFFFF"/>
              <w:left w:val="single" w:sz="6" w:space="0" w:color="FFFFFF"/>
              <w:bottom w:val="single" w:sz="6" w:space="0" w:color="FFFFFF"/>
              <w:right w:val="single" w:sz="6" w:space="0" w:color="FFFFFF"/>
            </w:tcBorders>
          </w:tcPr>
          <w:p w:rsidR="00B53E52" w:rsidRPr="008C1492" w:rsidRDefault="00B53E52">
            <w:pPr>
              <w:pStyle w:val="NoParagraphStyle"/>
              <w:spacing w:line="240" w:lineRule="auto"/>
              <w:textAlignment w:val="auto"/>
              <w:rPr>
                <w:rFonts w:ascii="Frutiger-Bold" w:hAnsi="Frutiger-Bold" w:cs="Times New Roman"/>
                <w:color w:val="FFFFFF"/>
                <w:lang w:val="en-US"/>
              </w:rPr>
            </w:pPr>
          </w:p>
        </w:tc>
        <w:tc>
          <w:tcPr>
            <w:tcW w:w="486" w:type="dxa"/>
            <w:tcBorders>
              <w:top w:val="single" w:sz="8" w:space="0" w:color="FFFFFF"/>
              <w:left w:val="single" w:sz="6" w:space="0" w:color="FFFFFF"/>
              <w:bottom w:val="single" w:sz="6"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rPr>
                <w:color w:val="FFFFFF"/>
              </w:rPr>
            </w:pPr>
            <w:r w:rsidRPr="008C1492">
              <w:rPr>
                <w:color w:val="FFFFFF"/>
                <w:sz w:val="14"/>
              </w:rPr>
              <w:t xml:space="preserve">Jun </w:t>
            </w:r>
            <w:r w:rsidRPr="008C1492">
              <w:rPr>
                <w:color w:val="FFFFFF"/>
                <w:sz w:val="14"/>
              </w:rPr>
              <w:br/>
              <w:t>‘09</w:t>
            </w:r>
          </w:p>
        </w:tc>
        <w:tc>
          <w:tcPr>
            <w:tcW w:w="486" w:type="dxa"/>
            <w:tcBorders>
              <w:top w:val="single" w:sz="8" w:space="0" w:color="FFFFFF"/>
              <w:left w:val="single" w:sz="6" w:space="0" w:color="FFFFFF"/>
              <w:bottom w:val="single" w:sz="6"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rPr>
                <w:color w:val="FFFFFF"/>
              </w:rPr>
            </w:pPr>
            <w:r w:rsidRPr="008C1492">
              <w:rPr>
                <w:color w:val="FFFFFF"/>
                <w:sz w:val="14"/>
              </w:rPr>
              <w:t>Sep</w:t>
            </w:r>
            <w:r w:rsidRPr="008C1492">
              <w:rPr>
                <w:color w:val="FFFFFF"/>
                <w:sz w:val="14"/>
              </w:rPr>
              <w:br/>
              <w:t>‘09</w:t>
            </w:r>
          </w:p>
        </w:tc>
        <w:tc>
          <w:tcPr>
            <w:tcW w:w="486" w:type="dxa"/>
            <w:tcBorders>
              <w:top w:val="single" w:sz="8" w:space="0" w:color="FFFFFF"/>
              <w:left w:val="single" w:sz="6" w:space="0" w:color="FFFFFF"/>
              <w:bottom w:val="single" w:sz="6"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rPr>
                <w:color w:val="FFFFFF"/>
              </w:rPr>
            </w:pPr>
            <w:r w:rsidRPr="008C1492">
              <w:rPr>
                <w:color w:val="FFFFFF"/>
                <w:sz w:val="14"/>
              </w:rPr>
              <w:t>Dec</w:t>
            </w:r>
            <w:r w:rsidRPr="008C1492">
              <w:rPr>
                <w:color w:val="FFFFFF"/>
                <w:sz w:val="14"/>
              </w:rPr>
              <w:br/>
              <w:t>‘09</w:t>
            </w:r>
          </w:p>
        </w:tc>
        <w:tc>
          <w:tcPr>
            <w:tcW w:w="487" w:type="dxa"/>
            <w:tcBorders>
              <w:top w:val="single" w:sz="8" w:space="0" w:color="FFFFFF"/>
              <w:left w:val="single" w:sz="6" w:space="0" w:color="FFFFFF"/>
              <w:bottom w:val="single" w:sz="6"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rPr>
                <w:color w:val="FFFFFF"/>
              </w:rPr>
            </w:pPr>
            <w:r w:rsidRPr="008C1492">
              <w:rPr>
                <w:color w:val="FFFFFF"/>
                <w:sz w:val="14"/>
              </w:rPr>
              <w:t>Mar</w:t>
            </w:r>
            <w:r w:rsidRPr="008C1492">
              <w:rPr>
                <w:color w:val="FFFFFF"/>
                <w:sz w:val="14"/>
              </w:rPr>
              <w:br/>
              <w:t>‘10</w:t>
            </w:r>
          </w:p>
        </w:tc>
        <w:tc>
          <w:tcPr>
            <w:tcW w:w="439" w:type="dxa"/>
            <w:tcBorders>
              <w:top w:val="single" w:sz="8" w:space="0" w:color="FFFFFF"/>
              <w:left w:val="single" w:sz="6" w:space="0" w:color="FFFFFF"/>
              <w:bottom w:val="single" w:sz="6" w:space="0" w:color="FFFFFF"/>
              <w:right w:val="single" w:sz="6" w:space="0" w:color="FFFFFF"/>
            </w:tcBorders>
            <w:shd w:val="solid" w:color="009081" w:fill="auto"/>
            <w:tcMar>
              <w:top w:w="80" w:type="dxa"/>
              <w:left w:w="0" w:type="dxa"/>
              <w:bottom w:w="80" w:type="dxa"/>
              <w:right w:w="0" w:type="dxa"/>
            </w:tcMar>
            <w:vAlign w:val="bottom"/>
          </w:tcPr>
          <w:p w:rsidR="00B53E52" w:rsidRPr="008C1492" w:rsidRDefault="00B53E52">
            <w:pPr>
              <w:pStyle w:val="Tablehead"/>
              <w:rPr>
                <w:color w:val="FFFFFF"/>
              </w:rPr>
            </w:pPr>
            <w:r w:rsidRPr="008C1492">
              <w:rPr>
                <w:color w:val="FFFFFF"/>
                <w:sz w:val="14"/>
              </w:rPr>
              <w:t>Jun</w:t>
            </w:r>
            <w:r w:rsidRPr="008C1492">
              <w:rPr>
                <w:color w:val="FFFFFF"/>
                <w:sz w:val="14"/>
              </w:rPr>
              <w:br/>
              <w:t>‘10</w:t>
            </w:r>
          </w:p>
        </w:tc>
      </w:tr>
    </w:tbl>
    <w:p w:rsidR="00B53E52" w:rsidRDefault="00B53E52">
      <w:pPr>
        <w:pStyle w:val="Tabletext"/>
      </w:pPr>
      <w:r>
        <w:t>Melbourne</w:t>
      </w:r>
      <w:r>
        <w:tab/>
        <w:t>404</w:t>
      </w:r>
      <w:r>
        <w:tab/>
        <w:t>665</w:t>
      </w:r>
      <w:r>
        <w:tab/>
        <w:t>528</w:t>
      </w:r>
      <w:r>
        <w:tab/>
        <w:t>251</w:t>
      </w:r>
      <w:r>
        <w:tab/>
        <w:t>435</w:t>
      </w:r>
    </w:p>
    <w:p w:rsidR="00B53E52" w:rsidRDefault="00B53E52">
      <w:pPr>
        <w:pStyle w:val="Tabletext"/>
      </w:pPr>
      <w:r>
        <w:t>Port Phillip</w:t>
      </w:r>
      <w:r>
        <w:tab/>
        <w:t>31</w:t>
      </w:r>
      <w:r>
        <w:tab/>
        <w:t>50</w:t>
      </w:r>
      <w:r>
        <w:tab/>
        <w:t>180</w:t>
      </w:r>
      <w:r>
        <w:tab/>
        <w:t>146</w:t>
      </w:r>
      <w:r>
        <w:tab/>
        <w:t>263</w:t>
      </w:r>
    </w:p>
    <w:p w:rsidR="00B53E52" w:rsidRDefault="00B53E52">
      <w:pPr>
        <w:pStyle w:val="Tabletext"/>
      </w:pPr>
      <w:r>
        <w:t>Yarra</w:t>
      </w:r>
      <w:r>
        <w:tab/>
        <w:t>56</w:t>
      </w:r>
      <w:r>
        <w:tab/>
        <w:t>206</w:t>
      </w:r>
      <w:r>
        <w:tab/>
        <w:t>224</w:t>
      </w:r>
      <w:r>
        <w:tab/>
        <w:t>220</w:t>
      </w:r>
      <w:r>
        <w:tab/>
        <w:t>288</w:t>
      </w:r>
    </w:p>
    <w:p w:rsidR="00B53E52" w:rsidRDefault="00B53E52">
      <w:pPr>
        <w:pStyle w:val="Tableend"/>
      </w:pPr>
      <w:r>
        <w:t>Inner</w:t>
      </w:r>
      <w:r>
        <w:tab/>
        <w:t>491</w:t>
      </w:r>
      <w:r>
        <w:tab/>
        <w:t>921</w:t>
      </w:r>
      <w:r>
        <w:tab/>
        <w:t>932</w:t>
      </w:r>
      <w:r>
        <w:tab/>
        <w:t>617</w:t>
      </w:r>
      <w:r>
        <w:tab/>
        <w:t>986</w:t>
      </w:r>
    </w:p>
    <w:p w:rsidR="00B53E52" w:rsidRDefault="00B53E52">
      <w:pPr>
        <w:pStyle w:val="Tabletext"/>
      </w:pPr>
      <w:r>
        <w:t>Brimbank</w:t>
      </w:r>
      <w:r>
        <w:tab/>
        <w:t>374</w:t>
      </w:r>
      <w:r>
        <w:tab/>
        <w:t>483</w:t>
      </w:r>
      <w:r>
        <w:tab/>
        <w:t>347</w:t>
      </w:r>
      <w:r>
        <w:tab/>
        <w:t>337</w:t>
      </w:r>
      <w:r>
        <w:tab/>
        <w:t>321</w:t>
      </w:r>
    </w:p>
    <w:p w:rsidR="00B53E52" w:rsidRDefault="00B53E52">
      <w:pPr>
        <w:pStyle w:val="Tabletext"/>
      </w:pPr>
      <w:r>
        <w:t>Hobsons Bay</w:t>
      </w:r>
      <w:r>
        <w:tab/>
        <w:t>120</w:t>
      </w:r>
      <w:r>
        <w:tab/>
        <w:t>90</w:t>
      </w:r>
      <w:r>
        <w:tab/>
        <w:t>136</w:t>
      </w:r>
      <w:r>
        <w:tab/>
        <w:t>81</w:t>
      </w:r>
      <w:r>
        <w:tab/>
        <w:t>176</w:t>
      </w:r>
    </w:p>
    <w:p w:rsidR="00B53E52" w:rsidRDefault="00B53E52">
      <w:pPr>
        <w:pStyle w:val="Tabletext"/>
      </w:pPr>
      <w:r>
        <w:t>Maribyrnong</w:t>
      </w:r>
      <w:r>
        <w:tab/>
        <w:t>163</w:t>
      </w:r>
      <w:r>
        <w:tab/>
        <w:t>289</w:t>
      </w:r>
      <w:r>
        <w:tab/>
        <w:t>224</w:t>
      </w:r>
      <w:r>
        <w:tab/>
        <w:t>112</w:t>
      </w:r>
      <w:r>
        <w:tab/>
        <w:t>278</w:t>
      </w:r>
    </w:p>
    <w:p w:rsidR="00B53E52" w:rsidRPr="008C1492" w:rsidRDefault="00B53E52">
      <w:pPr>
        <w:pStyle w:val="Tablegrowth"/>
        <w:rPr>
          <w:color w:val="FF0000"/>
        </w:rPr>
      </w:pPr>
      <w:r w:rsidRPr="008C1492">
        <w:rPr>
          <w:color w:val="FF0000"/>
        </w:rPr>
        <w:t>Melton</w:t>
      </w:r>
      <w:r w:rsidRPr="008C1492">
        <w:rPr>
          <w:color w:val="FF0000"/>
        </w:rPr>
        <w:tab/>
        <w:t>590</w:t>
      </w:r>
      <w:r w:rsidRPr="008C1492">
        <w:rPr>
          <w:color w:val="FF0000"/>
        </w:rPr>
        <w:tab/>
        <w:t>710</w:t>
      </w:r>
      <w:r w:rsidRPr="008C1492">
        <w:rPr>
          <w:color w:val="FF0000"/>
        </w:rPr>
        <w:tab/>
        <w:t>480</w:t>
      </w:r>
      <w:r w:rsidRPr="008C1492">
        <w:rPr>
          <w:color w:val="FF0000"/>
        </w:rPr>
        <w:tab/>
        <w:t>517</w:t>
      </w:r>
      <w:r w:rsidRPr="008C1492">
        <w:rPr>
          <w:color w:val="FF0000"/>
        </w:rPr>
        <w:tab/>
        <w:t>691</w:t>
      </w:r>
    </w:p>
    <w:p w:rsidR="00B53E52" w:rsidRDefault="00B53E52">
      <w:pPr>
        <w:pStyle w:val="Tabletext"/>
      </w:pPr>
      <w:r>
        <w:t>Moonee Valley</w:t>
      </w:r>
      <w:r>
        <w:tab/>
        <w:t>129</w:t>
      </w:r>
      <w:r>
        <w:tab/>
        <w:t>198</w:t>
      </w:r>
      <w:r>
        <w:tab/>
        <w:t>165</w:t>
      </w:r>
      <w:r>
        <w:tab/>
        <w:t>171</w:t>
      </w:r>
      <w:r>
        <w:tab/>
        <w:t>243</w:t>
      </w:r>
    </w:p>
    <w:p w:rsidR="00B53E52" w:rsidRPr="008C1492" w:rsidRDefault="00B53E52">
      <w:pPr>
        <w:pStyle w:val="Tablegrowth"/>
        <w:rPr>
          <w:color w:val="FF0000"/>
        </w:rPr>
      </w:pPr>
      <w:r w:rsidRPr="008C1492">
        <w:rPr>
          <w:color w:val="FF0000"/>
        </w:rPr>
        <w:t>Wyndham</w:t>
      </w:r>
      <w:r w:rsidRPr="008C1492">
        <w:rPr>
          <w:color w:val="FF0000"/>
        </w:rPr>
        <w:tab/>
        <w:t>1,058</w:t>
      </w:r>
      <w:r w:rsidRPr="008C1492">
        <w:rPr>
          <w:color w:val="FF0000"/>
        </w:rPr>
        <w:tab/>
        <w:t>1,445</w:t>
      </w:r>
      <w:r w:rsidRPr="008C1492">
        <w:rPr>
          <w:color w:val="FF0000"/>
        </w:rPr>
        <w:tab/>
        <w:t>1,319</w:t>
      </w:r>
      <w:r w:rsidRPr="008C1492">
        <w:rPr>
          <w:color w:val="FF0000"/>
        </w:rPr>
        <w:tab/>
        <w:t>1,445</w:t>
      </w:r>
      <w:r w:rsidRPr="008C1492">
        <w:rPr>
          <w:color w:val="FF0000"/>
        </w:rPr>
        <w:tab/>
        <w:t>1,430</w:t>
      </w:r>
    </w:p>
    <w:p w:rsidR="00B53E52" w:rsidRDefault="00B53E52">
      <w:pPr>
        <w:pStyle w:val="Tableend"/>
      </w:pPr>
      <w:r>
        <w:t>West</w:t>
      </w:r>
      <w:r>
        <w:tab/>
        <w:t>2,434</w:t>
      </w:r>
      <w:r>
        <w:tab/>
        <w:t>3,215</w:t>
      </w:r>
      <w:r>
        <w:tab/>
        <w:t>2,671</w:t>
      </w:r>
      <w:r>
        <w:tab/>
        <w:t>2,663</w:t>
      </w:r>
      <w:r>
        <w:tab/>
        <w:t>3,139</w:t>
      </w:r>
    </w:p>
    <w:p w:rsidR="00B53E52" w:rsidRDefault="00B53E52">
      <w:pPr>
        <w:pStyle w:val="Tabletext"/>
      </w:pPr>
      <w:r>
        <w:t>Bayside</w:t>
      </w:r>
      <w:r>
        <w:tab/>
        <w:t>157</w:t>
      </w:r>
      <w:r>
        <w:tab/>
        <w:t>111</w:t>
      </w:r>
      <w:r>
        <w:tab/>
        <w:t>87</w:t>
      </w:r>
      <w:r>
        <w:tab/>
        <w:t>129</w:t>
      </w:r>
      <w:r>
        <w:tab/>
        <w:t>155</w:t>
      </w:r>
    </w:p>
    <w:p w:rsidR="00B53E52" w:rsidRPr="008C1492" w:rsidRDefault="00B53E52">
      <w:pPr>
        <w:pStyle w:val="Tablegrowth"/>
        <w:rPr>
          <w:color w:val="FF0000"/>
        </w:rPr>
      </w:pPr>
      <w:r w:rsidRPr="008C1492">
        <w:rPr>
          <w:color w:val="FF0000"/>
        </w:rPr>
        <w:t>Cardinia</w:t>
      </w:r>
      <w:r w:rsidRPr="008C1492">
        <w:rPr>
          <w:color w:val="FF0000"/>
        </w:rPr>
        <w:tab/>
        <w:t>411</w:t>
      </w:r>
      <w:r w:rsidRPr="008C1492">
        <w:rPr>
          <w:color w:val="FF0000"/>
        </w:rPr>
        <w:tab/>
        <w:t>457</w:t>
      </w:r>
      <w:r w:rsidRPr="008C1492">
        <w:rPr>
          <w:color w:val="FF0000"/>
        </w:rPr>
        <w:tab/>
        <w:t>464</w:t>
      </w:r>
      <w:r w:rsidRPr="008C1492">
        <w:rPr>
          <w:color w:val="FF0000"/>
        </w:rPr>
        <w:tab/>
        <w:t>442</w:t>
      </w:r>
      <w:r w:rsidRPr="008C1492">
        <w:rPr>
          <w:color w:val="FF0000"/>
        </w:rPr>
        <w:tab/>
        <w:t>423</w:t>
      </w:r>
    </w:p>
    <w:p w:rsidR="00B53E52" w:rsidRPr="008C1492" w:rsidRDefault="00B53E52">
      <w:pPr>
        <w:pStyle w:val="Tablegrowth"/>
        <w:rPr>
          <w:color w:val="FF0000"/>
        </w:rPr>
      </w:pPr>
      <w:r w:rsidRPr="008C1492">
        <w:rPr>
          <w:color w:val="FF0000"/>
        </w:rPr>
        <w:t>Casey</w:t>
      </w:r>
      <w:r w:rsidRPr="008C1492">
        <w:rPr>
          <w:color w:val="FF0000"/>
        </w:rPr>
        <w:tab/>
        <w:t>648</w:t>
      </w:r>
      <w:r w:rsidRPr="008C1492">
        <w:rPr>
          <w:color w:val="FF0000"/>
        </w:rPr>
        <w:tab/>
        <w:t>623</w:t>
      </w:r>
      <w:r w:rsidRPr="008C1492">
        <w:rPr>
          <w:color w:val="FF0000"/>
        </w:rPr>
        <w:tab/>
        <w:t>704</w:t>
      </w:r>
      <w:r w:rsidRPr="008C1492">
        <w:rPr>
          <w:color w:val="FF0000"/>
        </w:rPr>
        <w:tab/>
        <w:t>719</w:t>
      </w:r>
      <w:r w:rsidRPr="008C1492">
        <w:rPr>
          <w:color w:val="FF0000"/>
        </w:rPr>
        <w:tab/>
        <w:t>713</w:t>
      </w:r>
    </w:p>
    <w:p w:rsidR="00B53E52" w:rsidRDefault="00B53E52">
      <w:pPr>
        <w:pStyle w:val="Tabletext"/>
      </w:pPr>
      <w:r>
        <w:t>Frankston</w:t>
      </w:r>
      <w:r>
        <w:tab/>
        <w:t>167</w:t>
      </w:r>
      <w:r>
        <w:tab/>
        <w:t>193</w:t>
      </w:r>
      <w:r>
        <w:tab/>
        <w:t>193</w:t>
      </w:r>
      <w:r>
        <w:tab/>
        <w:t>251</w:t>
      </w:r>
      <w:r>
        <w:tab/>
        <w:t>312</w:t>
      </w:r>
    </w:p>
    <w:p w:rsidR="00B53E52" w:rsidRDefault="00B53E52">
      <w:pPr>
        <w:pStyle w:val="Tabletext"/>
      </w:pPr>
      <w:r>
        <w:t>Glen Eira</w:t>
      </w:r>
      <w:r>
        <w:tab/>
        <w:t>139</w:t>
      </w:r>
      <w:r>
        <w:tab/>
        <w:t>141</w:t>
      </w:r>
      <w:r>
        <w:tab/>
        <w:t>198</w:t>
      </w:r>
      <w:r>
        <w:tab/>
        <w:t>191</w:t>
      </w:r>
      <w:r>
        <w:tab/>
        <w:t>218</w:t>
      </w:r>
    </w:p>
    <w:p w:rsidR="00B53E52" w:rsidRDefault="00B53E52">
      <w:pPr>
        <w:pStyle w:val="Tabletext"/>
      </w:pPr>
      <w:r>
        <w:t xml:space="preserve">Greater </w:t>
      </w:r>
      <w:r>
        <w:br/>
        <w:t>Dandenong</w:t>
      </w:r>
      <w:r>
        <w:tab/>
      </w:r>
      <w:r>
        <w:rPr>
          <w:position w:val="8"/>
        </w:rPr>
        <w:t>109</w:t>
      </w:r>
      <w:r>
        <w:rPr>
          <w:position w:val="8"/>
        </w:rPr>
        <w:tab/>
        <w:t>138</w:t>
      </w:r>
      <w:r>
        <w:rPr>
          <w:position w:val="8"/>
        </w:rPr>
        <w:tab/>
        <w:t>283</w:t>
      </w:r>
      <w:r>
        <w:rPr>
          <w:position w:val="8"/>
        </w:rPr>
        <w:tab/>
        <w:t>203</w:t>
      </w:r>
      <w:r>
        <w:rPr>
          <w:position w:val="8"/>
        </w:rPr>
        <w:tab/>
        <w:t>224</w:t>
      </w:r>
    </w:p>
    <w:p w:rsidR="00B53E52" w:rsidRDefault="00B53E52">
      <w:pPr>
        <w:pStyle w:val="Tabletext"/>
      </w:pPr>
      <w:r>
        <w:t>Kingston</w:t>
      </w:r>
      <w:r>
        <w:tab/>
        <w:t>150</w:t>
      </w:r>
      <w:r>
        <w:tab/>
        <w:t>144</w:t>
      </w:r>
      <w:r>
        <w:tab/>
        <w:t>166</w:t>
      </w:r>
      <w:r>
        <w:tab/>
        <w:t>163</w:t>
      </w:r>
      <w:r>
        <w:tab/>
        <w:t>283</w:t>
      </w:r>
    </w:p>
    <w:p w:rsidR="00B53E52" w:rsidRDefault="00B53E52">
      <w:pPr>
        <w:pStyle w:val="Tabletext"/>
        <w:rPr>
          <w:position w:val="8"/>
        </w:rPr>
      </w:pPr>
      <w:r>
        <w:t xml:space="preserve">Mornington </w:t>
      </w:r>
      <w:r>
        <w:br/>
        <w:t>Peninsula</w:t>
      </w:r>
      <w:r>
        <w:tab/>
      </w:r>
      <w:r>
        <w:rPr>
          <w:position w:val="8"/>
        </w:rPr>
        <w:t>270</w:t>
      </w:r>
      <w:r>
        <w:rPr>
          <w:position w:val="8"/>
        </w:rPr>
        <w:tab/>
        <w:t>313</w:t>
      </w:r>
      <w:r>
        <w:rPr>
          <w:position w:val="8"/>
        </w:rPr>
        <w:tab/>
        <w:t>309</w:t>
      </w:r>
      <w:r>
        <w:rPr>
          <w:position w:val="8"/>
        </w:rPr>
        <w:tab/>
        <w:t>288</w:t>
      </w:r>
      <w:r>
        <w:rPr>
          <w:position w:val="8"/>
        </w:rPr>
        <w:tab/>
        <w:t>251</w:t>
      </w:r>
    </w:p>
    <w:p w:rsidR="00B53E52" w:rsidRDefault="00B53E52">
      <w:pPr>
        <w:pStyle w:val="Tableend"/>
      </w:pPr>
      <w:r>
        <w:t>South</w:t>
      </w:r>
      <w:r>
        <w:tab/>
        <w:t>2,051</w:t>
      </w:r>
      <w:r>
        <w:tab/>
        <w:t>2,120</w:t>
      </w:r>
      <w:r>
        <w:tab/>
        <w:t>2,404</w:t>
      </w:r>
      <w:r>
        <w:tab/>
        <w:t>2,386</w:t>
      </w:r>
      <w:r>
        <w:tab/>
        <w:t>2,579</w:t>
      </w:r>
    </w:p>
    <w:p w:rsidR="00B53E52" w:rsidRDefault="00B53E52">
      <w:pPr>
        <w:pStyle w:val="Tabletext"/>
      </w:pPr>
      <w:r>
        <w:t>Banyule</w:t>
      </w:r>
      <w:r>
        <w:tab/>
        <w:t>76</w:t>
      </w:r>
      <w:r>
        <w:tab/>
        <w:t>145</w:t>
      </w:r>
      <w:r>
        <w:tab/>
        <w:t>139</w:t>
      </w:r>
      <w:r>
        <w:tab/>
        <w:t>117</w:t>
      </w:r>
      <w:r>
        <w:tab/>
        <w:t>124</w:t>
      </w:r>
    </w:p>
    <w:p w:rsidR="00B53E52" w:rsidRDefault="00B53E52">
      <w:pPr>
        <w:pStyle w:val="Tabletext"/>
      </w:pPr>
      <w:r>
        <w:t>Darebin</w:t>
      </w:r>
      <w:r>
        <w:tab/>
        <w:t>285</w:t>
      </w:r>
      <w:r>
        <w:tab/>
        <w:t>191</w:t>
      </w:r>
      <w:r>
        <w:tab/>
        <w:t>222</w:t>
      </w:r>
      <w:r>
        <w:tab/>
        <w:t>357</w:t>
      </w:r>
      <w:r>
        <w:tab/>
        <w:t>293</w:t>
      </w:r>
    </w:p>
    <w:p w:rsidR="00B53E52" w:rsidRPr="008C1492" w:rsidRDefault="00B53E52">
      <w:pPr>
        <w:pStyle w:val="Tablegrowth"/>
        <w:rPr>
          <w:color w:val="FF0000"/>
        </w:rPr>
      </w:pPr>
      <w:r w:rsidRPr="008C1492">
        <w:rPr>
          <w:color w:val="FF0000"/>
        </w:rPr>
        <w:t>Hume</w:t>
      </w:r>
      <w:r w:rsidRPr="008C1492">
        <w:rPr>
          <w:color w:val="FF0000"/>
        </w:rPr>
        <w:tab/>
        <w:t>358</w:t>
      </w:r>
      <w:r w:rsidRPr="008C1492">
        <w:rPr>
          <w:color w:val="FF0000"/>
        </w:rPr>
        <w:tab/>
        <w:t>575</w:t>
      </w:r>
      <w:r w:rsidRPr="008C1492">
        <w:rPr>
          <w:color w:val="FF0000"/>
        </w:rPr>
        <w:tab/>
        <w:t>567</w:t>
      </w:r>
      <w:r w:rsidRPr="008C1492">
        <w:rPr>
          <w:color w:val="FF0000"/>
        </w:rPr>
        <w:tab/>
        <w:t>362</w:t>
      </w:r>
      <w:r w:rsidRPr="008C1492">
        <w:rPr>
          <w:color w:val="FF0000"/>
        </w:rPr>
        <w:tab/>
        <w:t>425</w:t>
      </w:r>
    </w:p>
    <w:p w:rsidR="00B53E52" w:rsidRDefault="00B53E52">
      <w:pPr>
        <w:pStyle w:val="Tabletext"/>
      </w:pPr>
      <w:r>
        <w:t>Moreland</w:t>
      </w:r>
      <w:r>
        <w:tab/>
        <w:t>329</w:t>
      </w:r>
      <w:r>
        <w:tab/>
        <w:t>205</w:t>
      </w:r>
      <w:r>
        <w:tab/>
        <w:t>397</w:t>
      </w:r>
      <w:r>
        <w:tab/>
        <w:t>363</w:t>
      </w:r>
      <w:r>
        <w:tab/>
        <w:t>304</w:t>
      </w:r>
    </w:p>
    <w:p w:rsidR="00B53E52" w:rsidRDefault="00B53E52">
      <w:pPr>
        <w:pStyle w:val="Tabletext"/>
      </w:pPr>
      <w:r>
        <w:t>Nillumbik</w:t>
      </w:r>
      <w:r>
        <w:tab/>
        <w:t>42</w:t>
      </w:r>
      <w:r>
        <w:tab/>
        <w:t>64</w:t>
      </w:r>
      <w:r>
        <w:tab/>
        <w:t>56</w:t>
      </w:r>
      <w:r>
        <w:tab/>
        <w:t>40</w:t>
      </w:r>
      <w:r>
        <w:tab/>
        <w:t>62</w:t>
      </w:r>
    </w:p>
    <w:p w:rsidR="00B53E52" w:rsidRPr="008C1492" w:rsidRDefault="00B53E52">
      <w:pPr>
        <w:pStyle w:val="Tablegrowth"/>
        <w:rPr>
          <w:color w:val="FF0000"/>
        </w:rPr>
      </w:pPr>
      <w:r w:rsidRPr="008C1492">
        <w:rPr>
          <w:color w:val="FF0000"/>
        </w:rPr>
        <w:t>Whittlesea</w:t>
      </w:r>
      <w:r w:rsidRPr="008C1492">
        <w:rPr>
          <w:color w:val="FF0000"/>
        </w:rPr>
        <w:tab/>
        <w:t>863</w:t>
      </w:r>
      <w:r w:rsidRPr="008C1492">
        <w:rPr>
          <w:color w:val="FF0000"/>
        </w:rPr>
        <w:tab/>
        <w:t>1,094</w:t>
      </w:r>
      <w:r w:rsidRPr="008C1492">
        <w:rPr>
          <w:color w:val="FF0000"/>
        </w:rPr>
        <w:tab/>
        <w:t>950</w:t>
      </w:r>
      <w:r w:rsidRPr="008C1492">
        <w:rPr>
          <w:color w:val="FF0000"/>
        </w:rPr>
        <w:tab/>
        <w:t>995</w:t>
      </w:r>
      <w:r w:rsidRPr="008C1492">
        <w:rPr>
          <w:color w:val="FF0000"/>
        </w:rPr>
        <w:tab/>
        <w:t>765</w:t>
      </w:r>
    </w:p>
    <w:p w:rsidR="00B53E52" w:rsidRDefault="00B53E52">
      <w:pPr>
        <w:pStyle w:val="Tableend"/>
      </w:pPr>
      <w:r>
        <w:t>North</w:t>
      </w:r>
      <w:r>
        <w:tab/>
        <w:t>1,953</w:t>
      </w:r>
      <w:r>
        <w:tab/>
        <w:t>2,274</w:t>
      </w:r>
      <w:r>
        <w:tab/>
        <w:t>2,331</w:t>
      </w:r>
      <w:r>
        <w:tab/>
        <w:t>2,234</w:t>
      </w:r>
      <w:r>
        <w:tab/>
        <w:t>1,973</w:t>
      </w:r>
    </w:p>
    <w:p w:rsidR="00B53E52" w:rsidRDefault="00B53E52">
      <w:pPr>
        <w:pStyle w:val="Tabletext"/>
      </w:pPr>
      <w:r>
        <w:t>Boroondara</w:t>
      </w:r>
      <w:r>
        <w:tab/>
        <w:t>89</w:t>
      </w:r>
      <w:r>
        <w:tab/>
        <w:t>240</w:t>
      </w:r>
      <w:r>
        <w:tab/>
        <w:t>202</w:t>
      </w:r>
      <w:r>
        <w:tab/>
        <w:t>202</w:t>
      </w:r>
      <w:r>
        <w:tab/>
        <w:t>347</w:t>
      </w:r>
    </w:p>
    <w:p w:rsidR="00B53E52" w:rsidRDefault="00B53E52">
      <w:pPr>
        <w:pStyle w:val="Tabletext"/>
      </w:pPr>
      <w:r>
        <w:t>Knox</w:t>
      </w:r>
      <w:r>
        <w:tab/>
        <w:t>144</w:t>
      </w:r>
      <w:r>
        <w:tab/>
        <w:t>97</w:t>
      </w:r>
      <w:r>
        <w:tab/>
        <w:t>120</w:t>
      </w:r>
      <w:r>
        <w:tab/>
        <w:t>109</w:t>
      </w:r>
      <w:r>
        <w:tab/>
        <w:t>112</w:t>
      </w:r>
    </w:p>
    <w:p w:rsidR="00B53E52" w:rsidRDefault="00B53E52">
      <w:pPr>
        <w:pStyle w:val="Tabletext"/>
      </w:pPr>
      <w:r>
        <w:t>Manningham</w:t>
      </w:r>
      <w:r>
        <w:tab/>
        <w:t>104</w:t>
      </w:r>
      <w:r>
        <w:tab/>
        <w:t>165</w:t>
      </w:r>
      <w:r>
        <w:tab/>
        <w:t>235</w:t>
      </w:r>
      <w:r>
        <w:tab/>
        <w:t>102</w:t>
      </w:r>
      <w:r>
        <w:tab/>
        <w:t>195</w:t>
      </w:r>
    </w:p>
    <w:p w:rsidR="00B53E52" w:rsidRDefault="00B53E52">
      <w:pPr>
        <w:pStyle w:val="Tabletext"/>
      </w:pPr>
      <w:r>
        <w:t>Maroondah</w:t>
      </w:r>
      <w:r>
        <w:tab/>
        <w:t>80</w:t>
      </w:r>
      <w:r>
        <w:tab/>
        <w:t>141</w:t>
      </w:r>
      <w:r>
        <w:tab/>
        <w:t>283</w:t>
      </w:r>
      <w:r>
        <w:tab/>
        <w:t>74</w:t>
      </w:r>
      <w:r>
        <w:tab/>
        <w:t>180</w:t>
      </w:r>
    </w:p>
    <w:p w:rsidR="00B53E52" w:rsidRDefault="00B53E52">
      <w:pPr>
        <w:pStyle w:val="Tabletext"/>
      </w:pPr>
      <w:r>
        <w:t>Monash</w:t>
      </w:r>
      <w:r>
        <w:tab/>
        <w:t>206</w:t>
      </w:r>
      <w:r>
        <w:tab/>
        <w:t>190</w:t>
      </w:r>
      <w:r>
        <w:tab/>
        <w:t>279</w:t>
      </w:r>
      <w:r>
        <w:tab/>
        <w:t>331</w:t>
      </w:r>
      <w:r>
        <w:tab/>
        <w:t>212</w:t>
      </w:r>
    </w:p>
    <w:p w:rsidR="00B53E52" w:rsidRDefault="00B53E52">
      <w:pPr>
        <w:pStyle w:val="Tabletext"/>
      </w:pPr>
      <w:r>
        <w:t>Stonnington</w:t>
      </w:r>
      <w:r>
        <w:tab/>
        <w:t>92</w:t>
      </w:r>
      <w:r>
        <w:tab/>
        <w:t>262</w:t>
      </w:r>
      <w:r>
        <w:tab/>
        <w:t>119</w:t>
      </w:r>
      <w:r>
        <w:tab/>
        <w:t>601</w:t>
      </w:r>
      <w:r>
        <w:tab/>
        <w:t>112</w:t>
      </w:r>
    </w:p>
    <w:p w:rsidR="00B53E52" w:rsidRDefault="00B53E52">
      <w:pPr>
        <w:pStyle w:val="Tabletext"/>
      </w:pPr>
      <w:r>
        <w:t>Whitehorse</w:t>
      </w:r>
      <w:r>
        <w:tab/>
        <w:t>120</w:t>
      </w:r>
      <w:r>
        <w:tab/>
        <w:t>153</w:t>
      </w:r>
      <w:r>
        <w:tab/>
        <w:t>213</w:t>
      </w:r>
      <w:r>
        <w:tab/>
        <w:t>227</w:t>
      </w:r>
      <w:r>
        <w:tab/>
        <w:t>142</w:t>
      </w:r>
    </w:p>
    <w:p w:rsidR="00B53E52" w:rsidRDefault="00B53E52">
      <w:pPr>
        <w:pStyle w:val="Tabletext"/>
      </w:pPr>
      <w:r>
        <w:t>Yarra Ranges</w:t>
      </w:r>
      <w:r>
        <w:tab/>
        <w:t>156</w:t>
      </w:r>
      <w:r>
        <w:tab/>
        <w:t>171</w:t>
      </w:r>
      <w:r>
        <w:tab/>
        <w:t>149</w:t>
      </w:r>
      <w:r>
        <w:tab/>
        <w:t>176</w:t>
      </w:r>
      <w:r>
        <w:tab/>
        <w:t>386</w:t>
      </w:r>
    </w:p>
    <w:p w:rsidR="00B53E52" w:rsidRDefault="00B53E52">
      <w:pPr>
        <w:pStyle w:val="Tableend"/>
      </w:pPr>
      <w:r>
        <w:t>East</w:t>
      </w:r>
      <w:r>
        <w:tab/>
        <w:t>991</w:t>
      </w:r>
      <w:r>
        <w:tab/>
        <w:t>1,419</w:t>
      </w:r>
      <w:r>
        <w:tab/>
        <w:t>1,600</w:t>
      </w:r>
      <w:r>
        <w:tab/>
        <w:t>1,822</w:t>
      </w:r>
      <w:r>
        <w:tab/>
        <w:t>1,686</w:t>
      </w:r>
    </w:p>
    <w:p w:rsidR="00B53E52" w:rsidRPr="008C1492" w:rsidRDefault="00B53E52">
      <w:pPr>
        <w:pStyle w:val="Tablegrowth"/>
        <w:rPr>
          <w:color w:val="FF0000"/>
        </w:rPr>
      </w:pPr>
      <w:r w:rsidRPr="008C1492">
        <w:rPr>
          <w:color w:val="FF0000"/>
        </w:rPr>
        <w:t xml:space="preserve">Growth area </w:t>
      </w:r>
      <w:r w:rsidRPr="008C1492">
        <w:rPr>
          <w:color w:val="FF0000"/>
        </w:rPr>
        <w:br/>
        <w:t>municipalities</w:t>
      </w:r>
      <w:r w:rsidRPr="008C1492">
        <w:rPr>
          <w:color w:val="FF0000"/>
        </w:rPr>
        <w:tab/>
      </w:r>
      <w:r w:rsidRPr="008C1492">
        <w:rPr>
          <w:color w:val="FF0000"/>
          <w:position w:val="8"/>
        </w:rPr>
        <w:t>3,928</w:t>
      </w:r>
      <w:r w:rsidRPr="008C1492">
        <w:rPr>
          <w:color w:val="FF0000"/>
          <w:position w:val="8"/>
        </w:rPr>
        <w:tab/>
        <w:t>4,904</w:t>
      </w:r>
      <w:r w:rsidRPr="008C1492">
        <w:rPr>
          <w:color w:val="FF0000"/>
          <w:position w:val="8"/>
        </w:rPr>
        <w:tab/>
        <w:t>4,484</w:t>
      </w:r>
      <w:r w:rsidRPr="008C1492">
        <w:rPr>
          <w:color w:val="FF0000"/>
          <w:position w:val="8"/>
        </w:rPr>
        <w:tab/>
        <w:t>4,480</w:t>
      </w:r>
      <w:r w:rsidRPr="008C1492">
        <w:rPr>
          <w:color w:val="FF0000"/>
          <w:position w:val="8"/>
        </w:rPr>
        <w:tab/>
        <w:t>4,447</w:t>
      </w:r>
    </w:p>
    <w:p w:rsidR="00B53E52" w:rsidRDefault="00B53E52">
      <w:pPr>
        <w:pStyle w:val="Tabletext"/>
      </w:pPr>
      <w:r>
        <w:t xml:space="preserve">Established </w:t>
      </w:r>
      <w:r>
        <w:br/>
        <w:t>municipalities</w:t>
      </w:r>
      <w:r>
        <w:tab/>
      </w:r>
      <w:r>
        <w:rPr>
          <w:position w:val="8"/>
        </w:rPr>
        <w:t>3,992</w:t>
      </w:r>
      <w:r>
        <w:rPr>
          <w:position w:val="8"/>
        </w:rPr>
        <w:tab/>
        <w:t>5,045</w:t>
      </w:r>
      <w:r>
        <w:rPr>
          <w:position w:val="8"/>
        </w:rPr>
        <w:tab/>
        <w:t>5,454</w:t>
      </w:r>
      <w:r>
        <w:rPr>
          <w:position w:val="8"/>
        </w:rPr>
        <w:tab/>
        <w:t>5,242</w:t>
      </w:r>
      <w:r>
        <w:rPr>
          <w:position w:val="8"/>
        </w:rPr>
        <w:tab/>
        <w:t>5,916</w:t>
      </w:r>
    </w:p>
    <w:p w:rsidR="00B53E52" w:rsidRDefault="00B53E52">
      <w:pPr>
        <w:pStyle w:val="Tableend"/>
      </w:pPr>
      <w:r>
        <w:t xml:space="preserve">TOTAL </w:t>
      </w:r>
      <w:r>
        <w:br/>
        <w:t>MELBOURNE</w:t>
      </w:r>
      <w:r>
        <w:tab/>
        <w:t>7,920</w:t>
      </w:r>
      <w:r>
        <w:tab/>
        <w:t>9,949</w:t>
      </w:r>
      <w:r>
        <w:tab/>
        <w:t>9,938</w:t>
      </w:r>
      <w:r>
        <w:tab/>
        <w:t>9,722</w:t>
      </w:r>
      <w:r>
        <w:tab/>
        <w:t>10,363</w:t>
      </w:r>
    </w:p>
    <w:p w:rsidR="00B53E52" w:rsidRDefault="00B53E52">
      <w:pPr>
        <w:pStyle w:val="Tablefootnote"/>
      </w:pPr>
      <w:r>
        <w:rPr>
          <w:rStyle w:val="Bold"/>
          <w:bCs/>
        </w:rPr>
        <w:t>Source</w:t>
      </w:r>
      <w:r>
        <w:t>: Australian Bureau of Statistics catalogue number 8731.2</w:t>
      </w:r>
      <w:r>
        <w:tab/>
      </w:r>
      <w:r>
        <w:tab/>
      </w:r>
      <w:r>
        <w:tab/>
      </w:r>
      <w:r>
        <w:tab/>
      </w:r>
      <w:r>
        <w:tab/>
      </w:r>
    </w:p>
    <w:p w:rsidR="00B53E52" w:rsidRDefault="00B53E52">
      <w:pPr>
        <w:pStyle w:val="Tablegrowth"/>
      </w:pPr>
      <w:r>
        <w:tab/>
      </w:r>
      <w:r>
        <w:tab/>
      </w:r>
      <w:r>
        <w:tab/>
      </w:r>
      <w:r>
        <w:tab/>
      </w:r>
      <w:r>
        <w:tab/>
      </w:r>
      <w:r>
        <w:tab/>
      </w:r>
      <w:r>
        <w:tab/>
      </w:r>
      <w:r>
        <w:tab/>
      </w:r>
      <w:r>
        <w:tab/>
      </w:r>
      <w:r>
        <w:tab/>
      </w:r>
    </w:p>
    <w:p w:rsidR="00B53E52" w:rsidRDefault="00B53E52">
      <w:pPr>
        <w:pStyle w:val="Tablegrowth"/>
      </w:pPr>
      <w:r>
        <w:rPr>
          <w:rStyle w:val="Bold"/>
          <w:bCs/>
        </w:rPr>
        <w:t>Note</w:t>
      </w:r>
      <w:r>
        <w:t>: Growth area municipalities highlighted</w:t>
      </w:r>
      <w:r>
        <w:tab/>
      </w:r>
      <w:r>
        <w:tab/>
      </w:r>
      <w:r>
        <w:tab/>
      </w:r>
      <w:r>
        <w:tab/>
      </w:r>
      <w:r>
        <w:tab/>
      </w:r>
    </w:p>
    <w:p w:rsidR="00B53E52" w:rsidRDefault="00B53E52">
      <w:pPr>
        <w:pStyle w:val="Subhead"/>
        <w:rPr>
          <w:sz w:val="19"/>
        </w:rPr>
        <w:sectPr w:rsidR="00B53E52">
          <w:type w:val="continuous"/>
          <w:pgSz w:w="11906" w:h="16838"/>
          <w:pgMar w:top="720" w:right="720" w:bottom="720" w:left="720" w:header="720" w:footer="720" w:gutter="0"/>
          <w:cols w:num="2" w:space="720"/>
          <w:noEndnote/>
        </w:sectPr>
      </w:pPr>
      <w:r>
        <w:rPr>
          <w:sz w:val="19"/>
        </w:rPr>
        <w:br w:type="page"/>
      </w:r>
    </w:p>
    <w:p w:rsidR="00B53E52" w:rsidRDefault="00B53E52">
      <w:pPr>
        <w:pStyle w:val="Subhead"/>
        <w:rPr>
          <w:color w:val="009081"/>
          <w:sz w:val="32"/>
        </w:rPr>
      </w:pPr>
      <w:r>
        <w:rPr>
          <w:color w:val="009081"/>
          <w:sz w:val="32"/>
        </w:rPr>
        <w:t xml:space="preserve">Estates’ sales activity in Growth Area municipalities </w:t>
      </w:r>
    </w:p>
    <w:p w:rsidR="00B53E52" w:rsidRDefault="00B53E52">
      <w:pPr>
        <w:pStyle w:val="Tabletitle"/>
        <w:spacing w:after="57"/>
      </w:pPr>
      <w:r>
        <w:t>Figure 3: Residential lots released and average lot size for estates in Growth Area municipalities, reported by councils in the June 2010 quarter</w:t>
      </w:r>
    </w:p>
    <w:p w:rsidR="00B53E52" w:rsidRDefault="00B53E52">
      <w:pPr>
        <w:pStyle w:val="Tablefootnote"/>
        <w:rPr>
          <w:rStyle w:val="Bold"/>
          <w:b w:val="0"/>
        </w:rPr>
      </w:pPr>
      <w:r>
        <w:rPr>
          <w:rStyle w:val="Bold"/>
          <w:bCs/>
        </w:rPr>
        <w:t xml:space="preserve">Note: </w:t>
      </w:r>
      <w:r>
        <w:rPr>
          <w:rStyle w:val="Bold"/>
          <w:b w:val="0"/>
        </w:rPr>
        <w:t>Data is collected for estates releasing five or more dwellings and may not be a complete record of lots released.</w:t>
      </w:r>
      <w:r>
        <w:rPr>
          <w:rStyle w:val="Bold"/>
          <w:b w:val="0"/>
        </w:rPr>
        <w:tab/>
      </w:r>
      <w:r>
        <w:rPr>
          <w:rStyle w:val="Bold"/>
          <w:b w:val="0"/>
        </w:rPr>
        <w:tab/>
      </w:r>
    </w:p>
    <w:p w:rsidR="00B53E52" w:rsidRDefault="00B53E52">
      <w:pPr>
        <w:pStyle w:val="Tabletitle"/>
      </w:pPr>
      <w:r w:rsidRPr="00A577D8">
        <w:rPr>
          <w:noProof/>
          <w:lang w:val="en-AU" w:eastAsia="en-AU"/>
        </w:rPr>
        <w:pict>
          <v:shape id="Picture 32" o:spid="_x0000_i1031" type="#_x0000_t75" alt=":RLBMAPFig3June_corrected.png" style="width:500.25pt;height:412.5pt;visibility:visible">
            <v:imagedata r:id="rId10" o:title=""/>
          </v:shape>
        </w:pict>
      </w:r>
    </w:p>
    <w:p w:rsidR="00B53E52" w:rsidRDefault="00B53E52">
      <w:pPr>
        <w:pStyle w:val="Bullets1"/>
        <w:spacing w:after="57"/>
        <w:ind w:left="229" w:hanging="229"/>
        <w:rPr>
          <w:sz w:val="19"/>
        </w:rPr>
      </w:pPr>
    </w:p>
    <w:p w:rsidR="00B53E52" w:rsidRDefault="00B53E52">
      <w:pPr>
        <w:pStyle w:val="Tabletext"/>
        <w:ind w:left="0"/>
        <w:sectPr w:rsidR="00B53E52">
          <w:type w:val="continuous"/>
          <w:pgSz w:w="11906" w:h="16838"/>
          <w:pgMar w:top="720" w:right="720" w:bottom="720" w:left="720" w:header="720" w:footer="720" w:gutter="0"/>
          <w:cols w:space="720"/>
          <w:noEndnote/>
        </w:sectPr>
      </w:pPr>
      <w:r>
        <w:br w:type="page"/>
      </w:r>
    </w:p>
    <w:p w:rsidR="00B53E52" w:rsidRDefault="00B53E52">
      <w:pPr>
        <w:pStyle w:val="Tabletext"/>
        <w:ind w:left="0"/>
      </w:pPr>
    </w:p>
    <w:tbl>
      <w:tblPr>
        <w:tblW w:w="0" w:type="auto"/>
        <w:tblInd w:w="2" w:type="dxa"/>
        <w:tblLayout w:type="fixed"/>
        <w:tblCellMar>
          <w:left w:w="0" w:type="dxa"/>
          <w:right w:w="0" w:type="dxa"/>
        </w:tblCellMar>
        <w:tblLook w:val="0000"/>
      </w:tblPr>
      <w:tblGrid>
        <w:gridCol w:w="567"/>
        <w:gridCol w:w="2324"/>
        <w:gridCol w:w="1021"/>
        <w:gridCol w:w="1020"/>
      </w:tblGrid>
      <w:tr w:rsidR="00B53E52" w:rsidRPr="00A577D8">
        <w:trPr>
          <w:trHeight w:val="60"/>
          <w:tblHeader/>
        </w:trPr>
        <w:tc>
          <w:tcPr>
            <w:tcW w:w="567" w:type="dxa"/>
            <w:tcBorders>
              <w:top w:val="single" w:sz="6" w:space="0" w:color="FFFFFF"/>
              <w:left w:val="single" w:sz="6" w:space="0" w:color="FFFFFF"/>
              <w:bottom w:val="single" w:sz="6" w:space="0" w:color="FFFFFF"/>
              <w:right w:val="single" w:sz="4" w:space="0" w:color="FFFFFF"/>
            </w:tcBorders>
            <w:shd w:val="solid" w:color="009081" w:fill="auto"/>
            <w:vAlign w:val="bottom"/>
          </w:tcPr>
          <w:p w:rsidR="00B53E52" w:rsidRPr="008C1492" w:rsidRDefault="00B53E52">
            <w:pPr>
              <w:pStyle w:val="Tabletext"/>
              <w:ind w:left="0"/>
              <w:jc w:val="center"/>
              <w:rPr>
                <w:color w:val="FFFFFF"/>
              </w:rPr>
            </w:pPr>
            <w:r w:rsidRPr="008C1492">
              <w:rPr>
                <w:rFonts w:ascii="Frutiger-Bold" w:hAnsi="Frutiger-Bold" w:cs="Frutiger-Bold"/>
                <w:b/>
                <w:bCs/>
                <w:color w:val="FFFFFF"/>
              </w:rPr>
              <w:t>No. on map</w:t>
            </w:r>
          </w:p>
        </w:tc>
        <w:tc>
          <w:tcPr>
            <w:tcW w:w="2324" w:type="dxa"/>
            <w:tcBorders>
              <w:top w:val="single" w:sz="6" w:space="0" w:color="FFFFFF"/>
              <w:left w:val="single" w:sz="4" w:space="0" w:color="FFFFFF"/>
              <w:bottom w:val="single" w:sz="6" w:space="0" w:color="FFFFFF"/>
              <w:right w:val="single" w:sz="4" w:space="0" w:color="FFFFFF"/>
            </w:tcBorders>
            <w:shd w:val="solid" w:color="009081" w:fill="auto"/>
            <w:vAlign w:val="bottom"/>
          </w:tcPr>
          <w:p w:rsidR="00B53E52" w:rsidRPr="008C1492" w:rsidRDefault="00B53E52">
            <w:pPr>
              <w:pStyle w:val="Tabletext"/>
              <w:ind w:left="0"/>
              <w:rPr>
                <w:color w:val="FFFFFF"/>
              </w:rPr>
            </w:pPr>
            <w:r w:rsidRPr="008C1492">
              <w:rPr>
                <w:rFonts w:ascii="Frutiger-Bold" w:hAnsi="Frutiger-Bold" w:cs="Frutiger-Bold"/>
                <w:b/>
                <w:bCs/>
                <w:color w:val="FFFFFF"/>
              </w:rPr>
              <w:t>Estate</w:t>
            </w:r>
          </w:p>
        </w:tc>
        <w:tc>
          <w:tcPr>
            <w:tcW w:w="1021" w:type="dxa"/>
            <w:tcBorders>
              <w:top w:val="single" w:sz="6" w:space="0" w:color="FFFFFF"/>
              <w:left w:val="single" w:sz="4" w:space="0" w:color="FFFFFF"/>
              <w:bottom w:val="single" w:sz="6" w:space="0" w:color="FFFFFF"/>
              <w:right w:val="single" w:sz="4" w:space="0" w:color="FFFFFF"/>
            </w:tcBorders>
            <w:shd w:val="solid" w:color="009081" w:fill="auto"/>
            <w:tcMar>
              <w:top w:w="57" w:type="dxa"/>
              <w:left w:w="0" w:type="dxa"/>
              <w:bottom w:w="57" w:type="dxa"/>
              <w:right w:w="0" w:type="dxa"/>
            </w:tcMar>
            <w:vAlign w:val="bottom"/>
          </w:tcPr>
          <w:p w:rsidR="00B53E52" w:rsidRPr="008C1492" w:rsidRDefault="00B53E52">
            <w:pPr>
              <w:pStyle w:val="Tabletext"/>
              <w:ind w:left="0"/>
              <w:jc w:val="center"/>
              <w:rPr>
                <w:color w:val="FFFFFF"/>
              </w:rPr>
            </w:pPr>
            <w:r w:rsidRPr="008C1492">
              <w:rPr>
                <w:rFonts w:ascii="Frutiger-Bold" w:hAnsi="Frutiger-Bold" w:cs="Frutiger-Bold"/>
                <w:b/>
                <w:bCs/>
                <w:color w:val="FFFFFF"/>
              </w:rPr>
              <w:t>Number of lots released</w:t>
            </w:r>
          </w:p>
        </w:tc>
        <w:tc>
          <w:tcPr>
            <w:tcW w:w="1020" w:type="dxa"/>
            <w:tcBorders>
              <w:top w:val="single" w:sz="6" w:space="0" w:color="FFFFFF"/>
              <w:left w:val="single" w:sz="4" w:space="0" w:color="FFFFFF"/>
              <w:bottom w:val="single" w:sz="6" w:space="0" w:color="FFFFFF"/>
              <w:right w:val="single" w:sz="6" w:space="0" w:color="FFFFFF"/>
            </w:tcBorders>
            <w:shd w:val="solid" w:color="009081" w:fill="auto"/>
            <w:tcMar>
              <w:top w:w="57" w:type="dxa"/>
              <w:left w:w="57" w:type="dxa"/>
              <w:bottom w:w="57" w:type="dxa"/>
              <w:right w:w="0" w:type="dxa"/>
            </w:tcMar>
            <w:vAlign w:val="bottom"/>
          </w:tcPr>
          <w:p w:rsidR="00B53E52" w:rsidRPr="008C1492" w:rsidRDefault="00B53E52">
            <w:pPr>
              <w:pStyle w:val="Tabletext"/>
              <w:ind w:left="0"/>
              <w:jc w:val="center"/>
              <w:rPr>
                <w:color w:val="FFFFFF"/>
              </w:rPr>
            </w:pPr>
            <w:r w:rsidRPr="008C1492">
              <w:rPr>
                <w:rFonts w:ascii="Frutiger-Bold" w:hAnsi="Frutiger-Bold" w:cs="Frutiger-Bold"/>
                <w:b/>
                <w:bCs/>
                <w:color w:val="FFFFFF"/>
              </w:rPr>
              <w:t>Average Lot Size (m</w:t>
            </w:r>
            <w:r w:rsidRPr="008C1492">
              <w:rPr>
                <w:rFonts w:ascii="Frutiger-Bold" w:hAnsi="Frutiger-Bold" w:cs="Frutiger-Bold"/>
                <w:b/>
                <w:bCs/>
                <w:color w:val="FFFFFF"/>
                <w:vertAlign w:val="superscript"/>
              </w:rPr>
              <w:t>2</w:t>
            </w:r>
            <w:r w:rsidRPr="008C1492">
              <w:rPr>
                <w:rFonts w:ascii="Frutiger-Bold" w:hAnsi="Frutiger-Bold" w:cs="Frutiger-Bold"/>
                <w:b/>
                <w:bCs/>
                <w:color w:val="FFFFFF"/>
              </w:rPr>
              <w:t>)</w:t>
            </w:r>
          </w:p>
        </w:tc>
      </w:tr>
      <w:tr w:rsidR="00B53E52" w:rsidRPr="00A577D8">
        <w:trPr>
          <w:trHeight w:val="60"/>
        </w:trPr>
        <w:tc>
          <w:tcPr>
            <w:tcW w:w="567" w:type="dxa"/>
            <w:tcBorders>
              <w:top w:val="single" w:sz="6"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1</w:t>
            </w:r>
          </w:p>
        </w:tc>
        <w:tc>
          <w:tcPr>
            <w:tcW w:w="2324" w:type="dxa"/>
            <w:tcBorders>
              <w:top w:val="single" w:sz="6"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Toomuc Meadows</w:t>
            </w:r>
          </w:p>
        </w:tc>
        <w:tc>
          <w:tcPr>
            <w:tcW w:w="1021" w:type="dxa"/>
            <w:tcBorders>
              <w:top w:val="single" w:sz="6"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36</w:t>
            </w:r>
          </w:p>
        </w:tc>
        <w:tc>
          <w:tcPr>
            <w:tcW w:w="1020" w:type="dxa"/>
            <w:tcBorders>
              <w:top w:val="single" w:sz="6"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429</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2</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Aspect</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86</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432</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3</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Devonia</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18</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616</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4</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Devonia</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43</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433</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5</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Arena Stage 3</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51</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544</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6</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Devonia Park</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28</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461</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7</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Caversham Waters</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20</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496</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8</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Botanic Walk</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7</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546</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9</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Heritage Springs</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36</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835</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10</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Sovereign Hill</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49</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653</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11</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Blue Horizons</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24</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694</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12</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Arden</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10</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655</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13</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Henty Park</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21</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557</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14</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LP211076</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25</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400</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15</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Cardinia Lakes</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57</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566</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16</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Fallingwater</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41</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369</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17</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Fallingwater</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49</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379</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18</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Eve Estate</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172</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500</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19</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Hunt Club Estate</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73</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500</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20</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Cascades on Clyde</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81</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600</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21</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Botanic Ridge Estate</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66</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776</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22</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Caterbury Hills 24</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13</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800</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23</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Taylors Hill</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30</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650</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24</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Arnold’s Creek</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33</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650</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25</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Arnold’s Creek</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67</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500</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26</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Silverdale</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36</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450</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27</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Fleet Park</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14</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800</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28</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Riverina at Brookfield</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48</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500</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29</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Belle Gardens</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43</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600</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30</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The Grange</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16</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450</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31</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The Grange</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17</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500</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32</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The Grange</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21</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600</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33</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The Grange</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28</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500</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34</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40 McCubbin Way</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32</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200</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35</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The Esplanade</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32</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250</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36</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The Esplanade</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23</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250</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37</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Taylors Hill</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34</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400</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38</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Chancellor (University Hill)</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57</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629</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39</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Lyndarum</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48</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553</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40</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Summerhill</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79</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551</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41</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Carlingford</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69</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490</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42</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Aurora</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178</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421</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43</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Palisades</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41</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760</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44</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Greengully</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35</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455</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45</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Riverdale on Plenty</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32</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182</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rPr>
                <w:color w:val="auto"/>
              </w:rPr>
            </w:pPr>
            <w:r w:rsidRPr="008C1492">
              <w:rPr>
                <w:color w:val="auto"/>
                <w:sz w:val="14"/>
              </w:rPr>
              <w:t>46</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Hawkestowe East/West</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95</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450</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rPr>
                <w:color w:val="auto"/>
              </w:rPr>
            </w:pPr>
            <w:r w:rsidRPr="008C1492">
              <w:rPr>
                <w:color w:val="auto"/>
                <w:sz w:val="14"/>
              </w:rPr>
              <w:t>48</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Plenty River Views</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33</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1071</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rPr>
                <w:color w:val="auto"/>
              </w:rPr>
            </w:pPr>
            <w:r w:rsidRPr="008C1492">
              <w:rPr>
                <w:color w:val="auto"/>
                <w:sz w:val="14"/>
              </w:rPr>
              <w:t>49</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Renaissance Rise</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49</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473</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rPr>
                <w:color w:val="auto"/>
              </w:rPr>
            </w:pPr>
            <w:r w:rsidRPr="008C1492">
              <w:rPr>
                <w:color w:val="auto"/>
                <w:sz w:val="14"/>
              </w:rPr>
              <w:t>50</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Mernda Villages</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176</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420</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rPr>
                <w:color w:val="auto"/>
              </w:rPr>
            </w:pPr>
            <w:r w:rsidRPr="008C1492">
              <w:rPr>
                <w:color w:val="auto"/>
                <w:sz w:val="14"/>
              </w:rPr>
              <w:t>51</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Cornells Hill</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60</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672</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rPr>
                <w:color w:val="auto"/>
              </w:rPr>
            </w:pPr>
            <w:r w:rsidRPr="008C1492">
              <w:rPr>
                <w:color w:val="auto"/>
                <w:sz w:val="14"/>
              </w:rPr>
              <w:t>52</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Plenty River</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57</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436</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53</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Vantage Point</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34</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540</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54</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Laurimar - Park</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203</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492</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55</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Mitchell's Run</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19</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505</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56</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Mosaic</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80</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515</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57</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Tarneit Rise</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57</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495</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58</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Ecoville</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42</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419</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59</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Reflections</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28</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850</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60</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The Reserve</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42</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510</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61</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Rose Grange</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70</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540</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62</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Botanical</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48</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586</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63</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The Grove</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60</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520</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64</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Westbourne Fields</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59</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517</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65</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Arndell</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102</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563</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66</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Williams Landing</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88</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540</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67</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Bluestone Green</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133</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592</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68</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Wyndham Springs</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33</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424</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69</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Karinya</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28</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482</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70</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Innisfail</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149</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416</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71</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Alamanda</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197</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500</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72</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Esperance</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150</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509</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73</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Saltwater Coast</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233</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506</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74</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Manor Lakes</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110</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446</w:t>
            </w:r>
          </w:p>
        </w:tc>
      </w:tr>
      <w:tr w:rsidR="00B53E52" w:rsidRPr="00A577D8">
        <w:trPr>
          <w:trHeight w:val="60"/>
        </w:trPr>
        <w:tc>
          <w:tcPr>
            <w:tcW w:w="567" w:type="dxa"/>
            <w:tcBorders>
              <w:top w:val="single" w:sz="4" w:space="0" w:color="009081"/>
              <w:left w:val="single" w:sz="6" w:space="0" w:color="009081"/>
              <w:bottom w:val="single" w:sz="4" w:space="0" w:color="009081"/>
              <w:right w:val="single" w:sz="6" w:space="0" w:color="009081"/>
            </w:tcBorders>
            <w:shd w:val="clear" w:color="009081" w:fill="auto"/>
            <w:tcMar>
              <w:right w:w="170" w:type="dxa"/>
            </w:tcMar>
            <w:vAlign w:val="center"/>
          </w:tcPr>
          <w:p w:rsidR="00B53E52" w:rsidRPr="008C1492" w:rsidRDefault="00B53E52">
            <w:pPr>
              <w:pStyle w:val="Tabletext"/>
              <w:ind w:left="0"/>
              <w:jc w:val="right"/>
              <w:rPr>
                <w:color w:val="auto"/>
              </w:rPr>
            </w:pPr>
            <w:r w:rsidRPr="008C1492">
              <w:rPr>
                <w:color w:val="auto"/>
                <w:sz w:val="14"/>
              </w:rPr>
              <w:t>74</w:t>
            </w:r>
          </w:p>
        </w:tc>
        <w:tc>
          <w:tcPr>
            <w:tcW w:w="2324" w:type="dxa"/>
            <w:tcBorders>
              <w:top w:val="single" w:sz="4" w:space="0" w:color="009081"/>
              <w:left w:val="single" w:sz="6" w:space="0" w:color="009081"/>
              <w:bottom w:val="single" w:sz="4" w:space="0" w:color="009081"/>
              <w:right w:val="single" w:sz="6" w:space="0" w:color="009081"/>
            </w:tcBorders>
            <w:shd w:val="clear" w:color="009081" w:fill="auto"/>
            <w:tcMar>
              <w:top w:w="28" w:type="dxa"/>
              <w:left w:w="57" w:type="dxa"/>
              <w:bottom w:w="28" w:type="dxa"/>
              <w:right w:w="0" w:type="dxa"/>
            </w:tcMar>
            <w:vAlign w:val="center"/>
          </w:tcPr>
          <w:p w:rsidR="00B53E52" w:rsidRPr="008C1492" w:rsidRDefault="00B53E52">
            <w:pPr>
              <w:pStyle w:val="Tabletext"/>
              <w:ind w:left="0"/>
              <w:rPr>
                <w:color w:val="auto"/>
              </w:rPr>
            </w:pPr>
            <w:r w:rsidRPr="008C1492">
              <w:rPr>
                <w:color w:val="auto"/>
                <w:sz w:val="14"/>
              </w:rPr>
              <w:t>Manor Lakes</w:t>
            </w:r>
          </w:p>
        </w:tc>
        <w:tc>
          <w:tcPr>
            <w:tcW w:w="1021"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right w:w="0"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110</w:t>
            </w:r>
          </w:p>
        </w:tc>
        <w:tc>
          <w:tcPr>
            <w:tcW w:w="1020" w:type="dxa"/>
            <w:tcBorders>
              <w:top w:val="single" w:sz="4" w:space="0" w:color="009081"/>
              <w:left w:val="single" w:sz="6" w:space="0" w:color="009081"/>
              <w:bottom w:val="single" w:sz="4" w:space="0" w:color="009081"/>
              <w:right w:val="single" w:sz="6" w:space="0" w:color="009081"/>
            </w:tcBorders>
            <w:shd w:val="clear" w:color="009081" w:fill="auto"/>
            <w:tcMar>
              <w:top w:w="28" w:type="dxa"/>
              <w:left w:w="0" w:type="dxa"/>
              <w:bottom w:w="28" w:type="dxa"/>
            </w:tcMar>
            <w:vAlign w:val="center"/>
          </w:tcPr>
          <w:p w:rsidR="00B53E52" w:rsidRPr="008C1492" w:rsidRDefault="00B53E52">
            <w:pPr>
              <w:pStyle w:val="Tabletext"/>
              <w:tabs>
                <w:tab w:val="clear" w:pos="1446"/>
                <w:tab w:val="clear" w:pos="1956"/>
                <w:tab w:val="clear" w:pos="2466"/>
                <w:tab w:val="clear" w:pos="2976"/>
                <w:tab w:val="clear" w:pos="3487"/>
                <w:tab w:val="decimal" w:pos="620"/>
                <w:tab w:val="right" w:pos="1502"/>
                <w:tab w:val="right" w:pos="2013"/>
                <w:tab w:val="right" w:pos="2523"/>
                <w:tab w:val="right" w:pos="3033"/>
                <w:tab w:val="right" w:pos="3458"/>
              </w:tabs>
              <w:ind w:left="0"/>
              <w:rPr>
                <w:color w:val="auto"/>
              </w:rPr>
            </w:pPr>
            <w:r w:rsidRPr="008C1492">
              <w:rPr>
                <w:color w:val="auto"/>
                <w:sz w:val="14"/>
              </w:rPr>
              <w:t>446</w:t>
            </w:r>
          </w:p>
        </w:tc>
      </w:tr>
    </w:tbl>
    <w:p w:rsidR="00B53E52" w:rsidRDefault="00B53E52" w:rsidP="008C1492">
      <w:pPr>
        <w:pStyle w:val="Tablefootnote"/>
        <w:jc w:val="right"/>
        <w:rPr>
          <w:rStyle w:val="Bold"/>
          <w:b w:val="0"/>
        </w:rPr>
      </w:pPr>
      <w:r>
        <w:rPr>
          <w:rStyle w:val="Bold"/>
          <w:bCs/>
        </w:rPr>
        <w:t xml:space="preserve">Source: </w:t>
      </w:r>
      <w:r>
        <w:rPr>
          <w:rStyle w:val="Bold"/>
          <w:b w:val="0"/>
        </w:rPr>
        <w:t>Spatial Analysis and Research Branch Survey of Councils</w:t>
      </w:r>
    </w:p>
    <w:p w:rsidR="00B53E52" w:rsidRDefault="00B53E52">
      <w:pPr>
        <w:pStyle w:val="Tabletitle"/>
        <w:spacing w:before="113" w:after="57"/>
        <w:sectPr w:rsidR="00B53E52">
          <w:type w:val="continuous"/>
          <w:pgSz w:w="11906" w:h="16838"/>
          <w:pgMar w:top="720" w:right="720" w:bottom="720" w:left="720" w:header="720" w:footer="720" w:gutter="0"/>
          <w:cols w:num="2" w:space="720"/>
          <w:noEndnote/>
        </w:sectPr>
      </w:pPr>
      <w:r>
        <w:br w:type="page"/>
      </w:r>
    </w:p>
    <w:p w:rsidR="00B53E52" w:rsidRDefault="00B53E52">
      <w:pPr>
        <w:pStyle w:val="Tabletitle"/>
        <w:spacing w:before="113" w:after="57"/>
      </w:pPr>
      <w:r>
        <w:t>Figure 4: Average lot size (m</w:t>
      </w:r>
      <w:r>
        <w:rPr>
          <w:vertAlign w:val="superscript"/>
        </w:rPr>
        <w:t>2</w:t>
      </w:r>
      <w:r>
        <w:t>) in Growth Area LGAs</w:t>
      </w:r>
    </w:p>
    <w:p w:rsidR="00B53E52" w:rsidRDefault="00B53E52">
      <w:pPr>
        <w:pStyle w:val="Tablefootnote"/>
      </w:pPr>
      <w:r>
        <w:rPr>
          <w:rStyle w:val="Bold"/>
          <w:bCs/>
        </w:rPr>
        <w:t xml:space="preserve">Note: </w:t>
      </w:r>
      <w:r>
        <w:t>Data up to the March 2010 quarter includes sales within and outside of estates</w:t>
      </w:r>
    </w:p>
    <w:p w:rsidR="00B53E52" w:rsidRDefault="00B53E52">
      <w:pPr>
        <w:pStyle w:val="Tablefootnote"/>
      </w:pPr>
      <w:r w:rsidRPr="00A577D8">
        <w:rPr>
          <w:noProof/>
          <w:lang w:val="en-AU" w:eastAsia="en-AU"/>
        </w:rPr>
        <w:pict>
          <v:shape id="Picture 33" o:spid="_x0000_i1032" type="#_x0000_t75" alt=":Figure 4-J-10.png" style="width:519pt;height:186pt;visibility:visible">
            <v:imagedata r:id="rId11" o:title=""/>
          </v:shape>
        </w:pict>
      </w:r>
    </w:p>
    <w:p w:rsidR="00B53E52" w:rsidRDefault="00B53E52">
      <w:pPr>
        <w:pStyle w:val="Tabletitle"/>
        <w:spacing w:before="170" w:after="57"/>
      </w:pPr>
      <w:r>
        <w:t>Figure 5: Number of lots sold in Growth Area LGAs</w:t>
      </w:r>
    </w:p>
    <w:p w:rsidR="00B53E52" w:rsidRDefault="00B53E52">
      <w:pPr>
        <w:pStyle w:val="Tablefootnote"/>
      </w:pPr>
      <w:r>
        <w:rPr>
          <w:rStyle w:val="Bold"/>
          <w:bCs/>
        </w:rPr>
        <w:t>Note</w:t>
      </w:r>
      <w:r>
        <w:t>: Data only available up to December 2009 quarter as March 2010 quarter is incomplete</w:t>
      </w:r>
    </w:p>
    <w:p w:rsidR="00B53E52" w:rsidRDefault="00B53E52">
      <w:pPr>
        <w:pStyle w:val="Tablefootnote"/>
      </w:pPr>
      <w:r w:rsidRPr="00A577D8">
        <w:rPr>
          <w:noProof/>
          <w:lang w:val="en-AU" w:eastAsia="en-AU"/>
        </w:rPr>
        <w:pict>
          <v:shape id="Picture 34" o:spid="_x0000_i1033" type="#_x0000_t75" alt=":Figure 5-J-10.png" style="width:521.25pt;height:191.25pt;visibility:visible">
            <v:imagedata r:id="rId12" o:title=""/>
          </v:shape>
        </w:pict>
      </w:r>
    </w:p>
    <w:p w:rsidR="00B53E52" w:rsidRDefault="00B53E52">
      <w:pPr>
        <w:pStyle w:val="Tabletitle"/>
        <w:spacing w:after="57"/>
      </w:pPr>
    </w:p>
    <w:p w:rsidR="00B53E52" w:rsidRPr="008C1492" w:rsidRDefault="00B53E52">
      <w:pPr>
        <w:pStyle w:val="Tabletitle"/>
        <w:spacing w:after="57"/>
      </w:pPr>
    </w:p>
    <w:p w:rsidR="00B53E52" w:rsidRDefault="00B53E52" w:rsidP="008C1492">
      <w:pPr>
        <w:pStyle w:val="Tabletitle"/>
        <w:tabs>
          <w:tab w:val="left" w:pos="1000"/>
        </w:tabs>
        <w:spacing w:after="57"/>
      </w:pPr>
      <w:r>
        <w:t>Figure 6: Median Vacant Lot Price in Growth Area LGAs</w:t>
      </w:r>
    </w:p>
    <w:p w:rsidR="00B53E52" w:rsidRDefault="00B53E52">
      <w:pPr>
        <w:pStyle w:val="Tablefootnote"/>
        <w:rPr>
          <w:spacing w:val="-1"/>
        </w:rPr>
      </w:pPr>
      <w:r>
        <w:rPr>
          <w:rStyle w:val="Bold"/>
          <w:bCs/>
          <w:spacing w:val="-1"/>
        </w:rPr>
        <w:t>Note</w:t>
      </w:r>
      <w:r>
        <w:rPr>
          <w:spacing w:val="-1"/>
        </w:rPr>
        <w:t>: Data available up to March 2010 quarter and is incomplete and subject to revision</w:t>
      </w:r>
    </w:p>
    <w:p w:rsidR="00B53E52" w:rsidRDefault="00B53E52">
      <w:pPr>
        <w:pStyle w:val="Tablefootnote"/>
        <w:rPr>
          <w:spacing w:val="-1"/>
        </w:rPr>
      </w:pPr>
      <w:r w:rsidRPr="00A577D8">
        <w:rPr>
          <w:noProof/>
          <w:spacing w:val="-1"/>
          <w:lang w:val="en-AU" w:eastAsia="en-AU"/>
        </w:rPr>
        <w:pict>
          <v:shape id="Picture 35" o:spid="_x0000_i1034" type="#_x0000_t75" alt=":Figure 6-J-10.png" style="width:523.5pt;height:216.75pt;visibility:visible">
            <v:imagedata r:id="rId13" o:title=""/>
          </v:shape>
        </w:pict>
      </w:r>
    </w:p>
    <w:p w:rsidR="00B53E52" w:rsidRDefault="00B53E52">
      <w:pPr>
        <w:pStyle w:val="Tablefootnote"/>
        <w:jc w:val="right"/>
        <w:rPr>
          <w:rStyle w:val="Bold"/>
          <w:bCs/>
          <w:spacing w:val="-1"/>
        </w:rPr>
      </w:pPr>
    </w:p>
    <w:p w:rsidR="00B53E52" w:rsidRDefault="00B53E52">
      <w:pPr>
        <w:pStyle w:val="Tablefootnote"/>
        <w:jc w:val="right"/>
        <w:rPr>
          <w:rStyle w:val="Bold"/>
          <w:bCs/>
          <w:spacing w:val="-1"/>
        </w:rPr>
      </w:pPr>
    </w:p>
    <w:p w:rsidR="00B53E52" w:rsidRDefault="00B53E52" w:rsidP="008C1492">
      <w:pPr>
        <w:pStyle w:val="Tablefootnote"/>
        <w:jc w:val="center"/>
        <w:rPr>
          <w:rStyle w:val="Bold"/>
          <w:bCs/>
          <w:spacing w:val="-1"/>
        </w:rPr>
      </w:pPr>
    </w:p>
    <w:p w:rsidR="00B53E52" w:rsidRDefault="00B53E52">
      <w:pPr>
        <w:pStyle w:val="Tablefootnote"/>
        <w:jc w:val="right"/>
        <w:rPr>
          <w:rStyle w:val="Bold"/>
          <w:b w:val="0"/>
          <w:spacing w:val="-1"/>
        </w:rPr>
      </w:pPr>
      <w:r>
        <w:rPr>
          <w:rStyle w:val="Bold"/>
          <w:bCs/>
          <w:spacing w:val="-1"/>
        </w:rPr>
        <w:t xml:space="preserve">Source: </w:t>
      </w:r>
      <w:r>
        <w:rPr>
          <w:rStyle w:val="Bold"/>
          <w:b w:val="0"/>
          <w:spacing w:val="-1"/>
        </w:rPr>
        <w:t>Valuer-General</w:t>
      </w:r>
    </w:p>
    <w:p w:rsidR="00B53E52" w:rsidRDefault="00B53E52">
      <w:pPr>
        <w:pStyle w:val="Tablefootnote"/>
        <w:jc w:val="right"/>
        <w:rPr>
          <w:rStyle w:val="Bold"/>
          <w:b w:val="0"/>
          <w:spacing w:val="-1"/>
        </w:rPr>
      </w:pPr>
    </w:p>
    <w:p w:rsidR="00B53E52" w:rsidRDefault="00B53E52" w:rsidP="008C1492">
      <w:pPr>
        <w:pStyle w:val="Tabletitle"/>
        <w:spacing w:after="57"/>
        <w:jc w:val="center"/>
      </w:pPr>
      <w:r>
        <w:t>Figure 7: Percentage of lots sold in Growth Area estates</w:t>
      </w:r>
    </w:p>
    <w:p w:rsidR="00B53E52" w:rsidRDefault="00B53E52" w:rsidP="008C1492">
      <w:pPr>
        <w:pStyle w:val="Tablefootnote"/>
        <w:jc w:val="center"/>
      </w:pPr>
      <w:r>
        <w:t>Note: December quarter based on October and November data only as aggregates not available for the month of December</w:t>
      </w:r>
    </w:p>
    <w:p w:rsidR="00B53E52" w:rsidRDefault="00B53E52" w:rsidP="008C1492">
      <w:pPr>
        <w:pStyle w:val="Tablefootnote"/>
        <w:jc w:val="center"/>
      </w:pPr>
      <w:r w:rsidRPr="00A577D8">
        <w:rPr>
          <w:noProof/>
          <w:lang w:val="en-AU" w:eastAsia="en-AU"/>
        </w:rPr>
        <w:pict>
          <v:shape id="Picture 36" o:spid="_x0000_i1035" type="#_x0000_t75" alt=":Figure 7-J-10.png" style="width:321.75pt;height:145.5pt;visibility:visible">
            <v:imagedata r:id="rId14" o:title="" cropbottom="8151f" cropright="24024f"/>
          </v:shape>
        </w:pict>
      </w:r>
    </w:p>
    <w:p w:rsidR="00B53E52" w:rsidRDefault="00B53E52" w:rsidP="008C1492">
      <w:pPr>
        <w:pStyle w:val="Tablefootnote"/>
        <w:jc w:val="center"/>
      </w:pPr>
    </w:p>
    <w:p w:rsidR="00B53E52" w:rsidRDefault="00B53E52" w:rsidP="008C1492">
      <w:pPr>
        <w:pStyle w:val="Tablefootnote"/>
        <w:jc w:val="right"/>
      </w:pPr>
      <w:r>
        <w:rPr>
          <w:rStyle w:val="Bold"/>
          <w:bCs/>
        </w:rPr>
        <w:t>Source</w:t>
      </w:r>
      <w:r>
        <w:t>: Oliver Hume Research</w:t>
      </w:r>
    </w:p>
    <w:p w:rsidR="00B53E52" w:rsidRDefault="00B53E52" w:rsidP="008C1492">
      <w:pPr>
        <w:pStyle w:val="Tablefootnote"/>
        <w:jc w:val="right"/>
      </w:pPr>
    </w:p>
    <w:p w:rsidR="00B53E52" w:rsidRDefault="00B53E52">
      <w:pPr>
        <w:pStyle w:val="Subhead"/>
        <w:rPr>
          <w:rFonts w:ascii="Frutiger-Light" w:hAnsi="Frutiger-Light" w:cs="Frutiger-Light"/>
          <w:color w:val="009081"/>
          <w:sz w:val="32"/>
        </w:rPr>
      </w:pPr>
      <w:r>
        <w:rPr>
          <w:rFonts w:ascii="Frutiger-Light" w:hAnsi="Frutiger-Light" w:cs="Frutiger-Light"/>
          <w:color w:val="009081"/>
          <w:sz w:val="32"/>
        </w:rPr>
        <w:t xml:space="preserve">Review of lots sold in growth area LGAs </w:t>
      </w:r>
    </w:p>
    <w:p w:rsidR="00B53E52" w:rsidRDefault="00B53E52">
      <w:pPr>
        <w:pStyle w:val="Subhead"/>
        <w:rPr>
          <w:color w:val="009081"/>
          <w:spacing w:val="-2"/>
        </w:rPr>
      </w:pPr>
      <w:r>
        <w:rPr>
          <w:color w:val="009081"/>
          <w:spacing w:val="-2"/>
        </w:rPr>
        <w:t>Average lot size (m</w:t>
      </w:r>
      <w:r>
        <w:rPr>
          <w:color w:val="009081"/>
          <w:spacing w:val="-2"/>
          <w:vertAlign w:val="superscript"/>
        </w:rPr>
        <w:t>2</w:t>
      </w:r>
      <w:r>
        <w:rPr>
          <w:color w:val="009081"/>
          <w:spacing w:val="-2"/>
        </w:rPr>
        <w:t>) in growth area LGAs</w:t>
      </w:r>
      <w:r>
        <w:rPr>
          <w:color w:val="009081"/>
          <w:spacing w:val="-2"/>
          <w:sz w:val="16"/>
        </w:rPr>
        <w:t xml:space="preserve"> (see Figure 4)</w:t>
      </w:r>
    </w:p>
    <w:p w:rsidR="00B53E52" w:rsidRDefault="00B53E52">
      <w:pPr>
        <w:pStyle w:val="Bodytext"/>
        <w:spacing w:after="0"/>
        <w:rPr>
          <w:spacing w:val="-2"/>
        </w:rPr>
      </w:pPr>
      <w:r>
        <w:rPr>
          <w:spacing w:val="-2"/>
        </w:rPr>
        <w:t>The mean vacant lot size for all growth area municipalities was 557 m</w:t>
      </w:r>
      <w:r>
        <w:rPr>
          <w:spacing w:val="-2"/>
          <w:vertAlign w:val="superscript"/>
        </w:rPr>
        <w:t>2</w:t>
      </w:r>
      <w:r>
        <w:rPr>
          <w:spacing w:val="-2"/>
        </w:rPr>
        <w:t xml:space="preserve"> in the March 2010 quarter. All mean vacant lot sizes reduced in growth area municipalities in the March 2010 quarter with the exception of Hume and Whittlesea. Vacant lot sizes in Hume remained the highest with a mean of 706 m2 and remained the lowest in Wyndham with a mean of 440 m</w:t>
      </w:r>
      <w:r>
        <w:rPr>
          <w:spacing w:val="-2"/>
          <w:vertAlign w:val="superscript"/>
        </w:rPr>
        <w:t>2</w:t>
      </w:r>
      <w:r>
        <w:rPr>
          <w:spacing w:val="-2"/>
        </w:rPr>
        <w:t xml:space="preserve">.  </w:t>
      </w:r>
    </w:p>
    <w:p w:rsidR="00B53E52" w:rsidRDefault="00B53E52">
      <w:pPr>
        <w:pStyle w:val="Subhead"/>
        <w:rPr>
          <w:color w:val="009081"/>
          <w:spacing w:val="-2"/>
          <w:sz w:val="18"/>
        </w:rPr>
      </w:pPr>
      <w:r>
        <w:rPr>
          <w:color w:val="009081"/>
          <w:spacing w:val="-2"/>
        </w:rPr>
        <w:t>Number of lots sold in growth area LGAs</w:t>
      </w:r>
      <w:r>
        <w:rPr>
          <w:color w:val="009081"/>
          <w:spacing w:val="-2"/>
          <w:sz w:val="16"/>
        </w:rPr>
        <w:t xml:space="preserve"> (see Figure 5)</w:t>
      </w:r>
    </w:p>
    <w:p w:rsidR="00B53E52" w:rsidRDefault="00B53E52">
      <w:pPr>
        <w:pStyle w:val="Bodytext"/>
        <w:rPr>
          <w:spacing w:val="-2"/>
        </w:rPr>
      </w:pPr>
      <w:r>
        <w:rPr>
          <w:rStyle w:val="Bold"/>
          <w:bCs/>
          <w:spacing w:val="-2"/>
        </w:rPr>
        <w:t xml:space="preserve">Note: </w:t>
      </w:r>
      <w:r>
        <w:rPr>
          <w:spacing w:val="-2"/>
        </w:rPr>
        <w:t xml:space="preserve">Note: Data only available up to December 2009 quarter as March 2010 quarter is incomplete. There can be a significant lag in the number of lots reportedly sold for each quarter as lot sales may be subject to conditions such as the completion of construction of a dwelling or the provision of utilities. These lots may then not be reported until subsequent quarters. The data reproduced here is revised every quarter. The total number of lots sold and recorded in the growth areas for the December 2009 quarter was 1,994. </w:t>
      </w:r>
    </w:p>
    <w:p w:rsidR="00B53E52" w:rsidRDefault="00B53E52">
      <w:pPr>
        <w:pStyle w:val="Subhead"/>
        <w:rPr>
          <w:color w:val="009081"/>
          <w:spacing w:val="-2"/>
          <w:sz w:val="18"/>
        </w:rPr>
      </w:pPr>
      <w:r>
        <w:rPr>
          <w:color w:val="009081"/>
          <w:spacing w:val="-2"/>
        </w:rPr>
        <w:t>Price of vacant lots in growth area LGAs</w:t>
      </w:r>
      <w:r>
        <w:rPr>
          <w:color w:val="009081"/>
          <w:spacing w:val="-2"/>
          <w:sz w:val="16"/>
        </w:rPr>
        <w:t xml:space="preserve"> (see Figure 6)</w:t>
      </w:r>
    </w:p>
    <w:p w:rsidR="00B53E52" w:rsidRDefault="00B53E52">
      <w:pPr>
        <w:pStyle w:val="Bodytext"/>
        <w:spacing w:after="57"/>
        <w:rPr>
          <w:spacing w:val="-2"/>
        </w:rPr>
      </w:pPr>
      <w:r>
        <w:rPr>
          <w:spacing w:val="-2"/>
        </w:rPr>
        <w:t>In the March 2010 quarter there was a $68,000 range between median prices of the six growth areas. Melton had the lowest median price of $122,000 and Casey had the highest with a median price of $190,000. This is consistent with the previous quarter.</w:t>
      </w:r>
    </w:p>
    <w:p w:rsidR="00B53E52" w:rsidRDefault="00B53E52">
      <w:pPr>
        <w:pStyle w:val="Bodytext"/>
        <w:spacing w:after="0"/>
        <w:rPr>
          <w:spacing w:val="-2"/>
        </w:rPr>
      </w:pPr>
      <w:r>
        <w:rPr>
          <w:spacing w:val="-2"/>
        </w:rPr>
        <w:t>The largest rate of increase from the previous quarter was the growth area of Whittlesea (up 9% from the previous quarter) and the lowest was Melton (down 3% from the previous quarter).</w:t>
      </w:r>
    </w:p>
    <w:p w:rsidR="00B53E52" w:rsidRDefault="00B53E52">
      <w:pPr>
        <w:pStyle w:val="Subhead"/>
        <w:rPr>
          <w:color w:val="009081"/>
          <w:spacing w:val="-2"/>
        </w:rPr>
      </w:pPr>
      <w:r>
        <w:rPr>
          <w:color w:val="009081"/>
          <w:spacing w:val="-2"/>
        </w:rPr>
        <w:t>Percentage of lots sold in growth area estates</w:t>
      </w:r>
      <w:r>
        <w:rPr>
          <w:color w:val="009081"/>
          <w:spacing w:val="-2"/>
          <w:sz w:val="16"/>
        </w:rPr>
        <w:t xml:space="preserve"> (see Figure 7)</w:t>
      </w:r>
    </w:p>
    <w:p w:rsidR="00B53E52" w:rsidRDefault="00B53E52">
      <w:pPr>
        <w:pStyle w:val="Bodytext"/>
        <w:rPr>
          <w:spacing w:val="-2"/>
        </w:rPr>
      </w:pPr>
      <w:r>
        <w:rPr>
          <w:spacing w:val="-2"/>
        </w:rPr>
        <w:t>The proportion of lots sold in Wyndham for the June 2010 quarter decreased from 27% in the previous quarter to 17%. Whittlesea continued to have the highest proportion of lots sold for a growth area remaining at 34% for the June quarter, the same percentage as the previous quarter. The percentage of lots sold in Hume increased to 10% for the June 2010 quarter, up from 5 percent in the previous quarter.</w:t>
      </w:r>
    </w:p>
    <w:p w:rsidR="00B53E52" w:rsidRDefault="00B53E52" w:rsidP="008C1492">
      <w:pPr>
        <w:pStyle w:val="Tablefootnote"/>
        <w:jc w:val="right"/>
        <w:rPr>
          <w:rFonts w:ascii="Frutiger-Bold" w:hAnsi="Frutiger-Bold" w:cs="Frutiger-Bold"/>
          <w:b/>
          <w:bCs/>
          <w:sz w:val="16"/>
          <w:lang w:val="tr-TR"/>
        </w:rPr>
      </w:pPr>
    </w:p>
    <w:p w:rsidR="00B53E52" w:rsidRDefault="00B53E52">
      <w:pPr>
        <w:pStyle w:val="Subhead"/>
      </w:pPr>
      <w:r>
        <w:rPr>
          <w:color w:val="009081"/>
        </w:rPr>
        <w:t>Glossary</w:t>
      </w:r>
    </w:p>
    <w:p w:rsidR="00B53E52" w:rsidRDefault="00B53E52">
      <w:pPr>
        <w:pStyle w:val="body"/>
        <w:spacing w:after="57"/>
        <w:rPr>
          <w:spacing w:val="-2"/>
        </w:rPr>
      </w:pPr>
      <w:r>
        <w:rPr>
          <w:spacing w:val="-2"/>
        </w:rPr>
        <w:t>Residential lots are parcels of land intended for housing development. In fringe areas there would generally (but not in all cases) be one dwelling built on each lot. In established areas residential lots may be parcels of land created by subdividing larger properties or redeveloping land from other uses, often for multi-purpose construction. While technically still defined as residential lots, the latter may more usefully be considered as dwelling units. Only metropolitan Melbourne is included.</w:t>
      </w:r>
    </w:p>
    <w:p w:rsidR="00B53E52" w:rsidRDefault="00B53E52">
      <w:pPr>
        <w:pStyle w:val="body"/>
        <w:spacing w:after="57"/>
        <w:rPr>
          <w:spacing w:val="-2"/>
        </w:rPr>
      </w:pPr>
      <w:r>
        <w:rPr>
          <w:rFonts w:ascii="Frutiger-Bold" w:hAnsi="Frutiger-Bold" w:cs="Frutiger-Bold"/>
          <w:b/>
          <w:bCs/>
          <w:spacing w:val="-2"/>
        </w:rPr>
        <w:t>Residential lots in subdivision plans</w:t>
      </w:r>
      <w:r>
        <w:rPr>
          <w:spacing w:val="-2"/>
        </w:rPr>
        <w:t>: Councils provide the number of residential lots which were submitted to them in subdivision plans where a planning permit is required for subdivision.</w:t>
      </w:r>
    </w:p>
    <w:p w:rsidR="00B53E52" w:rsidRDefault="00B53E52">
      <w:pPr>
        <w:pStyle w:val="body"/>
        <w:spacing w:after="57"/>
        <w:rPr>
          <w:spacing w:val="-2"/>
        </w:rPr>
      </w:pPr>
      <w:r>
        <w:rPr>
          <w:rFonts w:ascii="Frutiger-Bold" w:hAnsi="Frutiger-Bold" w:cs="Frutiger-Bold"/>
          <w:b/>
          <w:bCs/>
          <w:spacing w:val="-2"/>
        </w:rPr>
        <w:t>Water supply conditions accepted for residential lots</w:t>
      </w:r>
      <w:r>
        <w:rPr>
          <w:spacing w:val="-2"/>
        </w:rPr>
        <w:t>: Water supply authorities provide the number of formal offers made by these authorities and accepted by land owners for the provision of water supply to residential lots in plans.</w:t>
      </w:r>
    </w:p>
    <w:p w:rsidR="00B53E52" w:rsidRDefault="00B53E52">
      <w:pPr>
        <w:pStyle w:val="body"/>
        <w:spacing w:after="57"/>
        <w:rPr>
          <w:spacing w:val="-3"/>
        </w:rPr>
      </w:pPr>
      <w:r>
        <w:rPr>
          <w:rFonts w:ascii="Frutiger-Bold" w:hAnsi="Frutiger-Bold" w:cs="Frutiger-Bold"/>
          <w:b/>
          <w:bCs/>
          <w:spacing w:val="-3"/>
        </w:rPr>
        <w:t>Certification of residential lots</w:t>
      </w:r>
      <w:r>
        <w:rPr>
          <w:spacing w:val="-3"/>
        </w:rPr>
        <w:t>: Councils provide the number of residential lots for which certification has been given. Certification is given when a plan complies with the conditions of the planning permit or planning scheme provisions.</w:t>
      </w:r>
    </w:p>
    <w:p w:rsidR="00B53E52" w:rsidRDefault="00B53E52">
      <w:pPr>
        <w:pStyle w:val="body"/>
        <w:spacing w:after="57"/>
        <w:rPr>
          <w:spacing w:val="-2"/>
        </w:rPr>
      </w:pPr>
      <w:r>
        <w:rPr>
          <w:rFonts w:ascii="Frutiger-Bold" w:hAnsi="Frutiger-Bold" w:cs="Frutiger-Bold"/>
          <w:b/>
          <w:bCs/>
          <w:spacing w:val="-2"/>
        </w:rPr>
        <w:t>Residential lots released</w:t>
      </w:r>
      <w:r>
        <w:rPr>
          <w:spacing w:val="-2"/>
        </w:rPr>
        <w:t>: Councils provide the number of lots which have been completed to the satisfaction of the Council and have been issued with a Statement of Compliance. At this point the subdivision requirements have been satisfied for roadworks, drainage, water supply and any other construction.</w:t>
      </w:r>
    </w:p>
    <w:p w:rsidR="00B53E52" w:rsidRDefault="00B53E52">
      <w:pPr>
        <w:pStyle w:val="body"/>
        <w:spacing w:after="57"/>
        <w:rPr>
          <w:spacing w:val="-2"/>
        </w:rPr>
      </w:pPr>
      <w:r>
        <w:rPr>
          <w:rFonts w:ascii="Frutiger-Bold" w:hAnsi="Frutiger-Bold" w:cs="Frutiger-Bold"/>
          <w:b/>
          <w:bCs/>
          <w:spacing w:val="-2"/>
        </w:rPr>
        <w:t>Dwelling approvals</w:t>
      </w:r>
      <w:r>
        <w:rPr>
          <w:spacing w:val="-2"/>
        </w:rPr>
        <w:t>: The Australian Bureau of Statistics provide the number of “houses” and “other residential” dwellings approved for each municipality.</w:t>
      </w:r>
    </w:p>
    <w:p w:rsidR="00B53E52" w:rsidRDefault="00B53E52">
      <w:pPr>
        <w:pStyle w:val="body"/>
        <w:spacing w:after="57"/>
        <w:rPr>
          <w:spacing w:val="-2"/>
        </w:rPr>
      </w:pPr>
      <w:r>
        <w:rPr>
          <w:rFonts w:ascii="Frutiger-Bold" w:hAnsi="Frutiger-Bold" w:cs="Frutiger-Bold"/>
          <w:b/>
          <w:bCs/>
          <w:spacing w:val="-2"/>
        </w:rPr>
        <w:t>Note</w:t>
      </w:r>
      <w:r>
        <w:rPr>
          <w:spacing w:val="-2"/>
        </w:rPr>
        <w:t>: Totals in Tables 1 – 5 exclude municipalities where data was not available.</w:t>
      </w:r>
    </w:p>
    <w:p w:rsidR="00B53E52" w:rsidRDefault="00B53E52" w:rsidP="008C1492">
      <w:pPr>
        <w:pStyle w:val="Tabletitle"/>
        <w:spacing w:after="57"/>
        <w:rPr>
          <w:rStyle w:val="Bold"/>
          <w:b/>
          <w:spacing w:val="-1"/>
          <w:sz w:val="14"/>
          <w:lang w:val="en-US"/>
        </w:rPr>
      </w:pPr>
    </w:p>
    <w:p w:rsidR="00B53E52" w:rsidRPr="008C1492" w:rsidRDefault="00B53E52" w:rsidP="008C1492">
      <w:pPr>
        <w:pStyle w:val="Tabletitle"/>
        <w:spacing w:after="57"/>
        <w:rPr>
          <w:rStyle w:val="Bold"/>
          <w:b/>
          <w:color w:val="auto"/>
          <w:spacing w:val="-1"/>
          <w:sz w:val="14"/>
          <w:lang w:val="en-US"/>
        </w:rPr>
      </w:pPr>
    </w:p>
    <w:p w:rsidR="00B53E52" w:rsidRPr="008C1492" w:rsidRDefault="00B53E52">
      <w:pPr>
        <w:pStyle w:val="Disclaimer"/>
        <w:spacing w:after="0"/>
        <w:rPr>
          <w:rFonts w:ascii="Frutiger-Roman" w:hAnsi="Frutiger-Roman" w:cs="Frutiger-Roman"/>
          <w:color w:val="auto"/>
          <w:spacing w:val="-1"/>
        </w:rPr>
      </w:pPr>
      <w:r w:rsidRPr="008C1492">
        <w:rPr>
          <w:rFonts w:ascii="Frutiger-Roman" w:hAnsi="Frutiger-Roman" w:cs="Frutiger-Roman"/>
          <w:color w:val="auto"/>
          <w:spacing w:val="-1"/>
        </w:rPr>
        <w:t>Published by Spatial Analysis and Research, a branch in the Department of Planning and Community Development</w:t>
      </w:r>
    </w:p>
    <w:p w:rsidR="00B53E52" w:rsidRPr="008C1492" w:rsidRDefault="00B53E52">
      <w:pPr>
        <w:pStyle w:val="Disclaimer"/>
        <w:spacing w:after="0"/>
        <w:rPr>
          <w:rFonts w:ascii="Frutiger-Roman" w:hAnsi="Frutiger-Roman" w:cs="Frutiger-Roman"/>
          <w:color w:val="auto"/>
          <w:spacing w:val="-1"/>
        </w:rPr>
      </w:pPr>
      <w:r w:rsidRPr="008C1492">
        <w:rPr>
          <w:rFonts w:ascii="Frutiger-Roman" w:hAnsi="Frutiger-Roman" w:cs="Frutiger-Roman"/>
          <w:color w:val="auto"/>
          <w:spacing w:val="-1"/>
        </w:rPr>
        <w:t xml:space="preserve">1 Spring Street Melbourne </w:t>
      </w:r>
      <w:r w:rsidRPr="008C1492">
        <w:rPr>
          <w:rFonts w:ascii="Frutiger-Roman" w:hAnsi="Frutiger-Roman" w:cs="Frutiger-Roman"/>
          <w:color w:val="auto"/>
          <w:spacing w:val="-1"/>
        </w:rPr>
        <w:br/>
        <w:t>Victoria 3000</w:t>
      </w:r>
    </w:p>
    <w:p w:rsidR="00B53E52" w:rsidRPr="008C1492" w:rsidRDefault="00B53E52">
      <w:pPr>
        <w:pStyle w:val="Disclaimer"/>
        <w:rPr>
          <w:rFonts w:ascii="Frutiger-Roman" w:hAnsi="Frutiger-Roman" w:cs="Frutiger-Roman"/>
          <w:color w:val="auto"/>
          <w:spacing w:val="-1"/>
        </w:rPr>
      </w:pPr>
      <w:r w:rsidRPr="008C1492">
        <w:rPr>
          <w:rFonts w:ascii="Frutiger-Roman" w:hAnsi="Frutiger-Roman" w:cs="Frutiger-Roman"/>
          <w:color w:val="auto"/>
          <w:spacing w:val="-1"/>
        </w:rPr>
        <w:t>Telephone (03) 9208 3000</w:t>
      </w:r>
    </w:p>
    <w:p w:rsidR="00B53E52" w:rsidRPr="008C1492" w:rsidRDefault="00B53E52">
      <w:pPr>
        <w:pStyle w:val="Disclaimer"/>
        <w:rPr>
          <w:rFonts w:ascii="Frutiger-Roman" w:hAnsi="Frutiger-Roman" w:cs="Frutiger-Roman"/>
          <w:color w:val="auto"/>
          <w:spacing w:val="-1"/>
        </w:rPr>
      </w:pPr>
      <w:r w:rsidRPr="008C1492">
        <w:rPr>
          <w:rFonts w:ascii="Frutiger-Roman" w:hAnsi="Frutiger-Roman" w:cs="Frutiger-Roman"/>
          <w:color w:val="auto"/>
          <w:spacing w:val="-1"/>
        </w:rPr>
        <w:t>September 2010</w:t>
      </w:r>
    </w:p>
    <w:p w:rsidR="00B53E52" w:rsidRPr="008C1492" w:rsidRDefault="00B53E52">
      <w:pPr>
        <w:pStyle w:val="Disclaimer"/>
        <w:rPr>
          <w:rFonts w:ascii="Frutiger-Roman" w:hAnsi="Frutiger-Roman" w:cs="Frutiger-Roman"/>
          <w:color w:val="auto"/>
          <w:spacing w:val="-1"/>
        </w:rPr>
      </w:pPr>
      <w:r w:rsidRPr="008C1492">
        <w:rPr>
          <w:rFonts w:ascii="Frutiger-Roman" w:hAnsi="Frutiger-Roman" w:cs="Frutiger-Roman"/>
          <w:color w:val="auto"/>
          <w:spacing w:val="-1"/>
        </w:rPr>
        <w:t>© Copyright State Government of Victoria 2010</w:t>
      </w:r>
    </w:p>
    <w:p w:rsidR="00B53E52" w:rsidRPr="008C1492" w:rsidRDefault="00B53E52">
      <w:pPr>
        <w:pStyle w:val="Disclaimer"/>
        <w:rPr>
          <w:rFonts w:ascii="Frutiger-Roman" w:hAnsi="Frutiger-Roman" w:cs="Frutiger-Roman"/>
          <w:color w:val="auto"/>
          <w:spacing w:val="-1"/>
        </w:rPr>
      </w:pPr>
      <w:r w:rsidRPr="008C1492">
        <w:rPr>
          <w:rFonts w:ascii="Frutiger-Roman" w:hAnsi="Frutiger-Roman" w:cs="Frutiger-Roman"/>
          <w:color w:val="auto"/>
          <w:spacing w:val="-1"/>
        </w:rPr>
        <w:t xml:space="preserve">This publication is copyright. No part may be reproduced by any process except in accordance with the provisions of the </w:t>
      </w:r>
      <w:r w:rsidRPr="008C1492">
        <w:rPr>
          <w:rStyle w:val="Italic"/>
          <w:rFonts w:ascii="Frutiger-Italic" w:hAnsi="Frutiger-Italic" w:cs="Frutiger-Italic"/>
          <w:iCs/>
          <w:color w:val="auto"/>
          <w:spacing w:val="-1"/>
        </w:rPr>
        <w:t>Copyright Act 1968</w:t>
      </w:r>
      <w:r w:rsidRPr="008C1492">
        <w:rPr>
          <w:rFonts w:ascii="Frutiger-Roman" w:hAnsi="Frutiger-Roman" w:cs="Frutiger-Roman"/>
          <w:color w:val="auto"/>
          <w:spacing w:val="-1"/>
        </w:rPr>
        <w:t>.</w:t>
      </w:r>
    </w:p>
    <w:p w:rsidR="00B53E52" w:rsidRPr="008C1492" w:rsidRDefault="00B53E52">
      <w:pPr>
        <w:pStyle w:val="Disclaimer"/>
        <w:rPr>
          <w:rFonts w:ascii="Frutiger-Roman" w:hAnsi="Frutiger-Roman" w:cs="Frutiger-Roman"/>
          <w:color w:val="auto"/>
          <w:spacing w:val="-1"/>
        </w:rPr>
      </w:pPr>
      <w:r w:rsidRPr="008C1492">
        <w:rPr>
          <w:rFonts w:ascii="Frutiger-Roman" w:hAnsi="Frutiger-Roman" w:cs="Frutiger-Roman"/>
          <w:color w:val="auto"/>
          <w:spacing w:val="-1"/>
        </w:rPr>
        <w:t>Authorised by the Victorian Government, Melbourne</w:t>
      </w:r>
    </w:p>
    <w:p w:rsidR="00B53E52" w:rsidRPr="008C1492" w:rsidRDefault="00B53E52">
      <w:pPr>
        <w:pStyle w:val="Disclaimer"/>
        <w:rPr>
          <w:rFonts w:ascii="Frutiger-Roman" w:hAnsi="Frutiger-Roman" w:cs="Frutiger-Roman"/>
          <w:color w:val="auto"/>
          <w:spacing w:val="-1"/>
        </w:rPr>
      </w:pPr>
      <w:r w:rsidRPr="008C1492">
        <w:rPr>
          <w:rFonts w:ascii="Frutiger-Roman" w:hAnsi="Frutiger-Roman" w:cs="Frutiger-Roman"/>
          <w:color w:val="auto"/>
          <w:spacing w:val="-1"/>
        </w:rPr>
        <w:t>Printed by Stream Solutions,</w:t>
      </w:r>
      <w:r w:rsidRPr="008C1492">
        <w:rPr>
          <w:rFonts w:ascii="Frutiger-Roman" w:hAnsi="Frutiger-Roman" w:cs="Frutiger-Roman"/>
          <w:color w:val="auto"/>
          <w:spacing w:val="-1"/>
        </w:rPr>
        <w:br/>
        <w:t>157 Spring Street, Melbourne</w:t>
      </w:r>
    </w:p>
    <w:p w:rsidR="00B53E52" w:rsidRPr="008C1492" w:rsidRDefault="00B53E52">
      <w:pPr>
        <w:pStyle w:val="Disclaimer"/>
        <w:rPr>
          <w:rFonts w:ascii="Frutiger-Roman" w:hAnsi="Frutiger-Roman" w:cs="Frutiger-Roman"/>
          <w:color w:val="auto"/>
          <w:spacing w:val="-1"/>
        </w:rPr>
      </w:pPr>
      <w:r w:rsidRPr="008C1492">
        <w:rPr>
          <w:rFonts w:ascii="Frutiger-Roman" w:hAnsi="Frutiger-Roman" w:cs="Frutiger-Roman"/>
          <w:color w:val="auto"/>
          <w:spacing w:val="-1"/>
        </w:rPr>
        <w:t>Designed by Judy Bennett Design</w:t>
      </w:r>
      <w:r w:rsidRPr="008C1492">
        <w:rPr>
          <w:rFonts w:ascii="Frutiger-Roman" w:hAnsi="Frutiger-Roman" w:cs="Frutiger-Roman"/>
          <w:color w:val="auto"/>
          <w:spacing w:val="-1"/>
        </w:rPr>
        <w:br/>
        <w:t>29 Yorkshire Street, Richmond</w:t>
      </w:r>
    </w:p>
    <w:p w:rsidR="00B53E52" w:rsidRPr="008C1492" w:rsidRDefault="00B53E52">
      <w:pPr>
        <w:pStyle w:val="Disclaimer"/>
        <w:rPr>
          <w:rFonts w:ascii="Frutiger-Roman" w:hAnsi="Frutiger-Roman" w:cs="Frutiger-Roman"/>
          <w:color w:val="auto"/>
          <w:spacing w:val="-1"/>
        </w:rPr>
      </w:pPr>
      <w:r w:rsidRPr="008C1492">
        <w:rPr>
          <w:rFonts w:ascii="Frutiger-Roman" w:hAnsi="Frutiger-Roman" w:cs="Frutiger-Roman"/>
          <w:color w:val="auto"/>
          <w:spacing w:val="-1"/>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consequences which may arise from you relying on any information in this publication.</w:t>
      </w:r>
    </w:p>
    <w:p w:rsidR="00B53E52" w:rsidRPr="008C1492" w:rsidRDefault="00B53E52">
      <w:pPr>
        <w:pStyle w:val="Disclaimer"/>
        <w:rPr>
          <w:rFonts w:ascii="Frutiger-Roman" w:hAnsi="Frutiger-Roman" w:cs="Frutiger-Roman"/>
          <w:color w:val="auto"/>
          <w:spacing w:val="-1"/>
        </w:rPr>
      </w:pPr>
      <w:r w:rsidRPr="008C1492">
        <w:rPr>
          <w:rFonts w:ascii="Frutiger-Roman" w:hAnsi="Frutiger-Roman" w:cs="Frutiger-Roman"/>
          <w:color w:val="auto"/>
          <w:spacing w:val="-1"/>
        </w:rPr>
        <w:t>Editor: Suzanne Slegers</w:t>
      </w:r>
    </w:p>
    <w:p w:rsidR="00B53E52" w:rsidRPr="008C1492" w:rsidRDefault="00B53E52">
      <w:pPr>
        <w:pStyle w:val="Disclaimer"/>
        <w:rPr>
          <w:rFonts w:ascii="Frutiger-Bold" w:hAnsi="Frutiger-Bold" w:cs="Frutiger-Bold"/>
          <w:b/>
          <w:bCs/>
          <w:color w:val="auto"/>
          <w:spacing w:val="-1"/>
        </w:rPr>
      </w:pPr>
      <w:r w:rsidRPr="008C1492">
        <w:rPr>
          <w:rFonts w:ascii="Frutiger-Roman" w:hAnsi="Frutiger-Roman" w:cs="Frutiger-Roman"/>
          <w:color w:val="auto"/>
          <w:spacing w:val="-1"/>
        </w:rPr>
        <w:t>Email:</w:t>
      </w:r>
      <w:r w:rsidRPr="008C1492">
        <w:rPr>
          <w:rFonts w:ascii="Frutiger-Bold" w:hAnsi="Frutiger-Bold" w:cs="Frutiger-Bold"/>
          <w:b/>
          <w:bCs/>
          <w:color w:val="auto"/>
          <w:spacing w:val="-1"/>
        </w:rPr>
        <w:t xml:space="preserve"> </w:t>
      </w:r>
      <w:r w:rsidRPr="008C1492">
        <w:rPr>
          <w:rStyle w:val="Medium"/>
          <w:rFonts w:ascii="Frutiger-Bold" w:hAnsi="Frutiger-Bold" w:cs="Frutiger-Bold"/>
          <w:bCs/>
          <w:color w:val="auto"/>
          <w:spacing w:val="-1"/>
        </w:rPr>
        <w:t>spatialanalysis.research@dpcd.vic.gov.au</w:t>
      </w:r>
    </w:p>
    <w:p w:rsidR="00B53E52" w:rsidRPr="008C1492" w:rsidRDefault="00B53E52">
      <w:pPr>
        <w:pStyle w:val="Disclaimer"/>
        <w:rPr>
          <w:color w:val="auto"/>
        </w:rPr>
      </w:pPr>
      <w:r w:rsidRPr="008C1492">
        <w:rPr>
          <w:rFonts w:ascii="Frutiger-Roman" w:hAnsi="Frutiger-Roman" w:cs="Frutiger-Roman"/>
          <w:color w:val="auto"/>
          <w:spacing w:val="-1"/>
        </w:rPr>
        <w:t xml:space="preserve">Internet: </w:t>
      </w:r>
      <w:r w:rsidRPr="008C1492">
        <w:rPr>
          <w:rStyle w:val="Medium"/>
          <w:rFonts w:ascii="Frutiger-Bold" w:hAnsi="Frutiger-Bold" w:cs="Frutiger-Bold"/>
          <w:bCs/>
          <w:color w:val="auto"/>
          <w:spacing w:val="-1"/>
        </w:rPr>
        <w:t>www.dpcd.vic.gov.au/research/urbanandregional</w:t>
      </w:r>
    </w:p>
    <w:p w:rsidR="00B53E52" w:rsidRDefault="00B53E52" w:rsidP="008C1492">
      <w:pPr>
        <w:pStyle w:val="Tabletitle"/>
        <w:spacing w:after="57"/>
        <w:rPr>
          <w:rStyle w:val="Bold"/>
          <w:b/>
          <w:spacing w:val="-1"/>
          <w:sz w:val="14"/>
          <w:lang w:val="en-US"/>
        </w:rPr>
      </w:pPr>
    </w:p>
    <w:p w:rsidR="00B53E52" w:rsidRDefault="00B53E52">
      <w:pPr>
        <w:pStyle w:val="Tablefootnote"/>
        <w:jc w:val="right"/>
        <w:rPr>
          <w:rStyle w:val="Bold"/>
          <w:b w:val="0"/>
          <w:spacing w:val="-1"/>
        </w:rPr>
      </w:pPr>
    </w:p>
    <w:p w:rsidR="00B53E52" w:rsidRDefault="00B53E52">
      <w:pPr>
        <w:pStyle w:val="Tablefootnote"/>
      </w:pPr>
    </w:p>
    <w:p w:rsidR="00B53E52" w:rsidRDefault="00B53E52">
      <w:pPr>
        <w:pStyle w:val="Tablefootnote"/>
      </w:pPr>
    </w:p>
    <w:p w:rsidR="00B53E52" w:rsidRDefault="00B53E52">
      <w:pPr>
        <w:pStyle w:val="Bullets1"/>
      </w:pPr>
    </w:p>
    <w:p w:rsidR="00B53E52" w:rsidRDefault="00B53E52">
      <w:pPr>
        <w:pStyle w:val="Bullets1"/>
      </w:pPr>
    </w:p>
    <w:p w:rsidR="00B53E52" w:rsidRDefault="00B53E52">
      <w:pPr>
        <w:pStyle w:val="Bullets1"/>
      </w:pPr>
    </w:p>
    <w:p w:rsidR="00B53E52" w:rsidRDefault="00B53E52">
      <w:pPr>
        <w:pStyle w:val="Bullets1"/>
      </w:pPr>
    </w:p>
    <w:p w:rsidR="00B53E52" w:rsidRDefault="00B53E52">
      <w:pPr>
        <w:pStyle w:val="Bullets1"/>
      </w:pPr>
    </w:p>
    <w:p w:rsidR="00B53E52" w:rsidRDefault="00B53E52">
      <w:pPr>
        <w:pStyle w:val="Bullets1"/>
      </w:pPr>
    </w:p>
    <w:p w:rsidR="00B53E52" w:rsidRDefault="00B53E52">
      <w:pPr>
        <w:pStyle w:val="Bullets1"/>
        <w:rPr>
          <w:sz w:val="14"/>
          <w:lang w:val="en-US"/>
        </w:rPr>
      </w:pPr>
    </w:p>
    <w:p w:rsidR="00B53E52" w:rsidRDefault="00B53E52">
      <w:pPr>
        <w:pStyle w:val="Tabletext"/>
        <w:ind w:left="0"/>
      </w:pPr>
    </w:p>
    <w:p w:rsidR="00B53E52" w:rsidRDefault="00B53E52" w:rsidP="008C1492">
      <w:pPr>
        <w:pStyle w:val="Tablefootnote"/>
        <w:rPr>
          <w:rStyle w:val="Bold"/>
          <w:b w:val="0"/>
          <w:spacing w:val="-1"/>
        </w:rPr>
      </w:pPr>
    </w:p>
    <w:sectPr w:rsidR="00B53E52" w:rsidSect="008C1492">
      <w:type w:val="continuous"/>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Frutiger-Roman">
    <w:altName w:val="R Frutiger Roman"/>
    <w:panose1 w:val="00000000000000000000"/>
    <w:charset w:val="4D"/>
    <w:family w:val="auto"/>
    <w:notTrueType/>
    <w:pitch w:val="default"/>
    <w:sig w:usb0="00000003" w:usb1="00000000" w:usb2="00000000" w:usb3="00000000" w:csb0="00000001" w:csb1="00000000"/>
  </w:font>
  <w:font w:name="Frutiger-Bold">
    <w:altName w:val="B Frutiger Bold"/>
    <w:panose1 w:val="00000000000000000000"/>
    <w:charset w:val="4D"/>
    <w:family w:val="auto"/>
    <w:notTrueType/>
    <w:pitch w:val="default"/>
    <w:sig w:usb0="00000003" w:usb1="00000000" w:usb2="00000000" w:usb3="00000000" w:csb0="00000001" w:csb1="00000000"/>
  </w:font>
  <w:font w:name="ZapfDingbatsStd">
    <w:altName w:val="ITC Zapf Dingbats Std"/>
    <w:panose1 w:val="00000000000000000000"/>
    <w:charset w:val="02"/>
    <w:family w:val="auto"/>
    <w:notTrueType/>
    <w:pitch w:val="default"/>
    <w:sig w:usb0="00000000" w:usb1="00000000" w:usb2="00000000" w:usb3="00000000" w:csb0="00000000" w:csb1="00000000"/>
  </w:font>
  <w:font w:name="Frutiger-Italic">
    <w:altName w:val="R Frutiger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1492"/>
    <w:rsid w:val="00174B00"/>
    <w:rsid w:val="00195F23"/>
    <w:rsid w:val="003D32F1"/>
    <w:rsid w:val="00675B35"/>
    <w:rsid w:val="006C21A3"/>
    <w:rsid w:val="00724469"/>
    <w:rsid w:val="008A59C9"/>
    <w:rsid w:val="008C1492"/>
    <w:rsid w:val="00A577D8"/>
    <w:rsid w:val="00B53E52"/>
    <w:rsid w:val="00EF3E0A"/>
    <w:rsid w:val="00FC61AE"/>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C9"/>
    <w:rPr>
      <w:rFonts w:ascii="Cambria" w:hAnsi="Cambria"/>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rsid w:val="008A59C9"/>
    <w:pPr>
      <w:widowControl w:val="0"/>
      <w:autoSpaceDE w:val="0"/>
      <w:autoSpaceDN w:val="0"/>
      <w:adjustRightInd w:val="0"/>
      <w:spacing w:line="288" w:lineRule="auto"/>
      <w:textAlignment w:val="center"/>
    </w:pPr>
    <w:rPr>
      <w:rFonts w:ascii="Times-Roman" w:hAnsi="Times-Roman" w:cs="Times-Roman"/>
      <w:color w:val="000000"/>
      <w:sz w:val="24"/>
      <w:szCs w:val="24"/>
      <w:lang w:val="en-GB" w:eastAsia="en-US"/>
    </w:rPr>
  </w:style>
  <w:style w:type="paragraph" w:customStyle="1" w:styleId="BasicParagraph">
    <w:name w:val="[Basic Paragraph]"/>
    <w:basedOn w:val="NoParagraphStyle"/>
    <w:uiPriority w:val="99"/>
    <w:rsid w:val="008A59C9"/>
  </w:style>
  <w:style w:type="paragraph" w:customStyle="1" w:styleId="Mainheading">
    <w:name w:val="Main heading"/>
    <w:basedOn w:val="BasicParagraph"/>
    <w:uiPriority w:val="99"/>
    <w:rsid w:val="008A59C9"/>
    <w:pPr>
      <w:spacing w:after="57" w:line="560" w:lineRule="atLeast"/>
    </w:pPr>
    <w:rPr>
      <w:rFonts w:ascii="Frutiger-Light" w:hAnsi="Frutiger-Light" w:cs="Frutiger-Light"/>
      <w:color w:val="505AA0"/>
      <w:sz w:val="56"/>
      <w:szCs w:val="56"/>
    </w:rPr>
  </w:style>
  <w:style w:type="paragraph" w:customStyle="1" w:styleId="Bullets">
    <w:name w:val="Bullets"/>
    <w:basedOn w:val="BasicParagraph"/>
    <w:uiPriority w:val="99"/>
    <w:rsid w:val="008A59C9"/>
    <w:pPr>
      <w:suppressAutoHyphens/>
      <w:spacing w:after="57" w:line="220" w:lineRule="atLeast"/>
      <w:ind w:left="283" w:hanging="283"/>
    </w:pPr>
    <w:rPr>
      <w:rFonts w:ascii="Frutiger-Light" w:hAnsi="Frutiger-Light" w:cs="Frutiger-Light"/>
      <w:sz w:val="18"/>
      <w:szCs w:val="18"/>
    </w:rPr>
  </w:style>
  <w:style w:type="paragraph" w:customStyle="1" w:styleId="Introbullets">
    <w:name w:val="Intro bullets"/>
    <w:basedOn w:val="Bullets"/>
    <w:uiPriority w:val="99"/>
    <w:rsid w:val="008A59C9"/>
    <w:pPr>
      <w:spacing w:line="260" w:lineRule="atLeast"/>
    </w:pPr>
    <w:rPr>
      <w:sz w:val="22"/>
      <w:szCs w:val="22"/>
    </w:rPr>
  </w:style>
  <w:style w:type="paragraph" w:customStyle="1" w:styleId="Subhead">
    <w:name w:val="Subhead"/>
    <w:basedOn w:val="BasicParagraph"/>
    <w:uiPriority w:val="99"/>
    <w:rsid w:val="008A59C9"/>
    <w:pPr>
      <w:spacing w:before="113" w:after="57" w:line="260" w:lineRule="atLeast"/>
    </w:pPr>
    <w:rPr>
      <w:rFonts w:ascii="Frutiger-Roman" w:hAnsi="Frutiger-Roman" w:cs="Frutiger-Roman"/>
      <w:color w:val="E18000"/>
    </w:rPr>
  </w:style>
  <w:style w:type="paragraph" w:customStyle="1" w:styleId="Bodytext">
    <w:name w:val="Body text"/>
    <w:basedOn w:val="BasicParagraph"/>
    <w:uiPriority w:val="99"/>
    <w:rsid w:val="008A59C9"/>
    <w:pPr>
      <w:suppressAutoHyphens/>
      <w:spacing w:after="113"/>
    </w:pPr>
    <w:rPr>
      <w:rFonts w:ascii="Frutiger-Light" w:hAnsi="Frutiger-Light" w:cs="Frutiger-Light"/>
      <w:sz w:val="20"/>
      <w:szCs w:val="20"/>
    </w:rPr>
  </w:style>
  <w:style w:type="paragraph" w:customStyle="1" w:styleId="Tabletitle">
    <w:name w:val="Table title"/>
    <w:basedOn w:val="Bodytext"/>
    <w:uiPriority w:val="99"/>
    <w:rsid w:val="008A59C9"/>
    <w:pPr>
      <w:spacing w:after="0"/>
    </w:pPr>
    <w:rPr>
      <w:rFonts w:ascii="Frutiger-Bold" w:hAnsi="Frutiger-Bold" w:cs="Frutiger-Bold"/>
      <w:b/>
      <w:bCs/>
    </w:rPr>
  </w:style>
  <w:style w:type="paragraph" w:customStyle="1" w:styleId="body">
    <w:name w:val="body"/>
    <w:basedOn w:val="NoParagraphStyle"/>
    <w:uiPriority w:val="99"/>
    <w:rsid w:val="008A59C9"/>
    <w:pPr>
      <w:tabs>
        <w:tab w:val="left" w:pos="170"/>
        <w:tab w:val="left" w:pos="454"/>
      </w:tabs>
      <w:suppressAutoHyphens/>
      <w:spacing w:after="113" w:line="260" w:lineRule="atLeast"/>
      <w:textAlignment w:val="baseline"/>
    </w:pPr>
    <w:rPr>
      <w:rFonts w:ascii="Frutiger-Light" w:hAnsi="Frutiger-Light" w:cs="Frutiger-Light"/>
      <w:sz w:val="17"/>
      <w:szCs w:val="17"/>
      <w:lang w:val="en-US"/>
    </w:rPr>
  </w:style>
  <w:style w:type="paragraph" w:customStyle="1" w:styleId="Tablefootnote">
    <w:name w:val="Table footnote"/>
    <w:basedOn w:val="body"/>
    <w:uiPriority w:val="99"/>
    <w:rsid w:val="008A59C9"/>
    <w:pPr>
      <w:tabs>
        <w:tab w:val="clear" w:pos="170"/>
        <w:tab w:val="clear" w:pos="454"/>
        <w:tab w:val="right" w:pos="1780"/>
        <w:tab w:val="right" w:pos="2420"/>
        <w:tab w:val="right" w:pos="3020"/>
        <w:tab w:val="right" w:pos="3640"/>
        <w:tab w:val="right" w:pos="4240"/>
      </w:tabs>
      <w:spacing w:after="0" w:line="160" w:lineRule="atLeast"/>
    </w:pPr>
    <w:rPr>
      <w:sz w:val="14"/>
      <w:szCs w:val="14"/>
    </w:rPr>
  </w:style>
  <w:style w:type="character" w:customStyle="1" w:styleId="Introbullet">
    <w:name w:val="Intro bullet"/>
    <w:uiPriority w:val="99"/>
    <w:rsid w:val="008A59C9"/>
    <w:rPr>
      <w:rFonts w:ascii="ZapfDingbatsStd" w:hAnsi="ZapfDingbatsStd"/>
      <w:color w:val="505AA0"/>
      <w:sz w:val="16"/>
    </w:rPr>
  </w:style>
  <w:style w:type="character" w:customStyle="1" w:styleId="Bold">
    <w:name w:val="Bold"/>
    <w:uiPriority w:val="99"/>
    <w:rsid w:val="008A59C9"/>
    <w:rPr>
      <w:b/>
    </w:rPr>
  </w:style>
  <w:style w:type="paragraph" w:customStyle="1" w:styleId="Bullets1">
    <w:name w:val="Bullets 1"/>
    <w:basedOn w:val="Bodytext"/>
    <w:uiPriority w:val="99"/>
    <w:rsid w:val="008C1492"/>
    <w:pPr>
      <w:spacing w:after="0"/>
      <w:ind w:left="227" w:hanging="227"/>
    </w:pPr>
  </w:style>
  <w:style w:type="paragraph" w:customStyle="1" w:styleId="Tablehead">
    <w:name w:val="Table head"/>
    <w:basedOn w:val="BasicParagraph"/>
    <w:uiPriority w:val="99"/>
    <w:rsid w:val="008C1492"/>
    <w:pPr>
      <w:spacing w:after="113" w:line="180" w:lineRule="atLeast"/>
      <w:jc w:val="center"/>
    </w:pPr>
    <w:rPr>
      <w:rFonts w:ascii="Frutiger-Bold" w:hAnsi="Frutiger-Bold" w:cs="Frutiger-Bold"/>
      <w:b/>
      <w:bCs/>
      <w:sz w:val="16"/>
      <w:szCs w:val="16"/>
      <w:lang w:val="tr-TR"/>
    </w:rPr>
  </w:style>
  <w:style w:type="paragraph" w:customStyle="1" w:styleId="Tabletext">
    <w:name w:val="Table text"/>
    <w:basedOn w:val="BasicParagraph"/>
    <w:uiPriority w:val="99"/>
    <w:rsid w:val="008C1492"/>
    <w:pPr>
      <w:tabs>
        <w:tab w:val="right" w:pos="1446"/>
        <w:tab w:val="right" w:pos="1956"/>
        <w:tab w:val="right" w:pos="2466"/>
        <w:tab w:val="right" w:pos="2976"/>
        <w:tab w:val="right" w:pos="3487"/>
      </w:tabs>
      <w:spacing w:after="57" w:line="180" w:lineRule="atLeast"/>
      <w:ind w:left="57"/>
    </w:pPr>
    <w:rPr>
      <w:rFonts w:ascii="Frutiger-Light" w:hAnsi="Frutiger-Light" w:cs="Frutiger-Light"/>
      <w:sz w:val="15"/>
      <w:szCs w:val="15"/>
      <w:lang w:val="tr-TR"/>
    </w:rPr>
  </w:style>
  <w:style w:type="paragraph" w:customStyle="1" w:styleId="Tableend">
    <w:name w:val="Table end"/>
    <w:basedOn w:val="body"/>
    <w:uiPriority w:val="99"/>
    <w:rsid w:val="008C1492"/>
    <w:pPr>
      <w:pBdr>
        <w:bottom w:val="single" w:sz="16" w:space="2" w:color="009081"/>
      </w:pBdr>
      <w:tabs>
        <w:tab w:val="clear" w:pos="170"/>
        <w:tab w:val="clear" w:pos="454"/>
        <w:tab w:val="right" w:pos="1446"/>
        <w:tab w:val="right" w:pos="1956"/>
        <w:tab w:val="right" w:pos="2466"/>
        <w:tab w:val="right" w:pos="2976"/>
        <w:tab w:val="right" w:pos="3487"/>
      </w:tabs>
      <w:spacing w:after="227" w:line="190" w:lineRule="atLeast"/>
      <w:ind w:left="57"/>
    </w:pPr>
    <w:rPr>
      <w:rFonts w:ascii="Frutiger-Bold" w:hAnsi="Frutiger-Bold" w:cs="Frutiger-Bold"/>
      <w:b/>
      <w:bCs/>
      <w:color w:val="009081"/>
      <w:sz w:val="15"/>
      <w:szCs w:val="15"/>
    </w:rPr>
  </w:style>
  <w:style w:type="paragraph" w:customStyle="1" w:styleId="Tablegrowth">
    <w:name w:val="Table growth"/>
    <w:basedOn w:val="Tabletext"/>
    <w:uiPriority w:val="99"/>
    <w:rsid w:val="008C1492"/>
    <w:rPr>
      <w:color w:val="FFFFFF"/>
    </w:rPr>
  </w:style>
  <w:style w:type="character" w:customStyle="1" w:styleId="Italics">
    <w:name w:val="Italics"/>
    <w:uiPriority w:val="99"/>
    <w:rsid w:val="008C1492"/>
    <w:rPr>
      <w:i/>
    </w:rPr>
  </w:style>
  <w:style w:type="paragraph" w:customStyle="1" w:styleId="Disclaimer">
    <w:name w:val="Disclaimer"/>
    <w:basedOn w:val="Bodytext"/>
    <w:uiPriority w:val="99"/>
    <w:rsid w:val="008C1492"/>
    <w:pPr>
      <w:spacing w:after="57" w:line="180" w:lineRule="atLeast"/>
    </w:pPr>
    <w:rPr>
      <w:color w:val="FFFFFF"/>
      <w:sz w:val="14"/>
      <w:szCs w:val="14"/>
    </w:rPr>
  </w:style>
  <w:style w:type="character" w:customStyle="1" w:styleId="Italic">
    <w:name w:val="Italic"/>
    <w:uiPriority w:val="99"/>
    <w:rsid w:val="008C1492"/>
    <w:rPr>
      <w:i/>
    </w:rPr>
  </w:style>
  <w:style w:type="character" w:customStyle="1" w:styleId="Medium">
    <w:name w:val="Medium"/>
    <w:basedOn w:val="Bold"/>
    <w:uiPriority w:val="99"/>
    <w:rsid w:val="008C1492"/>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2949</Words>
  <Characters>16813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Land </dc:title>
  <dc:subject/>
  <dc:creator>Judy Bennett</dc:creator>
  <cp:keywords/>
  <dc:description/>
  <cp:lastModifiedBy>dt47</cp:lastModifiedBy>
  <cp:revision>2</cp:revision>
  <dcterms:created xsi:type="dcterms:W3CDTF">2010-12-08T00:08:00Z</dcterms:created>
  <dcterms:modified xsi:type="dcterms:W3CDTF">2010-12-08T00:08:00Z</dcterms:modified>
</cp:coreProperties>
</file>