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A1A91" w14:textId="202DCED0" w:rsidR="00102188" w:rsidRDefault="008E62D6">
      <w:pPr>
        <w:spacing w:before="50"/>
        <w:ind w:left="1071" w:right="1093"/>
        <w:jc w:val="center"/>
        <w:rPr>
          <w:rFonts w:ascii="Times New Roman" w:eastAsia="Times New Roman" w:hAnsi="Times New Roman" w:cs="Times New Roman"/>
          <w:sz w:val="21"/>
          <w:szCs w:val="21"/>
        </w:rPr>
      </w:pPr>
      <w:r>
        <w:rPr>
          <w:rFonts w:ascii="Times New Roman"/>
          <w:i/>
          <w:color w:val="262626"/>
          <w:sz w:val="21"/>
        </w:rPr>
        <w:t xml:space="preserve">Planning </w:t>
      </w:r>
      <w:r w:rsidR="00C375EB">
        <w:rPr>
          <w:rFonts w:ascii="Times New Roman"/>
          <w:i/>
          <w:color w:val="262626"/>
          <w:sz w:val="21"/>
        </w:rPr>
        <w:t>and Environment Act</w:t>
      </w:r>
      <w:r w:rsidR="00C375EB">
        <w:rPr>
          <w:rFonts w:ascii="Times New Roman"/>
          <w:i/>
          <w:color w:val="262626"/>
          <w:spacing w:val="33"/>
          <w:sz w:val="21"/>
        </w:rPr>
        <w:t xml:space="preserve"> </w:t>
      </w:r>
      <w:r w:rsidR="00C375EB">
        <w:rPr>
          <w:rFonts w:ascii="Times New Roman"/>
          <w:i/>
          <w:color w:val="262626"/>
          <w:sz w:val="21"/>
        </w:rPr>
        <w:t>1987</w:t>
      </w:r>
    </w:p>
    <w:p w14:paraId="0069F98E" w14:textId="77777777" w:rsidR="00102188" w:rsidRDefault="00C375EB">
      <w:pPr>
        <w:pStyle w:val="BodyText"/>
        <w:spacing w:before="132"/>
        <w:ind w:left="1071" w:right="1056" w:firstLine="0"/>
        <w:jc w:val="center"/>
      </w:pPr>
      <w:r>
        <w:rPr>
          <w:color w:val="262626"/>
          <w:w w:val="105"/>
        </w:rPr>
        <w:t>Section</w:t>
      </w:r>
      <w:r>
        <w:rPr>
          <w:color w:val="262626"/>
          <w:spacing w:val="-8"/>
          <w:w w:val="105"/>
        </w:rPr>
        <w:t xml:space="preserve"> </w:t>
      </w:r>
      <w:r>
        <w:rPr>
          <w:color w:val="262626"/>
          <w:w w:val="105"/>
        </w:rPr>
        <w:t>12(2)(a)</w:t>
      </w:r>
    </w:p>
    <w:p w14:paraId="7C977DFF" w14:textId="77777777" w:rsidR="00102188" w:rsidRDefault="00102188">
      <w:pPr>
        <w:spacing w:before="11"/>
        <w:rPr>
          <w:rFonts w:ascii="Times New Roman" w:eastAsia="Times New Roman" w:hAnsi="Times New Roman" w:cs="Times New Roman"/>
          <w:sz w:val="21"/>
          <w:szCs w:val="21"/>
        </w:rPr>
      </w:pPr>
    </w:p>
    <w:p w14:paraId="5AC98F6E" w14:textId="77777777" w:rsidR="00102188" w:rsidRDefault="008E62D6">
      <w:pPr>
        <w:pStyle w:val="Heading2"/>
        <w:ind w:left="1071" w:right="1087"/>
        <w:jc w:val="center"/>
        <w:rPr>
          <w:rFonts w:ascii="Times New Roman" w:eastAsia="Times New Roman" w:hAnsi="Times New Roman" w:cs="Times New Roman"/>
          <w:b w:val="0"/>
          <w:bCs w:val="0"/>
        </w:rPr>
      </w:pPr>
      <w:r>
        <w:rPr>
          <w:rFonts w:ascii="Times New Roman"/>
          <w:color w:val="262626"/>
        </w:rPr>
        <w:t xml:space="preserve">DIRECTION </w:t>
      </w:r>
      <w:r w:rsidR="00C375EB">
        <w:rPr>
          <w:rFonts w:ascii="Times New Roman"/>
          <w:color w:val="262626"/>
        </w:rPr>
        <w:t>NO.</w:t>
      </w:r>
      <w:r w:rsidR="00C375EB">
        <w:rPr>
          <w:rFonts w:ascii="Times New Roman"/>
          <w:color w:val="262626"/>
          <w:spacing w:val="22"/>
        </w:rPr>
        <w:t xml:space="preserve"> </w:t>
      </w:r>
      <w:r w:rsidR="00A11375" w:rsidRPr="00945B4E">
        <w:rPr>
          <w:rFonts w:ascii="Times New Roman"/>
        </w:rPr>
        <w:t>18</w:t>
      </w:r>
    </w:p>
    <w:p w14:paraId="0190577D" w14:textId="77777777" w:rsidR="00102188" w:rsidRDefault="00102188">
      <w:pPr>
        <w:rPr>
          <w:rFonts w:ascii="Times New Roman" w:eastAsia="Times New Roman" w:hAnsi="Times New Roman" w:cs="Times New Roman"/>
        </w:rPr>
      </w:pPr>
    </w:p>
    <w:p w14:paraId="197918CD" w14:textId="77777777" w:rsidR="00102188" w:rsidRDefault="00102188">
      <w:pPr>
        <w:spacing w:before="10"/>
        <w:rPr>
          <w:rFonts w:ascii="Times New Roman" w:eastAsia="Times New Roman" w:hAnsi="Times New Roman" w:cs="Times New Roman"/>
          <w:sz w:val="24"/>
          <w:szCs w:val="24"/>
        </w:rPr>
      </w:pPr>
    </w:p>
    <w:p w14:paraId="55B92167" w14:textId="77777777" w:rsidR="00102188" w:rsidRDefault="008E62D6">
      <w:pPr>
        <w:ind w:left="1071" w:right="1136"/>
        <w:jc w:val="center"/>
        <w:rPr>
          <w:rFonts w:ascii="Times New Roman" w:eastAsia="Times New Roman" w:hAnsi="Times New Roman" w:cs="Times New Roman"/>
          <w:sz w:val="35"/>
          <w:szCs w:val="35"/>
        </w:rPr>
      </w:pPr>
      <w:r>
        <w:rPr>
          <w:rFonts w:ascii="Times New Roman"/>
          <w:b/>
          <w:color w:val="262626"/>
          <w:sz w:val="35"/>
        </w:rPr>
        <w:t xml:space="preserve">VICTORIAN </w:t>
      </w:r>
      <w:r w:rsidR="00C375EB">
        <w:rPr>
          <w:rFonts w:ascii="Times New Roman"/>
          <w:b/>
          <w:color w:val="262626"/>
          <w:sz w:val="35"/>
        </w:rPr>
        <w:t>PLANNING</w:t>
      </w:r>
      <w:r w:rsidR="00C375EB">
        <w:rPr>
          <w:rFonts w:ascii="Times New Roman"/>
          <w:b/>
          <w:color w:val="262626"/>
          <w:spacing w:val="15"/>
          <w:sz w:val="35"/>
        </w:rPr>
        <w:t xml:space="preserve"> </w:t>
      </w:r>
      <w:r w:rsidR="00C375EB">
        <w:rPr>
          <w:rFonts w:ascii="Times New Roman"/>
          <w:b/>
          <w:color w:val="262626"/>
          <w:sz w:val="35"/>
        </w:rPr>
        <w:t>AUTHORITY</w:t>
      </w:r>
    </w:p>
    <w:p w14:paraId="6909EF29" w14:textId="77777777" w:rsidR="007816CE" w:rsidRDefault="008A228C" w:rsidP="008A228C">
      <w:pPr>
        <w:tabs>
          <w:tab w:val="left" w:pos="3241"/>
          <w:tab w:val="left" w:pos="8336"/>
        </w:tabs>
        <w:spacing w:before="14"/>
        <w:ind w:right="20"/>
        <w:rPr>
          <w:rFonts w:ascii="Arial"/>
          <w:b/>
          <w:color w:val="262626"/>
          <w:sz w:val="23"/>
        </w:rPr>
      </w:pPr>
      <w:r w:rsidRPr="007236DD">
        <w:rPr>
          <w:rFonts w:ascii="Times New Roman" w:hAnsi="Times New Roman"/>
          <w:b/>
          <w:color w:val="262626"/>
          <w:sz w:val="35"/>
          <w:u w:val="single"/>
        </w:rPr>
        <w:t xml:space="preserve"> ADVICE ON PLANNING SCHEME AMENDMENTS</w:t>
      </w:r>
      <w:r w:rsidR="00C375EB" w:rsidRPr="008A228C">
        <w:rPr>
          <w:rFonts w:ascii="Times New Roman"/>
          <w:b/>
          <w:color w:val="262626"/>
          <w:sz w:val="35"/>
        </w:rPr>
        <w:tab/>
      </w:r>
      <w:r w:rsidR="002C4061">
        <w:rPr>
          <w:rFonts w:ascii="Arial"/>
          <w:b/>
          <w:color w:val="262626"/>
          <w:sz w:val="23"/>
        </w:rPr>
        <w:br/>
      </w:r>
    </w:p>
    <w:p w14:paraId="4168597F" w14:textId="3FF65AE6" w:rsidR="00102188" w:rsidRDefault="00C375EB" w:rsidP="008A228C">
      <w:pPr>
        <w:tabs>
          <w:tab w:val="left" w:pos="3241"/>
          <w:tab w:val="left" w:pos="8336"/>
        </w:tabs>
        <w:spacing w:before="14"/>
        <w:ind w:right="20"/>
        <w:rPr>
          <w:rFonts w:ascii="Arial" w:eastAsia="Arial" w:hAnsi="Arial" w:cs="Arial"/>
          <w:sz w:val="23"/>
          <w:szCs w:val="23"/>
        </w:rPr>
      </w:pPr>
      <w:r>
        <w:rPr>
          <w:rFonts w:ascii="Arial"/>
          <w:b/>
          <w:color w:val="262626"/>
          <w:sz w:val="23"/>
        </w:rPr>
        <w:t>Purpose</w:t>
      </w:r>
    </w:p>
    <w:p w14:paraId="5B3E2EBB" w14:textId="797113AF" w:rsidR="00102188" w:rsidRPr="00E40442" w:rsidRDefault="00C375EB" w:rsidP="00E40442">
      <w:pPr>
        <w:pStyle w:val="ListParagraph"/>
        <w:numPr>
          <w:ilvl w:val="0"/>
          <w:numId w:val="1"/>
        </w:numPr>
        <w:tabs>
          <w:tab w:val="left" w:pos="506"/>
        </w:tabs>
        <w:spacing w:before="129" w:line="252" w:lineRule="auto"/>
        <w:ind w:right="176" w:hanging="330"/>
        <w:jc w:val="both"/>
        <w:rPr>
          <w:rFonts w:ascii="Times New Roman" w:eastAsia="Times New Roman" w:hAnsi="Times New Roman" w:cs="Times New Roman"/>
          <w:sz w:val="21"/>
          <w:szCs w:val="21"/>
        </w:rPr>
      </w:pPr>
      <w:r>
        <w:rPr>
          <w:rFonts w:ascii="Times New Roman"/>
          <w:color w:val="262626"/>
          <w:sz w:val="21"/>
        </w:rPr>
        <w:t xml:space="preserve">The purpose of this Direction is to </w:t>
      </w:r>
      <w:r w:rsidR="00636289">
        <w:rPr>
          <w:rFonts w:ascii="Times New Roman"/>
          <w:color w:val="262626"/>
          <w:sz w:val="21"/>
        </w:rPr>
        <w:t>provide consistent</w:t>
      </w:r>
      <w:r>
        <w:rPr>
          <w:rFonts w:ascii="Times New Roman"/>
          <w:color w:val="262626"/>
          <w:sz w:val="21"/>
        </w:rPr>
        <w:t xml:space="preserve"> </w:t>
      </w:r>
      <w:r w:rsidR="007A294E">
        <w:rPr>
          <w:rFonts w:ascii="Times New Roman"/>
          <w:color w:val="262626"/>
          <w:sz w:val="21"/>
        </w:rPr>
        <w:t>and</w:t>
      </w:r>
      <w:r w:rsidR="008E62D6">
        <w:rPr>
          <w:rFonts w:ascii="Times New Roman"/>
          <w:color w:val="262626"/>
          <w:sz w:val="21"/>
        </w:rPr>
        <w:t xml:space="preserve"> coordinated urban development</w:t>
      </w:r>
      <w:r>
        <w:rPr>
          <w:rFonts w:ascii="Times New Roman"/>
          <w:color w:val="262626"/>
          <w:sz w:val="21"/>
        </w:rPr>
        <w:t xml:space="preserve"> of</w:t>
      </w:r>
      <w:r>
        <w:rPr>
          <w:rFonts w:ascii="Times New Roman"/>
          <w:color w:val="262626"/>
          <w:spacing w:val="-3"/>
          <w:sz w:val="21"/>
        </w:rPr>
        <w:t xml:space="preserve"> </w:t>
      </w:r>
      <w:r>
        <w:rPr>
          <w:rFonts w:ascii="Times New Roman"/>
          <w:color w:val="262626"/>
          <w:sz w:val="21"/>
        </w:rPr>
        <w:t>places</w:t>
      </w:r>
      <w:r w:rsidR="00E40442">
        <w:rPr>
          <w:rFonts w:ascii="Times New Roman"/>
          <w:color w:val="262626"/>
          <w:sz w:val="21"/>
        </w:rPr>
        <w:t xml:space="preserve"> in relation to which the Victorian Planning Authority (or any </w:t>
      </w:r>
      <w:r w:rsidR="00636289">
        <w:rPr>
          <w:rFonts w:ascii="Times New Roman"/>
          <w:color w:val="262626"/>
          <w:sz w:val="21"/>
        </w:rPr>
        <w:t xml:space="preserve">superseded </w:t>
      </w:r>
      <w:r w:rsidR="00B623C6">
        <w:rPr>
          <w:rFonts w:ascii="Times New Roman"/>
          <w:color w:val="262626"/>
          <w:sz w:val="21"/>
        </w:rPr>
        <w:t>A</w:t>
      </w:r>
      <w:r w:rsidR="00636289">
        <w:rPr>
          <w:rFonts w:ascii="Times New Roman"/>
          <w:color w:val="262626"/>
          <w:sz w:val="21"/>
        </w:rPr>
        <w:t>uthority</w:t>
      </w:r>
      <w:r w:rsidR="00E40442">
        <w:rPr>
          <w:rFonts w:ascii="Times New Roman"/>
          <w:color w:val="262626"/>
          <w:sz w:val="21"/>
        </w:rPr>
        <w:t xml:space="preserve">) is, or has been, </w:t>
      </w:r>
      <w:r w:rsidR="00A67E87">
        <w:rPr>
          <w:rFonts w:ascii="Times New Roman"/>
          <w:color w:val="262626"/>
          <w:sz w:val="21"/>
        </w:rPr>
        <w:t xml:space="preserve">approved or directed </w:t>
      </w:r>
      <w:r w:rsidR="00E40442">
        <w:rPr>
          <w:rFonts w:ascii="Times New Roman"/>
          <w:color w:val="262626"/>
          <w:sz w:val="21"/>
        </w:rPr>
        <w:t>by the Minister to provide advice.</w:t>
      </w:r>
    </w:p>
    <w:p w14:paraId="7B93B4B7" w14:textId="154FD781" w:rsidR="00E40442" w:rsidRPr="002F0067" w:rsidRDefault="00E40442" w:rsidP="00E40442">
      <w:pPr>
        <w:pStyle w:val="ListParagraph"/>
        <w:numPr>
          <w:ilvl w:val="0"/>
          <w:numId w:val="1"/>
        </w:numPr>
        <w:tabs>
          <w:tab w:val="left" w:pos="506"/>
        </w:tabs>
        <w:spacing w:before="129" w:line="252" w:lineRule="auto"/>
        <w:ind w:right="176" w:hanging="330"/>
        <w:jc w:val="both"/>
        <w:rPr>
          <w:rFonts w:ascii="Times New Roman" w:eastAsia="Times New Roman" w:hAnsi="Times New Roman" w:cs="Times New Roman"/>
          <w:sz w:val="21"/>
          <w:szCs w:val="21"/>
        </w:rPr>
      </w:pPr>
      <w:r>
        <w:rPr>
          <w:rFonts w:ascii="Times New Roman"/>
          <w:color w:val="262626"/>
          <w:sz w:val="21"/>
        </w:rPr>
        <w:t>The Direction ensures that a planning authority seeks, and has regard to, the advice of the Victorian Planning Authority when preparing an amendment to rezone land in relation to which the Authority has, or has previously</w:t>
      </w:r>
      <w:r w:rsidR="002F0067">
        <w:rPr>
          <w:rFonts w:ascii="Times New Roman"/>
          <w:color w:val="262626"/>
          <w:sz w:val="21"/>
        </w:rPr>
        <w:t xml:space="preserve"> been directed to provide advice</w:t>
      </w:r>
      <w:r>
        <w:rPr>
          <w:rFonts w:ascii="Times New Roman"/>
          <w:color w:val="262626"/>
          <w:sz w:val="21"/>
        </w:rPr>
        <w:t>.</w:t>
      </w:r>
    </w:p>
    <w:p w14:paraId="330B3A6B" w14:textId="0CAD9FE9" w:rsidR="002F0067" w:rsidRPr="008E6EF6" w:rsidRDefault="002F0067" w:rsidP="00E40442">
      <w:pPr>
        <w:pStyle w:val="ListParagraph"/>
        <w:numPr>
          <w:ilvl w:val="0"/>
          <w:numId w:val="1"/>
        </w:numPr>
        <w:tabs>
          <w:tab w:val="left" w:pos="506"/>
        </w:tabs>
        <w:spacing w:before="129" w:line="252" w:lineRule="auto"/>
        <w:ind w:right="176" w:hanging="330"/>
        <w:jc w:val="both"/>
        <w:rPr>
          <w:rFonts w:ascii="Times New Roman" w:eastAsia="Times New Roman" w:hAnsi="Times New Roman" w:cs="Times New Roman"/>
          <w:sz w:val="21"/>
          <w:szCs w:val="21"/>
        </w:rPr>
      </w:pPr>
      <w:r>
        <w:rPr>
          <w:rFonts w:ascii="Times New Roman"/>
          <w:color w:val="262626"/>
          <w:sz w:val="21"/>
        </w:rPr>
        <w:t>It will ensure that amendments remain generally in accordance with approved strategic plans and policies.</w:t>
      </w:r>
    </w:p>
    <w:p w14:paraId="1247EBF4" w14:textId="77777777" w:rsidR="008E6EF6" w:rsidRDefault="008E6EF6" w:rsidP="008E6EF6">
      <w:pPr>
        <w:pStyle w:val="Heading2"/>
        <w:ind w:left="141"/>
      </w:pPr>
    </w:p>
    <w:p w14:paraId="7CE799F3" w14:textId="5A949C95" w:rsidR="008E6EF6" w:rsidRDefault="008E6EF6" w:rsidP="008E6EF6">
      <w:pPr>
        <w:pStyle w:val="Heading2"/>
        <w:ind w:left="141"/>
        <w:rPr>
          <w:b w:val="0"/>
          <w:bCs w:val="0"/>
        </w:rPr>
      </w:pPr>
      <w:r>
        <w:rPr>
          <w:color w:val="262626"/>
        </w:rPr>
        <w:t>Definition</w:t>
      </w:r>
    </w:p>
    <w:p w14:paraId="59165189" w14:textId="40FF33AE" w:rsidR="008E6EF6" w:rsidRPr="00E40442" w:rsidRDefault="008E6EF6" w:rsidP="00E40442">
      <w:pPr>
        <w:pStyle w:val="ListParagraph"/>
        <w:numPr>
          <w:ilvl w:val="0"/>
          <w:numId w:val="1"/>
        </w:numPr>
        <w:tabs>
          <w:tab w:val="left" w:pos="506"/>
        </w:tabs>
        <w:spacing w:before="129" w:line="252" w:lineRule="auto"/>
        <w:ind w:right="176" w:hanging="33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In this </w:t>
      </w:r>
      <w:r w:rsidR="002F0067">
        <w:rPr>
          <w:rFonts w:ascii="Times New Roman" w:eastAsia="Times New Roman" w:hAnsi="Times New Roman" w:cs="Times New Roman"/>
          <w:sz w:val="21"/>
          <w:szCs w:val="21"/>
        </w:rPr>
        <w:t>Direction,</w:t>
      </w:r>
      <w:r>
        <w:rPr>
          <w:rFonts w:ascii="Times New Roman" w:eastAsia="Times New Roman" w:hAnsi="Times New Roman" w:cs="Times New Roman"/>
          <w:sz w:val="21"/>
          <w:szCs w:val="21"/>
        </w:rPr>
        <w:t xml:space="preserve"> </w:t>
      </w:r>
      <w:r w:rsidR="002F0067" w:rsidRPr="00E66CEC">
        <w:rPr>
          <w:rFonts w:ascii="Times New Roman" w:eastAsia="Times New Roman" w:hAnsi="Times New Roman" w:cs="Times New Roman"/>
          <w:b/>
          <w:i/>
          <w:sz w:val="21"/>
          <w:szCs w:val="21"/>
        </w:rPr>
        <w:t xml:space="preserve">superseded </w:t>
      </w:r>
      <w:r w:rsidRPr="00E66CEC">
        <w:rPr>
          <w:rFonts w:ascii="Times New Roman" w:eastAsia="Times New Roman" w:hAnsi="Times New Roman" w:cs="Times New Roman"/>
          <w:b/>
          <w:i/>
          <w:sz w:val="21"/>
          <w:szCs w:val="21"/>
        </w:rPr>
        <w:t>Authority</w:t>
      </w:r>
      <w:r w:rsidRPr="008E6EF6">
        <w:rPr>
          <w:rFonts w:ascii="Times New Roman" w:eastAsia="Times New Roman" w:hAnsi="Times New Roman" w:cs="Times New Roman"/>
          <w:sz w:val="21"/>
          <w:szCs w:val="21"/>
        </w:rPr>
        <w:t xml:space="preserve"> means the Metropolitan Planning Authority or the Growth Areas Authority</w:t>
      </w:r>
      <w:r w:rsidR="002F0067">
        <w:rPr>
          <w:rFonts w:ascii="Times New Roman" w:eastAsia="Times New Roman" w:hAnsi="Times New Roman" w:cs="Times New Roman"/>
          <w:sz w:val="21"/>
          <w:szCs w:val="21"/>
        </w:rPr>
        <w:t>.</w:t>
      </w:r>
    </w:p>
    <w:p w14:paraId="6C88C930" w14:textId="77777777" w:rsidR="00102188" w:rsidRDefault="00102188">
      <w:pPr>
        <w:spacing w:before="3"/>
        <w:rPr>
          <w:rFonts w:ascii="Times New Roman" w:eastAsia="Times New Roman" w:hAnsi="Times New Roman" w:cs="Times New Roman"/>
          <w:sz w:val="21"/>
          <w:szCs w:val="21"/>
        </w:rPr>
      </w:pPr>
    </w:p>
    <w:p w14:paraId="569B2841" w14:textId="4E4771AD" w:rsidR="00102188" w:rsidRDefault="00C375EB">
      <w:pPr>
        <w:pStyle w:val="Heading2"/>
        <w:ind w:left="141"/>
        <w:rPr>
          <w:b w:val="0"/>
          <w:bCs w:val="0"/>
        </w:rPr>
      </w:pPr>
      <w:r>
        <w:rPr>
          <w:color w:val="262626"/>
        </w:rPr>
        <w:t>Application</w:t>
      </w:r>
    </w:p>
    <w:p w14:paraId="19641C28" w14:textId="77777777" w:rsidR="00E40442" w:rsidRPr="00E40442" w:rsidRDefault="00C375EB" w:rsidP="00E40442">
      <w:pPr>
        <w:pStyle w:val="ListParagraph"/>
        <w:numPr>
          <w:ilvl w:val="0"/>
          <w:numId w:val="1"/>
        </w:numPr>
        <w:tabs>
          <w:tab w:val="left" w:pos="506"/>
        </w:tabs>
        <w:spacing w:before="129" w:line="252" w:lineRule="auto"/>
        <w:ind w:left="510" w:right="153" w:hanging="364"/>
        <w:jc w:val="both"/>
        <w:rPr>
          <w:rFonts w:ascii="Times New Roman" w:eastAsia="Times New Roman" w:hAnsi="Times New Roman" w:cs="Times New Roman"/>
          <w:sz w:val="21"/>
          <w:szCs w:val="21"/>
        </w:rPr>
      </w:pPr>
      <w:r>
        <w:rPr>
          <w:rFonts w:ascii="Times New Roman"/>
          <w:color w:val="262626"/>
          <w:sz w:val="21"/>
        </w:rPr>
        <w:t xml:space="preserve">This Direction </w:t>
      </w:r>
      <w:r w:rsidR="00E40442">
        <w:rPr>
          <w:rFonts w:ascii="Times New Roman"/>
          <w:color w:val="262626"/>
          <w:sz w:val="21"/>
        </w:rPr>
        <w:t>applies to the preparation of any planning scheme amendment that provides for the rezoning of land within or affecting:</w:t>
      </w:r>
    </w:p>
    <w:p w14:paraId="3098FC81" w14:textId="77777777" w:rsidR="00102188" w:rsidRPr="00E40442" w:rsidRDefault="00E40442" w:rsidP="00E40442">
      <w:pPr>
        <w:pStyle w:val="ListParagraph"/>
        <w:numPr>
          <w:ilvl w:val="0"/>
          <w:numId w:val="2"/>
        </w:numPr>
        <w:tabs>
          <w:tab w:val="left" w:pos="506"/>
        </w:tabs>
        <w:spacing w:before="129" w:line="252" w:lineRule="auto"/>
        <w:ind w:right="153"/>
        <w:rPr>
          <w:rFonts w:ascii="Times New Roman" w:eastAsia="Times New Roman" w:hAnsi="Times New Roman" w:cs="Times New Roman"/>
          <w:sz w:val="21"/>
          <w:szCs w:val="21"/>
        </w:rPr>
      </w:pPr>
      <w:r>
        <w:rPr>
          <w:rFonts w:ascii="Times New Roman"/>
          <w:color w:val="262626"/>
          <w:sz w:val="21"/>
        </w:rPr>
        <w:t>any area that is, or has been, subject of a direction from the Minister to the Victorian Planning Authority issued pursuant to Section 36(1) of the Victorian Planning Authority Act 2017; or</w:t>
      </w:r>
    </w:p>
    <w:p w14:paraId="781BAFC2" w14:textId="512188BB" w:rsidR="00E40442" w:rsidRPr="00E40442" w:rsidRDefault="00E40442" w:rsidP="00E40442">
      <w:pPr>
        <w:pStyle w:val="ListParagraph"/>
        <w:numPr>
          <w:ilvl w:val="0"/>
          <w:numId w:val="2"/>
        </w:numPr>
        <w:tabs>
          <w:tab w:val="left" w:pos="506"/>
        </w:tabs>
        <w:spacing w:before="129" w:line="252" w:lineRule="auto"/>
        <w:ind w:right="153"/>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any area that is, or has been, subject of activity or advice </w:t>
      </w:r>
      <w:r w:rsidR="004573E4">
        <w:rPr>
          <w:rFonts w:ascii="Times New Roman" w:eastAsia="Times New Roman" w:hAnsi="Times New Roman" w:cs="Times New Roman"/>
          <w:sz w:val="21"/>
          <w:szCs w:val="21"/>
        </w:rPr>
        <w:t>on the part of</w:t>
      </w:r>
      <w:r>
        <w:rPr>
          <w:rFonts w:ascii="Times New Roman" w:eastAsia="Times New Roman" w:hAnsi="Times New Roman" w:cs="Times New Roman"/>
          <w:sz w:val="21"/>
          <w:szCs w:val="21"/>
        </w:rPr>
        <w:t xml:space="preserve"> any </w:t>
      </w:r>
      <w:r w:rsidR="00636289">
        <w:rPr>
          <w:rFonts w:ascii="Times New Roman" w:eastAsia="Times New Roman" w:hAnsi="Times New Roman" w:cs="Times New Roman"/>
          <w:sz w:val="21"/>
          <w:szCs w:val="21"/>
        </w:rPr>
        <w:t xml:space="preserve">superseded </w:t>
      </w:r>
      <w:r w:rsidR="00B623C6">
        <w:rPr>
          <w:rFonts w:ascii="Times New Roman" w:eastAsia="Times New Roman" w:hAnsi="Times New Roman" w:cs="Times New Roman"/>
          <w:sz w:val="21"/>
          <w:szCs w:val="21"/>
        </w:rPr>
        <w:t>A</w:t>
      </w:r>
      <w:r w:rsidR="00636289">
        <w:rPr>
          <w:rFonts w:ascii="Times New Roman" w:eastAsia="Times New Roman" w:hAnsi="Times New Roman" w:cs="Times New Roman"/>
          <w:sz w:val="21"/>
          <w:szCs w:val="21"/>
        </w:rPr>
        <w:t>uthority</w:t>
      </w:r>
      <w:r>
        <w:rPr>
          <w:rFonts w:ascii="Times New Roman" w:eastAsia="Times New Roman" w:hAnsi="Times New Roman" w:cs="Times New Roman"/>
          <w:sz w:val="21"/>
          <w:szCs w:val="21"/>
        </w:rPr>
        <w:t xml:space="preserve"> (</w:t>
      </w:r>
      <w:r w:rsidRPr="00E40442">
        <w:rPr>
          <w:rFonts w:ascii="Times New Roman"/>
          <w:color w:val="262626"/>
          <w:sz w:val="21"/>
        </w:rPr>
        <w:t xml:space="preserve">including, but not limited to, land within a Precinct Structure Plan prepared by </w:t>
      </w:r>
      <w:r w:rsidR="00636289">
        <w:rPr>
          <w:rFonts w:ascii="Times New Roman"/>
          <w:color w:val="262626"/>
          <w:sz w:val="21"/>
        </w:rPr>
        <w:t>a</w:t>
      </w:r>
      <w:r w:rsidR="00636289" w:rsidRPr="00E40442">
        <w:rPr>
          <w:rFonts w:ascii="Times New Roman"/>
          <w:color w:val="262626"/>
          <w:sz w:val="21"/>
        </w:rPr>
        <w:t xml:space="preserve"> </w:t>
      </w:r>
      <w:r w:rsidR="00636289">
        <w:rPr>
          <w:rFonts w:ascii="Times New Roman"/>
          <w:color w:val="262626"/>
          <w:sz w:val="21"/>
        </w:rPr>
        <w:t xml:space="preserve">superseded </w:t>
      </w:r>
      <w:r>
        <w:rPr>
          <w:rFonts w:ascii="Times New Roman"/>
          <w:color w:val="262626"/>
          <w:sz w:val="21"/>
        </w:rPr>
        <w:t>Authority).</w:t>
      </w:r>
    </w:p>
    <w:p w14:paraId="5932AFF1" w14:textId="77777777" w:rsidR="00102188" w:rsidRDefault="00C375EB">
      <w:pPr>
        <w:pStyle w:val="Heading2"/>
        <w:spacing w:before="133"/>
        <w:ind w:left="155"/>
        <w:rPr>
          <w:b w:val="0"/>
          <w:bCs w:val="0"/>
        </w:rPr>
      </w:pPr>
      <w:r>
        <w:rPr>
          <w:color w:val="262626"/>
        </w:rPr>
        <w:t xml:space="preserve">Requirements </w:t>
      </w:r>
      <w:r w:rsidR="008E62D6">
        <w:rPr>
          <w:color w:val="262626"/>
        </w:rPr>
        <w:t>to</w:t>
      </w:r>
      <w:r>
        <w:rPr>
          <w:color w:val="262626"/>
        </w:rPr>
        <w:t xml:space="preserve"> be</w:t>
      </w:r>
      <w:r>
        <w:rPr>
          <w:color w:val="262626"/>
          <w:spacing w:val="-30"/>
        </w:rPr>
        <w:t xml:space="preserve"> </w:t>
      </w:r>
      <w:r>
        <w:rPr>
          <w:color w:val="262626"/>
        </w:rPr>
        <w:t>met</w:t>
      </w:r>
    </w:p>
    <w:p w14:paraId="0894A42B" w14:textId="750216B0" w:rsidR="00E40442" w:rsidRPr="00E40442" w:rsidRDefault="00E40442" w:rsidP="00E40442">
      <w:pPr>
        <w:pStyle w:val="ListParagraph"/>
        <w:numPr>
          <w:ilvl w:val="0"/>
          <w:numId w:val="1"/>
        </w:numPr>
        <w:tabs>
          <w:tab w:val="left" w:pos="506"/>
        </w:tabs>
        <w:spacing w:before="129" w:line="252" w:lineRule="auto"/>
        <w:ind w:right="153"/>
        <w:jc w:val="both"/>
        <w:rPr>
          <w:rFonts w:ascii="Times New Roman" w:eastAsia="Times New Roman" w:hAnsi="Times New Roman" w:cs="Times New Roman"/>
          <w:sz w:val="21"/>
          <w:szCs w:val="21"/>
        </w:rPr>
      </w:pPr>
      <w:r>
        <w:rPr>
          <w:rFonts w:ascii="Times New Roman"/>
          <w:color w:val="262626"/>
          <w:w w:val="105"/>
          <w:sz w:val="21"/>
        </w:rPr>
        <w:t xml:space="preserve">In preparing an amendment to rezone land within or affecting any </w:t>
      </w:r>
      <w:r>
        <w:rPr>
          <w:rFonts w:ascii="Times New Roman"/>
          <w:color w:val="262626"/>
          <w:sz w:val="21"/>
        </w:rPr>
        <w:t xml:space="preserve">area </w:t>
      </w:r>
      <w:r w:rsidR="0072152F">
        <w:rPr>
          <w:rFonts w:ascii="Times New Roman"/>
          <w:color w:val="262626"/>
          <w:sz w:val="21"/>
        </w:rPr>
        <w:t xml:space="preserve">in relation to which the Victorian Planning Authority (or any </w:t>
      </w:r>
      <w:r w:rsidR="00636289">
        <w:rPr>
          <w:rFonts w:ascii="Times New Roman"/>
          <w:color w:val="262626"/>
          <w:sz w:val="21"/>
        </w:rPr>
        <w:t xml:space="preserve">superseded </w:t>
      </w:r>
      <w:r w:rsidR="00B623C6">
        <w:rPr>
          <w:rFonts w:ascii="Times New Roman"/>
          <w:color w:val="262626"/>
          <w:sz w:val="21"/>
        </w:rPr>
        <w:t>A</w:t>
      </w:r>
      <w:r w:rsidR="00636289">
        <w:rPr>
          <w:rFonts w:ascii="Times New Roman"/>
          <w:color w:val="262626"/>
          <w:sz w:val="21"/>
        </w:rPr>
        <w:t>uthority</w:t>
      </w:r>
      <w:r w:rsidR="0072152F">
        <w:rPr>
          <w:rFonts w:ascii="Times New Roman"/>
          <w:color w:val="262626"/>
          <w:sz w:val="21"/>
        </w:rPr>
        <w:t xml:space="preserve">) is, or has been, </w:t>
      </w:r>
      <w:r w:rsidR="00A67E87">
        <w:rPr>
          <w:rFonts w:ascii="Times New Roman"/>
          <w:color w:val="262626"/>
          <w:sz w:val="21"/>
        </w:rPr>
        <w:t xml:space="preserve">approved or directed </w:t>
      </w:r>
      <w:r w:rsidR="0072152F">
        <w:rPr>
          <w:rFonts w:ascii="Times New Roman"/>
          <w:color w:val="262626"/>
          <w:sz w:val="21"/>
        </w:rPr>
        <w:t>by the Minister to provide advice</w:t>
      </w:r>
      <w:r>
        <w:rPr>
          <w:rFonts w:ascii="Times New Roman"/>
          <w:color w:val="262626"/>
          <w:sz w:val="21"/>
        </w:rPr>
        <w:t>, a planning authority must consult with the Victorian Planning Authority</w:t>
      </w:r>
      <w:r w:rsidR="00A64B5D">
        <w:rPr>
          <w:rFonts w:ascii="Times New Roman"/>
          <w:color w:val="262626"/>
          <w:sz w:val="21"/>
        </w:rPr>
        <w:t xml:space="preserve"> and have regard to that advice</w:t>
      </w:r>
      <w:r>
        <w:rPr>
          <w:rFonts w:ascii="Times New Roman"/>
          <w:color w:val="262626"/>
          <w:sz w:val="21"/>
        </w:rPr>
        <w:t>.</w:t>
      </w:r>
    </w:p>
    <w:p w14:paraId="496AC383" w14:textId="77777777" w:rsidR="00E40442" w:rsidRDefault="0072152F" w:rsidP="00E40442">
      <w:pPr>
        <w:pStyle w:val="ListParagraph"/>
        <w:numPr>
          <w:ilvl w:val="0"/>
          <w:numId w:val="1"/>
        </w:numPr>
        <w:tabs>
          <w:tab w:val="left" w:pos="506"/>
        </w:tabs>
        <w:spacing w:before="129" w:line="252" w:lineRule="auto"/>
        <w:ind w:right="153"/>
        <w:jc w:val="both"/>
        <w:rPr>
          <w:rFonts w:ascii="Times New Roman" w:eastAsia="Times New Roman" w:hAnsi="Times New Roman" w:cs="Times New Roman"/>
          <w:sz w:val="21"/>
          <w:szCs w:val="21"/>
        </w:rPr>
      </w:pPr>
      <w:r>
        <w:rPr>
          <w:rFonts w:ascii="Times New Roman"/>
          <w:color w:val="262626"/>
          <w:w w:val="105"/>
          <w:sz w:val="21"/>
        </w:rPr>
        <w:t xml:space="preserve">In preparing an amendment to rezone land within or affecting any </w:t>
      </w:r>
      <w:r>
        <w:rPr>
          <w:rFonts w:ascii="Times New Roman"/>
          <w:color w:val="262626"/>
          <w:sz w:val="21"/>
        </w:rPr>
        <w:t xml:space="preserve">area in relation to which the Victorian Planning Authority (or any </w:t>
      </w:r>
      <w:r w:rsidR="00636289">
        <w:rPr>
          <w:rFonts w:ascii="Times New Roman"/>
          <w:color w:val="262626"/>
          <w:sz w:val="21"/>
        </w:rPr>
        <w:t xml:space="preserve">superseded </w:t>
      </w:r>
      <w:r w:rsidR="00B623C6">
        <w:rPr>
          <w:rFonts w:ascii="Times New Roman"/>
          <w:color w:val="262626"/>
          <w:sz w:val="21"/>
        </w:rPr>
        <w:t>A</w:t>
      </w:r>
      <w:r w:rsidR="00636289">
        <w:rPr>
          <w:rFonts w:ascii="Times New Roman"/>
          <w:color w:val="262626"/>
          <w:sz w:val="21"/>
        </w:rPr>
        <w:t>uthority</w:t>
      </w:r>
      <w:r>
        <w:rPr>
          <w:rFonts w:ascii="Times New Roman"/>
          <w:color w:val="262626"/>
          <w:sz w:val="21"/>
        </w:rPr>
        <w:t xml:space="preserve">) is, or has been, </w:t>
      </w:r>
      <w:r w:rsidR="00A67E87">
        <w:rPr>
          <w:rFonts w:ascii="Times New Roman"/>
          <w:color w:val="262626"/>
          <w:sz w:val="21"/>
        </w:rPr>
        <w:t xml:space="preserve">approved or directed </w:t>
      </w:r>
      <w:r>
        <w:rPr>
          <w:rFonts w:ascii="Times New Roman"/>
          <w:color w:val="262626"/>
          <w:sz w:val="21"/>
        </w:rPr>
        <w:t>by the Minister to provide advice</w:t>
      </w:r>
      <w:r w:rsidR="00E40442">
        <w:rPr>
          <w:rFonts w:ascii="Times New Roman"/>
          <w:color w:val="262626"/>
          <w:sz w:val="21"/>
        </w:rPr>
        <w:t>, a planning authority must include in the explanatory report discussions of how the amendment addresses the following matters:</w:t>
      </w:r>
    </w:p>
    <w:p w14:paraId="1FDB53C8" w14:textId="643BD9E6" w:rsidR="00E40442" w:rsidRPr="00E40442" w:rsidRDefault="00A64B5D">
      <w:pPr>
        <w:pStyle w:val="ListParagraph"/>
        <w:numPr>
          <w:ilvl w:val="1"/>
          <w:numId w:val="1"/>
        </w:numPr>
        <w:tabs>
          <w:tab w:val="left" w:pos="865"/>
        </w:tabs>
        <w:spacing w:before="137"/>
        <w:ind w:left="1228" w:hanging="718"/>
        <w:rPr>
          <w:rFonts w:ascii="Times New Roman" w:eastAsia="Times New Roman" w:hAnsi="Times New Roman" w:cs="Times New Roman"/>
          <w:sz w:val="21"/>
          <w:szCs w:val="21"/>
        </w:rPr>
      </w:pPr>
      <w:r>
        <w:rPr>
          <w:rFonts w:ascii="Times New Roman"/>
          <w:color w:val="262626"/>
          <w:w w:val="105"/>
          <w:sz w:val="21"/>
        </w:rPr>
        <w:t xml:space="preserve">Whether any advice was </w:t>
      </w:r>
      <w:r w:rsidR="00E40442">
        <w:rPr>
          <w:rFonts w:ascii="Times New Roman"/>
          <w:color w:val="262626"/>
          <w:w w:val="105"/>
          <w:sz w:val="21"/>
        </w:rPr>
        <w:t>provided by the Victorian Planning Authority.</w:t>
      </w:r>
    </w:p>
    <w:p w14:paraId="3C29D54E" w14:textId="77777777" w:rsidR="00E40442" w:rsidRPr="00E40442" w:rsidRDefault="00E40442">
      <w:pPr>
        <w:pStyle w:val="ListParagraph"/>
        <w:numPr>
          <w:ilvl w:val="1"/>
          <w:numId w:val="1"/>
        </w:numPr>
        <w:tabs>
          <w:tab w:val="left" w:pos="865"/>
        </w:tabs>
        <w:spacing w:before="137"/>
        <w:ind w:left="1228" w:hanging="718"/>
        <w:rPr>
          <w:rFonts w:ascii="Times New Roman" w:eastAsia="Times New Roman" w:hAnsi="Times New Roman" w:cs="Times New Roman"/>
          <w:sz w:val="21"/>
          <w:szCs w:val="21"/>
        </w:rPr>
      </w:pPr>
      <w:r>
        <w:rPr>
          <w:rFonts w:ascii="Times New Roman"/>
          <w:color w:val="262626"/>
          <w:w w:val="105"/>
          <w:sz w:val="21"/>
        </w:rPr>
        <w:t>The planning authority</w:t>
      </w:r>
      <w:r>
        <w:rPr>
          <w:rFonts w:ascii="Times New Roman"/>
          <w:color w:val="262626"/>
          <w:w w:val="105"/>
          <w:sz w:val="21"/>
        </w:rPr>
        <w:t>’</w:t>
      </w:r>
      <w:r>
        <w:rPr>
          <w:rFonts w:ascii="Times New Roman"/>
          <w:color w:val="262626"/>
          <w:w w:val="105"/>
          <w:sz w:val="21"/>
        </w:rPr>
        <w:t>s response to that advice.</w:t>
      </w:r>
    </w:p>
    <w:p w14:paraId="2BE8ED46" w14:textId="2EFE9488" w:rsidR="00E40442" w:rsidRDefault="00E40442" w:rsidP="00482F94">
      <w:pPr>
        <w:pStyle w:val="ListParagraph"/>
        <w:numPr>
          <w:ilvl w:val="1"/>
          <w:numId w:val="1"/>
        </w:numPr>
        <w:tabs>
          <w:tab w:val="left" w:pos="865"/>
        </w:tabs>
        <w:spacing w:before="137"/>
        <w:ind w:left="851" w:hanging="341"/>
        <w:rPr>
          <w:rFonts w:ascii="Times New Roman" w:eastAsia="Times New Roman" w:hAnsi="Times New Roman" w:cs="Times New Roman"/>
          <w:sz w:val="21"/>
          <w:szCs w:val="21"/>
        </w:rPr>
      </w:pPr>
      <w:r>
        <w:rPr>
          <w:rFonts w:ascii="Times New Roman"/>
          <w:color w:val="262626"/>
          <w:w w:val="105"/>
          <w:sz w:val="21"/>
        </w:rPr>
        <w:t>How the provisions give effect to the intended outcomes sought by the Victorian Planning Authority</w:t>
      </w:r>
      <w:r w:rsidR="0072152F">
        <w:rPr>
          <w:rFonts w:ascii="Times New Roman"/>
          <w:color w:val="262626"/>
          <w:w w:val="105"/>
          <w:sz w:val="21"/>
        </w:rPr>
        <w:t xml:space="preserve"> or any </w:t>
      </w:r>
      <w:r w:rsidR="00B623C6">
        <w:rPr>
          <w:rFonts w:ascii="Times New Roman"/>
          <w:color w:val="262626"/>
          <w:w w:val="105"/>
          <w:sz w:val="21"/>
        </w:rPr>
        <w:t>superseded Authority</w:t>
      </w:r>
      <w:r>
        <w:rPr>
          <w:rFonts w:ascii="Times New Roman"/>
          <w:color w:val="262626"/>
          <w:w w:val="105"/>
          <w:sz w:val="21"/>
        </w:rPr>
        <w:t>.</w:t>
      </w:r>
      <w:r w:rsidR="002C4061">
        <w:rPr>
          <w:rFonts w:ascii="Times New Roman"/>
          <w:color w:val="262626"/>
          <w:w w:val="105"/>
          <w:sz w:val="21"/>
        </w:rPr>
        <w:br/>
      </w:r>
    </w:p>
    <w:p w14:paraId="7794F188" w14:textId="62DF1B80" w:rsidR="00A64B5D" w:rsidRDefault="00A64B5D" w:rsidP="00A64B5D">
      <w:pPr>
        <w:tabs>
          <w:tab w:val="left" w:pos="865"/>
        </w:tabs>
        <w:spacing w:before="137"/>
      </w:pPr>
    </w:p>
    <w:p w14:paraId="242EE7AD" w14:textId="409C951F" w:rsidR="00A64B5D" w:rsidRDefault="00A64B5D" w:rsidP="00A64B5D">
      <w:pPr>
        <w:tabs>
          <w:tab w:val="left" w:pos="865"/>
        </w:tabs>
        <w:spacing w:before="137"/>
        <w:rPr>
          <w:rFonts w:ascii="Times New Roman" w:eastAsia="Times New Roman" w:hAnsi="Times New Roman" w:cs="Times New Roman"/>
          <w:sz w:val="21"/>
          <w:szCs w:val="21"/>
        </w:rPr>
      </w:pPr>
    </w:p>
    <w:p w14:paraId="71FA0841" w14:textId="3D28EE48" w:rsidR="007816CE" w:rsidRPr="00A64B5D" w:rsidRDefault="007816CE" w:rsidP="00A64B5D">
      <w:pPr>
        <w:tabs>
          <w:tab w:val="left" w:pos="865"/>
        </w:tabs>
        <w:spacing w:before="137"/>
        <w:rPr>
          <w:rFonts w:ascii="Times New Roman" w:eastAsia="Times New Roman" w:hAnsi="Times New Roman" w:cs="Times New Roman"/>
          <w:sz w:val="21"/>
          <w:szCs w:val="21"/>
        </w:rPr>
      </w:pPr>
    </w:p>
    <w:p w14:paraId="21E36B67" w14:textId="77777777" w:rsidR="00102188" w:rsidRDefault="00C375EB">
      <w:pPr>
        <w:pStyle w:val="Heading2"/>
        <w:spacing w:before="45"/>
        <w:ind w:right="88"/>
        <w:rPr>
          <w:b w:val="0"/>
          <w:bCs w:val="0"/>
        </w:rPr>
      </w:pPr>
      <w:r>
        <w:rPr>
          <w:color w:val="242424"/>
          <w:w w:val="105"/>
        </w:rPr>
        <w:t>Exemption by</w:t>
      </w:r>
      <w:r>
        <w:rPr>
          <w:color w:val="242424"/>
          <w:spacing w:val="-37"/>
          <w:w w:val="105"/>
        </w:rPr>
        <w:t xml:space="preserve"> </w:t>
      </w:r>
      <w:r>
        <w:rPr>
          <w:color w:val="242424"/>
          <w:w w:val="105"/>
        </w:rPr>
        <w:t>Minister</w:t>
      </w:r>
    </w:p>
    <w:p w14:paraId="2C9C0125" w14:textId="4AF553CC" w:rsidR="00102188" w:rsidRDefault="00636289" w:rsidP="007816CE">
      <w:pPr>
        <w:pStyle w:val="ListParagraph"/>
        <w:numPr>
          <w:ilvl w:val="0"/>
          <w:numId w:val="1"/>
        </w:numPr>
        <w:tabs>
          <w:tab w:val="left" w:pos="506"/>
        </w:tabs>
        <w:spacing w:before="129" w:line="252" w:lineRule="auto"/>
        <w:ind w:right="153"/>
        <w:jc w:val="both"/>
        <w:rPr>
          <w:rFonts w:ascii="Times New Roman" w:eastAsia="Times New Roman" w:hAnsi="Times New Roman" w:cs="Times New Roman"/>
        </w:rPr>
      </w:pPr>
      <w:r>
        <w:rPr>
          <w:rFonts w:ascii="Times New Roman"/>
          <w:color w:val="242424"/>
        </w:rPr>
        <w:tab/>
      </w:r>
      <w:r w:rsidR="00C375EB" w:rsidRPr="00A54356">
        <w:rPr>
          <w:rFonts w:ascii="Times New Roman"/>
          <w:color w:val="242424"/>
          <w:sz w:val="21"/>
          <w:szCs w:val="21"/>
        </w:rPr>
        <w:t xml:space="preserve">The Minister may grant an exemption from the need to comply with this Direction in relation to a </w:t>
      </w:r>
      <w:proofErr w:type="gramStart"/>
      <w:r w:rsidR="00C375EB" w:rsidRPr="00A54356">
        <w:rPr>
          <w:rFonts w:ascii="Times New Roman"/>
          <w:color w:val="242424"/>
          <w:sz w:val="21"/>
          <w:szCs w:val="21"/>
        </w:rPr>
        <w:t>particular amendment</w:t>
      </w:r>
      <w:proofErr w:type="gramEnd"/>
      <w:r w:rsidR="00C375EB" w:rsidRPr="00A54356">
        <w:rPr>
          <w:rFonts w:ascii="Times New Roman"/>
          <w:color w:val="242424"/>
          <w:sz w:val="21"/>
          <w:szCs w:val="21"/>
        </w:rPr>
        <w:t xml:space="preserve">.  </w:t>
      </w:r>
      <w:r w:rsidR="00C375EB" w:rsidRPr="007816CE">
        <w:rPr>
          <w:rFonts w:ascii="Times New Roman"/>
          <w:color w:val="242424"/>
          <w:sz w:val="21"/>
          <w:szCs w:val="21"/>
        </w:rPr>
        <w:t xml:space="preserve">An </w:t>
      </w:r>
      <w:r w:rsidR="00C375EB" w:rsidRPr="00A54356">
        <w:rPr>
          <w:rFonts w:ascii="Times New Roman"/>
          <w:color w:val="242424"/>
          <w:sz w:val="21"/>
          <w:szCs w:val="21"/>
        </w:rPr>
        <w:t>exemption may be granted subject to</w:t>
      </w:r>
      <w:r w:rsidR="00C375EB" w:rsidRPr="00A54356">
        <w:rPr>
          <w:rFonts w:ascii="Times New Roman"/>
          <w:color w:val="242424"/>
          <w:spacing w:val="-21"/>
          <w:sz w:val="21"/>
          <w:szCs w:val="21"/>
        </w:rPr>
        <w:t xml:space="preserve"> </w:t>
      </w:r>
      <w:r w:rsidR="00C375EB" w:rsidRPr="00A54356">
        <w:rPr>
          <w:rFonts w:ascii="Times New Roman"/>
          <w:color w:val="242424"/>
          <w:sz w:val="21"/>
          <w:szCs w:val="21"/>
        </w:rPr>
        <w:t>conditions.</w:t>
      </w:r>
    </w:p>
    <w:p w14:paraId="77E4C127" w14:textId="77777777" w:rsidR="00102188" w:rsidRDefault="00102188">
      <w:pPr>
        <w:rPr>
          <w:rFonts w:ascii="Times New Roman" w:eastAsia="Times New Roman" w:hAnsi="Times New Roman" w:cs="Times New Roman"/>
        </w:rPr>
      </w:pPr>
    </w:p>
    <w:p w14:paraId="44C9B49A" w14:textId="67234064" w:rsidR="008A228C" w:rsidRDefault="006E7FDB" w:rsidP="008A228C">
      <w:pPr>
        <w:spacing w:line="247" w:lineRule="auto"/>
        <w:ind w:left="126" w:right="5603"/>
        <w:rPr>
          <w:rFonts w:ascii="Times New Roman" w:eastAsia="Times New Roman" w:hAnsi="Times New Roman" w:cs="Times New Roman"/>
          <w:sz w:val="23"/>
          <w:szCs w:val="23"/>
        </w:rPr>
      </w:pPr>
      <w:r>
        <w:rPr>
          <w:rFonts w:ascii="Times New Roman" w:eastAsia="Times New Roman" w:hAnsi="Times New Roman" w:cs="Times New Roman"/>
          <w:sz w:val="21"/>
          <w:szCs w:val="21"/>
        </w:rPr>
        <w:br/>
      </w:r>
      <w:r w:rsidR="002C4061">
        <w:rPr>
          <w:rFonts w:ascii="Times New Roman" w:eastAsia="Times New Roman" w:hAnsi="Times New Roman" w:cs="Times New Roman"/>
          <w:sz w:val="21"/>
          <w:szCs w:val="21"/>
        </w:rPr>
        <w:br/>
      </w:r>
    </w:p>
    <w:p w14:paraId="1DD2F7C5" w14:textId="77777777" w:rsidR="00102188" w:rsidRDefault="00102188">
      <w:pPr>
        <w:spacing w:before="2"/>
        <w:rPr>
          <w:rFonts w:ascii="Times New Roman" w:eastAsia="Times New Roman" w:hAnsi="Times New Roman" w:cs="Times New Roman"/>
          <w:sz w:val="21"/>
          <w:szCs w:val="21"/>
        </w:rPr>
      </w:pPr>
    </w:p>
    <w:p w14:paraId="41780B1F" w14:textId="516D2F33" w:rsidR="00102188" w:rsidRDefault="006E7FDB" w:rsidP="006E7FDB">
      <w:pPr>
        <w:spacing w:line="247" w:lineRule="auto"/>
        <w:ind w:left="126" w:right="5603"/>
        <w:rPr>
          <w:rFonts w:ascii="Times New Roman"/>
          <w:color w:val="3B3B3B"/>
          <w:spacing w:val="4"/>
          <w:sz w:val="23"/>
        </w:rPr>
      </w:pPr>
      <w:r>
        <w:rPr>
          <w:rFonts w:ascii="Arial" w:hAnsi="Arial" w:cs="Arial"/>
          <w:b/>
          <w:color w:val="242424"/>
        </w:rPr>
        <w:t>HON RICHARD WYNNE MP</w:t>
      </w:r>
      <w:r>
        <w:rPr>
          <w:rFonts w:ascii="Arial" w:hAnsi="Arial" w:cs="Arial"/>
          <w:b/>
          <w:color w:val="242424"/>
        </w:rPr>
        <w:br/>
      </w:r>
      <w:r w:rsidR="00C375EB" w:rsidRPr="00A64B5D">
        <w:rPr>
          <w:rFonts w:ascii="Times New Roman"/>
          <w:color w:val="161616"/>
          <w:spacing w:val="4"/>
          <w:sz w:val="23"/>
        </w:rPr>
        <w:t>Minister for Planning</w:t>
      </w:r>
      <w:r w:rsidR="00C375EB">
        <w:rPr>
          <w:rFonts w:ascii="Times New Roman"/>
          <w:color w:val="242424"/>
          <w:sz w:val="23"/>
        </w:rPr>
        <w:t xml:space="preserve"> </w:t>
      </w:r>
      <w:r>
        <w:rPr>
          <w:rFonts w:ascii="Times New Roman"/>
          <w:color w:val="242424"/>
          <w:sz w:val="23"/>
        </w:rPr>
        <w:br/>
      </w:r>
      <w:r w:rsidR="00C375EB">
        <w:rPr>
          <w:rFonts w:ascii="Times New Roman"/>
          <w:color w:val="161616"/>
          <w:spacing w:val="4"/>
          <w:sz w:val="23"/>
        </w:rPr>
        <w:t>Date</w:t>
      </w:r>
      <w:r w:rsidR="00C375EB">
        <w:rPr>
          <w:rFonts w:ascii="Times New Roman"/>
          <w:color w:val="3B3B3B"/>
          <w:spacing w:val="4"/>
          <w:sz w:val="23"/>
        </w:rPr>
        <w:t xml:space="preserve">: </w:t>
      </w:r>
      <w:r w:rsidR="004465A0">
        <w:rPr>
          <w:rFonts w:ascii="Times New Roman"/>
          <w:color w:val="3B3B3B"/>
          <w:spacing w:val="4"/>
          <w:sz w:val="23"/>
        </w:rPr>
        <w:t>28 January 2018</w:t>
      </w:r>
      <w:bookmarkStart w:id="0" w:name="_GoBack"/>
      <w:bookmarkEnd w:id="0"/>
    </w:p>
    <w:sectPr w:rsidR="00102188">
      <w:footerReference w:type="default" r:id="rId7"/>
      <w:pgSz w:w="11920" w:h="16850"/>
      <w:pgMar w:top="1140" w:right="1680" w:bottom="840" w:left="1660" w:header="0" w:footer="6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37672" w14:textId="77777777" w:rsidR="002E3BB3" w:rsidRDefault="002E3BB3">
      <w:r>
        <w:separator/>
      </w:r>
    </w:p>
  </w:endnote>
  <w:endnote w:type="continuationSeparator" w:id="0">
    <w:p w14:paraId="42B90D84" w14:textId="77777777" w:rsidR="002E3BB3" w:rsidRDefault="002E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2DFD9" w14:textId="77777777" w:rsidR="00102188" w:rsidRDefault="00C375EB">
    <w:pPr>
      <w:spacing w:line="14" w:lineRule="auto"/>
      <w:rPr>
        <w:sz w:val="20"/>
        <w:szCs w:val="20"/>
      </w:rPr>
    </w:pPr>
    <w:r>
      <w:rPr>
        <w:noProof/>
        <w:lang w:val="en-AU" w:eastAsia="en-AU"/>
      </w:rPr>
      <mc:AlternateContent>
        <mc:Choice Requires="wps">
          <w:drawing>
            <wp:anchor distT="0" distB="0" distL="114300" distR="114300" simplePos="0" relativeHeight="251657728" behindDoc="1" locked="0" layoutInCell="1" allowOverlap="1" wp14:anchorId="45034F08" wp14:editId="2AFBB209">
              <wp:simplePos x="0" y="0"/>
              <wp:positionH relativeFrom="page">
                <wp:posOffset>1121410</wp:posOffset>
              </wp:positionH>
              <wp:positionV relativeFrom="page">
                <wp:posOffset>10157460</wp:posOffset>
              </wp:positionV>
              <wp:extent cx="962025" cy="114300"/>
              <wp:effectExtent l="0" t="381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9CBBA" w14:textId="77777777" w:rsidR="00102188" w:rsidRDefault="00102188">
                          <w:pPr>
                            <w:spacing w:before="2"/>
                            <w:ind w:left="20"/>
                            <w:rPr>
                              <w:rFonts w:ascii="Times New Roman" w:eastAsia="Times New Roman" w:hAnsi="Times New Roman" w:cs="Times New Roman"/>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34F08" id="_x0000_t202" coordsize="21600,21600" o:spt="202" path="m,l,21600r21600,l21600,xe">
              <v:stroke joinstyle="miter"/>
              <v:path gradientshapeok="t" o:connecttype="rect"/>
            </v:shapetype>
            <v:shape id="Text Box 1" o:spid="_x0000_s1026" type="#_x0000_t202" style="position:absolute;margin-left:88.3pt;margin-top:799.8pt;width:75.75pt;height: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" filled="f" stroked="f">
              <v:textbox inset="0,0,0,0">
                <w:txbxContent>
                  <w:p w14:paraId="14E9CBBA" w14:textId="77777777" w:rsidR="00102188" w:rsidRDefault="00102188">
                    <w:pPr>
                      <w:spacing w:before="2"/>
                      <w:ind w:left="20"/>
                      <w:rPr>
                        <w:rFonts w:ascii="Times New Roman" w:eastAsia="Times New Roman" w:hAnsi="Times New Roman" w:cs="Times New Roman"/>
                        <w:sz w:val="14"/>
                        <w:szCs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F73D6" w14:textId="77777777" w:rsidR="002E3BB3" w:rsidRDefault="002E3BB3">
      <w:r>
        <w:separator/>
      </w:r>
    </w:p>
  </w:footnote>
  <w:footnote w:type="continuationSeparator" w:id="0">
    <w:p w14:paraId="750F1644" w14:textId="77777777" w:rsidR="002E3BB3" w:rsidRDefault="002E3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62C0B"/>
    <w:multiLevelType w:val="hybridMultilevel"/>
    <w:tmpl w:val="A2504A3C"/>
    <w:lvl w:ilvl="0" w:tplc="DD4C65E4">
      <w:start w:val="1"/>
      <w:numFmt w:val="decimal"/>
      <w:lvlText w:val="%1."/>
      <w:lvlJc w:val="left"/>
      <w:pPr>
        <w:ind w:left="500" w:hanging="336"/>
      </w:pPr>
      <w:rPr>
        <w:rFonts w:ascii="Times New Roman" w:eastAsia="Times New Roman" w:hAnsi="Times New Roman" w:hint="default"/>
        <w:color w:val="262626"/>
        <w:w w:val="103"/>
        <w:sz w:val="21"/>
        <w:szCs w:val="21"/>
      </w:rPr>
    </w:lvl>
    <w:lvl w:ilvl="1" w:tplc="53484A36">
      <w:start w:val="1"/>
      <w:numFmt w:val="bullet"/>
      <w:lvlText w:val="•"/>
      <w:lvlJc w:val="left"/>
      <w:pPr>
        <w:ind w:left="864" w:hanging="355"/>
      </w:pPr>
      <w:rPr>
        <w:rFonts w:ascii="Times New Roman" w:eastAsia="Times New Roman" w:hAnsi="Times New Roman" w:hint="default"/>
        <w:color w:val="262626"/>
        <w:w w:val="146"/>
        <w:sz w:val="21"/>
        <w:szCs w:val="21"/>
      </w:rPr>
    </w:lvl>
    <w:lvl w:ilvl="2" w:tplc="72E6477E">
      <w:start w:val="1"/>
      <w:numFmt w:val="bullet"/>
      <w:lvlText w:val="•"/>
      <w:lvlJc w:val="left"/>
      <w:pPr>
        <w:ind w:left="1220" w:hanging="355"/>
      </w:pPr>
      <w:rPr>
        <w:rFonts w:hint="default"/>
      </w:rPr>
    </w:lvl>
    <w:lvl w:ilvl="3" w:tplc="05A04916">
      <w:start w:val="1"/>
      <w:numFmt w:val="bullet"/>
      <w:lvlText w:val="•"/>
      <w:lvlJc w:val="left"/>
      <w:pPr>
        <w:ind w:left="1580" w:hanging="355"/>
      </w:pPr>
      <w:rPr>
        <w:rFonts w:hint="default"/>
      </w:rPr>
    </w:lvl>
    <w:lvl w:ilvl="4" w:tplc="6874A0E4">
      <w:start w:val="1"/>
      <w:numFmt w:val="bullet"/>
      <w:lvlText w:val="•"/>
      <w:lvlJc w:val="left"/>
      <w:pPr>
        <w:ind w:left="2581" w:hanging="355"/>
      </w:pPr>
      <w:rPr>
        <w:rFonts w:hint="default"/>
      </w:rPr>
    </w:lvl>
    <w:lvl w:ilvl="5" w:tplc="D8BE9C34">
      <w:start w:val="1"/>
      <w:numFmt w:val="bullet"/>
      <w:lvlText w:val="•"/>
      <w:lvlJc w:val="left"/>
      <w:pPr>
        <w:ind w:left="3583" w:hanging="355"/>
      </w:pPr>
      <w:rPr>
        <w:rFonts w:hint="default"/>
      </w:rPr>
    </w:lvl>
    <w:lvl w:ilvl="6" w:tplc="F350EE6A">
      <w:start w:val="1"/>
      <w:numFmt w:val="bullet"/>
      <w:lvlText w:val="•"/>
      <w:lvlJc w:val="left"/>
      <w:pPr>
        <w:ind w:left="4585" w:hanging="355"/>
      </w:pPr>
      <w:rPr>
        <w:rFonts w:hint="default"/>
      </w:rPr>
    </w:lvl>
    <w:lvl w:ilvl="7" w:tplc="E038615E">
      <w:start w:val="1"/>
      <w:numFmt w:val="bullet"/>
      <w:lvlText w:val="•"/>
      <w:lvlJc w:val="left"/>
      <w:pPr>
        <w:ind w:left="5587" w:hanging="355"/>
      </w:pPr>
      <w:rPr>
        <w:rFonts w:hint="default"/>
      </w:rPr>
    </w:lvl>
    <w:lvl w:ilvl="8" w:tplc="D9DA2C42">
      <w:start w:val="1"/>
      <w:numFmt w:val="bullet"/>
      <w:lvlText w:val="•"/>
      <w:lvlJc w:val="left"/>
      <w:pPr>
        <w:ind w:left="6589" w:hanging="355"/>
      </w:pPr>
      <w:rPr>
        <w:rFonts w:hint="default"/>
      </w:rPr>
    </w:lvl>
  </w:abstractNum>
  <w:abstractNum w:abstractNumId="1" w15:restartNumberingAfterBreak="0">
    <w:nsid w:val="5CF4476D"/>
    <w:multiLevelType w:val="hybridMultilevel"/>
    <w:tmpl w:val="D142747E"/>
    <w:lvl w:ilvl="0" w:tplc="DD4C65E4">
      <w:start w:val="1"/>
      <w:numFmt w:val="decimal"/>
      <w:lvlText w:val="%1."/>
      <w:lvlJc w:val="left"/>
      <w:pPr>
        <w:ind w:left="641" w:hanging="336"/>
      </w:pPr>
      <w:rPr>
        <w:rFonts w:ascii="Times New Roman" w:eastAsia="Times New Roman" w:hAnsi="Times New Roman" w:hint="default"/>
        <w:color w:val="262626"/>
        <w:w w:val="103"/>
        <w:sz w:val="21"/>
        <w:szCs w:val="21"/>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2" w15:restartNumberingAfterBreak="0">
    <w:nsid w:val="74995D11"/>
    <w:multiLevelType w:val="hybridMultilevel"/>
    <w:tmpl w:val="03BED1F0"/>
    <w:lvl w:ilvl="0" w:tplc="D8688904">
      <w:numFmt w:val="bullet"/>
      <w:lvlText w:val="-"/>
      <w:lvlJc w:val="left"/>
      <w:pPr>
        <w:ind w:left="870" w:hanging="360"/>
      </w:pPr>
      <w:rPr>
        <w:rFonts w:ascii="Times New Roman" w:eastAsiaTheme="minorHAnsi" w:hAnsi="Times New Roman" w:cs="Times New Roman" w:hint="default"/>
        <w:color w:val="262626"/>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88"/>
    <w:rsid w:val="000173E7"/>
    <w:rsid w:val="0004792A"/>
    <w:rsid w:val="00102188"/>
    <w:rsid w:val="002448C7"/>
    <w:rsid w:val="002C4061"/>
    <w:rsid w:val="002E3BB3"/>
    <w:rsid w:val="002F0067"/>
    <w:rsid w:val="00424380"/>
    <w:rsid w:val="004465A0"/>
    <w:rsid w:val="004573E4"/>
    <w:rsid w:val="00482F94"/>
    <w:rsid w:val="00636289"/>
    <w:rsid w:val="006E7FDB"/>
    <w:rsid w:val="00721310"/>
    <w:rsid w:val="0072152F"/>
    <w:rsid w:val="007236DD"/>
    <w:rsid w:val="00765228"/>
    <w:rsid w:val="007816CE"/>
    <w:rsid w:val="007A294E"/>
    <w:rsid w:val="008738FD"/>
    <w:rsid w:val="00891A91"/>
    <w:rsid w:val="008A228C"/>
    <w:rsid w:val="008E62D6"/>
    <w:rsid w:val="008E6EF6"/>
    <w:rsid w:val="00945B4E"/>
    <w:rsid w:val="00A11375"/>
    <w:rsid w:val="00A54356"/>
    <w:rsid w:val="00A64B5D"/>
    <w:rsid w:val="00A67E87"/>
    <w:rsid w:val="00A861FC"/>
    <w:rsid w:val="00A96853"/>
    <w:rsid w:val="00AA789D"/>
    <w:rsid w:val="00AC326E"/>
    <w:rsid w:val="00B623C6"/>
    <w:rsid w:val="00B73ADA"/>
    <w:rsid w:val="00BF0963"/>
    <w:rsid w:val="00C375EB"/>
    <w:rsid w:val="00C80C32"/>
    <w:rsid w:val="00E12C64"/>
    <w:rsid w:val="00E40442"/>
    <w:rsid w:val="00E66C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F4E8F4"/>
  <w15:docId w15:val="{FE28B28A-848E-42B0-96A7-64CF6560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35"/>
      <w:szCs w:val="35"/>
    </w:rPr>
  </w:style>
  <w:style w:type="paragraph" w:styleId="Heading2">
    <w:name w:val="heading 2"/>
    <w:basedOn w:val="Normal"/>
    <w:uiPriority w:val="1"/>
    <w:qFormat/>
    <w:pPr>
      <w:ind w:left="140"/>
      <w:outlineLvl w:val="1"/>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9"/>
      <w:ind w:left="864" w:hanging="718"/>
    </w:pPr>
    <w:rPr>
      <w:rFonts w:ascii="Times New Roman" w:eastAsia="Times New Roman" w:hAnsi="Times New Roman"/>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0442"/>
    <w:pPr>
      <w:tabs>
        <w:tab w:val="center" w:pos="4513"/>
        <w:tab w:val="right" w:pos="9026"/>
      </w:tabs>
    </w:pPr>
  </w:style>
  <w:style w:type="character" w:customStyle="1" w:styleId="HeaderChar">
    <w:name w:val="Header Char"/>
    <w:basedOn w:val="DefaultParagraphFont"/>
    <w:link w:val="Header"/>
    <w:uiPriority w:val="99"/>
    <w:rsid w:val="00E40442"/>
  </w:style>
  <w:style w:type="paragraph" w:styleId="Footer">
    <w:name w:val="footer"/>
    <w:basedOn w:val="Normal"/>
    <w:link w:val="FooterChar"/>
    <w:uiPriority w:val="99"/>
    <w:unhideWhenUsed/>
    <w:rsid w:val="00E40442"/>
    <w:pPr>
      <w:tabs>
        <w:tab w:val="center" w:pos="4513"/>
        <w:tab w:val="right" w:pos="9026"/>
      </w:tabs>
    </w:pPr>
  </w:style>
  <w:style w:type="character" w:customStyle="1" w:styleId="FooterChar">
    <w:name w:val="Footer Char"/>
    <w:basedOn w:val="DefaultParagraphFont"/>
    <w:link w:val="Footer"/>
    <w:uiPriority w:val="99"/>
    <w:rsid w:val="00E40442"/>
  </w:style>
  <w:style w:type="character" w:styleId="CommentReference">
    <w:name w:val="annotation reference"/>
    <w:basedOn w:val="DefaultParagraphFont"/>
    <w:uiPriority w:val="99"/>
    <w:semiHidden/>
    <w:unhideWhenUsed/>
    <w:rsid w:val="00636289"/>
    <w:rPr>
      <w:sz w:val="16"/>
      <w:szCs w:val="16"/>
    </w:rPr>
  </w:style>
  <w:style w:type="paragraph" w:styleId="CommentText">
    <w:name w:val="annotation text"/>
    <w:basedOn w:val="Normal"/>
    <w:link w:val="CommentTextChar"/>
    <w:uiPriority w:val="99"/>
    <w:semiHidden/>
    <w:unhideWhenUsed/>
    <w:rsid w:val="00636289"/>
    <w:rPr>
      <w:sz w:val="20"/>
      <w:szCs w:val="20"/>
    </w:rPr>
  </w:style>
  <w:style w:type="character" w:customStyle="1" w:styleId="CommentTextChar">
    <w:name w:val="Comment Text Char"/>
    <w:basedOn w:val="DefaultParagraphFont"/>
    <w:link w:val="CommentText"/>
    <w:uiPriority w:val="99"/>
    <w:semiHidden/>
    <w:rsid w:val="00636289"/>
    <w:rPr>
      <w:sz w:val="20"/>
      <w:szCs w:val="20"/>
    </w:rPr>
  </w:style>
  <w:style w:type="paragraph" w:styleId="CommentSubject">
    <w:name w:val="annotation subject"/>
    <w:basedOn w:val="CommentText"/>
    <w:next w:val="CommentText"/>
    <w:link w:val="CommentSubjectChar"/>
    <w:uiPriority w:val="99"/>
    <w:semiHidden/>
    <w:unhideWhenUsed/>
    <w:rsid w:val="00636289"/>
    <w:rPr>
      <w:b/>
      <w:bCs/>
    </w:rPr>
  </w:style>
  <w:style w:type="character" w:customStyle="1" w:styleId="CommentSubjectChar">
    <w:name w:val="Comment Subject Char"/>
    <w:basedOn w:val="CommentTextChar"/>
    <w:link w:val="CommentSubject"/>
    <w:uiPriority w:val="99"/>
    <w:semiHidden/>
    <w:rsid w:val="00636289"/>
    <w:rPr>
      <w:b/>
      <w:bCs/>
      <w:sz w:val="20"/>
      <w:szCs w:val="20"/>
    </w:rPr>
  </w:style>
  <w:style w:type="paragraph" w:styleId="BalloonText">
    <w:name w:val="Balloon Text"/>
    <w:basedOn w:val="Normal"/>
    <w:link w:val="BalloonTextChar"/>
    <w:uiPriority w:val="99"/>
    <w:semiHidden/>
    <w:unhideWhenUsed/>
    <w:rsid w:val="00636289"/>
    <w:rPr>
      <w:rFonts w:ascii="Tahoma" w:hAnsi="Tahoma" w:cs="Tahoma"/>
      <w:sz w:val="16"/>
      <w:szCs w:val="16"/>
    </w:rPr>
  </w:style>
  <w:style w:type="character" w:customStyle="1" w:styleId="BalloonTextChar">
    <w:name w:val="Balloon Text Char"/>
    <w:basedOn w:val="DefaultParagraphFont"/>
    <w:link w:val="BalloonText"/>
    <w:uiPriority w:val="99"/>
    <w:semiHidden/>
    <w:rsid w:val="00636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Metropolitan Planning Authority</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Moseley</dc:creator>
  <cp:lastModifiedBy>Shirani L De Saram (DELWP)</cp:lastModifiedBy>
  <cp:revision>3</cp:revision>
  <cp:lastPrinted>2018-01-15T00:06:00Z</cp:lastPrinted>
  <dcterms:created xsi:type="dcterms:W3CDTF">2018-02-05T04:07:00Z</dcterms:created>
  <dcterms:modified xsi:type="dcterms:W3CDTF">2018-02-05T04:09:00Z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Creator">
    <vt:lpwstr>ApeosPort-IV C7780 </vt:lpwstr>
  </property>
  <property fmtid="{D5CDD505-2E9C-101B-9397-08002B2CF9AE}" pid="4" name="LastSaved">
    <vt:filetime>2017-08-17T00:00:00Z</vt:filetime>
  </property>
</Properties>
</file>